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74" w:lineRule="exact"/>
        <w:rPr>
          <w:sz w:val="24"/>
          <w:szCs w:val="24"/>
          <w:color w:val="auto"/>
        </w:rPr>
      </w:pPr>
    </w:p>
    <w:p>
      <w:pPr>
        <w:ind w:left="8600"/>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ind w:left="8580"/>
        <w:spacing w:after="0"/>
        <w:rPr>
          <w:sz w:val="20"/>
          <w:szCs w:val="20"/>
          <w:color w:val="auto"/>
        </w:rPr>
      </w:pPr>
      <w:r>
        <w:rPr>
          <w:rFonts w:ascii="Times New Roman" w:cs="Times New Roman" w:eastAsia="Times New Roman" w:hAnsi="Times New Roman"/>
          <w:sz w:val="18"/>
          <w:szCs w:val="18"/>
          <w:b w:val="1"/>
          <w:bCs w:val="1"/>
          <w:color w:val="auto"/>
        </w:rPr>
        <w:t>Registration Number 333-288742</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8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Blaize Holdings, Inc.</w:t>
      </w:r>
    </w:p>
    <w:p>
      <w:pPr>
        <w:spacing w:after="0" w:line="8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20,326,158 Shares of Common Stock by the Selling Stockholder</w:t>
      </w:r>
    </w:p>
    <w:p>
      <w:pPr>
        <w:spacing w:after="0" w:line="6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769,231 Shares of Common Stock by Cantor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144145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1" w:lineRule="exact"/>
        <w:rPr>
          <w:sz w:val="24"/>
          <w:szCs w:val="24"/>
          <w:color w:val="auto"/>
        </w:rPr>
      </w:pPr>
    </w:p>
    <w:p>
      <w:pPr>
        <w:ind w:left="120" w:right="100"/>
        <w:spacing w:after="0" w:line="298" w:lineRule="auto"/>
        <w:rPr>
          <w:sz w:val="20"/>
          <w:szCs w:val="20"/>
          <w:color w:val="auto"/>
        </w:rPr>
      </w:pPr>
      <w:r>
        <w:rPr>
          <w:rFonts w:ascii="Times New Roman" w:cs="Times New Roman" w:eastAsia="Times New Roman" w:hAnsi="Times New Roman"/>
          <w:sz w:val="16"/>
          <w:szCs w:val="16"/>
          <w:color w:val="auto"/>
        </w:rPr>
        <w:t>This prospectus relates to the offer and sale of up to 20,326,158 shares of our Common Stock, par value $0.0001 per share (“the Common Stock”), by B. Riley Principal Capital II, LLC, whom we refer to in this prospectus as “B. Riley Principal Capital II” or the “Selling Stockholder.”</w:t>
      </w:r>
    </w:p>
    <w:p>
      <w:pPr>
        <w:spacing w:after="0" w:line="2" w:lineRule="exact"/>
        <w:rPr>
          <w:sz w:val="24"/>
          <w:szCs w:val="24"/>
          <w:color w:val="auto"/>
        </w:rPr>
      </w:pPr>
    </w:p>
    <w:p>
      <w:pPr>
        <w:ind w:left="120" w:right="100"/>
        <w:spacing w:after="0" w:line="267" w:lineRule="auto"/>
        <w:rPr>
          <w:sz w:val="20"/>
          <w:szCs w:val="20"/>
          <w:color w:val="auto"/>
        </w:rPr>
      </w:pPr>
      <w:r>
        <w:rPr>
          <w:rFonts w:ascii="Times New Roman" w:cs="Times New Roman" w:eastAsia="Times New Roman" w:hAnsi="Times New Roman"/>
          <w:sz w:val="16"/>
          <w:szCs w:val="16"/>
          <w:color w:val="auto"/>
        </w:rPr>
        <w:t>The shares of Common Stock to which this prospectus relates have been or may be issued by us to B. Riley Principal Capital II pursuant to a common stock purchase agreement, dated as of July 14, 2025, we entered into with B. Riley Principal Capital II, which we refer to in this prospectus as the Purchase Agreement. Such shares of Common Stock include up to 20,326,158 shares of Common Stock, consisting of (i) up to 20,242,805 shares of Common Stock (the “Purchase Shares”) that we may, in our sole discretion, elect to sell to B. Riley Principal Capital II, from time to time over a period of up to 36 months from and after the Commencement Date (defined below) pursuant to the Purchase Agreement and (ii) 83,353 shares of Common Stock (the “Commitment Shares” and, together with the Purchase Shares, “BRPC Shares”) we issued to B. Riley Principal Capital II, together with our cash payment of $200,000 to B. Riley Principal Capital II, upon our execution of the Purchase Agreement on July 15, 2025, as consideration for its commitment to purchase shares of our Common Stock that we may, in our sole discretion, direct B. Riley Principal Capital II to purchase from us pursuant to the Purchase Agreement. We are not selling any securities under this prospectus and will not receive any of the proceeds from the sale of our Common Stock by the Selling Stockholder. However, we may receive up to $50,000,000 aggregate gross proceeds under the Purchase Agreement from sales of Common Stock we may elect to make to B. Riley Principal Capital II pursuant to the Purchase Agreement after the date of this prospectus. See “</w:t>
      </w:r>
      <w:r>
        <w:rPr>
          <w:rFonts w:ascii="Times New Roman" w:cs="Times New Roman" w:eastAsia="Times New Roman" w:hAnsi="Times New Roman"/>
          <w:sz w:val="16"/>
          <w:szCs w:val="16"/>
          <w:i w:val="1"/>
          <w:iCs w:val="1"/>
          <w:color w:val="auto"/>
        </w:rPr>
        <w:t>The Committed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Equity Facility</w:t>
      </w:r>
      <w:r>
        <w:rPr>
          <w:rFonts w:ascii="Times New Roman" w:cs="Times New Roman" w:eastAsia="Times New Roman" w:hAnsi="Times New Roman"/>
          <w:sz w:val="16"/>
          <w:szCs w:val="16"/>
          <w:color w:val="auto"/>
        </w:rPr>
        <w:t>” for a description of the Purchase Agreement and “</w:t>
      </w:r>
      <w:r>
        <w:rPr>
          <w:rFonts w:ascii="Times New Roman" w:cs="Times New Roman" w:eastAsia="Times New Roman" w:hAnsi="Times New Roman"/>
          <w:sz w:val="16"/>
          <w:szCs w:val="16"/>
          <w:i w:val="1"/>
          <w:iCs w:val="1"/>
          <w:color w:val="auto"/>
        </w:rPr>
        <w:t>Selling Securityholders – Selling Stockholder</w:t>
      </w:r>
      <w:r>
        <w:rPr>
          <w:rFonts w:ascii="Times New Roman" w:cs="Times New Roman" w:eastAsia="Times New Roman" w:hAnsi="Times New Roman"/>
          <w:sz w:val="16"/>
          <w:szCs w:val="16"/>
          <w:color w:val="auto"/>
        </w:rPr>
        <w:t>” for additional information regarding B. Riley Principal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Capital II.</w:t>
      </w:r>
    </w:p>
    <w:p>
      <w:pPr>
        <w:spacing w:after="0" w:line="26" w:lineRule="exact"/>
        <w:rPr>
          <w:sz w:val="24"/>
          <w:szCs w:val="24"/>
          <w:color w:val="auto"/>
        </w:rPr>
      </w:pPr>
    </w:p>
    <w:p>
      <w:pPr>
        <w:ind w:left="120" w:right="40"/>
        <w:spacing w:after="0" w:line="276" w:lineRule="auto"/>
        <w:rPr>
          <w:sz w:val="20"/>
          <w:szCs w:val="20"/>
          <w:color w:val="auto"/>
        </w:rPr>
      </w:pPr>
      <w:r>
        <w:rPr>
          <w:rFonts w:ascii="Times New Roman" w:cs="Times New Roman" w:eastAsia="Times New Roman" w:hAnsi="Times New Roman"/>
          <w:sz w:val="16"/>
          <w:szCs w:val="16"/>
          <w:color w:val="auto"/>
        </w:rPr>
        <w:t>B. Riley Principal Capital II may sell or otherwise dispose of BRPC Shares described in this prospectus in a number of different ways and at varying prices. See “</w:t>
      </w:r>
      <w:r>
        <w:rPr>
          <w:rFonts w:ascii="Times New Roman" w:cs="Times New Roman" w:eastAsia="Times New Roman" w:hAnsi="Times New Roman"/>
          <w:sz w:val="16"/>
          <w:szCs w:val="16"/>
          <w:i w:val="1"/>
          <w:iCs w:val="1"/>
          <w:color w:val="auto"/>
        </w:rPr>
        <w:t>Plan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Distribution (Conflict of Interest) – Offer and Resale of Common Stock by the Selling Stockholder</w:t>
      </w:r>
      <w:r>
        <w:rPr>
          <w:rFonts w:ascii="Times New Roman" w:cs="Times New Roman" w:eastAsia="Times New Roman" w:hAnsi="Times New Roman"/>
          <w:sz w:val="16"/>
          <w:szCs w:val="16"/>
          <w:color w:val="auto"/>
        </w:rPr>
        <w:t>” for more information about how B. Riley Principal Capital II may sell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otherwise dispose of BRPC Shares pursuant to this prospectus. B. Riley Principal Capital II is an “underwriter” within the meaning of Section 2(a)(11) of the Securities Act of 1933, as amended, or the Securities Act.</w:t>
      </w:r>
    </w:p>
    <w:p>
      <w:pPr>
        <w:spacing w:after="0" w:line="20" w:lineRule="exact"/>
        <w:rPr>
          <w:sz w:val="24"/>
          <w:szCs w:val="24"/>
          <w:color w:val="auto"/>
        </w:rPr>
      </w:pPr>
    </w:p>
    <w:p>
      <w:pPr>
        <w:ind w:left="120" w:right="300"/>
        <w:spacing w:after="0" w:line="298" w:lineRule="auto"/>
        <w:rPr>
          <w:sz w:val="20"/>
          <w:szCs w:val="20"/>
          <w:color w:val="auto"/>
        </w:rPr>
      </w:pPr>
      <w:r>
        <w:rPr>
          <w:rFonts w:ascii="Times New Roman" w:cs="Times New Roman" w:eastAsia="Times New Roman" w:hAnsi="Times New Roman"/>
          <w:sz w:val="16"/>
          <w:szCs w:val="16"/>
          <w:color w:val="auto"/>
        </w:rPr>
        <w:t>This prospectus also relates in part to the offer and sale of up to 769,231 shares of our Common Stock by Cantor Fitzgerald &amp; Co. (“Cantor”) (including its donees, pledgees, transferees and other successors-in-interest). References herein to the “Selling Securityholders” are to B. Riley Principal Capital II and Cantor, collectively.</w:t>
      </w:r>
    </w:p>
    <w:p>
      <w:pPr>
        <w:spacing w:after="0" w:line="2" w:lineRule="exact"/>
        <w:rPr>
          <w:sz w:val="24"/>
          <w:szCs w:val="24"/>
          <w:color w:val="auto"/>
        </w:rPr>
      </w:pPr>
    </w:p>
    <w:p>
      <w:pPr>
        <w:jc w:val="both"/>
        <w:ind w:left="120" w:right="240"/>
        <w:spacing w:after="0" w:line="298" w:lineRule="auto"/>
        <w:rPr>
          <w:sz w:val="20"/>
          <w:szCs w:val="20"/>
          <w:color w:val="auto"/>
        </w:rPr>
      </w:pPr>
      <w:r>
        <w:rPr>
          <w:rFonts w:ascii="Times New Roman" w:cs="Times New Roman" w:eastAsia="Times New Roman" w:hAnsi="Times New Roman"/>
          <w:sz w:val="16"/>
          <w:szCs w:val="16"/>
          <w:color w:val="auto"/>
        </w:rPr>
        <w:t>On April 11, 2025, we entered into an Engagement Letter with Cantor (the “Engagement Letter”), pursuant to which, among other things, we issued 769,231 shares of our Common Stock in consideration of Cantor entering into the Engagement Letter.</w:t>
      </w:r>
    </w:p>
    <w:p>
      <w:pPr>
        <w:ind w:left="120" w:right="960"/>
        <w:spacing w:after="0" w:line="299" w:lineRule="auto"/>
        <w:rPr>
          <w:sz w:val="20"/>
          <w:szCs w:val="20"/>
          <w:color w:val="auto"/>
        </w:rPr>
      </w:pPr>
      <w:r>
        <w:rPr>
          <w:rFonts w:ascii="Times New Roman" w:cs="Times New Roman" w:eastAsia="Times New Roman" w:hAnsi="Times New Roman"/>
          <w:sz w:val="16"/>
          <w:szCs w:val="16"/>
          <w:color w:val="auto"/>
        </w:rPr>
        <w:t>We are not selling any securities under this prospectus and will not receive any of the proceeds from the sale of our Common Stock by Cantor. See “</w:t>
      </w:r>
      <w:r>
        <w:rPr>
          <w:rFonts w:ascii="Times New Roman" w:cs="Times New Roman" w:eastAsia="Times New Roman" w:hAnsi="Times New Roman"/>
          <w:sz w:val="16"/>
          <w:szCs w:val="16"/>
          <w:i w:val="1"/>
          <w:iCs w:val="1"/>
          <w:color w:val="auto"/>
        </w:rPr>
        <w:t>Selling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Securityholders – Cantor</w:t>
      </w:r>
      <w:r>
        <w:rPr>
          <w:rFonts w:ascii="Times New Roman" w:cs="Times New Roman" w:eastAsia="Times New Roman" w:hAnsi="Times New Roman"/>
          <w:sz w:val="16"/>
          <w:szCs w:val="16"/>
          <w:color w:val="auto"/>
        </w:rPr>
        <w:t>” for additional information regarding Cantor.</w:t>
      </w:r>
    </w:p>
    <w:p>
      <w:pPr>
        <w:spacing w:after="0" w:line="1" w:lineRule="exact"/>
        <w:rPr>
          <w:sz w:val="24"/>
          <w:szCs w:val="24"/>
          <w:color w:val="auto"/>
        </w:rPr>
      </w:pPr>
    </w:p>
    <w:p>
      <w:pPr>
        <w:jc w:val="both"/>
        <w:ind w:left="120" w:right="240"/>
        <w:spacing w:after="0" w:line="282" w:lineRule="auto"/>
        <w:rPr>
          <w:sz w:val="20"/>
          <w:szCs w:val="20"/>
          <w:color w:val="auto"/>
        </w:rPr>
      </w:pPr>
      <w:r>
        <w:rPr>
          <w:rFonts w:ascii="Times New Roman" w:cs="Times New Roman" w:eastAsia="Times New Roman" w:hAnsi="Times New Roman"/>
          <w:sz w:val="16"/>
          <w:szCs w:val="16"/>
          <w:color w:val="auto"/>
        </w:rPr>
        <w:t>Cantor may sell or otherwise dispose of the Common Stock described in this prospectus in a number of different ways and at varying prices. See “</w:t>
      </w:r>
      <w:r>
        <w:rPr>
          <w:rFonts w:ascii="Times New Roman" w:cs="Times New Roman" w:eastAsia="Times New Roman" w:hAnsi="Times New Roman"/>
          <w:sz w:val="16"/>
          <w:szCs w:val="16"/>
          <w:i w:val="1"/>
          <w:iCs w:val="1"/>
          <w:color w:val="auto"/>
        </w:rPr>
        <w:t>Plan of Distribution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(Conflict of Interest) – Offer and Resale of Common Stock by Cantor</w:t>
      </w:r>
      <w:r>
        <w:rPr>
          <w:rFonts w:ascii="Times New Roman" w:cs="Times New Roman" w:eastAsia="Times New Roman" w:hAnsi="Times New Roman"/>
          <w:sz w:val="16"/>
          <w:szCs w:val="16"/>
          <w:color w:val="auto"/>
        </w:rPr>
        <w:t>” for more information about how Cantor may sell or otherwise dispose of the shares of Common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 acquired pursuant to the Engagement Letter.</w:t>
      </w:r>
    </w:p>
    <w:p>
      <w:pPr>
        <w:spacing w:after="0" w:line="15" w:lineRule="exact"/>
        <w:rPr>
          <w:sz w:val="24"/>
          <w:szCs w:val="24"/>
          <w:color w:val="auto"/>
        </w:rPr>
      </w:pPr>
    </w:p>
    <w:p>
      <w:pPr>
        <w:ind w:left="120" w:right="360"/>
        <w:spacing w:after="0" w:line="298" w:lineRule="auto"/>
        <w:rPr>
          <w:sz w:val="20"/>
          <w:szCs w:val="20"/>
          <w:color w:val="auto"/>
        </w:rPr>
      </w:pPr>
      <w:r>
        <w:rPr>
          <w:rFonts w:ascii="Times New Roman" w:cs="Times New Roman" w:eastAsia="Times New Roman" w:hAnsi="Times New Roman"/>
          <w:sz w:val="16"/>
          <w:szCs w:val="16"/>
          <w:color w:val="auto"/>
        </w:rPr>
        <w:t>For the avoidance of doubt, B. Riley Principal Capital II is not involved in the offer and sale of the Common Stock by Cantor, and is not an “underwriter” within the meaning of Section 2(a)(11) of the Securities Act with respect to such offering.</w:t>
      </w:r>
    </w:p>
    <w:p>
      <w:pPr>
        <w:spacing w:after="0" w:line="2" w:lineRule="exact"/>
        <w:rPr>
          <w:sz w:val="24"/>
          <w:szCs w:val="24"/>
          <w:color w:val="auto"/>
        </w:rPr>
      </w:pPr>
    </w:p>
    <w:p>
      <w:pPr>
        <w:ind w:left="120" w:right="40"/>
        <w:spacing w:after="0" w:line="281" w:lineRule="auto"/>
        <w:rPr>
          <w:sz w:val="20"/>
          <w:szCs w:val="20"/>
          <w:color w:val="auto"/>
        </w:rPr>
      </w:pPr>
      <w:r>
        <w:rPr>
          <w:rFonts w:ascii="Times New Roman" w:cs="Times New Roman" w:eastAsia="Times New Roman" w:hAnsi="Times New Roman"/>
          <w:sz w:val="16"/>
          <w:szCs w:val="16"/>
          <w:color w:val="auto"/>
        </w:rPr>
        <w:t>We will pay the expenses incurred in registering under the Securities Act the offer and sale of the shares of Common Stock to which this prospectus relates by the Selling Securityholders, including legal and accounting fees. See “</w:t>
      </w:r>
      <w:r>
        <w:rPr>
          <w:rFonts w:ascii="Times New Roman" w:cs="Times New Roman" w:eastAsia="Times New Roman" w:hAnsi="Times New Roman"/>
          <w:sz w:val="16"/>
          <w:szCs w:val="16"/>
          <w:i w:val="1"/>
          <w:iCs w:val="1"/>
          <w:color w:val="auto"/>
        </w:rPr>
        <w:t>Plan of Distribution (Conflict of Interest) – Offer and Resale of Common Stock by the Selling Stockholder</w:t>
      </w:r>
      <w:r>
        <w:rPr>
          <w:rFonts w:ascii="Times New Roman" w:cs="Times New Roman" w:eastAsia="Times New Roman" w:hAnsi="Times New Roman"/>
          <w:sz w:val="16"/>
          <w:szCs w:val="16"/>
          <w:color w:val="auto"/>
        </w:rPr>
        <w:t>” beginning on page 131.</w:t>
      </w:r>
    </w:p>
    <w:p>
      <w:pPr>
        <w:spacing w:after="0" w:line="15" w:lineRule="exact"/>
        <w:rPr>
          <w:sz w:val="24"/>
          <w:szCs w:val="24"/>
          <w:color w:val="auto"/>
        </w:rPr>
      </w:pPr>
    </w:p>
    <w:p>
      <w:pPr>
        <w:ind w:left="120" w:right="60"/>
        <w:spacing w:after="0" w:line="298" w:lineRule="auto"/>
        <w:rPr>
          <w:sz w:val="20"/>
          <w:szCs w:val="20"/>
          <w:color w:val="auto"/>
        </w:rPr>
      </w:pPr>
      <w:r>
        <w:rPr>
          <w:rFonts w:ascii="Times New Roman" w:cs="Times New Roman" w:eastAsia="Times New Roman" w:hAnsi="Times New Roman"/>
          <w:sz w:val="16"/>
          <w:szCs w:val="16"/>
          <w:color w:val="auto"/>
        </w:rPr>
        <w:t>Our Common Stock is listed on the Nasdaq Global Market (“Nasdaq”) under the symbol “BZAI.” On August 7, 2025, the closing price of our Common Stock was $3.44 per share.</w:t>
      </w:r>
    </w:p>
    <w:p>
      <w:pPr>
        <w:spacing w:after="0" w:line="2" w:lineRule="exact"/>
        <w:rPr>
          <w:sz w:val="24"/>
          <w:szCs w:val="24"/>
          <w:color w:val="auto"/>
        </w:rPr>
      </w:pPr>
    </w:p>
    <w:p>
      <w:pPr>
        <w:ind w:left="120" w:right="620"/>
        <w:spacing w:after="0" w:line="298" w:lineRule="auto"/>
        <w:rPr>
          <w:sz w:val="20"/>
          <w:szCs w:val="20"/>
          <w:color w:val="auto"/>
        </w:rPr>
      </w:pPr>
      <w:r>
        <w:rPr>
          <w:rFonts w:ascii="Times New Roman" w:cs="Times New Roman" w:eastAsia="Times New Roman" w:hAnsi="Times New Roman"/>
          <w:sz w:val="16"/>
          <w:szCs w:val="16"/>
          <w:color w:val="auto"/>
        </w:rPr>
        <w:t>We are an “emerging growth company” and a “smaller reporting company” under the federal securities laws and will be subject to reduced disclosure and public reporting requirements. See “</w:t>
      </w:r>
      <w:r>
        <w:rPr>
          <w:rFonts w:ascii="Times New Roman" w:cs="Times New Roman" w:eastAsia="Times New Roman" w:hAnsi="Times New Roman"/>
          <w:sz w:val="16"/>
          <w:szCs w:val="16"/>
          <w:i w:val="1"/>
          <w:iCs w:val="1"/>
          <w:color w:val="auto"/>
        </w:rPr>
        <w:t>Prospectus Summary – Implications of Being an Emerging Growth Company</w:t>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69850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26" w:lineRule="exact"/>
        <w:rPr>
          <w:sz w:val="24"/>
          <w:szCs w:val="24"/>
          <w:color w:val="auto"/>
        </w:rPr>
      </w:pPr>
    </w:p>
    <w:p>
      <w:pPr>
        <w:ind w:left="120" w:right="360"/>
        <w:spacing w:after="0" w:line="262" w:lineRule="auto"/>
        <w:rPr>
          <w:sz w:val="20"/>
          <w:szCs w:val="20"/>
          <w:color w:val="auto"/>
        </w:rPr>
      </w:pPr>
      <w:r>
        <w:rPr>
          <w:rFonts w:ascii="Times New Roman" w:cs="Times New Roman" w:eastAsia="Times New Roman" w:hAnsi="Times New Roman"/>
          <w:sz w:val="22"/>
          <w:szCs w:val="22"/>
          <w:b w:val="1"/>
          <w:bCs w:val="1"/>
          <w:color w:val="auto"/>
        </w:rPr>
        <w:t>Our business and investment in our securities involve significant risks. These risks are described in the section titled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color w:val="auto"/>
        </w:rPr>
        <w:t>” beginning on page 12 of this prospectus.</w:t>
      </w:r>
    </w:p>
    <w:p>
      <w:pPr>
        <w:spacing w:after="0" w:line="5" w:lineRule="exact"/>
        <w:rPr>
          <w:sz w:val="24"/>
          <w:szCs w:val="24"/>
          <w:color w:val="auto"/>
        </w:rPr>
      </w:pPr>
    </w:p>
    <w:p>
      <w:pPr>
        <w:ind w:left="120" w:right="180"/>
        <w:spacing w:after="0" w:line="298" w:lineRule="auto"/>
        <w:rPr>
          <w:sz w:val="20"/>
          <w:szCs w:val="20"/>
          <w:color w:val="auto"/>
        </w:rPr>
      </w:pPr>
      <w:r>
        <w:rPr>
          <w:rFonts w:ascii="Times New Roman" w:cs="Times New Roman" w:eastAsia="Times New Roman" w:hAnsi="Times New Roman"/>
          <w:sz w:val="16"/>
          <w:szCs w:val="16"/>
          <w:color w:val="auto"/>
        </w:rPr>
        <w:t>Neither the U.S. Securities and Exchange Commission (the “SEC”) nor any state securities commission has approved or disapproved of these securities or passed upon the accuracy or adequacy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69850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The date of this prospectus is August 7, 2025</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976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12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ii</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97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MARKET AND INDUSTRY DATA</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578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3980" w:type="dxa"/>
            <w:vAlign w:val="bottom"/>
            <w:gridSpan w:val="3"/>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196"/>
        </w:trPr>
        <w:tc>
          <w:tcPr>
            <w:tcW w:w="97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08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680" w:type="dxa"/>
            <w:vAlign w:val="bottom"/>
            <w:gridSpan w:val="18"/>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97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THE COMMITTED EQUITY FACILITY</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160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1440" w:type="dxa"/>
            <w:vAlign w:val="bottom"/>
            <w:tcBorders>
              <w:top w:val="single" w:sz="8" w:color="0000EE"/>
            </w:tcBorders>
            <w:gridSpan w:val="8"/>
          </w:tcPr>
          <w:p>
            <w:pPr>
              <w:spacing w:after="0"/>
              <w:rPr>
                <w:sz w:val="17"/>
                <w:szCs w:val="17"/>
                <w:color w:val="auto"/>
              </w:rPr>
            </w:pPr>
          </w:p>
        </w:tc>
        <w:tc>
          <w:tcPr>
            <w:tcW w:w="6720" w:type="dxa"/>
            <w:vAlign w:val="bottom"/>
            <w:gridSpan w:val="12"/>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32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DETERMINATION OF OFFERING PRICE</w:t>
            </w:r>
          </w:p>
        </w:tc>
        <w:tc>
          <w:tcPr>
            <w:tcW w:w="6540" w:type="dxa"/>
            <w:vAlign w:val="bottom"/>
            <w:gridSpan w:val="10"/>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8180" w:type="dxa"/>
            <w:vAlign w:val="bottom"/>
            <w:gridSpan w:val="21"/>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97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MARKET INFORMATION</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97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8900" w:type="dxa"/>
            <w:vAlign w:val="bottom"/>
            <w:tcBorders>
              <w:top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86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13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8460" w:type="dxa"/>
            <w:vAlign w:val="bottom"/>
            <w:gridSpan w:val="23"/>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r>
      <w:tr>
        <w:trPr>
          <w:trHeight w:val="196"/>
        </w:trPr>
        <w:tc>
          <w:tcPr>
            <w:tcW w:w="97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BLAIZE’S EXECUTIVE COMPENSATION</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r>
      <w:tr>
        <w:trPr>
          <w:trHeight w:val="196"/>
        </w:trPr>
        <w:tc>
          <w:tcPr>
            <w:tcW w:w="318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BLAIZE’S DIRECTOR COMPENSATION</w:t>
            </w:r>
          </w:p>
        </w:tc>
        <w:tc>
          <w:tcPr>
            <w:tcW w:w="100" w:type="dxa"/>
            <w:vAlign w:val="bottom"/>
            <w:tcBorders>
              <w:top w:val="single" w:sz="8" w:color="0000EE"/>
            </w:tcBorders>
            <w:gridSpan w:val="2"/>
          </w:tcPr>
          <w:p>
            <w:pPr>
              <w:spacing w:after="0"/>
              <w:rPr>
                <w:sz w:val="17"/>
                <w:szCs w:val="17"/>
                <w:color w:val="auto"/>
              </w:rPr>
            </w:pPr>
          </w:p>
        </w:tc>
        <w:tc>
          <w:tcPr>
            <w:tcW w:w="6480" w:type="dxa"/>
            <w:vAlign w:val="bottom"/>
            <w:gridSpan w:val="9"/>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r>
      <w:tr>
        <w:trPr>
          <w:trHeight w:val="196"/>
        </w:trPr>
        <w:tc>
          <w:tcPr>
            <w:tcW w:w="97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r>
      <w:tr>
        <w:trPr>
          <w:trHeight w:val="196"/>
        </w:trPr>
        <w:tc>
          <w:tcPr>
            <w:tcW w:w="238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PRINCIPAL STOCKHOLDERS</w:t>
            </w:r>
          </w:p>
        </w:tc>
        <w:tc>
          <w:tcPr>
            <w:tcW w:w="3080" w:type="dxa"/>
            <w:vAlign w:val="bottom"/>
            <w:tcBorders>
              <w:top w:val="single" w:sz="8" w:color="0000EE"/>
            </w:tcBorders>
            <w:gridSpan w:val="11"/>
          </w:tcPr>
          <w:p>
            <w:pPr>
              <w:spacing w:after="0"/>
              <w:rPr>
                <w:sz w:val="17"/>
                <w:szCs w:val="17"/>
                <w:color w:val="auto"/>
              </w:rPr>
            </w:pPr>
          </w:p>
        </w:tc>
        <w:tc>
          <w:tcPr>
            <w:tcW w:w="4300" w:type="dxa"/>
            <w:vAlign w:val="bottom"/>
            <w:gridSpan w:val="5"/>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r>
      <w:tr>
        <w:trPr>
          <w:trHeight w:val="196"/>
        </w:trPr>
        <w:tc>
          <w:tcPr>
            <w:tcW w:w="25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SECURITYHOLDERS</w:t>
            </w:r>
          </w:p>
        </w:tc>
        <w:tc>
          <w:tcPr>
            <w:tcW w:w="7260" w:type="dxa"/>
            <w:vAlign w:val="bottom"/>
            <w:gridSpan w:val="15"/>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r>
      <w:tr>
        <w:trPr>
          <w:trHeight w:val="196"/>
        </w:trPr>
        <w:tc>
          <w:tcPr>
            <w:tcW w:w="97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97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SECURITIES ACT RESTRICTIONS ON RESALE OF OUR SECURITIES</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r>
      <w:tr>
        <w:trPr>
          <w:trHeight w:val="196"/>
        </w:trPr>
        <w:tc>
          <w:tcPr>
            <w:tcW w:w="4260" w:type="dxa"/>
            <w:vAlign w:val="bottom"/>
            <w:tcBorders>
              <w:top w:val="single" w:sz="8" w:color="0000EE"/>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PLAN OF DISTRIBUTION (CONFLICT OF INTEREST)</w:t>
            </w:r>
          </w:p>
        </w:tc>
        <w:tc>
          <w:tcPr>
            <w:tcW w:w="1260" w:type="dxa"/>
            <w:vAlign w:val="bottom"/>
            <w:tcBorders>
              <w:top w:val="single" w:sz="8" w:color="0000EE"/>
            </w:tcBorders>
            <w:gridSpan w:val="3"/>
          </w:tcPr>
          <w:p>
            <w:pPr>
              <w:spacing w:after="0"/>
              <w:rPr>
                <w:sz w:val="17"/>
                <w:szCs w:val="17"/>
                <w:color w:val="auto"/>
              </w:rPr>
            </w:pPr>
          </w:p>
        </w:tc>
        <w:tc>
          <w:tcPr>
            <w:tcW w:w="4240" w:type="dxa"/>
            <w:vAlign w:val="bottom"/>
            <w:gridSpan w:val="4"/>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r>
      <w:tr>
        <w:trPr>
          <w:trHeight w:val="196"/>
        </w:trPr>
        <w:tc>
          <w:tcPr>
            <w:tcW w:w="14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8300" w:type="dxa"/>
            <w:vAlign w:val="bottom"/>
            <w:gridSpan w:val="22"/>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r>
      <w:tr>
        <w:trPr>
          <w:trHeight w:val="196"/>
        </w:trPr>
        <w:tc>
          <w:tcPr>
            <w:tcW w:w="97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8"/>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97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r>
      <w:tr>
        <w:trPr>
          <w:trHeight w:val="20"/>
        </w:trPr>
        <w:tc>
          <w:tcPr>
            <w:tcW w:w="3800" w:type="dxa"/>
            <w:vAlign w:val="bottom"/>
            <w:gridSpan w:val="19"/>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97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4440" w:type="dxa"/>
            <w:vAlign w:val="bottom"/>
            <w:gridSpan w:val="21"/>
            <w:shd w:val="clear" w:color="auto" w:fill="0000EE"/>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3960" w:type="dxa"/>
            <w:vAlign w:val="bottom"/>
            <w:gridSpan w:val="2"/>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F-38</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or any amendment or supplement to this prospectus. This prospectus is an offer to sell only the securities offered hereby, but only under the circumstances and in jurisdictions where it is lawful to do so. Neither we nor the Selling Securityholders have authorized anyone to provide you with information different from that contained in this prospectus or any amendment or supplement to this prospectus. Neither we nor the Selling Securityholders take any responsibility for, or can provide any assurance as to the reliability of, any information other than the information in this prospectus or any amendment or supplement to this prospectus. The information in this prospectus or any amendment or supplement to this prospectus is accurate only as of its date, regardless of the time of delivery of this prospectus or any amendment or supplement to this prospectus, as applicable, or any sale of the securities offered by this prospectus. Our business, financial condition, results of operations and prospects may have changed since that date.</w:t>
      </w:r>
    </w:p>
    <w:p>
      <w:pPr>
        <w:spacing w:after="0" w:line="192"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For Investors Outside the United States: The Selling Securityholders are offering to sell, and seeking offers to buy, the securities offered by this prospectus only in jurisdictions where offers and sales are permitted. Neither we nor the Selling Securityholders have done anything that would permit this offering or the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offered by this prospectus and the distribution of this prospectus outside the United States.</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60"/>
        <w:spacing w:after="0" w:line="274" w:lineRule="auto"/>
        <w:rPr>
          <w:sz w:val="20"/>
          <w:szCs w:val="20"/>
          <w:color w:val="auto"/>
        </w:rPr>
      </w:pPr>
      <w:r>
        <w:rPr>
          <w:rFonts w:ascii="Times New Roman" w:cs="Times New Roman" w:eastAsia="Times New Roman" w:hAnsi="Times New Roman"/>
          <w:sz w:val="17"/>
          <w:szCs w:val="17"/>
          <w:color w:val="auto"/>
        </w:rPr>
        <w:t>This prospectus is part of a registration statement that we filed with the SEC using a “shelf” registration process. By using a shelf registration statement, the Selling Stockholders may, from time to time, sell the securities offered by it described in this prospectus through any means described in the section titled “</w:t>
      </w:r>
      <w:r>
        <w:rPr>
          <w:rFonts w:ascii="Times New Roman" w:cs="Times New Roman" w:eastAsia="Times New Roman" w:hAnsi="Times New Roman"/>
          <w:sz w:val="17"/>
          <w:szCs w:val="17"/>
          <w:i w:val="1"/>
          <w:iCs w:val="1"/>
          <w:color w:val="auto"/>
        </w:rPr>
        <w:t>Plan of Distribution (Conflict of Interest</w:t>
      </w:r>
      <w:r>
        <w:rPr>
          <w:rFonts w:ascii="Times New Roman" w:cs="Times New Roman" w:eastAsia="Times New Roman" w:hAnsi="Times New Roman"/>
          <w:sz w:val="17"/>
          <w:szCs w:val="17"/>
          <w:color w:val="auto"/>
        </w:rPr>
        <w:t>).” We will not receive any proceeds from the sale by the Selling Stockholder of the securities offered by them described in this prospectus. However, we may receive up to $50,000,000 in aggregate gross proceeds from the Selling Stockholder under the Purchase Agreement in connection with sales of our shares of Common Stock to the Selling Stockholder pursuant to the Purchase Agreement after the date of this prospectus. We will not receive any proceeds from the sale by Cantor of the securities offered by them described in this prospectus.</w:t>
      </w:r>
    </w:p>
    <w:p>
      <w:pPr>
        <w:spacing w:after="0" w:line="173"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We may also file a prospectus supplement or post-effective amendment to the registration statement of which this prospectus forms a part that may contain material information relating to these offerings. The prospectus supplement or post-effective amendment may also add, update or change information contained in this prospectus with respect to that offering. If there is any inconsistency between the information in this prospectus and the applicable prospectus supplement or post-effective amendment, you should rely on the prospectus supplement or post-effective amendment, as applicable. Any statement so modified will be deemed to constitute a part of this prospectus only as so modified, and any statement so superseded will be deemed not to constitute a part of this prospectus. Before purchasing any securities, you should carefully read this prospectus, any post-effective amendment, and any applicable prospectus supplement, together with the additional information described under the heading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left="120" w:right="320"/>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forms a part, and you may obtain copies of those documents as described below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120" w:right="320"/>
        <w:spacing w:after="0" w:line="282" w:lineRule="auto"/>
        <w:rPr>
          <w:sz w:val="20"/>
          <w:szCs w:val="20"/>
          <w:color w:val="auto"/>
        </w:rPr>
      </w:pPr>
      <w:r>
        <w:rPr>
          <w:rFonts w:ascii="Times New Roman" w:cs="Times New Roman" w:eastAsia="Times New Roman" w:hAnsi="Times New Roman"/>
          <w:sz w:val="18"/>
          <w:szCs w:val="18"/>
          <w:color w:val="auto"/>
        </w:rPr>
        <w:t>We own or have rights to trademarks, trade names and service marks that we use in connection with the operation of our business (including, but not limited to, our Blaize technology and units). Our name, logos and website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30" w:lineRule="auto"/>
        <w:rPr>
          <w:sz w:val="20"/>
          <w:szCs w:val="20"/>
          <w:color w:val="auto"/>
        </w:rPr>
      </w:pPr>
      <w:r>
        <w:rPr>
          <w:rFonts w:ascii="Times New Roman" w:cs="Times New Roman" w:eastAsia="Times New Roman" w:hAnsi="Times New Roman"/>
          <w:sz w:val="18"/>
          <w:szCs w:val="18"/>
          <w:color w:val="auto"/>
        </w:rPr>
        <w:t>name and address are our trademarks or service marks. Solely for convenience, in some cases, the trademarks, trade names and service marks referred to in this prospectus are listed without the applicable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symbols, but we will assert, to the fullest extent under applicable law, our rights to these trademarks, trade names and service marks. Other trademarks, trade names and service marks appearing in this prospectus are the property of their respective owners.</w:t>
      </w:r>
    </w:p>
    <w:p>
      <w:pPr>
        <w:spacing w:after="0" w:line="198"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As used in this prospectus, unless otherwise indicated or the context otherwise requires, references to “we,” “us,” “our,” the “Company,” “Registrant,” and “Blaize” refer to the consolidated operations of Blaize Holdings, Inc., formerly known as BurTech Acquisition Corporation (“BurTech”), and its subsidiaries. References to “Legacy Blaize” refer to Blaize, Inc., prior to the close of the Business Combination. All references herein to the “Board” refer to the board of directors of the Company.</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This prospectus includes, and any amendment or supplement to this prospectus may include, estimates regarding market and industry data and forecasts, which are based on our own estimates utilizing our management’s knowledge of and experience in, as well as information obtained from our subscribers, trade and business organizations, and other contacts in the market sectors in which we compete, and from statistical information obtained from publicly available information, industry publications and surveys, reports from government agencies and reports by market research firms. We confirm that, where such information is reproduced herein, such information has been accurately reproduced and that, so far as we are aware and are able to ascertain from information published by publicly available sources and other publications, no facts have been omitted that would render the reproduced information inaccurate or misleading. Industry publications, reports and other published data generally state that the information contained therein has been obtained from sources believed to be reliable, but we cannot assure you that the information contained in these reports, and therefore the information contained in this prospectus or any amendment or supplement to this prospectus that is derived therefrom, is accurate or complete. Our estimates of our market position may prove to be inaccurate because of the method by which we obtain some of the data for our estimates or because this information cannot always be verified with complete certainty due to the limits on the availability and reliability of raw data, the voluntary nature of the data gathering process and other limitations and uncertainties. As a result, although we believe our sources are reliable, we have not independently verified the information and cannot guarantee its accuracy and completeness.</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prospectus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prospectus,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“should,” “expect,” “plan,” “anticipate,” “could,” “intend,” “target,” “project,” “contemplate,” “believe,” “estimate,” “predict,”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financial condition and results of operations. These forward-looking statements speak only as of the date of this prospectus and are subject to a number of important factors that could cause actual results to differ materially from those in the forward-looking statements, including the risks, uncertainties and assumptions described under the section in this prospectus titled “Risk Factors.” These forward-looking statements are subject to numerous risks, including, without limitation, the following:</w:t>
      </w:r>
    </w:p>
    <w:p>
      <w:pPr>
        <w:spacing w:after="0" w:line="85"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achieve or sustain profitability;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the anticipated benefits of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the shares of Common Stock and Warrants on Nasdaq;</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loss of one or more key employees or failure to attract and retain highly skilled employees;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software or hardware containing serious errors or defects, which may result in lost revenue and market acceptance and costs to defend or settle claims with customers;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 interruptions in service, latency or poor service from third-party data center providers;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nature of our business, including the various laws and regulations applicable to us and fluctuations between foreign currencies and the U.S. dollar, including the imposition of new or increased tariffs or export controls;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failure to acquire new customer, retain existing customers, terminate existing customer or partnership contracts or expand sales to existing customers; and</w:t>
      </w:r>
    </w:p>
    <w:p>
      <w:pPr>
        <w:spacing w:after="0" w:line="6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this registration statement, including those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prospectus will prove to be accurate. Except as required by applicable law, we do not plan to publicly update or revise any forward-looking statements contained herein, whether as a result of any new information, future events, changed circumstances, or otherwise.</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should read this prospectus completely and with the understanding that our actual future results may be materially different from what we expect.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qualify all of our forward-looking statements by these cautionary statements.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20"/>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and may not contain all of the information that is important to you in making an investment decision. Before investing in our securities, you should read this entire document carefully, including our financial statements and the related notes included in this prospectus and the information set forth under the headings “Risk Factors” and “Management’s Discussion and Analysis of Financial Condition and Results of Operations.” Some of the statements in this prospectus constitute forward-looking statements. See “Cautionary Note Regarding Forward-Looking Statements.”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Blaize is an innovative semiconductor and software technology company dedicated to revolutionizing the world of artificial intelligence (“AI”). We provide AI accelerated computing solutions for the edge. Our mission is to enable enterprises to harness the power of AI at the edge, delivering real-time insights and decision-making capabilities with compelling speed and efficiency. With our innovative hardware and software solutions, we believe we are at the forefront of transforming industries and unlocking new possibilities in an increasingly connected and data-driven world.</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Background</w:t>
      </w:r>
    </w:p>
    <w:p>
      <w:pPr>
        <w:spacing w:after="0" w:line="121"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On January 13, 2025, subsequent to the end of fiscal year ended December 31, 2024, BurTech completed the previously announced business combination pursuant to that certain Agreement and Plan of Merger, dated as of December 22, 2023 (as amended on April 22, 2024, October 24, 2024, and November 21, 2024, the “Merger Agreement”), by and among BurTech, BurTech Merger Sub Inc., a Delaware corporation and a wholly owned subsidiary of BurTech (“Merger Sub”), Blaize, Inc., a Delaware corporation (“Legacy Blaize”) and for the limited purposes set forth therein, Burkhan Capital LLC, a Delaware limited liability company (“Burkhan”). As contemplated by the Merger Agreement, on January 13, 2025, Merger Sub merged with and into Legacy Blaize, with Legacy Blaize being the surviving company and a wholly owned subsidiary of BurTech (the “Merger”, together with the other transactions contemplated by the Merger Agreement, the “Business Combination”). We changed our name from “BurTech Acquisition Corporation” to “Blaize Holdings, Inc.,” in connection with the closing of the Business Combination. The Merger was accounted for as a reverse merger and recapitalization and BurTech was considered the acquired company for financial statement reporting purposes.</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Committed Equity Facility</w:t>
      </w:r>
    </w:p>
    <w:p>
      <w:pPr>
        <w:spacing w:after="0" w:line="121" w:lineRule="exact"/>
        <w:rPr>
          <w:sz w:val="20"/>
          <w:szCs w:val="20"/>
          <w:color w:val="auto"/>
        </w:rPr>
      </w:pPr>
    </w:p>
    <w:p>
      <w:pPr>
        <w:ind w:left="300" w:right="20"/>
        <w:spacing w:after="0" w:line="253" w:lineRule="auto"/>
        <w:rPr>
          <w:sz w:val="20"/>
          <w:szCs w:val="20"/>
          <w:color w:val="auto"/>
        </w:rPr>
      </w:pPr>
      <w:r>
        <w:rPr>
          <w:rFonts w:ascii="Times New Roman" w:cs="Times New Roman" w:eastAsia="Times New Roman" w:hAnsi="Times New Roman"/>
          <w:sz w:val="18"/>
          <w:szCs w:val="18"/>
          <w:color w:val="auto"/>
        </w:rPr>
        <w:t>On July 14, 2025, we entered into the Purchase Agreement and a related registration rights agreement, dated as of July 14, 2025 (the “Registration Rights Agreement”), with B. Riley Principal Capital II. Upon the terms and subject to the satisfaction of the conditions contained in the Purchase Agreement, we have the right, in our sole discretion, to sell to B. Riley Principal Capital II up to $50,000,000 of shares of our Common Stock (subject to certain limitations contained in the Purchase Agreement), from time to time over a period of up to 36 months from and after the date of this prospectus, through an Market Open Purchase or one or more Intraday Purchases on any Purchase Date (each term as defined below). Sales of Common Stock pursuant to the Purchase Agreement, and the timing of any sales, are solely at our option, and we are under no obligation to sell any securities to B. Riley Principal Capital II under the Purchase Agreement. In accordance with our obligations under the Registration Rights Agreement, we have filed the registration statement that includes this prospectus with the SEC to register under the Securities Act, the offer and resale by B. Riley Principal Capital II of up to 20,326,158 BRPC Shares, consisting of (i) up to 20,242,805 shares of Common Stock (the “Purchase Shares”) that we may, in our sole discretion, elect to sell to B. Riley Principal Capital II, from time to time over a period of up to 36 months from and after the Commencement Date (defined below) pursuant to the Purchase Agreement and (ii) 83,353 shares of Common Stock (the “Commitment Shares”) we issued to B. Riley Principal Capital II,</w:t>
      </w:r>
    </w:p>
    <w:p>
      <w:pPr>
        <w:spacing w:after="0" w:line="3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476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4476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upon our execution of the Purchase Agreement on July 15, 2025, as consideration for its commitment to purchase shares of our Common Stock that we may, in our sole discretion, direct B. Riley Principal Capital II to purchase from us pursuant to the Purchase Agreement.</w:t>
      </w:r>
    </w:p>
    <w:p>
      <w:pPr>
        <w:spacing w:after="0" w:line="162" w:lineRule="exact"/>
        <w:rPr>
          <w:sz w:val="20"/>
          <w:szCs w:val="20"/>
          <w:color w:val="auto"/>
        </w:rPr>
      </w:pPr>
    </w:p>
    <w:p>
      <w:pPr>
        <w:ind w:left="300"/>
        <w:spacing w:after="0" w:line="252" w:lineRule="auto"/>
        <w:rPr>
          <w:sz w:val="20"/>
          <w:szCs w:val="20"/>
          <w:color w:val="auto"/>
        </w:rPr>
      </w:pPr>
      <w:r>
        <w:rPr>
          <w:rFonts w:ascii="Times New Roman" w:cs="Times New Roman" w:eastAsia="Times New Roman" w:hAnsi="Times New Roman"/>
          <w:sz w:val="18"/>
          <w:szCs w:val="18"/>
          <w:color w:val="auto"/>
        </w:rPr>
        <w:t>Upon the initial satisfaction of each of the conditions to B. Riley Principal Capital II’s purchase obligations set forth in the Purchase Agreement (the initial satisfaction of all of such conditions, the “Commencement”), none of which are within B. Riley Principal Capital II’s control, including that the registration statement that includes this prospectus shall have been declared effective by the SEC, we have the right, but not the obligation, from time to time at our sole discretion for a period of up to 36 months (unless the Purchase Agreement is earlier terminated), beginning on the date on which the Commencement occurs (such date, the “Commencement Date”), to direct B. Riley Principal Capital II to purchase a specified number of shares of Common Stock (each, an “Market Open Purchase”), not to exceed the lesser of (such lesser number of shares, the “Market Open Purchase Maximum Amount”): (i) 1,000,000 shares of Common Stock and (ii) up to a certain percentage (not to exceed 25.0%), which we will specify in the applicable Market Open Purchase Notice (as defined below) for such Market Open Purchase (such specified percentage, the “Market Open Purchase Percentage”), of the total aggregate number (or volume) of shares of our Common Stock traded on Nasdaq during the applicable Market Open Purchase Valuation Period (as defined below) for such Market Open Purchase (such specified number of shares to be purchased by B. Riley Principal Capital II, adjusted as necessary to give effect to the applicable Market Open Purchase Maximum Amount as set forth in the Purchase Agreement, the “Market Open Purchase Share Amount”), by timely delivering written notice of such Market Open Purchase to B. Riley Principal Capital II (each, a “Market Open Purchase Notice”) prior to 9:00 a.m., New York City time, on any trading day (each, a “Purchase Date”), so long as (a) the closing sale price of our Common Stock on Nasdaq on the trading day immediately prior to such Purchase Date is not less than $1.00 (the “Threshold Price”), and (b) all shares of Common Stock subject to all prior Market Open Purchases and all prior Intraday Purchases (defined below) effected by us under the Purchase Agreement (as applicable) have been received by B. Riley Principal Capital II at such time and in the manner set forth in the Purchase Agreement.</w:t>
      </w:r>
    </w:p>
    <w:p>
      <w:pPr>
        <w:spacing w:after="0" w:line="193" w:lineRule="exact"/>
        <w:rPr>
          <w:sz w:val="20"/>
          <w:szCs w:val="20"/>
          <w:color w:val="auto"/>
        </w:rPr>
      </w:pPr>
    </w:p>
    <w:p>
      <w:pPr>
        <w:ind w:left="300"/>
        <w:spacing w:after="0" w:line="252" w:lineRule="auto"/>
        <w:rPr>
          <w:sz w:val="20"/>
          <w:szCs w:val="20"/>
          <w:color w:val="auto"/>
        </w:rPr>
      </w:pPr>
      <w:r>
        <w:rPr>
          <w:rFonts w:ascii="Times New Roman" w:cs="Times New Roman" w:eastAsia="Times New Roman" w:hAnsi="Times New Roman"/>
          <w:sz w:val="18"/>
          <w:szCs w:val="18"/>
          <w:color w:val="auto"/>
        </w:rPr>
        <w:t>The per share purchase price that B. Riley Principal Capital II is required to pay for shares of Common Stock in a Market Open Purchase effected by us pursuant to the Purchase Agreement, if any, will be determined by reference to the volume weighted average price of the Common Stock (the “VWAP”), calculated in accordance with the Purchase Agreement, for the period (the “Market Open Purchase Valuation Period”) beginning at the official open (or “commencement”) of the regular trading session on Nasdaq on the applicable Purchase Date for such Purchase, and ending at the earliest to occur of (i) 3:59 p.m., New York City time, on such Purchase Date or such earlier time publicly announced by the trading market as the official close of the regular trading session on such Purchase Date, (ii) such time that the total aggregate number (or volume) of shares of Common Stock traded on Nasdaq during such Market Open Purchase Valuation Period (calculated in accordance with the Purchase Agreement) reaches the applicable share volume maximum amount for such Market Open Purchase (the “Market Open Purchase Share Volume Maximum”), calculated by dividing (a) the applicable Market Open Purchase Share Amount for such Market Open Purchase, by (b) the Market Open Purchase Percentage we specified in the applicable Market Open Purchase Notice for such Market Open Purchase, and (iii) if we further specify in the applicable Market Open Purchase Notice for such Market Open Purchase that a “limit order discontinue election” (a “Limit Order Discontinue Election”) shall apply to such Market Open Purchase, such time that the trading price of our Common Stock on Nasdaq during such Market Open Purchase Valuation Period (calculated in accordance with the Purchase Agreement) falls below the applicable minimum price threshold for such Market Open Purchase specified by us in the Market Open Purchase Notice for such Market Open Purchase, or if we do not specify a minimum price threshold in such Market Open Purchase Notice, a price equal to 75.0% of the closing sale price of the Common Stock on the trading day immediately prior to the applicable Purchase Date for such purchase (the “Minimum Price Threshold”), less a fixed 3.0% discount to the VWAP for such Market Open Purchase Valuation Period (calculated in accordance with the Purchase Agreement).</w:t>
      </w:r>
    </w:p>
    <w:p>
      <w:pPr>
        <w:spacing w:after="0" w:line="31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21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40"/>
        <w:spacing w:after="0" w:line="254" w:lineRule="auto"/>
        <w:rPr>
          <w:sz w:val="20"/>
          <w:szCs w:val="20"/>
          <w:color w:val="auto"/>
        </w:rPr>
      </w:pPr>
      <w:r>
        <w:rPr>
          <w:rFonts w:ascii="Times New Roman" w:cs="Times New Roman" w:eastAsia="Times New Roman" w:hAnsi="Times New Roman"/>
          <w:sz w:val="18"/>
          <w:szCs w:val="18"/>
          <w:color w:val="auto"/>
        </w:rPr>
        <w:t>Under the Purchase Agreement, for purposes of calculating the volume of shares of Common Stock traded during a Market Open Purchase Valuation Period, as well as the VWAP for a Market Open Purchase Valuation Period, the following transactions, to the extent they occur during such Market Open Purchase Valuation Period, shall be excluded: (x) the opening or first purchase of Common Stock at or following the official open of the regular trading session on Nasdaq on the applicable Purchase Date for such Market Open Purchase, (y) the last or closing sale of Common Stock at or prior to the official close of the regular trading session on Nasdaq on the applicable Purchase Date for such Market Open Purchase, and (z) if we have specified in the applicable Market Open Purchase Notice for such Market Open Purchase that a “limit order continue election” (a “Limit Order Continue Election”), rather than a Limit Order Discontinue Election, shall apply to such Market Open Purchase, all purchases and sales of Common Stock on Nasdaq during such Market Open Purchase Valuation Period at a price per share that is less than the applicable Minimum Price Threshold for such Market Open Purchase.</w:t>
      </w:r>
    </w:p>
    <w:p>
      <w:pPr>
        <w:spacing w:after="0" w:line="188" w:lineRule="exact"/>
        <w:rPr>
          <w:sz w:val="20"/>
          <w:szCs w:val="20"/>
          <w:color w:val="auto"/>
        </w:rPr>
      </w:pPr>
    </w:p>
    <w:p>
      <w:pPr>
        <w:ind w:left="300"/>
        <w:spacing w:after="0" w:line="252" w:lineRule="auto"/>
        <w:rPr>
          <w:sz w:val="20"/>
          <w:szCs w:val="20"/>
          <w:color w:val="auto"/>
        </w:rPr>
      </w:pPr>
      <w:r>
        <w:rPr>
          <w:rFonts w:ascii="Times New Roman" w:cs="Times New Roman" w:eastAsia="Times New Roman" w:hAnsi="Times New Roman"/>
          <w:sz w:val="18"/>
          <w:szCs w:val="18"/>
          <w:color w:val="auto"/>
        </w:rPr>
        <w:t>From and after the Commencement Date, in addition to Market Open Purchases described above, we will also have the right, but not the obligation, subject to the continued satisfaction of the conditions set forth in the Purchase Agreement, to direct B. Riley Principal Capital II to purchase, on any trading day that would qualify as a Purchase Date, whether or not a Market Open Purchase is effected on such Purchase Date, a specified number of shares of Common Stock (each, an “Intraday Purchase”), not to exceed the lesser of (such lesser number of shares, the “Intraday Purchase Maximum Amount”): (i) 1,000,000 shares of Common Stock and (ii) up to a certain percentage (not to exceed 25.0%), which we will specify in the applicable Intraday Purchase Notice (as defined below) for such Intraday Purchase (such specified percentage, the “Intraday Purchase Percentage”), of the total aggregate volume of shares of our Common Stock traded on Nasdaq during the applicable “Intraday Purchase Valuation Period” (determined in a similar manner as the Market Open Purchase Valuation Periods for a Market Open Purchase) for such Intraday Purchase (such specified number of shares to be purchased by B. Riley Principal Capital II, adjusted to the extent necessary to give effect to the applicable Intraday Purchase Maximum Amount as set forth in the Purchase Agreement, the “Intraday Purchase Share Amount”), by the delivery to B. Riley Principal Capital II of an irrevocable written purchase notice for such Intraday Purchase, after 10:00 a.m., New York City time (and after the Market Open Purchase Valuation Period for any earlier Market Open Purchase and the Intraday Purchase Valuation Period for the most recent prior Intraday Purchase effected on the same Purchase Date as such applicable Intraday Purchase, if applicable, have ended), and prior to 3:30 p.m., New York City time, on such Purchase Date (each, an “Intraday Purchase Notice”), so long as (i) the closing sale price of the Common Stock on Nasdaq on the trading day immediately prior to such Purchase Date is not less than the Threshold Price and (ii) all shares of Common Stock subject to all prior Market Open Purchases and all prior Intraday Purchases (as applicable) effected by us under the Purchase Agreement, including all prior purchases effected on the same Purchase Date as such applicable Intraday Purchase, have been received by B. Riley Principal Capital II at such time and in the manner set forth in the Purchase Agreement.</w:t>
      </w:r>
    </w:p>
    <w:p>
      <w:pPr>
        <w:spacing w:after="0" w:line="192" w:lineRule="exact"/>
        <w:rPr>
          <w:sz w:val="20"/>
          <w:szCs w:val="20"/>
          <w:color w:val="auto"/>
        </w:rPr>
      </w:pPr>
    </w:p>
    <w:p>
      <w:pPr>
        <w:ind w:left="300" w:right="60"/>
        <w:spacing w:after="0" w:line="258" w:lineRule="auto"/>
        <w:rPr>
          <w:sz w:val="20"/>
          <w:szCs w:val="20"/>
          <w:color w:val="auto"/>
        </w:rPr>
      </w:pPr>
      <w:r>
        <w:rPr>
          <w:rFonts w:ascii="Times New Roman" w:cs="Times New Roman" w:eastAsia="Times New Roman" w:hAnsi="Times New Roman"/>
          <w:sz w:val="18"/>
          <w:szCs w:val="18"/>
          <w:color w:val="auto"/>
        </w:rPr>
        <w:t>The per share purchase price for the shares of Common Stock that we elect to sell to B. Riley Principal Capital II in an Intraday Purchase pursuant to the Purchase Agreement, if any, will be calculated in the same manner as in the case of a Market Open Purchase (including the same fixed 3.0% discount to the applicable VWAP used to calculate the per share purchase price for a Market Open Purchase, as described above), provided that the VWAP for each Intraday Purchase effected on a Purchase Date will be calculated over different Intraday Purchase Valuation Periods during the regular trading session on Nasdaq on such Purchase Date, each of which will commence and end at different times on such Purchase Date.</w:t>
      </w:r>
    </w:p>
    <w:p>
      <w:pPr>
        <w:spacing w:after="0" w:line="183" w:lineRule="exact"/>
        <w:rPr>
          <w:sz w:val="20"/>
          <w:szCs w:val="20"/>
          <w:color w:val="auto"/>
        </w:rPr>
      </w:pPr>
    </w:p>
    <w:p>
      <w:pPr>
        <w:ind w:left="300" w:right="20"/>
        <w:spacing w:after="0" w:line="258" w:lineRule="auto"/>
        <w:rPr>
          <w:sz w:val="20"/>
          <w:szCs w:val="20"/>
          <w:color w:val="auto"/>
        </w:rPr>
      </w:pPr>
      <w:r>
        <w:rPr>
          <w:rFonts w:ascii="Times New Roman" w:cs="Times New Roman" w:eastAsia="Times New Roman" w:hAnsi="Times New Roman"/>
          <w:sz w:val="18"/>
          <w:szCs w:val="18"/>
          <w:color w:val="auto"/>
        </w:rPr>
        <w:t>There is no upper limit on the price per share that B. Riley Principal Capital II could be obligated to pay for the Common Stock we may elect to sell to it in any Market Open Purchase or any Intraday Purchase under the Purchase Agreement. In the case of Market Open Purchases and Intraday Purchases effected by us under the Purchase Agreement, if any, all share and dollar amounts used in determining the purchase price per share of Common Stock to be purchased by B. Riley Principal Capital II in a Market Open Purchase or an Intraday Purchase (as applicable), or in determining the applicable maximum purchase share amounts or applicable</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0"/>
        <w:spacing w:after="0" w:line="261" w:lineRule="auto"/>
        <w:rPr>
          <w:sz w:val="20"/>
          <w:szCs w:val="20"/>
          <w:color w:val="auto"/>
        </w:rPr>
      </w:pPr>
      <w:r>
        <w:rPr>
          <w:rFonts w:ascii="Times New Roman" w:cs="Times New Roman" w:eastAsia="Times New Roman" w:hAnsi="Times New Roman"/>
          <w:sz w:val="18"/>
          <w:szCs w:val="18"/>
          <w:color w:val="auto"/>
        </w:rPr>
        <w:t>volume or price threshold amounts in connection with any such Market Open Purchase or Intraday Purchase (as applicable), in each case, will be equitably adjusted as set forth in the Purchase Agreement for any reorganization, recapitalization, non-cash dividend, stock split, reverse stock split or other similar transaction occurring during any period used to calculate such per share purchase price, maximum purchase share amounts or applicable volume or minimum price thresholds.</w:t>
      </w:r>
    </w:p>
    <w:p>
      <w:pPr>
        <w:spacing w:after="0" w:line="180" w:lineRule="exact"/>
        <w:rPr>
          <w:sz w:val="20"/>
          <w:szCs w:val="20"/>
          <w:color w:val="auto"/>
        </w:rPr>
      </w:pPr>
    </w:p>
    <w:p>
      <w:pPr>
        <w:ind w:left="300" w:right="60"/>
        <w:spacing w:after="0" w:line="258" w:lineRule="auto"/>
        <w:rPr>
          <w:sz w:val="20"/>
          <w:szCs w:val="20"/>
          <w:color w:val="auto"/>
        </w:rPr>
      </w:pPr>
      <w:r>
        <w:rPr>
          <w:rFonts w:ascii="Times New Roman" w:cs="Times New Roman" w:eastAsia="Times New Roman" w:hAnsi="Times New Roman"/>
          <w:sz w:val="18"/>
          <w:szCs w:val="18"/>
          <w:color w:val="auto"/>
        </w:rPr>
        <w:t>We will control the timing and amount of any sales of Common Stock to B. Riley Principal Capital II that we may elect, in our sole discretion, to effect from time to time from and after the Commencement Date and during the term of the Purchase Agreement. Actual sales of shares of Common Stock to B. Riley Principal Capital II under the Purchase Agreement will depend on a variety of factors to be determined by us from time to time, including, among other things, market conditions, the trading price of the Common Stock and determinations by us as to the appropriate sources of funding for our company’s business and operations.</w:t>
      </w:r>
    </w:p>
    <w:p>
      <w:pPr>
        <w:spacing w:after="0" w:line="183" w:lineRule="exact"/>
        <w:rPr>
          <w:sz w:val="20"/>
          <w:szCs w:val="20"/>
          <w:color w:val="auto"/>
        </w:rPr>
      </w:pPr>
    </w:p>
    <w:p>
      <w:pPr>
        <w:ind w:left="300" w:right="40"/>
        <w:spacing w:after="0" w:line="254" w:lineRule="auto"/>
        <w:rPr>
          <w:sz w:val="20"/>
          <w:szCs w:val="20"/>
          <w:color w:val="auto"/>
        </w:rPr>
      </w:pPr>
      <w:r>
        <w:rPr>
          <w:rFonts w:ascii="Times New Roman" w:cs="Times New Roman" w:eastAsia="Times New Roman" w:hAnsi="Times New Roman"/>
          <w:sz w:val="18"/>
          <w:szCs w:val="18"/>
          <w:color w:val="auto"/>
        </w:rPr>
        <w:t>Under the applicable Nasdaq rules, in no event may we issue to B. Riley Principal Capital II under the Purchase Agreement more than 20,326,158 shares of Common Stock, which number of shares is equal to 19.99% of the number of shares of Common Stock issued and outstanding immediately prior to the execution of the Purchase Agreement (the “Exchange Cap”), unless (i) we obtain stockholder approval to issue shares of Common Stock in excess of the Exchange Cap in accordance with applicable Nasdaq rules, or (ii) the average price per share paid by B. Riley Principal Capital II for all of the shares of Common Stock that we direct B. Riley Principal Capital II to purchase from us pursuant to the Purchase Agreement, if any, equals or exceeds $2.91 per share (representing the lower of (a) the official closing price of our Common Stock on Nasdaq immediately preceding the execution of the Purchase Agreement and (b) the average official closing price of our Common Stock on Nasdaq for the five consecutive trading days immediately preceding the execution of the Purchase Agreement, adjusted as required by Nasdaq), so that the Exchange Cap limitation will not apply to issuances and sales of Common Stock pursuant to the Purchase Agreement.</w:t>
      </w:r>
    </w:p>
    <w:p>
      <w:pPr>
        <w:spacing w:after="0" w:line="188" w:lineRule="exact"/>
        <w:rPr>
          <w:sz w:val="20"/>
          <w:szCs w:val="20"/>
          <w:color w:val="auto"/>
        </w:rPr>
      </w:pPr>
    </w:p>
    <w:p>
      <w:pPr>
        <w:ind w:left="300" w:right="40"/>
        <w:spacing w:after="0" w:line="281" w:lineRule="auto"/>
        <w:rPr>
          <w:sz w:val="20"/>
          <w:szCs w:val="20"/>
          <w:color w:val="auto"/>
        </w:rPr>
      </w:pPr>
      <w:r>
        <w:rPr>
          <w:rFonts w:ascii="Times New Roman" w:cs="Times New Roman" w:eastAsia="Times New Roman" w:hAnsi="Times New Roman"/>
          <w:sz w:val="17"/>
          <w:szCs w:val="17"/>
          <w:color w:val="auto"/>
        </w:rPr>
        <w:t>Moreover, we may not issue or sell any shares of Common Stock to B. Riley Principal Capital II under the Purchase Agreement which, when aggregated with all other shares of Common Stock then beneficially owned by B. Riley Principal Capital II and its affiliates (as calculated pursuant to Section 13(d) of the Securities Exchange Act of 1934, as amended (the “Exchange Act”), and Rule 13d-3 thereunder), would result in B. Riley Principal Capital II beneficially owning more than 4.99% of the outstanding shares of Common Stock (the “Beneficial Ownership Limitation”).</w:t>
      </w:r>
    </w:p>
    <w:p>
      <w:pPr>
        <w:spacing w:after="0" w:line="164" w:lineRule="exact"/>
        <w:rPr>
          <w:sz w:val="20"/>
          <w:szCs w:val="20"/>
          <w:color w:val="auto"/>
        </w:rPr>
      </w:pPr>
    </w:p>
    <w:p>
      <w:pPr>
        <w:ind w:left="300" w:right="240"/>
        <w:spacing w:after="0" w:line="258" w:lineRule="auto"/>
        <w:rPr>
          <w:sz w:val="20"/>
          <w:szCs w:val="20"/>
          <w:color w:val="auto"/>
        </w:rPr>
      </w:pPr>
      <w:r>
        <w:rPr>
          <w:rFonts w:ascii="Times New Roman" w:cs="Times New Roman" w:eastAsia="Times New Roman" w:hAnsi="Times New Roman"/>
          <w:sz w:val="18"/>
          <w:szCs w:val="18"/>
          <w:color w:val="auto"/>
        </w:rPr>
        <w:t>The net proceeds to us from sales that we elect to make to B. Riley Principal Capital II under the Purchase Agreement, if any, will depend on the frequency and prices at which we sell shares of our Common Stock to B. Riley Principal Capital II. We expect that any proceeds received by us from such sales of Common Stock to B. Riley Principal Capital II will be used to accelerate commercialization of the South Asia smart infrastructure contract previously announced on June 30, 2025 and investment in its next-generation chip, as well as for working capital and general corporate purposes.</w:t>
      </w:r>
    </w:p>
    <w:p>
      <w:pPr>
        <w:spacing w:after="0" w:line="183" w:lineRule="exact"/>
        <w:rPr>
          <w:sz w:val="20"/>
          <w:szCs w:val="20"/>
          <w:color w:val="auto"/>
        </w:rPr>
      </w:pPr>
    </w:p>
    <w:p>
      <w:pPr>
        <w:ind w:left="300" w:right="20"/>
        <w:spacing w:after="0" w:line="255" w:lineRule="auto"/>
        <w:rPr>
          <w:sz w:val="20"/>
          <w:szCs w:val="20"/>
          <w:color w:val="auto"/>
        </w:rPr>
      </w:pPr>
      <w:r>
        <w:rPr>
          <w:rFonts w:ascii="Times New Roman" w:cs="Times New Roman" w:eastAsia="Times New Roman" w:hAnsi="Times New Roman"/>
          <w:sz w:val="18"/>
          <w:szCs w:val="18"/>
          <w:color w:val="auto"/>
        </w:rPr>
        <w:t>There are no restrictions on future financings, rights of first refusal, participation rights, penalties or liquidated damages in the Purchase Agreement or Registration Rights Agreement, other than a prohibition (with certain limited exceptions) on entering into specified “Variable Rate Transactions” (as such term is defined in the Purchase Agreement) during the term of the Purchase Agreement. Such transactions include, among others, the issuance of convertible securities with a conversion or exercise price that is based upon or varies with the trading price of our Common Stock after the date of issuance, or our effecting or entering into an agreement to effect an “equity line of credit” or other substantially similar continuous offering with a third party, in which we may offer, issue or sell Common Stock or any securities exercisable, exchangeable or convertible into Common Stock at a future determined price.</w:t>
      </w:r>
    </w:p>
    <w:p>
      <w:pPr>
        <w:spacing w:after="0" w:line="189" w:lineRule="exact"/>
        <w:rPr>
          <w:sz w:val="20"/>
          <w:szCs w:val="20"/>
          <w:color w:val="auto"/>
        </w:rPr>
      </w:pPr>
    </w:p>
    <w:p>
      <w:pPr>
        <w:jc w:val="both"/>
        <w:ind w:left="300"/>
        <w:spacing w:after="0" w:line="266" w:lineRule="auto"/>
        <w:rPr>
          <w:sz w:val="20"/>
          <w:szCs w:val="20"/>
          <w:color w:val="auto"/>
        </w:rPr>
      </w:pPr>
      <w:r>
        <w:rPr>
          <w:rFonts w:ascii="Times New Roman" w:cs="Times New Roman" w:eastAsia="Times New Roman" w:hAnsi="Times New Roman"/>
          <w:sz w:val="18"/>
          <w:szCs w:val="18"/>
          <w:color w:val="auto"/>
        </w:rPr>
        <w:t>B. Riley Principal Capital II has agreed that, during the term of the Purchase Agreement, none of B. Riley Principal Capital II, any of its officers, or any entity managed or controlled by B. Riley Principal Capital II will engage in or effect, directly or indirectly, for its own principal account or for the principal account of any such</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848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600"/>
        <w:spacing w:after="0" w:line="282" w:lineRule="auto"/>
        <w:rPr>
          <w:sz w:val="20"/>
          <w:szCs w:val="20"/>
          <w:color w:val="auto"/>
        </w:rPr>
      </w:pPr>
      <w:r>
        <w:rPr>
          <w:rFonts w:ascii="Times New Roman" w:cs="Times New Roman" w:eastAsia="Times New Roman" w:hAnsi="Times New Roman"/>
          <w:sz w:val="18"/>
          <w:szCs w:val="18"/>
          <w:color w:val="auto"/>
        </w:rPr>
        <w:t>entity managed or controlled by B. Riley Principal Capital II, any short sales (as such term is defined in Rule 200 of Regulation SHO of the Exchange Act) of the Common Stock or hedging transaction that establishes a net short position in the Common Stock.</w:t>
      </w:r>
    </w:p>
    <w:p>
      <w:pPr>
        <w:spacing w:after="0" w:line="162" w:lineRule="exact"/>
        <w:rPr>
          <w:sz w:val="20"/>
          <w:szCs w:val="20"/>
          <w:color w:val="auto"/>
        </w:rPr>
      </w:pPr>
    </w:p>
    <w:p>
      <w:pPr>
        <w:ind w:left="300" w:right="100"/>
        <w:spacing w:after="0" w:line="224" w:lineRule="auto"/>
        <w:rPr>
          <w:sz w:val="20"/>
          <w:szCs w:val="20"/>
          <w:color w:val="auto"/>
        </w:rPr>
      </w:pPr>
      <w:r>
        <w:rPr>
          <w:rFonts w:ascii="Times New Roman" w:cs="Times New Roman" w:eastAsia="Times New Roman" w:hAnsi="Times New Roman"/>
          <w:sz w:val="18"/>
          <w:szCs w:val="18"/>
          <w:color w:val="auto"/>
        </w:rPr>
        <w:t>The Purchase Agreement will automatically terminate on the earliest to occur of (i) the first day of the month next following the 36-month anniversary of the Commencement Date, (ii) the date on which B. Riley Principal Capital II shall have purchased from us under the Purchase Agreement shares of Common Stock for an aggregate gross purchase price of $50,000,000, (iii) the date on which the Common Stock shall have failed to be listed or quoted on Nasdaq or another U.S. national securities exchange identified as an “eligible market” in the Purchase Agreement for a period of one trading day, (iv)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after the date on which a voluntary or involuntary bankruptcy proceeding involving our company has been commenced that is not discharged or dismissed prior to such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and (v) the date on which a bankruptcy custodian is appointed for all or substantially all of our property or we make a general assignment for the benefit of creditors.</w:t>
      </w:r>
    </w:p>
    <w:p>
      <w:pPr>
        <w:spacing w:after="0" w:line="204" w:lineRule="exact"/>
        <w:rPr>
          <w:sz w:val="20"/>
          <w:szCs w:val="20"/>
          <w:color w:val="auto"/>
        </w:rPr>
      </w:pPr>
    </w:p>
    <w:p>
      <w:pPr>
        <w:ind w:left="300" w:right="40"/>
        <w:spacing w:after="0" w:line="256" w:lineRule="auto"/>
        <w:rPr>
          <w:sz w:val="20"/>
          <w:szCs w:val="20"/>
          <w:color w:val="auto"/>
        </w:rPr>
      </w:pPr>
      <w:r>
        <w:rPr>
          <w:rFonts w:ascii="Times New Roman" w:cs="Times New Roman" w:eastAsia="Times New Roman" w:hAnsi="Times New Roman"/>
          <w:sz w:val="18"/>
          <w:szCs w:val="18"/>
          <w:color w:val="auto"/>
        </w:rPr>
        <w:t>We have the right to terminate the Purchase Agreement at any time after Commencement, at no cost or penalty, upon 10 trading days’ prior written notice to B. Riley Principal Capital II. We and B. Riley Principal Capital II may also agree to terminate the Purchase Agreement by mutual written consent, provided that no termination of the Purchase Agreement will be effective during the pendency of any Market Open Purchase or any Intraday Purchase that has not then fully settled in accordance with the Purchase Agreement. Neither we nor B. Riley Principal Capital II may assign or transfer any of our respective rights or obligations under the Purchase Agreement or the Registration Rights Agreement, and no provision of the Purchase Agreement or the Registration Rights Agreement may be modified or waived by us or B. Riley Principal Capital II.</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As consideration for B. Riley Principal Capital II’s commitment to purchase shares of Common Stock at our direction upon the terms and subject to</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conditions set forth in the Purchase Agreement, upon our execution of the Purchase Agreement, we (i) paid B. Riley Principal Capital II a cash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commitment fee in the amount of $200,000 (the “Cash Commitment Fee”), which represents 0.4% of B. Riley Principal Capital II’s $50,000,000</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total aggregate purchase commitment under the Purchase Agreement and (ii) delivered irrevocable instructions to the transfer agent to issue 83,353</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shares of Common Stock (the “Commitment Shares”), which Commitment Shares have a total aggregate value equal to 0.5% of B. Riley Principal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Capital II’s $50,000,000 total aggregate purchase commitment under the Purchase Agreement (assuming a value per Commitment Share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$2.9993, representing the VWAP for the five consecutive days immediately prior to signing of the Purchase Agreement, rounded to the nearest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whole, to B. Riley Principal Capital II no later than 4:00 p.m. (New York City time) on the trading day immediately following the closing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Purchase Agreement. The Cash Commitment Fee will be paid by wire transfer of immediately available funds to an account designated by B. Riley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Principal Capital II on or prior to the date of the Purchase Agreement.</w:t>
      </w:r>
    </w:p>
    <w:p>
      <w:pPr>
        <w:spacing w:after="0" w:line="207" w:lineRule="exact"/>
        <w:rPr>
          <w:sz w:val="20"/>
          <w:szCs w:val="20"/>
          <w:color w:val="auto"/>
        </w:rPr>
      </w:pPr>
    </w:p>
    <w:p>
      <w:pPr>
        <w:ind w:left="300" w:right="80"/>
        <w:spacing w:after="0" w:line="256" w:lineRule="auto"/>
        <w:rPr>
          <w:sz w:val="20"/>
          <w:szCs w:val="20"/>
          <w:color w:val="auto"/>
        </w:rPr>
      </w:pPr>
      <w:r>
        <w:rPr>
          <w:rFonts w:ascii="Times New Roman" w:cs="Times New Roman" w:eastAsia="Times New Roman" w:hAnsi="Times New Roman"/>
          <w:sz w:val="18"/>
          <w:szCs w:val="18"/>
          <w:color w:val="auto"/>
        </w:rPr>
        <w:t>In addition, we have agreed to reimburse B. Riley Principal Capital II for the reasonable legal fees and disbursements of B. Riley Principal Capital II’s legal counsel in connection with the transactions contemplated by the Purchase Agreement and the Registration Rights Agreement in an amount not to exceed (i) $125,000 upon our execution of the Purchase Agreement and Registration Rights Agreement (the “Initial Investor Legal Fee Reimbursement Amount”) and (ii) $5,000 per fiscal quarter (the “Additional Investor Legal Fee Reimbursement Amount”) for the reasonable legal fees and disbursements of B. Riley Principal Capital II’s legal counsel in connection with quarterly and annual bring-down due diligence investigations and related matters as contemplated by the Purchase Agreement.</w:t>
      </w:r>
    </w:p>
    <w:p>
      <w:pPr>
        <w:spacing w:after="0" w:line="187" w:lineRule="exact"/>
        <w:rPr>
          <w:sz w:val="20"/>
          <w:szCs w:val="20"/>
          <w:color w:val="auto"/>
        </w:rPr>
      </w:pPr>
    </w:p>
    <w:p>
      <w:pPr>
        <w:jc w:val="both"/>
        <w:ind w:left="300" w:right="260"/>
        <w:spacing w:after="0" w:line="266" w:lineRule="auto"/>
        <w:rPr>
          <w:sz w:val="20"/>
          <w:szCs w:val="20"/>
          <w:color w:val="auto"/>
        </w:rPr>
      </w:pPr>
      <w:r>
        <w:rPr>
          <w:rFonts w:ascii="Times New Roman" w:cs="Times New Roman" w:eastAsia="Times New Roman" w:hAnsi="Times New Roman"/>
          <w:sz w:val="18"/>
          <w:szCs w:val="18"/>
          <w:color w:val="auto"/>
        </w:rPr>
        <w:t xml:space="preserve">The Purchase Agreement and the Registration Rights Agreement contain customary representations, warranties, conditions, and indemnification obligations of the parties. Copies of the agreements have been filed as exhibits to the registration statement that includes this prospectus and are available electronically on the SEC’s website at </w:t>
      </w:r>
      <w:r>
        <w:rPr>
          <w:rFonts w:ascii="Times New Roman" w:cs="Times New Roman" w:eastAsia="Times New Roman" w:hAnsi="Times New Roman"/>
          <w:sz w:val="18"/>
          <w:szCs w:val="18"/>
          <w:i w:val="1"/>
          <w:iCs w:val="1"/>
          <w:color w:val="auto"/>
        </w:rPr>
        <w:t>www.sec.gov.</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476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4476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0"/>
        <w:spacing w:after="0" w:line="253" w:lineRule="auto"/>
        <w:rPr>
          <w:sz w:val="20"/>
          <w:szCs w:val="20"/>
          <w:color w:val="auto"/>
        </w:rPr>
      </w:pPr>
      <w:r>
        <w:rPr>
          <w:rFonts w:ascii="Times New Roman" w:cs="Times New Roman" w:eastAsia="Times New Roman" w:hAnsi="Times New Roman"/>
          <w:sz w:val="18"/>
          <w:szCs w:val="18"/>
          <w:color w:val="auto"/>
        </w:rPr>
        <w:t>Because the per share purchase price that B. Riley Principal Capital II will pay for Purchase Shares in any Market Open Purchase or Intraday Purchase that we may elect to effect pursuant to the Purchase Agreement will be determined by reference to the VWAP during the applicable Market Open Purchase Valuation Period or Intraday Purchase Valuation Period, respectively, on the applicable Purchase Date for such Market Open Purchase or Intraday Purchase (as the case may be), as of the date of this prospectus, we cannot determine the actual purchase price per share that B. Riley Principal Capital II will be required to pay for any Purchase Shares that we may elect to sell to B. Riley Principal Capital II under the Purchase Agreement from and after Commencement and, therefore, we cannot be certain how many Purchase Shares, in the aggregate, we may issue and sell to B. Riley Principal Capital II under the Purchase Agreement from and after Commencement. As of July 14, 2025, there were 101,682,422 shares of our Common Stock outstanding, of which 53,453,601 shares were held by non-affiliates of our company. If all of the 20,242,805 Purchase Shares offered for resale by B. Riley Principal Capital II under this prospectus were issued and outstanding as of the date hereof, such shares would represent approximately 19.91% of the total number of outstanding shares of Common Stock and approximately 37.87% of the total number of outstanding shares of Common Stock held by non-affiliates of our company, in each case as of July 14, 2025.</w:t>
      </w:r>
    </w:p>
    <w:p>
      <w:pPr>
        <w:spacing w:after="0" w:line="192" w:lineRule="exact"/>
        <w:rPr>
          <w:sz w:val="20"/>
          <w:szCs w:val="20"/>
          <w:color w:val="auto"/>
        </w:rPr>
      </w:pPr>
    </w:p>
    <w:p>
      <w:pPr>
        <w:ind w:left="300" w:right="20"/>
        <w:spacing w:after="0" w:line="253" w:lineRule="auto"/>
        <w:rPr>
          <w:sz w:val="20"/>
          <w:szCs w:val="20"/>
          <w:color w:val="auto"/>
        </w:rPr>
      </w:pPr>
      <w:r>
        <w:rPr>
          <w:rFonts w:ascii="Times New Roman" w:cs="Times New Roman" w:eastAsia="Times New Roman" w:hAnsi="Times New Roman"/>
          <w:sz w:val="18"/>
          <w:szCs w:val="18"/>
          <w:color w:val="auto"/>
        </w:rPr>
        <w:t>Although the Purchase Agreement provides that we may sell up to $50,000,000 of our Common Stock to B. Riley Principal Capital II, only 20,242,805 Purchase Shares (in addition to the 83,353 Commitment Shares, for which we have not and will not receive any cash consideration) are being registered under the Securities Act for resale by B. Riley Principal Capital II under the registration statement that includes this prospectus. If we were to issue and sell all of such 20,242,805 Purchase Shares to B. Riley Principal Capital II (without taking into account the 19.99% Exchange Cap limitation) at an assumed purchase price per share of $2.91, representing the closing sale price of our Common Stock on Nasdaq on July 14, 2025, we would only receive approximately $59,000,000 in aggregate gross proceeds from the sale of such Purchase Shares to B. Riley Principal Capital II under the Purchase Agreement. Depending on the market prices of our Common Stock on the Purchase Dates on which we elect to sell such Purchase Shares to B. Riley Principal Capital II under the Purchase Agreement, we may in the future need to register under the Securities Act additional shares of our Common Stock for resale by B. Riley Principal Capital II which, together with the 20,242,805 Purchase Shares included in this prospectus, will enable us to issue and sell to B. Riley Principal Capital II such aggregate number of shares of Common Stock under the Purchase Agreement as will be necessary in order for us to receive aggregate proceeds equal to B. Riley Principal Capital II’s $50,000,000 maximum aggregate purchase commitment available to us under the Purchase Agreement.</w:t>
      </w:r>
    </w:p>
    <w:p>
      <w:pPr>
        <w:spacing w:after="0" w:line="190"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If we elect to issue and sell to B. Riley Principal Capital II more than the 20,326,158 BRPC Shares being registered under the Securities Act for resale by B. Riley Principal Capital II under the registration statement that includes this prospectus (83,353 of which shares represent the Commitment Shares that we issued, together with our payment of the Cash Commitment Fee, to B. Riley Principal Capital II upon execution of the Purchase Agreement on July 15, 2025, for which we have not and will not receive any cash consideration), which we have the right, but not the obligation, to do, we must first (i) obtain stockholder approval to issue shares of Common Stock in excess of the Exchange Cap under the Purchase Agreement in accordance with applicable Nasdaq rules, unless the average price for all shares of our Common Stock purchased by B. Riley Principal Capital II under the Purchase Agreement equals or exceeds $2.91 per share, such that the Exchange Cap limitation would not apply under applicable Nasdaq rules, and (ii) file with the SEC one or more additional registration statements to register under the Securities Act for the offer and resale by B. Riley Principal Capital II of any such additional shares of our Common Stock we wish to sell from time to time under the Purchase Agreement, which the SEC must declare effective, in each case before we may elect to sell any additional shares of our Common Stock to B. Riley Principal Capital II under the Purchase Agreement. Any issuance and sale by us under the Purchase Agreement of a substantial amount of shares of Common Stock in addition to the 20,326,158 BRPC Shares being registered for resale by B. Riley Principal Capital II under the registration statement that includes this prospectus could cause additional substantial dilution to our stockholders.</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84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4846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74" w:lineRule="auto"/>
        <w:rPr>
          <w:sz w:val="20"/>
          <w:szCs w:val="20"/>
          <w:color w:val="auto"/>
        </w:rPr>
      </w:pPr>
      <w:r>
        <w:rPr>
          <w:rFonts w:ascii="Times New Roman" w:cs="Times New Roman" w:eastAsia="Times New Roman" w:hAnsi="Times New Roman"/>
          <w:sz w:val="17"/>
          <w:szCs w:val="17"/>
          <w:color w:val="auto"/>
        </w:rPr>
        <w:t>The number of BRPC Shares ultimately offered for resale by B. Riley Principal Capital II through this prospectus is dependent upon the number of shares of Common Stock, if any, we elect to issue and/or sell to B. Riley Principal Capital II under the Purchase Agreement from and after the Commencement Date. The issuance of our Common Stock to B. Riley Principal Capital II pursuant to the Purchase Agreement will not affect the rights or privileges of our existing stockholders, except that the economic and voting interests of each of our existing stockholders will be diluted. Although the number of shares of our Common Stock that our existing stockholders own will not decrease, the shares of our Common Stock owned by our existing stockholders will represent a smaller percentage of our total outstanding shares of our Common Stock after any such issuance.</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Sales Partner Referral Agreement</w:t>
      </w:r>
    </w:p>
    <w:p>
      <w:pPr>
        <w:spacing w:after="0" w:line="121" w:lineRule="exact"/>
        <w:rPr>
          <w:sz w:val="20"/>
          <w:szCs w:val="20"/>
          <w:color w:val="auto"/>
        </w:rPr>
      </w:pPr>
    </w:p>
    <w:p>
      <w:pPr>
        <w:ind w:left="300" w:right="480"/>
        <w:spacing w:after="0" w:line="282" w:lineRule="auto"/>
        <w:rPr>
          <w:sz w:val="20"/>
          <w:szCs w:val="20"/>
          <w:color w:val="auto"/>
        </w:rPr>
      </w:pPr>
      <w:r>
        <w:rPr>
          <w:rFonts w:ascii="Times New Roman" w:cs="Times New Roman" w:eastAsia="Times New Roman" w:hAnsi="Times New Roman"/>
          <w:sz w:val="18"/>
          <w:szCs w:val="18"/>
          <w:color w:val="auto"/>
        </w:rPr>
        <w:t>On June 30, 2025, Legacy Blaize entered into a Sales Partner Referral Agreement (the “Referral Agreement”) with Burkhan LLC (the “Sales Partner”), an affiliate of Burkhan Capital LLC (“Burkhan”).</w:t>
      </w:r>
    </w:p>
    <w:p>
      <w:pPr>
        <w:spacing w:after="0" w:line="162" w:lineRule="exact"/>
        <w:rPr>
          <w:sz w:val="20"/>
          <w:szCs w:val="20"/>
          <w:color w:val="auto"/>
        </w:rPr>
      </w:pPr>
    </w:p>
    <w:p>
      <w:pPr>
        <w:ind w:left="300" w:right="100"/>
        <w:spacing w:after="0" w:line="289" w:lineRule="auto"/>
        <w:rPr>
          <w:sz w:val="20"/>
          <w:szCs w:val="20"/>
          <w:color w:val="auto"/>
        </w:rPr>
      </w:pPr>
      <w:r>
        <w:rPr>
          <w:rFonts w:ascii="Times New Roman" w:cs="Times New Roman" w:eastAsia="Times New Roman" w:hAnsi="Times New Roman"/>
          <w:sz w:val="17"/>
          <w:szCs w:val="17"/>
          <w:color w:val="auto"/>
        </w:rPr>
        <w:t>Pursuant to the Referral Agreement, the Sales Partner will, on a non-exclusive basis, promote certain Company products and refer potential customers to Legacy Blaize. Legacy Blaize may approve or reject any customer opportunity presented by the Sales Partner in its sole discretion. For any approved customer opportunity, Legacy Blaize and Sales Partner will negotiate in good faith on commissions payable to the Sales Partner.</w:t>
      </w:r>
    </w:p>
    <w:p>
      <w:pPr>
        <w:spacing w:after="0" w:line="158" w:lineRule="exact"/>
        <w:rPr>
          <w:sz w:val="20"/>
          <w:szCs w:val="20"/>
          <w:color w:val="auto"/>
        </w:rPr>
      </w:pPr>
    </w:p>
    <w:p>
      <w:pPr>
        <w:ind w:left="300" w:right="40"/>
        <w:spacing w:after="0" w:line="266" w:lineRule="auto"/>
        <w:rPr>
          <w:sz w:val="20"/>
          <w:szCs w:val="20"/>
          <w:color w:val="auto"/>
        </w:rPr>
      </w:pPr>
      <w:r>
        <w:rPr>
          <w:rFonts w:ascii="Times New Roman" w:cs="Times New Roman" w:eastAsia="Times New Roman" w:hAnsi="Times New Roman"/>
          <w:sz w:val="18"/>
          <w:szCs w:val="18"/>
          <w:color w:val="auto"/>
        </w:rPr>
        <w:t>The Referral Agreement has a term of three years and is terminable by either party for convenience on 30 days’ written notice or on five day’s written notice in the event of a material breach by the other party. The Referral Agreement also contains certain confidentiality and indemnification provisions.</w:t>
      </w:r>
    </w:p>
    <w:p>
      <w:pPr>
        <w:spacing w:after="0" w:line="176" w:lineRule="exact"/>
        <w:rPr>
          <w:sz w:val="20"/>
          <w:szCs w:val="20"/>
          <w:color w:val="auto"/>
        </w:rPr>
      </w:pPr>
    </w:p>
    <w:p>
      <w:pPr>
        <w:ind w:left="300" w:right="60"/>
        <w:spacing w:after="0" w:line="272" w:lineRule="auto"/>
        <w:rPr>
          <w:sz w:val="20"/>
          <w:szCs w:val="20"/>
          <w:color w:val="auto"/>
        </w:rPr>
      </w:pPr>
      <w:r>
        <w:rPr>
          <w:rFonts w:ascii="Times New Roman" w:cs="Times New Roman" w:eastAsia="Times New Roman" w:hAnsi="Times New Roman"/>
          <w:sz w:val="17"/>
          <w:szCs w:val="17"/>
          <w:color w:val="auto"/>
        </w:rPr>
        <w:t>The Referral Agreement has an initial approved customer of BurTech Systems Tech LLC (“BST”), an affiliate of Burkan, as described in the referral exhibit thereto (the “Referral Exhibit”). Under the Referral Exhibit, BST will purchase up to approximately $56.5 million of products from Legacy Blaize on behalf of an unaffiliated end user, beginning in the second quarter of 2025 through 2026. BST will receive a financing fee of</w:t>
      </w:r>
    </w:p>
    <w:p>
      <w:pPr>
        <w:spacing w:after="0" w:line="2" w:lineRule="exact"/>
        <w:rPr>
          <w:sz w:val="20"/>
          <w:szCs w:val="20"/>
          <w:color w:val="auto"/>
        </w:rPr>
      </w:pPr>
    </w:p>
    <w:p>
      <w:pPr>
        <w:ind w:left="300" w:right="100"/>
        <w:spacing w:after="0" w:line="255" w:lineRule="auto"/>
        <w:rPr>
          <w:sz w:val="20"/>
          <w:szCs w:val="20"/>
          <w:color w:val="auto"/>
        </w:rPr>
      </w:pPr>
      <w:r>
        <w:rPr>
          <w:rFonts w:ascii="Times New Roman" w:cs="Times New Roman" w:eastAsia="Times New Roman" w:hAnsi="Times New Roman"/>
          <w:sz w:val="18"/>
          <w:szCs w:val="18"/>
          <w:color w:val="auto"/>
        </w:rPr>
        <w:t>2.5% of the total purchase price from the end user and Sales Partner will receive a commission payable by Legacy Blaize of up to 10%, depending on Legacy Blaize’s gross margins under the purchase order, payable in cash and, in Legacy Blaize’s discretion, partially in Common Stock, as described in the Referral Exhibit.</w:t>
      </w:r>
    </w:p>
    <w:p>
      <w:pPr>
        <w:spacing w:after="0" w:line="186" w:lineRule="exact"/>
        <w:rPr>
          <w:sz w:val="20"/>
          <w:szCs w:val="20"/>
          <w:color w:val="auto"/>
        </w:rPr>
      </w:pPr>
    </w:p>
    <w:p>
      <w:pPr>
        <w:ind w:left="300" w:right="560"/>
        <w:spacing w:after="0" w:line="282" w:lineRule="auto"/>
        <w:rPr>
          <w:sz w:val="20"/>
          <w:szCs w:val="20"/>
          <w:color w:val="auto"/>
        </w:rPr>
      </w:pPr>
      <w:r>
        <w:rPr>
          <w:rFonts w:ascii="Times New Roman" w:cs="Times New Roman" w:eastAsia="Times New Roman" w:hAnsi="Times New Roman"/>
          <w:sz w:val="18"/>
          <w:szCs w:val="18"/>
          <w:color w:val="auto"/>
        </w:rPr>
        <w:t>The terms of the Referral Agreement were reviewed and approved by the Audit Committee of the Board of Directors in accordance with the Company’s related-party transaction policy</w:t>
      </w:r>
    </w:p>
    <w:p>
      <w:pPr>
        <w:spacing w:after="0" w:line="162" w:lineRule="exact"/>
        <w:rPr>
          <w:sz w:val="20"/>
          <w:szCs w:val="20"/>
          <w:color w:val="auto"/>
        </w:rPr>
      </w:pPr>
    </w:p>
    <w:p>
      <w:pPr>
        <w:ind w:left="300" w:right="20"/>
        <w:spacing w:after="0" w:line="282" w:lineRule="auto"/>
        <w:rPr>
          <w:sz w:val="20"/>
          <w:szCs w:val="20"/>
          <w:color w:val="auto"/>
        </w:rPr>
      </w:pPr>
      <w:r>
        <w:rPr>
          <w:rFonts w:ascii="Times New Roman" w:cs="Times New Roman" w:eastAsia="Times New Roman" w:hAnsi="Times New Roman"/>
          <w:sz w:val="18"/>
          <w:szCs w:val="18"/>
          <w:color w:val="auto"/>
        </w:rPr>
        <w:t>The foregoing summary of the Referral Agreement does not purport to be complete and is qualified in its entirety by reference to the full text of the Referral Agreement, a copy of which is attached as Exhibit 10.25 hereto and incorporated herein by reference.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Capital Market Advisory Engagement</w:t>
      </w:r>
    </w:p>
    <w:p>
      <w:pPr>
        <w:spacing w:after="0" w:line="121" w:lineRule="exact"/>
        <w:rPr>
          <w:sz w:val="20"/>
          <w:szCs w:val="20"/>
          <w:color w:val="auto"/>
        </w:rPr>
      </w:pPr>
    </w:p>
    <w:p>
      <w:pPr>
        <w:ind w:left="300" w:right="20"/>
        <w:spacing w:after="0" w:line="261" w:lineRule="auto"/>
        <w:rPr>
          <w:sz w:val="20"/>
          <w:szCs w:val="20"/>
          <w:color w:val="auto"/>
        </w:rPr>
      </w:pPr>
      <w:r>
        <w:rPr>
          <w:rFonts w:ascii="Times New Roman" w:cs="Times New Roman" w:eastAsia="Times New Roman" w:hAnsi="Times New Roman"/>
          <w:sz w:val="18"/>
          <w:szCs w:val="18"/>
          <w:color w:val="auto"/>
        </w:rPr>
        <w:t>On April 11, 2025, we entered into that certain Engagement Letter, by and between the Company and Cantor Fitzgerald &amp; Co. (“Cantor”), pursuant to which, among other things, the Company issued approximately 769,231 shares of Common Stock to Cantor on July 15, 2025, in consideration for acting as the Company’s capital markets advisor. The Engagement Letter entitled Cantor to shelf registration rights with respect to such shares of Common Stock.</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left="300"/>
        <w:spacing w:after="0" w:line="312" w:lineRule="auto"/>
        <w:rPr>
          <w:sz w:val="20"/>
          <w:szCs w:val="20"/>
          <w:color w:val="auto"/>
        </w:rPr>
      </w:pPr>
      <w:r>
        <w:rPr>
          <w:rFonts w:ascii="Times New Roman" w:cs="Times New Roman" w:eastAsia="Times New Roman" w:hAnsi="Times New Roman"/>
          <w:sz w:val="17"/>
          <w:szCs w:val="17"/>
          <w:color w:val="auto"/>
        </w:rPr>
        <w:t>Our business is subject to a number of risks of which you should be aware before making an investment decision. In particular, you should consider the risk factors described in the section entitled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beginning on page 15. Such risks include, but are not limited to, the following:</w:t>
      </w:r>
    </w:p>
    <w:p>
      <w:pPr>
        <w:spacing w:after="0" w:line="45" w:lineRule="exact"/>
        <w:rPr>
          <w:sz w:val="20"/>
          <w:szCs w:val="20"/>
          <w:color w:val="auto"/>
        </w:rPr>
      </w:pPr>
    </w:p>
    <w:p>
      <w:pPr>
        <w:jc w:val="center"/>
        <w:ind w:left="5580" w:right="500" w:hanging="4755"/>
        <w:spacing w:after="0" w:line="673" w:lineRule="auto"/>
        <w:tabs>
          <w:tab w:leader="none" w:pos="123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we may not be able to generate sufficient revenue to achieve and sustain profitability. 7</w:t>
      </w:r>
    </w:p>
    <w:p>
      <w:pPr>
        <w:sectPr>
          <w:pgSz w:w="11900" w:h="16838" w:orient="portrait"/>
          <w:cols w:equalWidth="0" w:num="1">
            <w:col w:w="10940"/>
          </w:cols>
          <w:pgMar w:left="320" w:top="455"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6046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6046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36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automotive OEMs (as defined below) and Tier-1 suppliers are long-term in nature and we will not receive legally binding purchase order commitments until we deliver our auto-grade chip.</w:t>
      </w:r>
    </w:p>
    <w:p>
      <w:pPr>
        <w:spacing w:after="0" w:line="67" w:lineRule="exact"/>
        <w:rPr>
          <w:rFonts w:ascii="Times New Roman" w:cs="Times New Roman" w:eastAsia="Times New Roman" w:hAnsi="Times New Roman"/>
          <w:sz w:val="18"/>
          <w:szCs w:val="18"/>
          <w:color w:val="auto"/>
        </w:rPr>
      </w:pPr>
    </w:p>
    <w:p>
      <w:pPr>
        <w:ind w:left="1240" w:right="44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revenue and operating results will be harmed if we are unable to acquire new customers, retain existing customers or expand sales to our existing customers.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implement our growth strategy on a timely basis or at all.</w:t>
      </w:r>
    </w:p>
    <w:p>
      <w:pPr>
        <w:spacing w:after="0" w:line="130" w:lineRule="exact"/>
        <w:rPr>
          <w:rFonts w:ascii="Times New Roman" w:cs="Times New Roman" w:eastAsia="Times New Roman" w:hAnsi="Times New Roman"/>
          <w:sz w:val="18"/>
          <w:szCs w:val="18"/>
          <w:color w:val="auto"/>
        </w:rPr>
      </w:pPr>
    </w:p>
    <w:p>
      <w:pPr>
        <w:ind w:left="1240" w:right="20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marketing and sales capabilities could harm our ability to increase our customer base and achieve broader market acceptance of our platform and products.</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timely supply of materials sourced from a limited number of suppliers, and are directly impacted by unexpected delays or problems from our third-party manufacturers.</w:t>
      </w:r>
    </w:p>
    <w:p>
      <w:pPr>
        <w:spacing w:after="0" w:line="67"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improve and enhance the functionality, performance, reliability, design, security and scalability of our platform and products and innovate and introduce new solutions in a manner that responds to our customers’ evolving needs, our business may be adversely affected.</w:t>
      </w:r>
    </w:p>
    <w:p>
      <w:pPr>
        <w:spacing w:after="0" w:line="81" w:lineRule="exact"/>
        <w:rPr>
          <w:rFonts w:ascii="Times New Roman" w:cs="Times New Roman" w:eastAsia="Times New Roman" w:hAnsi="Times New Roman"/>
          <w:sz w:val="18"/>
          <w:szCs w:val="18"/>
          <w:color w:val="auto"/>
        </w:rPr>
      </w:pPr>
    </w:p>
    <w:p>
      <w:pPr>
        <w:ind w:left="1240" w:right="48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we may be unable to execute our business plan, maintain high levels of service and customer satisfaction or adequately address competitive challenges.</w:t>
      </w:r>
    </w:p>
    <w:p>
      <w:pPr>
        <w:spacing w:after="0" w:line="67" w:lineRule="exact"/>
        <w:rPr>
          <w:rFonts w:ascii="Times New Roman" w:cs="Times New Roman" w:eastAsia="Times New Roman" w:hAnsi="Times New Roman"/>
          <w:sz w:val="18"/>
          <w:szCs w:val="18"/>
          <w:color w:val="auto"/>
        </w:rPr>
      </w:pPr>
    </w:p>
    <w:p>
      <w:pPr>
        <w:ind w:left="1240" w:right="260" w:hanging="415"/>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reduce or change our pricing model to remain competitive.</w:t>
      </w:r>
    </w:p>
    <w:p>
      <w:pPr>
        <w:spacing w:after="0" w:line="130"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adapt and respond effectively to rapidly changing technology, evolving industry standards, and changing customer needs or preferences, our platform and products may become less competitive.</w:t>
      </w:r>
    </w:p>
    <w:p>
      <w:pPr>
        <w:spacing w:after="0" w:line="67" w:lineRule="exact"/>
        <w:rPr>
          <w:rFonts w:ascii="Times New Roman" w:cs="Times New Roman" w:eastAsia="Times New Roman" w:hAnsi="Times New Roman"/>
          <w:sz w:val="18"/>
          <w:szCs w:val="18"/>
          <w:color w:val="auto"/>
        </w:rPr>
      </w:pPr>
    </w:p>
    <w:p>
      <w:pPr>
        <w:ind w:left="1240" w:right="36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senior management team and the loss of one or more key employees or an inability to attract and retain highly skilled employees may adversely affect our business.</w:t>
      </w:r>
    </w:p>
    <w:p>
      <w:pPr>
        <w:spacing w:after="0" w:line="67"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software or hardware contains serious errors or defects, we may lose revenue and market acceptance and may incur costs to defend or settle claims with our customers.</w:t>
      </w:r>
    </w:p>
    <w:p>
      <w:pPr>
        <w:spacing w:after="0" w:line="67"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in part on the success of our strategic relationships with third parties.</w:t>
      </w:r>
    </w:p>
    <w:p>
      <w:pPr>
        <w:spacing w:after="0" w:line="130" w:lineRule="exact"/>
        <w:rPr>
          <w:rFonts w:ascii="Times New Roman" w:cs="Times New Roman" w:eastAsia="Times New Roman" w:hAnsi="Times New Roman"/>
          <w:sz w:val="18"/>
          <w:szCs w:val="18"/>
          <w:color w:val="auto"/>
        </w:rPr>
      </w:pPr>
    </w:p>
    <w:p>
      <w:pPr>
        <w:jc w:val="both"/>
        <w:ind w:left="1640" w:right="340" w:hanging="289"/>
        <w:spacing w:after="0" w:line="266" w:lineRule="auto"/>
        <w:tabs>
          <w:tab w:leader="none" w:pos="1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data hosting and transmission services. Increases in cost, interruptions in service, latency or poor service from our third-party data center providers could impair the delivery of our platform, which could result in customer dissatisfaction, damage to our reputation, loss of customers, limited growth and reduction in revenue.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ind w:left="300" w:right="140"/>
        <w:spacing w:after="0" w:line="266" w:lineRule="auto"/>
        <w:rPr>
          <w:sz w:val="20"/>
          <w:szCs w:val="20"/>
          <w:color w:val="auto"/>
        </w:rPr>
      </w:pPr>
      <w:r>
        <w:rPr>
          <w:rFonts w:ascii="Times New Roman" w:cs="Times New Roman" w:eastAsia="Times New Roman" w:hAnsi="Times New Roman"/>
          <w:sz w:val="18"/>
          <w:szCs w:val="18"/>
          <w:color w:val="auto"/>
        </w:rPr>
        <w:t>As a company with less than $1.235 billion in revenue during our last fiscal year, we qualify as an “emerging growth company” as defined in the Jumpstart Our Business Startups Act of 2012, as amended (the “JOBS Act”). An “emerging growth company” may take advantage of reduced reporting requirements that are otherwise applicable to public companies. These provisions include, but are not limited to:</w:t>
      </w:r>
    </w:p>
    <w:p>
      <w:pPr>
        <w:spacing w:after="0" w:line="79" w:lineRule="exact"/>
        <w:rPr>
          <w:sz w:val="20"/>
          <w:szCs w:val="20"/>
          <w:color w:val="auto"/>
        </w:rPr>
      </w:pPr>
    </w:p>
    <w:p>
      <w:pPr>
        <w:ind w:left="1240" w:right="340" w:hanging="415"/>
        <w:spacing w:after="0" w:line="284"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to present only two years of audited financial statements and only two years of related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w:t>
      </w:r>
      <w:r>
        <w:rPr>
          <w:rFonts w:ascii="Times New Roman" w:cs="Times New Roman" w:eastAsia="Times New Roman" w:hAnsi="Times New Roman"/>
          <w:sz w:val="18"/>
          <w:szCs w:val="18"/>
          <w:color w:val="auto"/>
        </w:rPr>
        <w:t>” in this prospectus;</w:t>
      </w:r>
    </w:p>
    <w:p>
      <w:pPr>
        <w:spacing w:after="0" w:line="65"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 (the “Sarbanes-Oxley Act”);</w:t>
      </w:r>
    </w:p>
    <w:p>
      <w:pPr>
        <w:spacing w:after="0" w:line="28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60"/>
          </w:cols>
          <w:pgMar w:left="320" w:top="455" w:right="7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641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46418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0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81"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and</w:t>
      </w:r>
    </w:p>
    <w:p>
      <w:pPr>
        <w:spacing w:after="0" w:line="67" w:lineRule="exact"/>
        <w:rPr>
          <w:rFonts w:ascii="Times New Roman" w:cs="Times New Roman" w:eastAsia="Times New Roman" w:hAnsi="Times New Roman"/>
          <w:sz w:val="18"/>
          <w:szCs w:val="18"/>
          <w:color w:val="auto"/>
        </w:rPr>
      </w:pPr>
    </w:p>
    <w:p>
      <w:pPr>
        <w:ind w:left="1240" w:right="8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of stockholders on executive compensation, stockholder approval of any golden parachute payments not previously approved and having to disclose the ratio of the compensation of our chief executive officer to the median compensation of our employees.</w:t>
      </w:r>
    </w:p>
    <w:p>
      <w:pPr>
        <w:spacing w:after="0" w:line="176" w:lineRule="exact"/>
        <w:rPr>
          <w:sz w:val="20"/>
          <w:szCs w:val="20"/>
          <w:color w:val="auto"/>
        </w:rPr>
      </w:pPr>
    </w:p>
    <w:p>
      <w:pPr>
        <w:ind w:left="300" w:right="20"/>
        <w:spacing w:after="0" w:line="270" w:lineRule="auto"/>
        <w:rPr>
          <w:sz w:val="20"/>
          <w:szCs w:val="20"/>
          <w:color w:val="auto"/>
        </w:rPr>
      </w:pPr>
      <w:r>
        <w:rPr>
          <w:rFonts w:ascii="Times New Roman" w:cs="Times New Roman" w:eastAsia="Times New Roman" w:hAnsi="Times New Roman"/>
          <w:sz w:val="17"/>
          <w:szCs w:val="17"/>
          <w:color w:val="auto"/>
        </w:rPr>
        <w:t>We may take advantage of these provisions until the last day of our fiscal year following the fifth anniversary of the completion of the initial public offering of our securities. However, if (i) our annual gross revenue exceeds $1.235 billion, (ii) we issue more than $1.0 billion of non-convertible debt in any three-year period or (iii) we become a “large accelerated filer” (as defined in Rule 12b-2 under the Exchange Act) prior to the end of such five-year period, we will cease to be an emerging growth company. We will be deemed to be a “large accelerated filer” at such time that we</w:t>
      </w:r>
    </w:p>
    <w:p>
      <w:pPr>
        <w:spacing w:after="0" w:line="3" w:lineRule="exact"/>
        <w:rPr>
          <w:sz w:val="20"/>
          <w:szCs w:val="20"/>
          <w:color w:val="auto"/>
        </w:rPr>
      </w:pPr>
    </w:p>
    <w:p>
      <w:pPr>
        <w:jc w:val="both"/>
        <w:ind w:left="300" w:right="80" w:hanging="2"/>
        <w:spacing w:after="0" w:line="255" w:lineRule="auto"/>
        <w:tabs>
          <w:tab w:leader="none" w:pos="5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aggregate worldwide market value of common equity securities held by non-affiliates of $700.0 million or more as of the last business day of our most recently completed second fiscal quarter, (b) have been required to file annual and quarterly reports under the Exchange Act, for a period of at least 12 months and (c) have filed at least one annual report pursuant to the Exchange Act.</w:t>
      </w:r>
    </w:p>
    <w:p>
      <w:pPr>
        <w:spacing w:after="0" w:line="186" w:lineRule="exact"/>
        <w:rPr>
          <w:sz w:val="20"/>
          <w:szCs w:val="20"/>
          <w:color w:val="auto"/>
        </w:rPr>
      </w:pPr>
    </w:p>
    <w:p>
      <w:pPr>
        <w:ind w:left="300" w:right="260"/>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76" w:lineRule="exact"/>
        <w:rPr>
          <w:sz w:val="20"/>
          <w:szCs w:val="20"/>
          <w:color w:val="auto"/>
        </w:rPr>
      </w:pPr>
    </w:p>
    <w:p>
      <w:pPr>
        <w:jc w:val="both"/>
        <w:ind w:left="300" w:right="40"/>
        <w:spacing w:after="0" w:line="266"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We have elected to use the extended transition period for complying with new or revised accounting standards. As a result of this election, our financial statements may not be comparable to companies that comply with public company effective dates.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60"/>
        <w:spacing w:after="0" w:line="261" w:lineRule="auto"/>
        <w:rPr>
          <w:sz w:val="20"/>
          <w:szCs w:val="20"/>
          <w:color w:val="auto"/>
        </w:rPr>
      </w:pPr>
      <w:r>
        <w:rPr>
          <w:rFonts w:ascii="Times New Roman" w:cs="Times New Roman" w:eastAsia="Times New Roman" w:hAnsi="Times New Roman"/>
          <w:sz w:val="18"/>
          <w:szCs w:val="18"/>
          <w:color w:val="auto"/>
        </w:rPr>
        <w:t xml:space="preserve">Our Common Stock is listed on Nasdaq under the symbol “BZAI.” Our principal executive offices are located at 4659 Golden Foothill Parkway in El Dorado Hills, California, 95762, and our telephone number is (916) 347-0050. Our website address is </w:t>
      </w:r>
      <w:r>
        <w:rPr>
          <w:rFonts w:ascii="Times New Roman" w:cs="Times New Roman" w:eastAsia="Times New Roman" w:hAnsi="Times New Roman"/>
          <w:sz w:val="18"/>
          <w:szCs w:val="18"/>
          <w:i w:val="1"/>
          <w:iCs w:val="1"/>
          <w:color w:val="auto"/>
        </w:rPr>
        <w:t>www.blaize.com</w:t>
      </w:r>
      <w:r>
        <w:rPr>
          <w:rFonts w:ascii="Times New Roman" w:cs="Times New Roman" w:eastAsia="Times New Roman" w:hAnsi="Times New Roman"/>
          <w:sz w:val="18"/>
          <w:szCs w:val="18"/>
          <w:color w:val="auto"/>
        </w:rPr>
        <w:t>. The information contained in, or accessible through, our website does not constitute a part of this prospectus. We have included our website address in this prospectus solely as an inactive textual reference.</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0"/>
          </w:cols>
          <w:pgMar w:left="320" w:top="455" w:right="6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13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6"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Issuer</w:t>
      </w:r>
      <w:r>
        <w:rPr>
          <w:sz w:val="20"/>
          <w:szCs w:val="20"/>
          <w:color w:val="auto"/>
        </w:rPr>
        <w:tab/>
      </w:r>
      <w:r>
        <w:rPr>
          <w:rFonts w:ascii="Times New Roman" w:cs="Times New Roman" w:eastAsia="Times New Roman" w:hAnsi="Times New Roman"/>
          <w:sz w:val="18"/>
          <w:szCs w:val="18"/>
          <w:color w:val="auto"/>
        </w:rPr>
        <w:t>Blaize Holdings, Inc.</w:t>
      </w:r>
    </w:p>
    <w:p>
      <w:pPr>
        <w:spacing w:after="0" w:line="266"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Common Stock offered by the Selling Stockholder</w:t>
      </w:r>
      <w:r>
        <w:rPr>
          <w:sz w:val="20"/>
          <w:szCs w:val="20"/>
          <w:color w:val="auto"/>
        </w:rPr>
        <w:tab/>
      </w:r>
      <w:r>
        <w:rPr>
          <w:rFonts w:ascii="Times New Roman" w:cs="Times New Roman" w:eastAsia="Times New Roman" w:hAnsi="Times New Roman"/>
          <w:sz w:val="17"/>
          <w:szCs w:val="17"/>
          <w:color w:val="auto"/>
        </w:rPr>
        <w:t>Up to 20,326,158 shares of Common Stock that we may elect, in our sole discretion, to</w:t>
      </w:r>
    </w:p>
    <w:p>
      <w:pPr>
        <w:spacing w:after="0" w:line="27" w:lineRule="exact"/>
        <w:rPr>
          <w:sz w:val="20"/>
          <w:szCs w:val="20"/>
          <w:color w:val="auto"/>
        </w:rPr>
      </w:pPr>
    </w:p>
    <w:p>
      <w:pPr>
        <w:ind w:left="4340" w:right="900"/>
        <w:spacing w:after="0" w:line="260" w:lineRule="auto"/>
        <w:rPr>
          <w:sz w:val="20"/>
          <w:szCs w:val="20"/>
          <w:color w:val="auto"/>
        </w:rPr>
      </w:pPr>
      <w:r>
        <w:rPr>
          <w:rFonts w:ascii="Times New Roman" w:cs="Times New Roman" w:eastAsia="Times New Roman" w:hAnsi="Times New Roman"/>
          <w:sz w:val="18"/>
          <w:szCs w:val="18"/>
          <w:color w:val="auto"/>
        </w:rPr>
        <w:t>issue and sell to B. Riley Principal Capital II, from time to time from and after the Commencement Date under the Purchase Agreement.</w:t>
      </w:r>
    </w:p>
    <w:p>
      <w:pPr>
        <w:sectPr>
          <w:pgSz w:w="11900" w:h="16838" w:orient="portrait"/>
          <w:cols w:equalWidth="0" w:num="1">
            <w:col w:w="11140"/>
          </w:cols>
          <w:pgMar w:left="320" w:top="455" w:right="439" w:bottom="1440" w:gutter="0" w:footer="0" w:header="0"/>
        </w:sectPr>
      </w:pPr>
    </w:p>
    <w:p>
      <w:pPr>
        <w:spacing w:after="0" w:line="208" w:lineRule="exact"/>
        <w:rPr>
          <w:sz w:val="20"/>
          <w:szCs w:val="20"/>
          <w:color w:val="auto"/>
        </w:rPr>
      </w:pPr>
    </w:p>
    <w:p>
      <w:pPr>
        <w:ind w:left="300" w:right="880"/>
        <w:spacing w:after="0" w:line="579" w:lineRule="auto"/>
        <w:rPr>
          <w:sz w:val="20"/>
          <w:szCs w:val="20"/>
          <w:color w:val="auto"/>
        </w:rPr>
      </w:pPr>
      <w:r>
        <w:rPr>
          <w:rFonts w:ascii="Times New Roman" w:cs="Times New Roman" w:eastAsia="Times New Roman" w:hAnsi="Times New Roman"/>
          <w:sz w:val="18"/>
          <w:szCs w:val="18"/>
          <w:color w:val="auto"/>
        </w:rPr>
        <w:t>Common Stock offered by Cantor Terms of the Offering</w:t>
      </w:r>
    </w:p>
    <w:p>
      <w:pPr>
        <w:spacing w:after="0" w:line="1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769,231 shares of Common Stock issued to Cantor.</w:t>
      </w:r>
    </w:p>
    <w:p>
      <w:pPr>
        <w:spacing w:after="0" w:line="26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Each Selling Securityholder, as applicable, will determine when and how it will dispose of any shares of Common Stock registered under this prospectus for resale.</w:t>
      </w:r>
    </w:p>
    <w:p>
      <w:pPr>
        <w:spacing w:after="0" w:line="189"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We will not receive any proceeds from any sale of Common Stock by the Selling Stockholder. However, we may receive up to $50,000,000 in aggregate gross proceeds from the Selling Stockholder under the Purchase Agreement in connection with sales of shares of our Common Stock to the Selling Stockholder pursuant to the Purchase Agreement after the date of this prospectus. However, the actual proceeds may be less than this amount depending on the number of shares of our Common Stock sold and the price at which the shares of Common Stock are sold. We intend to use any proceeds from the committed equity facility (the “Facility”) to accelerate commercialization of the South Asia smart infrastructure contract previously announced on June 30, 2025 and investment in its next-generation chip, as well as for working capital and general corporate purposes. We will not receive any proceeds from the sale of any Common Stock by Cantor. See “</w:t>
      </w:r>
      <w:r>
        <w:rPr>
          <w:rFonts w:ascii="Times New Roman" w:cs="Times New Roman" w:eastAsia="Times New Roman" w:hAnsi="Times New Roman"/>
          <w:sz w:val="18"/>
          <w:szCs w:val="18"/>
          <w:i w:val="1"/>
          <w:iCs w:val="1"/>
          <w:color w:val="auto"/>
        </w:rPr>
        <w:t>Use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Proceeds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620" w:space="720"/>
            <w:col w:w="6800"/>
          </w:cols>
          <w:pgMar w:left="320" w:top="455" w:right="439" w:bottom="1440" w:gutter="0" w:footer="0" w:header="0"/>
          <w:type w:val="continuous"/>
        </w:sectPr>
      </w:pPr>
    </w:p>
    <w:p>
      <w:pPr>
        <w:spacing w:after="0" w:line="1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Conflict of Interest</w:t>
            </w: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 Riley Principal Capital II, LLC is an affiliate of B. Riley Securities, Inc. (“BRS”), a</w:t>
            </w:r>
          </w:p>
        </w:tc>
      </w:tr>
      <w:tr>
        <w:trPr>
          <w:trHeight w:val="216"/>
        </w:trPr>
        <w:tc>
          <w:tcPr>
            <w:tcW w:w="2880" w:type="dxa"/>
            <w:vAlign w:val="bottom"/>
          </w:tcPr>
          <w:p>
            <w:pPr>
              <w:spacing w:after="0"/>
              <w:rPr>
                <w:sz w:val="18"/>
                <w:szCs w:val="18"/>
                <w:color w:val="auto"/>
              </w:rPr>
            </w:pP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registered broker-dealer and FINRA member. BRS will act as an executing broker that will</w:t>
            </w:r>
          </w:p>
        </w:tc>
      </w:tr>
      <w:tr>
        <w:trPr>
          <w:trHeight w:val="216"/>
        </w:trPr>
        <w:tc>
          <w:tcPr>
            <w:tcW w:w="2880" w:type="dxa"/>
            <w:vAlign w:val="bottom"/>
          </w:tcPr>
          <w:p>
            <w:pPr>
              <w:spacing w:after="0"/>
              <w:rPr>
                <w:sz w:val="18"/>
                <w:szCs w:val="18"/>
                <w:color w:val="auto"/>
              </w:rPr>
            </w:pP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effectuate resales of BRPC Shares that have been and may be acquired by B. Riley</w:t>
            </w:r>
          </w:p>
        </w:tc>
      </w:tr>
      <w:tr>
        <w:trPr>
          <w:trHeight w:val="216"/>
        </w:trPr>
        <w:tc>
          <w:tcPr>
            <w:tcW w:w="2880" w:type="dxa"/>
            <w:vAlign w:val="bottom"/>
          </w:tcPr>
          <w:p>
            <w:pPr>
              <w:spacing w:after="0"/>
              <w:rPr>
                <w:sz w:val="18"/>
                <w:szCs w:val="18"/>
                <w:color w:val="auto"/>
              </w:rPr>
            </w:pP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Principal Capital II from us pursuant to the Purchase Agreement to the public in this</w:t>
            </w:r>
          </w:p>
        </w:tc>
      </w:tr>
      <w:tr>
        <w:trPr>
          <w:trHeight w:val="234"/>
        </w:trPr>
        <w:tc>
          <w:tcPr>
            <w:tcW w:w="2880" w:type="dxa"/>
            <w:vAlign w:val="bottom"/>
          </w:tcPr>
          <w:p>
            <w:pPr>
              <w:spacing w:after="0"/>
              <w:rPr>
                <w:sz w:val="20"/>
                <w:szCs w:val="20"/>
                <w:color w:val="auto"/>
              </w:rPr>
            </w:pP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offering.</w:t>
            </w:r>
          </w:p>
        </w:tc>
      </w:tr>
      <w:tr>
        <w:trPr>
          <w:trHeight w:val="441"/>
        </w:trPr>
        <w:tc>
          <w:tcPr>
            <w:tcW w:w="2880" w:type="dxa"/>
            <w:vAlign w:val="bottom"/>
          </w:tcPr>
          <w:p>
            <w:pPr>
              <w:spacing w:after="0"/>
              <w:rPr>
                <w:sz w:val="24"/>
                <w:szCs w:val="24"/>
                <w:color w:val="auto"/>
              </w:rPr>
            </w:pP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Because B. Riley Principal Capital II will receive all the net proceeds from such resales of</w:t>
            </w:r>
          </w:p>
        </w:tc>
      </w:tr>
      <w:tr>
        <w:trPr>
          <w:trHeight w:val="216"/>
        </w:trPr>
        <w:tc>
          <w:tcPr>
            <w:tcW w:w="2880" w:type="dxa"/>
            <w:vAlign w:val="bottom"/>
          </w:tcPr>
          <w:p>
            <w:pPr>
              <w:spacing w:after="0"/>
              <w:rPr>
                <w:sz w:val="18"/>
                <w:szCs w:val="18"/>
                <w:color w:val="auto"/>
              </w:rPr>
            </w:pP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BRPC Shares made to the public through BRS, BRS is deemed to have a “conflict of</w:t>
            </w:r>
          </w:p>
        </w:tc>
      </w:tr>
      <w:tr>
        <w:trPr>
          <w:trHeight w:val="216"/>
        </w:trPr>
        <w:tc>
          <w:tcPr>
            <w:tcW w:w="2880" w:type="dxa"/>
            <w:vAlign w:val="bottom"/>
          </w:tcPr>
          <w:p>
            <w:pPr>
              <w:spacing w:after="0"/>
              <w:rPr>
                <w:sz w:val="18"/>
                <w:szCs w:val="18"/>
                <w:color w:val="auto"/>
              </w:rPr>
            </w:pP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interest” within the meaning of Financial Industry Regulatory Authority, Inc. (“FINRA”)</w:t>
            </w:r>
          </w:p>
        </w:tc>
      </w:tr>
      <w:tr>
        <w:trPr>
          <w:trHeight w:val="234"/>
        </w:trPr>
        <w:tc>
          <w:tcPr>
            <w:tcW w:w="2880" w:type="dxa"/>
            <w:vAlign w:val="bottom"/>
          </w:tcPr>
          <w:p>
            <w:pPr>
              <w:spacing w:after="0"/>
              <w:rPr>
                <w:sz w:val="20"/>
                <w:szCs w:val="20"/>
                <w:color w:val="auto"/>
              </w:rPr>
            </w:pP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Rule 5121.</w:t>
            </w:r>
          </w:p>
        </w:tc>
      </w:tr>
      <w:tr>
        <w:trPr>
          <w:trHeight w:val="441"/>
        </w:trPr>
        <w:tc>
          <w:tcPr>
            <w:tcW w:w="2880" w:type="dxa"/>
            <w:vAlign w:val="bottom"/>
          </w:tcPr>
          <w:p>
            <w:pPr>
              <w:spacing w:after="0"/>
              <w:rPr>
                <w:sz w:val="24"/>
                <w:szCs w:val="24"/>
                <w:color w:val="auto"/>
              </w:rPr>
            </w:pP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In accordance with FINRA Rule 5121, BRS is not permitted to sell shares of our Common</w:t>
            </w:r>
          </w:p>
        </w:tc>
      </w:tr>
      <w:tr>
        <w:trPr>
          <w:trHeight w:val="214"/>
        </w:trPr>
        <w:tc>
          <w:tcPr>
            <w:tcW w:w="2880" w:type="dxa"/>
            <w:vAlign w:val="bottom"/>
          </w:tcPr>
          <w:p>
            <w:pPr>
              <w:spacing w:after="0"/>
              <w:rPr>
                <w:sz w:val="18"/>
                <w:szCs w:val="18"/>
                <w:color w:val="auto"/>
              </w:rPr>
            </w:pP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Stock in this offering to an account over which it exercises discretionary authority without</w:t>
            </w:r>
          </w:p>
        </w:tc>
      </w:tr>
      <w:tr>
        <w:trPr>
          <w:trHeight w:val="216"/>
        </w:trPr>
        <w:tc>
          <w:tcPr>
            <w:tcW w:w="2880" w:type="dxa"/>
            <w:vAlign w:val="bottom"/>
          </w:tcPr>
          <w:p>
            <w:pPr>
              <w:spacing w:after="0"/>
              <w:rPr>
                <w:sz w:val="18"/>
                <w:szCs w:val="18"/>
                <w:color w:val="auto"/>
              </w:rPr>
            </w:pP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the prior specific written approval of the account holder. See “</w:t>
            </w:r>
            <w:r>
              <w:rPr>
                <w:rFonts w:ascii="Times New Roman" w:cs="Times New Roman" w:eastAsia="Times New Roman" w:hAnsi="Times New Roman"/>
                <w:sz w:val="18"/>
                <w:szCs w:val="18"/>
                <w:i w:val="1"/>
                <w:iCs w:val="1"/>
                <w:color w:val="auto"/>
              </w:rPr>
              <w:t>Plan of Distribution</w:t>
            </w:r>
          </w:p>
        </w:tc>
      </w:tr>
      <w:tr>
        <w:trPr>
          <w:trHeight w:val="236"/>
        </w:trPr>
        <w:tc>
          <w:tcPr>
            <w:tcW w:w="2880" w:type="dxa"/>
            <w:vAlign w:val="bottom"/>
          </w:tcPr>
          <w:p>
            <w:pPr>
              <w:spacing w:after="0"/>
              <w:rPr>
                <w:sz w:val="20"/>
                <w:szCs w:val="20"/>
                <w:color w:val="auto"/>
              </w:rPr>
            </w:pPr>
          </w:p>
        </w:tc>
        <w:tc>
          <w:tcPr>
            <w:tcW w:w="8140" w:type="dxa"/>
            <w:vAlign w:val="bottom"/>
          </w:tcPr>
          <w:p>
            <w:pPr>
              <w:ind w:left="1340"/>
              <w:spacing w:after="0"/>
              <w:rPr>
                <w:sz w:val="20"/>
                <w:szCs w:val="20"/>
                <w:color w:val="auto"/>
              </w:rPr>
            </w:pPr>
            <w:r>
              <w:rPr>
                <w:rFonts w:ascii="Times New Roman" w:cs="Times New Roman" w:eastAsia="Times New Roman" w:hAnsi="Times New Roman"/>
                <w:sz w:val="18"/>
                <w:szCs w:val="18"/>
                <w:i w:val="1"/>
                <w:iCs w:val="1"/>
                <w:color w:val="auto"/>
              </w:rPr>
              <w:t>(Conflict of Interest) – Offer and Resale of Common Stock by the Selling Stockholder</w:t>
            </w:r>
            <w:r>
              <w:rPr>
                <w:rFonts w:ascii="Times New Roman" w:cs="Times New Roman" w:eastAsia="Times New Roman" w:hAnsi="Times New Roman"/>
                <w:sz w:val="18"/>
                <w:szCs w:val="18"/>
                <w:color w:val="auto"/>
              </w:rPr>
              <w:t>.”</w:t>
            </w:r>
          </w:p>
        </w:tc>
      </w:tr>
      <w:tr>
        <w:trPr>
          <w:trHeight w:val="172"/>
        </w:trPr>
        <w:tc>
          <w:tcPr>
            <w:tcW w:w="2880" w:type="dxa"/>
            <w:vAlign w:val="bottom"/>
            <w:tcBorders>
              <w:bottom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r>
      <w:tr>
        <w:trPr>
          <w:trHeight w:val="361"/>
        </w:trPr>
        <w:tc>
          <w:tcPr>
            <w:tcW w:w="2880" w:type="dxa"/>
            <w:vAlign w:val="bottom"/>
          </w:tcPr>
          <w:p>
            <w:pPr>
              <w:spacing w:after="0"/>
              <w:rPr>
                <w:sz w:val="24"/>
                <w:szCs w:val="24"/>
                <w:color w:val="auto"/>
              </w:rPr>
            </w:pPr>
          </w:p>
        </w:tc>
        <w:tc>
          <w:tcPr>
            <w:tcW w:w="814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140"/>
          </w:cols>
          <w:pgMar w:left="320" w:top="455" w:right="4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222250</wp:posOffset>
            </wp:positionV>
            <wp:extent cx="6998970" cy="12211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1221105"/>
                    </a:xfrm>
                    <a:prstGeom prst="rect">
                      <a:avLst/>
                    </a:prstGeom>
                    <a:noFill/>
                  </pic:spPr>
                </pic:pic>
              </a:graphicData>
            </a:graphic>
          </wp:anchor>
        </w:drawing>
      </w:r>
    </w:p>
    <w:p>
      <w:pPr>
        <w:sectPr>
          <w:pgSz w:w="11900" w:h="16838" w:orient="portrait"/>
          <w:cols w:equalWidth="0" w:num="1">
            <w:col w:w="10900"/>
          </w:cols>
          <w:pgMar w:left="320" w:top="455" w:right="67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15 and other information included in this prospectus for a discussion of factors you should carefully consider before deciding to invest in the securities being offered by this prospectus.</w:t>
      </w:r>
    </w:p>
    <w:p>
      <w:pPr>
        <w:spacing w:after="0" w:line="200"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Our Common Stock is listed and traded on Nasdaq under the symbol “BZAI.”</w:t>
      </w:r>
    </w:p>
    <w:p>
      <w:pPr>
        <w:spacing w:after="0" w:line="200"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spacing w:after="0" w:line="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For additional information concerning the offering, see “</w:t>
      </w:r>
      <w:r>
        <w:rPr>
          <w:rFonts w:ascii="Times New Roman" w:cs="Times New Roman" w:eastAsia="Times New Roman" w:hAnsi="Times New Roman"/>
          <w:sz w:val="17"/>
          <w:szCs w:val="17"/>
          <w:i w:val="1"/>
          <w:iCs w:val="1"/>
          <w:color w:val="auto"/>
        </w:rPr>
        <w:t>Plan of Distribution (Conflict of Interest</w:t>
      </w:r>
      <w:r>
        <w:rPr>
          <w:rFonts w:ascii="Times New Roman" w:cs="Times New Roman" w:eastAsia="Times New Roman" w:hAnsi="Times New Roman"/>
          <w:sz w:val="17"/>
          <w:szCs w:val="17"/>
          <w:color w:val="auto"/>
        </w:rPr>
        <w:t>).”</w:t>
      </w:r>
    </w:p>
    <w:p>
      <w:pPr>
        <w:spacing w:after="0" w:line="36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320" w:top="455" w:right="67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60"/>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and the other information in this prospectus before making an investment in our Common Stock. Our business, financial condition, results of operations, or prospects could be materially and adversely affected if any of these risks occurs, and as a result, the market price of our Common Stock could decline and you could lose all or part of your investment. This prospectus also contains forward-looking statements that are subject to risks and uncertainties. See “Cautionary Note Regarding Forward-Looking Statements.” Our actual results could differ materially and adversely from those anticipated in these forward-looking statements as a result of certain factors, including those set forth below.</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Committed Equity Facility</w:t>
      </w:r>
    </w:p>
    <w:p>
      <w:pPr>
        <w:spacing w:after="0" w:line="117"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of Common Stock, if any, we will sell under the Purchase Agreement to B. Riley Principal Capital II, or the actual gross proceeds resulting from those sales.</w:t>
      </w:r>
    </w:p>
    <w:p>
      <w:pPr>
        <w:spacing w:after="0" w:line="5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July 14, 2025, we entered into the Purchase Agreement with B. Riley Principal Capital II, pursuant to which B. Riley Principal Capital II has committed to purchase up to $50,000,000 of shares of our Common Stock, subject to certain limitations and conditions set forth in the Purchase Agreement. The shares of our Common Stock that may be issued under the Purchase Agreement may be sold by us to B. Riley Principal Capital II at our discretion from time to time for a period of up to 36 months (unless the Purchase Agreement is earlier terminated) beginning on the Commencement Date.</w:t>
      </w:r>
    </w:p>
    <w:p>
      <w:pPr>
        <w:spacing w:after="0" w:line="183"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We generally have the right to control the timing and amount of any sales of our shares of Common Stock to B. Riley Principal Capital II under the Purchase Agreement. Sales of our Common Stock, if any, to B. Riley Principal Capital II under the Purchase Agreement will depend upon market conditions and other factors to be determined by us. We may ultimately decide to sell to B. Riley Principal Capital II all, some or none of the shares of our Common Stock that may be available for us to sell to B. Riley Principal Capital II pursuant to the Purchase Agreement.</w:t>
      </w:r>
    </w:p>
    <w:p>
      <w:pPr>
        <w:spacing w:after="0" w:line="180"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Because the per share purchase price that B. Riley Principal Capital II will pay for Purchase Shares in any Market Open Purchase or Intraday Purchase that we may elect to effect pursuant to the Purchase Agreement will be determined by reference to the VWAP during the applicable Market Open Purchase Valuation Period or Intraday Purchase Valuation Period, respectively, on the applicable Purchase Date for such Market Open Purchase or Intraday Purchase (as the case may be), as of the date of this prospectus, it is not possible for us to predict the number of shares of Common Stock that we will sell to B. Riley Principal Capital II as Purchase Shares under the Purchase Agreement, the purchase price per share that B. Riley Principal Capital II will pay for Purchase Shares purchased from us under the Purchase Agreement, or the aggregate gross proceeds that we will receive from those purchases by B. Riley Principal Capital II under the Purchase Agreement.</w:t>
      </w:r>
    </w:p>
    <w:p>
      <w:pPr>
        <w:spacing w:after="0" w:line="18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Although the Purchase Agreement provides that we may sell up to an aggregate of $50,000,000 of our Common Stock to B. Riley Principal Capital II, only 20,326,158 BRPC Shares are being registered under the Securities Act for resale by B. Riley Principal Capital II under the registration statement that includes this prospectus, which include the 83,353 Commitment Shares that we issued, together with our payment of the Cash Commitment Fee, to B. Riley Principal Capital II upon our execution of the Purchase Agreement on July 15, 2025, as consideration for its commitment to purchase shares of our Common Stock at our direction from time to time under the Purchase Agreement. If it becomes necessary for us to issue and sell to B. Riley Principal Capital II under the Purchase Agreement more than the 20,242,805 Purchase Shares being registered under the Securities Act for resale by B. Riley Principal Capital II under the registration statement that includes this prospectus in order to receive aggregate gross proceeds equal to $50,000,000 under the Purchase Agreement, we must first (i) obtain stockholder approval to issue shares of Common Stock in excess of the Exchange Cap under the Purchase Agreement in accordance with applicable Nasdaq rules, unless the average price for all shares of our Common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Stock purchased by B. Riley Principal Capital II under the Purchase Agreement equals or exceeds $2.91 per share, such that the Exchange Cap limitation would not apply under applicable Nasdaq rules, and (ii) file with the SEC one or more additional registration statements to register under the Securities Act the resale by B. Riley Principal Capital II of any such additional shares of our Common Stock we wish to sell from time to time under the Purchase Agreement, which the SEC must declare effective, in each case before we may elect to sell any additional shares of our Common Stock to B. Riley Principal Capital II under the Purchase Agreement. Any issuance and sale by us under the Purchase Agreement of a substantial amount of shares of Common Stock in addition to the 20,326,158 BRPC Shares being registered for resale by B. Riley Principal Capital II under the registration statement that includes this prospectus could cause additional substantial dilution to our stockholders. The number of BRPC Shares ultimately offered for resale by B. Riley Principal Capital II through this prospectus is dependent upon the number of shares of Common Stock, if any, we elect to sell to B. Riley Principal Capital II under the Purchase Agreement from and after the Commencement Date.</w:t>
      </w:r>
    </w:p>
    <w:p>
      <w:pPr>
        <w:spacing w:after="0" w:line="292"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and issuance of our Common Stock to the Selling Stockholder will cause dilution to our existing stockholders, and the sale of BRPC Shares acquired by the Selling Stockholder, or the perception that such sales may occur, could cause the price of our Common Stock to fall.</w:t>
      </w:r>
    </w:p>
    <w:p>
      <w:pPr>
        <w:spacing w:after="0" w:line="5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purchase price for the shares that we may sell to the Selling Stockholder under the Purchase Agreement will fluctuate based on the price of our Common Stock. Depending on a number of factors, including market liquidity, sales of such shares may cause the trading price of our Common Stock to fall.</w:t>
      </w:r>
    </w:p>
    <w:p>
      <w:pPr>
        <w:spacing w:after="0" w:line="176" w:lineRule="exact"/>
        <w:rPr>
          <w:sz w:val="20"/>
          <w:szCs w:val="20"/>
          <w:color w:val="auto"/>
        </w:rPr>
      </w:pPr>
    </w:p>
    <w:p>
      <w:pPr>
        <w:jc w:val="both"/>
        <w:ind w:left="120" w:right="260"/>
        <w:spacing w:after="0" w:line="261" w:lineRule="auto"/>
        <w:rPr>
          <w:sz w:val="20"/>
          <w:szCs w:val="20"/>
          <w:color w:val="auto"/>
        </w:rPr>
      </w:pPr>
      <w:r>
        <w:rPr>
          <w:rFonts w:ascii="Times New Roman" w:cs="Times New Roman" w:eastAsia="Times New Roman" w:hAnsi="Times New Roman"/>
          <w:sz w:val="18"/>
          <w:szCs w:val="18"/>
          <w:color w:val="auto"/>
        </w:rPr>
        <w:t>The Selling Stockholder may resell all, some, or none of shares that we sell to the Selling Stockholder subsequent to the date of this prospectus at its discretion, subject to the terms of the Purchase Agreement. Therefore, sales to the Selling Stockholder by us could result in dilution to the interests of other holders of our Common Stock. Additionally, the sale of a substantial number of shares of our Common Stock to the Selling Stockholder, or the anticipation of such sales, could make it more difficult for us to sell equity or equity-related securities in the future at a desirable time and price.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Investors who buy BRPC Shares from the Selling Stockholder at different times will likely pay different prices.</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Pursuant to the Purchase Agreement, we will have discretion, subject to market demand, to vary the timing, price and number of shares of Common Stock sold to B. Riley Principal Capital II. If and when we elect to sell Common Stock to B. Riley Principal Capital II pursuant to the Purchase Agreement, after B. Riley Principal Capital II has acquired BRPC Shares, B. Riley Principal Capital II may resell all, some or none of such shares at any time or from time to time in its sole discretion and at different prices. As a result, investors who purchase shares from B. Riley Principal Capital II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B. Riley Principal Capital II in this offering as a result of future sales made by us to B. Riley Principal Capital II at prices lower than the prices such investors paid for their shares in this offering. In addition, if we sell a substantial number of shares to B. Riley Principal Capital II under the Purchase Agreement, or if investors expect that we will do so, the actual sales of shares or the mere existence of our arrangement with B. Riley Principal Capital</w:t>
      </w:r>
    </w:p>
    <w:p>
      <w:pPr>
        <w:spacing w:after="0" w:line="6" w:lineRule="exact"/>
        <w:rPr>
          <w:sz w:val="20"/>
          <w:szCs w:val="20"/>
          <w:color w:val="auto"/>
        </w:rPr>
      </w:pPr>
    </w:p>
    <w:p>
      <w:pPr>
        <w:ind w:left="120" w:right="140" w:hanging="4"/>
        <w:spacing w:after="0" w:line="260" w:lineRule="auto"/>
        <w:tabs>
          <w:tab w:leader="none" w:pos="2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make it more difficult for us to sell equity or equity-related securities in the future at a time and at a price that we might otherwise wish to effect such sales.</w:t>
      </w:r>
    </w:p>
    <w:p>
      <w:pPr>
        <w:spacing w:after="0" w:line="285"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use the net proceeds from sales of shares of our Common Stock made pursuant to the Purchase Agreement, if any, in ways with which you may not agree or in ways which may not yield a significant return.</w:t>
      </w:r>
    </w:p>
    <w:p>
      <w:pPr>
        <w:spacing w:after="0" w:line="5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We will have broad discretion over the use of the net proceeds from sales of shares of our Common Stock made pursuant to the Purchase Agreement, if any, including for any of the purposes described in the section entitled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and you will not have the opportunity, as part of your investment decision, to assess whether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proceeds are being used appropriately. However, we have not determined the specific allocation of any net proceeds among these potential uses, and the ultimate use of the net proceeds may vary from the currently intended uses. The net proceeds may be used for corporate purposes that do not increase our operating results or enhance the value of our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we may not be able to generate sufficient revenue to achieve and sustain profitability.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not yet achieved profitability. During the years ended December 31, 2024 and 2023, we incurred operating losses of $47.6 million and</w:t>
      </w:r>
    </w:p>
    <w:p>
      <w:pPr>
        <w:spacing w:after="0" w:line="27" w:lineRule="exact"/>
        <w:rPr>
          <w:sz w:val="20"/>
          <w:szCs w:val="20"/>
          <w:color w:val="auto"/>
        </w:rPr>
      </w:pPr>
    </w:p>
    <w:p>
      <w:pPr>
        <w:ind w:left="120" w:right="60"/>
        <w:spacing w:after="0" w:line="251" w:lineRule="auto"/>
        <w:rPr>
          <w:sz w:val="20"/>
          <w:szCs w:val="20"/>
          <w:color w:val="auto"/>
        </w:rPr>
      </w:pPr>
      <w:r>
        <w:rPr>
          <w:rFonts w:ascii="Times New Roman" w:cs="Times New Roman" w:eastAsia="Times New Roman" w:hAnsi="Times New Roman"/>
          <w:sz w:val="18"/>
          <w:szCs w:val="18"/>
          <w:color w:val="auto"/>
        </w:rPr>
        <w:t>$38.5 million, respectively, and used cash in operating activities of $53.5 million and $28.0 million, respectively. As of December 31, 2024, we had an accumulated deficit of $429.3 million. In recent periods, our revenue growth has been attributed to engineering services engagements with automotive partners as well as, beginning in the fourth quarter of 2022, to limited quantities of production product shipments to customers. We intend to continue investing heavily in sales and marketing efforts, but we may not be able to sustain or increase our growth or achieve profitability in the future. In addition, we expect to incur significant additional legal, accounting and other expenses related to us being a public company as compared to when we were a private company. If our revenue declines or fails to grow at a rate faster than these increases in our operating expenses, we will not be able to achieve and maintain profitability in future periods. As a result, we may continue to generate losses. We cannot assure you that we will achieve profitability in the future or that, if we do become profitable, we will be able to sustain profitability. In 2024, we commenced a program to develop our next-generation silicon products, which are expected to remain in development for at least two years before becoming available for sale. Such chip development is a highly complex process involving specialized third-party partners, and we cannot guarantee that the chip will initially perform as designed. Additionally, we may encounter unforeseen operating expenses, difficulties, complications, delays, and other unknown factors that may result in losses in future periods. If these losses exceed our expectations or our revenue growth expectations are not met in future periods, our financial performance will be harmed.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recent growth rates may not be indicative of our future growth.</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prior years revenue has largely consisted of engineering services revenue received from our strategic partners. We have developed a customer pipeline in recent years and are commencing the delivery of hardware and software solutions based on our production chip that came to market at the end of 2022. This pipeline is expected to convert into revenues from 2025/2026 onwards but it may not convert in the timeline we expect or at all. In future periods, we may not be able to sustain customer pipeline growth consistent with recent history, or at all. The conversion of our pipeline is also not guaranteed as there are several external dependencies that we do not control, before the end customer is ready to deploy AI solutions. Furthermore, we believe our revenue growth depends on a number of factors, including our ability to:</w:t>
      </w:r>
    </w:p>
    <w:p>
      <w:pPr>
        <w:spacing w:after="0" w:line="93"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eco-system of partners for hardware and software solutions;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customers and retain and increase sales to existing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our relationships with our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existing platform and products, introduce new functionality to our platform and develop new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into new market segments and internationally;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long-term revenue commitments from automotive Original Equipment Manufacturers (“OEMs”) and Tier-1 suppliers.</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may not accomplish any of these objectives and, as a result, it is difficult for us to forecast our future revenue or revenue growth. If our assumptions are incorrect or change in reaction to changes in our market, or if we are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unable to maintain consistent revenue or revenue growth, our stock price could be volatile, and it may be difficult to achieve and maintain profitability.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should not rely on our revenue for any prior periods as any indication of our future revenue or revenue growth.</w:t>
      </w:r>
    </w:p>
    <w:p>
      <w:pPr>
        <w:spacing w:after="0" w:line="311"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independent registered public accounting firm’s report contains an explanatory paragraph that expresses substantial doubt about our ability to continue as a going concern.</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Our independent registered public accounting firm has included in its report for the year ended December 31, 2024 an explanatory paragraph expressing substantial doubt about our ability to continue as a going concern. Our consolidated financial statements have been prepared on a going concern basis as the Company has incurred recurring operating losses and negative cash flows from operations, has an accumulated deficit, and has historically relied on cash proceeds from founders or other investors and other financing activities to fund operations. These conditions raise substantial doubt about its ability to continue as a going concern. The Company’s ability to continue to meet its obligations, to achieve its business objectives and continue as a going concern is dependent upon several factors, including the Company’s revenue growth rate,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issuances of additional debt financing and public or private equity offerings or other means. If additional financing is required from outside sources, the Company may not be able to raise it on terms acceptable to the Company or at all. If the Company is unable to raise additional capital when desired, the Company’s business, results of operations and financial condition would be materially and adversely affected. These factors raise substantial doubt about our ability to continue as a going concern. If we cannot continue as a viable entity, this could materially adversely affect the value of our securities.</w:t>
      </w:r>
    </w:p>
    <w:p>
      <w:pPr>
        <w:spacing w:after="0" w:line="294" w:lineRule="exact"/>
        <w:rPr>
          <w:sz w:val="20"/>
          <w:szCs w:val="20"/>
          <w:color w:val="auto"/>
        </w:rPr>
      </w:pPr>
    </w:p>
    <w:p>
      <w:pPr>
        <w:ind w:left="120"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partnerships with certain automotive OEMs and Tier-1 suppliers are long-term in nature and we will not receive firm purchase order commitments until we deliver our auto-grade chip.</w:t>
      </w:r>
    </w:p>
    <w:p>
      <w:pPr>
        <w:spacing w:after="0" w:line="5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We have been working with automotive partners for several years and secured long term joint development agreements for revenue predicated upon the Company delivering automotive-grade chips to them. The nature of Advanced Driving Assistance Systems (“ADAS”) is still evolving with OEMs continuing to develop their strategies. We believe that our technology is well positioned to be a key contributor in the solutions that are adopted but we do not control the pace at which the industry is moving to deploy ADAS of increasing complexity into their vehicles. Additionally, in 2023 and 2024, we teamed up with one automotive OEM, Mercedes-Benz North America Corporation (“Mercedes-Benz”), and their partner vendors to evaluate their requirements for an advanced L4 platform for which we have concluded a phase 1 evaluation.</w:t>
      </w:r>
    </w:p>
    <w:p>
      <w:pPr>
        <w:spacing w:after="0" w:line="18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anticipate that Blaize will be well positioned to resume this relationship with Mercedes-Benz once it has confirmed its ADAS roadmap and selected all other relevant partners for their next-level platform. However, Blaize has not yet entered into any contractual arrangements for this engagement and ADAS solutions with Mercedes-Benz based on Blaize’s technology are not expected to be in production until near the end of the decade. Our partnership with our main Tier-1 supplier, DENSO Corporation (“DENSO”) continues with projects centered around Blaize’s software and hardware offerings. Blaize intends to continue to build on our current relationships with Mercedes-Benz and DENSO and to establish new relationships with other automotive OEMs and Tier-1 and Tier-2 partners now and in the future but we do not believe Blaize is reliant on either of Mercedes-Benz or DENSO currently or in the future. Blaize’s product roadmap expects to have solutions for ADAS in production near the end of the decade and we anticipate recognizing revenues from these potential future partnerships with automotive OEMs and Tier-1 and Tier-2 partners.</w:t>
      </w:r>
    </w:p>
    <w:p>
      <w:pPr>
        <w:spacing w:after="0" w:line="192"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Our ability to continue to invest in developing automotive-grade chips and software depends upon having access to a large amount of capital that is expected to be sourced from revenues into other non-automotive markets, based on our current set of products. A shortfall in those revenues will significantly impact our automotive roadmap and automotive OEMs and Tier-1 and Tier-2 partners, including Mercedes-Benz and DENSO, may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choose to adopt competing technologies. If this occurs, it will be extremely difficult to retain our specialist automotive skills and there is a high risk of losing that expertise altogether.</w:t>
      </w:r>
    </w:p>
    <w:p>
      <w:pPr>
        <w:spacing w:after="0" w:line="266"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revenue and operating results will be harmed if we are unable to acquire new customers, retain existing customers, expand sales to our existing customers, terminate existing customer or partnership contracts or expand sales to our existing customers.</w:t>
      </w:r>
    </w:p>
    <w:p>
      <w:pPr>
        <w:spacing w:after="0" w:line="51"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The majority of revenues that Blaize has generated to date are through paid proof-of-concepts or NRE concepts. Our ability to increase revenue also depends, in part, on our ability to retain existing customers and to sell additional functionality and adjacent products and services to our existing and new customers. In order for us to maintain or improve our results of operations, it is important that our customers renew their contracts with us on the same or more favorable terms to us. Our ability to increase sales to existing customers and prospective customers depends on several factors, including their experience with using our products and our pricing model. Additionally, we or our counterparty may terminate existing or future contracts to which we are party, either for convenience or due to a default, and, in the future, if the portion of contracts that are subject to termination at the election of us or counterparties are material, any such termination may increase our costs and seriously harm our business, results of operations and financial condition.</w:t>
      </w:r>
    </w:p>
    <w:p>
      <w:pPr>
        <w:spacing w:after="0" w:line="171"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Our ability to generate revenue may be inconsistent across small and midsize businesses, mid-market, and large enterprise customers, including government agencies, both foreign and domestic. If we experience limited or inconsistent growth in any of these customer sets, particularly our large enterprise customers, our business, financial condition and operating results could be adversely affected.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implement our growth strategy on a timely basis or at all.</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Our future growth, profitability and cash flows depend upon our ability to successfully implement our growth strategy, which, in turn, is dependent upon a number of factors, including our ability to:</w:t>
      </w:r>
    </w:p>
    <w:p>
      <w:pPr>
        <w:spacing w:after="0" w:line="67"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current customer base;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new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our business model;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customer location footprint;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a consistent and timely supply chain;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presence within verticals;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innovate our product offerings;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selectively pursue strategic and value-enhancing acquisitions.</w:t>
      </w:r>
    </w:p>
    <w:p>
      <w:pPr>
        <w:spacing w:after="0" w:line="225"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can successfully achieve any or all of the above initiatives in the manner or time period that we expect. Further, achieving these objectives will require investments which may result in short-term costs without generating any current revenue and therefore may be dilutive to our earnings. We cannot provide any assurance that we will realize, in full or in part, the anticipated benefits we expect our strategy will achieve. The failure to realize those benefits could have a material adverse effect on our business, financial condition and results of operations.</w:t>
      </w:r>
    </w:p>
    <w:p>
      <w:pPr>
        <w:spacing w:after="0" w:line="284"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marketing and sales capabilities could harm our ability to increase our customer base and achieve broader market acceptance of our platform and products.</w:t>
      </w:r>
    </w:p>
    <w:p>
      <w:pPr>
        <w:spacing w:after="0" w:line="5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platform and products will depend on our ability to expand our marketing and sales operations. We plan to continue increasing the size of our sales force. We also plan to dedicate significant resources to sales and marketing programs, including developing an extensive third-party partner ecosystem. Our business and operating results will be harmed if our sales and marketing efforts do not generate a corresponding increase in revenue. We may not achieve anticipated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60"/>
        <w:spacing w:after="0" w:line="312" w:lineRule="auto"/>
        <w:rPr>
          <w:sz w:val="20"/>
          <w:szCs w:val="20"/>
          <w:color w:val="auto"/>
        </w:rPr>
      </w:pPr>
      <w:r>
        <w:rPr>
          <w:rFonts w:ascii="Times New Roman" w:cs="Times New Roman" w:eastAsia="Times New Roman" w:hAnsi="Times New Roman"/>
          <w:sz w:val="17"/>
          <w:szCs w:val="17"/>
          <w:color w:val="auto"/>
        </w:rPr>
        <w:t>revenue growth from increasing the size of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sales cycle with large enterprise customers can be long and unpredictable, and our sales efforts require considerable time and expense.</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timing of our sales with our large enterprise customers and related revenue recognition is difficult to predict because of the length and unpredictability of the sales cycle for these customers. Large enterprise customers, particularly those in highly regulated industries and those requiring customized applications, may have a lengthy sales cycle for the evaluation and implementation of our platform and/or sales of products. This may cause a delay between increasing operating expenses for such sales efforts and, upon successful sales, the generation of corresponding revenue.</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Customers often view our platform and products as a strategic decision with significant investment. As a result, customers frequently require considerable time to evaluate, test, and qualify our platform and products prior to entering into or expanding a subscription or purchase order. During the sales cycle, we expend significant time and money on sales and marketing and contract negotiation activities, which may not result in a sale. Additional factors that may influence the length and variability of our sales cycle include:</w:t>
      </w:r>
    </w:p>
    <w:p>
      <w:pPr>
        <w:spacing w:after="0" w:line="85"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force as we hire and train our new salespeople to sell to large enterprise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discretionary nature of purchasing and budget cycles and decisions;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obstacles placed by customers’ procurement process;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and other factors impacting customer budgets;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integration complexity;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familiarity with edge computing solutions;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evaluation of competing products during the purchasing process;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customer demands;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implementation of regulations that affect our ability to obtain customers in certain regions of the world outside of the United States;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implementation of regulations within the United States that impose supply chain and manufacturing location restrictions.</w:t>
      </w:r>
    </w:p>
    <w:p>
      <w:pPr>
        <w:spacing w:after="0" w:line="225"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Given these factors, it is difficult to predict whether and when a sale will be completed, and when revenue from a sale will be recognized. Consequently, a shortfall in demand for our platform and products or a decline in new or renewed contracts in a given period may not significantly reduce our revenue for that period but could negatively affect our revenue in future periods.</w:t>
      </w:r>
    </w:p>
    <w:p>
      <w:pPr>
        <w:spacing w:after="0" w:line="280"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or grow our brand recognition, our ability to expand our customer base will be impaired and our financial condition may suffer.</w:t>
      </w:r>
    </w:p>
    <w:p>
      <w:pPr>
        <w:spacing w:after="0" w:line="5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believe maintaining and growing our brand is important to supporting continued acceptance of our existing and future solutions, attracting new customers to our platform and products, and retaining existing customers. We also believe that the importance of brand recognition will increase as competition in our market increases. Successfully maintaining our brand will depend largely on the effectiveness of our marketing efforts, our ability to provide a reliable and useful platform and products to meet the needs of our customers at competitive prices, our ability to maintain our customers’ trust, our ability to continue to develop new functionality and solutions and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our ability to successfully differentiate our platform and products. Brand promotion activities may not generate customer awareness or yield increased revenue. Even if they do, any increased revenue may not offset the expenses we incurred in building our brand. If we fail to successfully promote and maintain our brand, we may fail to attract enough new customers or retain our existing customers to realize a sufficient return on our brand-building efforts, and our business could suffer.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 quality support, our business and reputation could suffer.</w:t>
      </w:r>
    </w:p>
    <w:p>
      <w:pPr>
        <w:spacing w:after="0" w:line="121" w:lineRule="exact"/>
        <w:rPr>
          <w:sz w:val="20"/>
          <w:szCs w:val="20"/>
          <w:color w:val="auto"/>
        </w:rPr>
      </w:pPr>
    </w:p>
    <w:p>
      <w:pPr>
        <w:jc w:val="both"/>
        <w:ind w:left="120" w:right="160"/>
        <w:spacing w:after="0" w:line="258" w:lineRule="auto"/>
        <w:rPr>
          <w:sz w:val="20"/>
          <w:szCs w:val="20"/>
          <w:color w:val="auto"/>
        </w:rPr>
      </w:pPr>
      <w:r>
        <w:rPr>
          <w:rFonts w:ascii="Times New Roman" w:cs="Times New Roman" w:eastAsia="Times New Roman" w:hAnsi="Times New Roman"/>
          <w:sz w:val="18"/>
          <w:szCs w:val="18"/>
          <w:color w:val="auto"/>
        </w:rPr>
        <w:t>Our customers rely on our personnel for support related to our subscription and customer solutions. High-quality support is important for the renewal and expansion of our agreements with existing customers. The importance of high-quality support will increase as we expand our business and pursue new customers, particularly large enterprise customers. If we do not help our customers quickly resolve issues and provide effective ongoing support, our ability to sell new software to existing and new customers could suffer and our reputation with existing or potential customers could be harmed. In many cases, we will rely upon third-party partners to provide first-line support.</w:t>
      </w:r>
    </w:p>
    <w:p>
      <w:pPr>
        <w:spacing w:after="0" w:line="183"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Our inability to hire technical support staff in a timely manner, whether due to market conditions or our own budget constraints, would also affect the quality of support for our customers and partners and could potentially result in business and reputational harms.</w:t>
      </w:r>
    </w:p>
    <w:p>
      <w:pPr>
        <w:spacing w:after="0" w:line="266"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timely supply of materials sourced from a limited number of suppliers, and are directly impacted by unexpected delays or problems from our third-party manufacturers.</w:t>
      </w:r>
    </w:p>
    <w:p>
      <w:pPr>
        <w:spacing w:after="0" w:line="51"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Any disruption in the supply chain, such as shortages, unexpected delays or price increases, could significantly impact our manufacturing process and financial stability. Additionally, we are highly dependent on third-party manufacturers for complex processes like wafer fabrication and assembly; therefore, any problems or unexpected delays from these third-party manufacturers could also negatively impact our business and financial performance.</w:t>
      </w:r>
    </w:p>
    <w:p>
      <w:pPr>
        <w:spacing w:after="0" w:line="262"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5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Our success depends to a significant extent on our and our joint ventures’ ability to attract and retain talent, specifically in senior management and skilled technical, engineering, project management and other key roles. Macroeconomic conditions, specifically labor shortages, increased competition for employees and wage inflation could have a material impact on our ability to attract and retain talent, our turnover rate and the cost of operating our business. If we are unable to attract and retain sufficient talent, minimize employee turnover or manage wage inflation, it could have a material adverse effect on our business, financial condition, results of operations or prospects.</w:t>
      </w:r>
    </w:p>
    <w:p>
      <w:pPr>
        <w:spacing w:after="0" w:line="183"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Further, we rely on certain external partners for critical manufacturing steps, including our wafer fabrication and assembly and testing processes which exposes us to significant risks. These processes are highly sensitive, and even minor contamination or technical glitches during wafer fabrication can render a substantial portion of the component unusable. Identifying such problems early in the production cycle and resolving them in a timely manner is often difficult, expensive and time consuming. Therefore, any issues that arise from our third-party manufacturers could lead to production delays, increased costs, and could potentially lead to a compromise in the quality and performance of our products, which could significantly impact our business and financial results.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Macroeconomic conditions could materially adversely affect our business, financial condition, results of operations, and prospects.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Macroeconomic conditions, such as persistent inflation, changes to monetary policy, high interest rates, volatile currency exchange rates, credit and debt concerns, decreasing consumer confidence and spending, including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capital spending, concerns about the stability and liquidity of certain financial institutions, the introduction of or changes in tariffs or trade barriers, pandemics and other health crises, and global recessions can adversely impact demand for our products, which could negatively impact our business, financial condition, results of operations, and prospects. Recent macroeconomic conditions have been adversely impacted by geopolitical instability and military hostilities in multiple geographies, including tariffs, the Russian invasion of Ukraine and the conflicts in the Middle East, and monetary and financial uncertainties.</w:t>
      </w:r>
    </w:p>
    <w:p>
      <w:pPr>
        <w:spacing w:after="0" w:line="18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impacts of these macroeconomic conditions, and the actions taken by governments, central banks, companies, and consumers in response, have resulted in, and may continue to result in, higher inflation in the United States and globally, which is likely, in turn, to lead to an increase in costs and may cause changes in fiscal and monetary policy, including additional increases in interest rates. Tariffs on equipment or materials that we may rely on or use for our products could cause our costs to increase. Other adverse impacts of recent macroeconomic conditions have been, and may continue to be, supply chain constraints, logistics challenges, liquidity concerns in the broader financial services industry, and fluctuations in labor availability.</w:t>
      </w:r>
    </w:p>
    <w:p>
      <w:pPr>
        <w:spacing w:after="0" w:line="183"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In a higher inflationary environment, we may be unable to raise the prices of our products sufficiently to keep up with the rate of inflation. A higher inflationary environment can also negatively impact equipment, material, and logistics costs that, in turn, may increase the costs of producing and distributing our products.</w:t>
      </w:r>
    </w:p>
    <w:p>
      <w:pPr>
        <w:spacing w:after="0" w:line="280"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manufacturers, including Samsung Foundry and Plexus, for producing our products, and in the event of a disruption in our supply chain, any efforts to develop alternative supply sources may not be successful or may take longer to take effect than anticipated.</w:t>
      </w:r>
    </w:p>
    <w:p>
      <w:pPr>
        <w:spacing w:after="0" w:line="5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 a fabless company, we do not manufacture its own semiconductor or SoC products and currently rely on third-party manufacturers, including Samsung Foundry and Plexus, to produce our products. Additionally, we have a design, manufacturing and sales agreement with VeriSilicon, Inc. (“VeriSilicon”) that provides us with design expertise, support and assistance, and certain deliverables, prototypes, products and services from VeriSilicon. We cannot be sure that these manufacturers will remain in business, or that they will not be purchased by one of our competitors or another company that is not interested in continuing to produce these products for our intended purpose. Our reliance on these third-party manufacturers subjects us to a number of risks that include, among other things:</w:t>
      </w:r>
    </w:p>
    <w:p>
      <w:pPr>
        <w:spacing w:after="0" w:line="93"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of supply resulting from modifications to or discontinuation of a manufacturer’s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 shipments resulting from uncorrected defects, reliability issues or a manufacturer’s variation in a component;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long-term supply arrangements with our manufacturers;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in delivery due to its suppliers’ prioritizing other customer orders over ours;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caused by defective products produced by our suppliers;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delivery by our suppliers due to changes in demand from our or their other customers;</w:t>
      </w:r>
    </w:p>
    <w:p>
      <w:pPr>
        <w:spacing w:after="0" w:line="130" w:lineRule="exact"/>
        <w:rPr>
          <w:rFonts w:ascii="Times New Roman" w:cs="Times New Roman" w:eastAsia="Times New Roman" w:hAnsi="Times New Roman"/>
          <w:sz w:val="18"/>
          <w:szCs w:val="18"/>
          <w:color w:val="auto"/>
        </w:rPr>
      </w:pPr>
    </w:p>
    <w:p>
      <w:pPr>
        <w:ind w:left="1080" w:right="8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shortages, delivery delays and potential discontinuation of supply as a result of any recurrence of pandemics such as COVID-19, or other reasons outside our control;</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legal and economic changes, crises or instability and civil unrest in the jurisdictions where our manufacturers’ plants are located, such as changes in China-Taiwan relations that may adversely affect our manufacturers’ and suppliers’ operations;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conversion risks and exchange rate fluctuations;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requirements of U.S. customs and international trade regulations.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Although our semiconductor or SoC products could be produced by other manufacturers, any attempt to transition our supply arrangement to one or more other manufacturers could entail significant coordination and expense and could lead to delays in production. If we are unable to arrange for sufficient production capacity among our contract manufacturers or if our contract manufacturers encounter production, quality, financial, or other difficulties, we may encounter difficulty in meeting customer demands as it seeks alternative sources of supply, or it may have to make financial accommodations to such contract manufacturers or otherwise take steps to mitigate supply disruption. Any alternative manufacturers may be unable or unwilling to meet our and our customers’ specifications. In addition, we may experience supply shortages from some of its suppliers such as what it experienced as a result of the COVID-19 lockdown in China. Any disruption in supply from any supplier or manufacturing location could lead to supply delays or interruptions that could damage our business or financial condition. If any of the risks discussed above materialize, costs could significantly increase, and our ability to meet demand for its products could be impacted.</w:t>
      </w:r>
    </w:p>
    <w:p>
      <w:pPr>
        <w:spacing w:after="0" w:line="292" w:lineRule="exact"/>
        <w:rPr>
          <w:sz w:val="20"/>
          <w:szCs w:val="20"/>
          <w:color w:val="auto"/>
        </w:rPr>
      </w:pPr>
    </w:p>
    <w:p>
      <w:pPr>
        <w:ind w:left="120" w:right="5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improve and enhance the functionality, performance, reliability, design, security and scalability of our platform and products and innovate and introduce new solutions in a manner that responds to our customers’ evolving needs, our business may be adversely affected.</w:t>
      </w:r>
    </w:p>
    <w:p>
      <w:pPr>
        <w:spacing w:after="0" w:line="28"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markets in which we compete are characterized by constant change and innovation and we expect them to continue to evolve rapidly, including the potential that our industry transitions to alternative algorithmic approaches to machine learning and artificial intelligence, such as Transformer models. Our success has been based on our ability to identify and anticipate the needs of our customers and design a platform and products that provide them with the breadth of tools that are required. Our ability to attract new customers, retain revenue from existing customers and increase sales to both new and existing customers will depend in large part on our ability to continue to improve and enhance the functionality, performance, reliability, design, security and scalability of our platform and products and to innovate and introduce new solutions. Additionally, our investment in the design of new chips depends on our ability to anticipate market trends and the competitive landscape more than two years in advance.</w:t>
      </w:r>
    </w:p>
    <w:p>
      <w:pPr>
        <w:spacing w:after="0" w:line="18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We expect that new services and technologies applicable to the industries in which we operate will continue to emerge and evolve, including developments in artificial intelligence and edge computing. These new products and technologies may be superior to, impair or render obsolete our platform and the products we currently offer or the technologies we currently use to provide them. We have in the past, and may experience in the future, difficulties with software development that could delay or prevent the development, introduction or implementation of new solutions and enhancements. Software development involves a significant amount of time, resources and cost for our research and development team, as it can take our developers months to update, code and test new and upgraded solutions and integrate them into our platform and products. We must also continually update, test and enhance our software platforms. The continual improvement and enhancement of our platform and products requires significant investment and we may not have the resources to make such investment. Our improvements and enhancements may not result in our ability to recoup our investments in a timely manner or at all. We may make significant investments in new solutions or enhancements that may not achieve expected returns. The success of any enhancement or new solution depends on several factors, including the timely completion and market acceptance of the enhancement or new solution. Our ability to develop new enhancements or solutions may also be inhibited by industry-wide standards, laws and regulations, resistance to change by customers, difficulties relating to integration or compatibility with third-party software or hardware or third parties’ intellectual property rights.</w:t>
      </w:r>
    </w:p>
    <w:p>
      <w:pPr>
        <w:spacing w:after="0" w:line="18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Any new solution we develop or acquire might not be introduced in a timely or cost-effective manner and might not achieve the broad market acceptance necessary to generate significant revenue. Improving and enhancing the functionality, performance, reliability, design, security and scalability of our platform and products is expensive, time-consuming and complex, and to the extent we are not able to do so in a manner that responds to our customers’ evolving needs, our business, operating results and financial condition will be adversely affected.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driving the global deployment and customer adoption of digital offerings characterized by digital applications and solutions.</w:t>
      </w:r>
    </w:p>
    <w:p>
      <w:pPr>
        <w:spacing w:after="0" w:line="5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business involves cloud, edge, AI (including generative AI) and software solutions based on existing AI models, and we are devoting significant resources to develop and deploy such strategies. Our success with these solutions will depend on the level of adoption of our offerings. We incur costs to develop cloud, edge, AI and software solutions and to build and maintain infrastructure to support cloud and edge computing offerings. Success with these solutions depends on execution in many areas, including:</w:t>
      </w:r>
    </w:p>
    <w:p>
      <w:pPr>
        <w:spacing w:after="0" w:line="85" w:lineRule="exact"/>
        <w:rPr>
          <w:sz w:val="20"/>
          <w:szCs w:val="20"/>
          <w:color w:val="auto"/>
        </w:rPr>
      </w:pPr>
    </w:p>
    <w:p>
      <w:pPr>
        <w:ind w:left="1080" w:right="54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the utility, compatibility, and performance of our cloud, edge, AI and software solutions (including the reliability of our third-party software vendors, network and cloud providers) on a growing array of medical devices, software and equipment;</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enhance the attractiveness of our solutions to our customers in the face of increasing competition from a significant number of existing and new entrants in the market, while ensuring these solutions meet their reliability and security expectations;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lasting relationships with key server and edge-AI box manufacturers;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these solutions meet regulatory requirements in a fast-moving space disrupted by changing regulations around data privacy and the need for innovation, including obtaining marketing authorizations when required;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ever-changing geopolitical regulations on advanced technologies, including AI technologies.</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It is uncertain whether our strategies will attract customers or generate revenue required to succeed in this highly competitive and rapidly changing global market. We commit substantial efforts, funds, and other resources to research and development and information technology infrastructure for our digital offerings, and the risk of failure is inherent. Even where our digital offerings satisfy applicable regulations and reimbursement policies, customers may not adopt them due to concerns about the security of personal data or the absence of digital infrastructure to support and effectively use the offerings, a hesitancy to embrace new technology, or for other reasons. We also may not effectively execute organizational and technical changes to accelerate innovation and execution. In a number of countries, certain cloud, edge, AI and software solutions are restricted areas of foreign investment. Collaborating with a domestic, qualified third party will increase costs and may create uncertainties in such jurisdictions. The legality or validity of any collaboration may be challenged or subjected to scrutiny in such jurisdictions and the relevant governmental authorities have broad discretion in addressing such arrangements. Any of these risks could have a material adverse effect on our business results, cash flows, financial condition, or prospects.</w:t>
      </w:r>
    </w:p>
    <w:p>
      <w:pPr>
        <w:spacing w:after="0" w:line="19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Additionally, we may be making significant investments in AI initiatives and are building AI into many of our digital offerings. We are planning to leverage generative AI such as large language models across our portfolios to build differentiated products and solutions and deploy those solutions through various modalities for our customers, including on the device, via edge or data centers, and/or via the cloud. Using AI in this manner presents risks and challenges that could affect its adoption, acceptance and effectiveness, including flawed AI algorithms, insufficient, overbroad or biased datasets, unauthorized access to personal data, lack of acceptance from our customers or failure to deliver positive outcomes. We contract with numerous third parties to offer our digital content to customers as well as to assist with the development of their own software applications and services, and our reliance on access to these third parties’ digital applications, which may not continue to be available to us on commercially reasonable terms, or at all, could impact our ability to offer a wide variety of our own digital offerings at reasonable prices with acceptable usage tools, or continue to expand our geographic reach. The occurrence of any of the above could have a material adverse effect on our business results, cash flows, financial condition or prospects.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be unable to execute our business plan, maintain high levels of service and customer satisfaction or adequately address competitive challenges.</w:t>
      </w:r>
    </w:p>
    <w:p>
      <w:pPr>
        <w:spacing w:after="0" w:line="5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may experience rapid growth and organizational change, which may place significant demands on our management and our operational and financial resources. We may also experience growth in the number of customers and the amount of data that our hosting infrastructure supports. Our success will depend in part on our ability to manage this growth effectively. We will require significant capital expenditures and valuable management resources to grow without undermining our culture of innovation, teamwork and attention to customer success, which has been central to our growth so far. If we fail to manage our anticipated growth and change in a manner that preserves our corporate culture, it could negatively affect our reputation and ability to retain and attract customers and employees.</w:t>
      </w:r>
    </w:p>
    <w:p>
      <w:pPr>
        <w:spacing w:after="0" w:line="187"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We intend to expand our international operations in the future. Our expansion will continue to place a significant strain on our managerial, administrative, financial and other resources. If we are unable to manage our growth successfully, our business and results of operations could suffer. It is important that we maintain a high level of customer service and satisfaction as we expand our business. As our customer base continues to grow, we will need to expand our account management, customer service and other personnel. Failure to manage growth could result in difficulty or delays in launching improvements to our platform or our products, declines in quality or customer satisfaction, increases in costs, difficulties in introducing new features or other operational difficulties. Any of these could adversely impact our business performance and results of operations.</w:t>
      </w:r>
    </w:p>
    <w:p>
      <w:pPr>
        <w:spacing w:after="0" w:line="291"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or invest in companies, which may divert our management’s attention and result in additional dilution to our stockholders. We may be unable to integrate acquired businesses and technologies successfully or achieve the expected benefits of such acquisitions.</w:t>
      </w:r>
    </w:p>
    <w:p>
      <w:pPr>
        <w:spacing w:after="0" w:line="5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may evaluate and consider potential strategic transactions, including acquisitions of, or investments in, businesses, technologies, services, products and other assets in the future. An acquisition, investment or business relationship may result in unforeseen operating difficulties and expenditures. In particular, we may encounter difficulties assimilating or integrating the businesses, technologies, products, personnel or operations of the acquired companies. Key personnel of the acquired companies may choose not to work for us, their software may not be easily adapted to work with ours, or we may have difficulty retaining the customers of any acquired business due to changes in ownership, management or otherwise. We may also experience difficulties integrating personnel of the acquired company into our business and culture. Acquisitions may also disrupt our business, divert our resources and require significant management attention that would otherwise be available for development of our existing business. The anticipated benefits of any acquisition, investment or business relationship may not be realized or we may be exposed to unknown risks or liabilities.</w:t>
      </w:r>
    </w:p>
    <w:p>
      <w:pPr>
        <w:spacing w:after="0" w:line="192"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Negotiating these transactions can be time-consuming, difficult and expensive, and our ability to close these transactions may often be subject to approvals that are beyond our control. Consequently, these transactions, even if undertaken and announced, may not close. For one or more of those transactions, we may:</w:t>
      </w:r>
    </w:p>
    <w:p>
      <w:pPr>
        <w:spacing w:after="0" w:line="8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additional equity securities that would dilute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cash that we may need in the future to operate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on terms unfavorable to us or that we are unable to repay;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large charges or substantial liabilities;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difficulties retaining key employees of the acquired company or integrating diverse software codes or business cultures;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subject to adverse tax consequences, substantial depreciation, or deferred compensation charges.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w:t>
      </w:r>
    </w:p>
    <w:p>
      <w:pPr>
        <w:spacing w:after="0" w:line="67"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semiconductor sector is intensely competitive, marked by swift technological advancements, short product lifecycles, price erosion, and constantly evolving benchmarks. Maintaining or improving our business requires constant innovation and timely, cost-effective launches. Our success hinges on our ability to innovate and launch new products and affordably meet shifting industry demands.</w:t>
      </w:r>
    </w:p>
    <w:p>
      <w:pPr>
        <w:spacing w:after="0" w:line="17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However, significant investment is needed to develop cutting-edge technologies and products, and some of our competitors may have greater resources than us. If these competitors ramp up their research and development and marketing efforts, we may struggle to compete effectively.</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market for edge computing solutions is also evolving and highly competitive. We expect competition to increase in the future from established competitors and new market entrants. With the introduction of new technologies and the entry of new companies into the market, we expect competition to persist and intensify in the future. This could harm our ability to increase sales, maintain or increase renewals, and maintain our prices. We face intense competition from other companies that may offer related platforms and products.</w:t>
      </w:r>
    </w:p>
    <w:p>
      <w:pPr>
        <w:spacing w:after="0" w:line="18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Merger and acquisition activity in the technology industry could increase the likelihood that we compete with large technology companies. Many of our existing competitors have, and our potential competitors could have, substantial competitive advantages such as greater name recognition, longer operating histories, larger sales and marketing budgets and resources, greater customer support resources, lower labor and development costs, better terms and pricing from Electronic Design Automation (“eDA”) suppliers, design partners, part suppliers and chip, board and system manufacturers, larger and more mature intellectual property portfolios and substantially greater financial, technical and other resources.</w:t>
      </w:r>
    </w:p>
    <w:p>
      <w:pPr>
        <w:spacing w:after="0" w:line="183"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Some of our larger competitors also have substantially broader product lines and market focus and will therefore not be as susceptible to downturns in a particular market. Conditions in our market could change rapidly and significantly as a result of technological advancements, partnering by our competitors or continuing market consolidation. New start-up companies that innovate, and large companies that are making significant investments in research and development, may invent similar or superior products and technologies that compete with our platform and products. In addition, some of our competitors may enter into new alliances with each other or may establish or strengthen cooperative relationships with agency partners, technology and application providers in complementary categories or other parties. Any such consolidation, acquisition, alliance or cooperative relationship could lead to pricing pressure, a loss of market share or a smaller addressable share of the market. It could also result in a competitor with greater financial, technical, marketing, service and other resources, all of which could harm our ability to compete.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reduce or change our pricing model to remain competitive.</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price our platform and products based on delivering a compelling Total Cost of Ownership (“TCO”) advantage to customers. However, the completed product may have hardware and software components from our third-party ecosystem partners which affects our ability to control pricing. We expect that we may need to change our pricing from time to time. As new or existing competitors introduce products that compete with ours or reduce their prices, we may be unable to attract new customers or retain existing customers. We also must determine the appropriate price to enable us to compete effectively internationally. Large enterprise customers may demand substantial price discounts as part of the negotiation of sales contracts. As a result, we may be required or choose to reduce our prices or otherwise change our pricing model, which could adversely affect our business, operating results and financial condition.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and changing customer needs or preferences, our platform and products may become less competitive.</w:t>
      </w:r>
    </w:p>
    <w:p>
      <w:pPr>
        <w:spacing w:after="0" w:line="5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edge computing industry is subject to rapid technological change, evolving industry standards and practices and changing customer needs and preferences. The success of our business will depend, in part, on our ability to adapt and respond effectively to these changes on a timely basis. We may introduce significant changes to our platform and products or develop and introduce new and unproven products, including using technologies with which we have little or no prior development or operating experience. If we are unable to develop and sell new technology, features and functionality for our platform and products that satisfy our customers and that keep pace with rapid technological and industry change, our revenue and operating results could be adversely affected. If new technologies emerge that deliver competitive solutions at lower prices, more efficiently, more conveniently or more securely, it could adversely impact our ability to compete.</w:t>
      </w:r>
    </w:p>
    <w:p>
      <w:pPr>
        <w:spacing w:after="0" w:line="18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dominant market-leader in AI has proprietary software around which existing customers have developed and deployed their applications. We acknowledge that our platform must also integrate with a variety of network, hardware, mobile and software platforms and technologies. Customers may choose to continue to operate with the incumbent software which will make it hard for us to break into the market. We may decide to modify and enhance our platform and AI models to adapt to changes and innovation in these technologies. If businesses widely adopt new technologies, we would have to develop new functionality for our platform to work with those new technologies. This development effort may require significant engineering, marketing and sales resources, all of which would affect our business and operating results. Any failure of our platform to operate effectively with future technologies could reduce the demand for our platform. If we are unable to respond to these changes in a cost-effective manner, our platform may become less marketable and less competitive or obsolete, and our operating results may be negatively affected.</w:t>
      </w:r>
    </w:p>
    <w:p>
      <w:pPr>
        <w:spacing w:after="0" w:line="19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novelty of AI, especially as it relates to regulatory matters, safety of AI-driven technology, and security of AI-driven products, exposes us to a higher risk of unforeseen liabilities that can represent a substantial burden on Blaize’s finances to defend against lawsuits or detrimental publicity, or to comply with new regulations imposed on AI technologies or products.</w:t>
      </w:r>
    </w:p>
    <w:p>
      <w:pPr>
        <w:spacing w:after="0" w:line="176"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Our current chip was designed over 3 years ago and it is possible that in certain situations, it may not be competitive in performance and features. This will impact our ability to deliver the revenue forecast until the next-generation chip is available and we may lose key customer opportunities in the meantime.</w:t>
      </w:r>
    </w:p>
    <w:p>
      <w:pPr>
        <w:spacing w:after="0" w:line="280"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included in this prospectus may prove to be inaccurate. Even if the market in which we compete achieves the forecasted growth, our business could fail to grow at similar rates, if at all.</w:t>
      </w:r>
    </w:p>
    <w:p>
      <w:pPr>
        <w:spacing w:after="0" w:line="5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market for edge computing solutions is relatively new and will experience changes over time. Edge computing market estimates and growth forecasts are uncertain and based on assumptions and estimates that may be inaccurate. Our addressable market depends on a number of factors, including businesses’ desire to differentiate themselves through partnership opportunities, changes in the competitive landscape, technological changes, data security or privacy concerns, customer budgetary constraints, changes in business practices, changes in the regulatory environment and changes in economic conditions. Even if the market in which we compete meets the size estimates and growth rates we forecast, our business could fail to grow at similar rates, if at all.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anticipate that our operations will continue to increase in complexity as we grow, which will create management challenges.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Our business is expected to experience growth and is complex. We expect this growth would cause our operations to become increasingly complex. To manage this expected growth, we continue to make substantial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54" w:lineRule="auto"/>
        <w:rPr>
          <w:sz w:val="20"/>
          <w:szCs w:val="20"/>
          <w:color w:val="auto"/>
        </w:rPr>
      </w:pPr>
      <w:r>
        <w:rPr>
          <w:rFonts w:ascii="Times New Roman" w:cs="Times New Roman" w:eastAsia="Times New Roman" w:hAnsi="Times New Roman"/>
          <w:sz w:val="18"/>
          <w:szCs w:val="18"/>
          <w:color w:val="auto"/>
        </w:rPr>
        <w:t>investments to improve our operational, financial and management controls, as well as our reporting systems and procedures. We may not be able to implement and scale improvements to our systems and processes in a timely or efficient manner or in a manner that does not negatively affect our operating results. For example, we may not be able to effectively monitor certain extraordinary contract requirements or individually negotiated provisions as the number of transactions grows. Our systems and processes may not prevent or detect all errors, omissions or fraud. We may have difficulty managing improvements to our systems, processes and controls or in connection with third-party software. This could impair our ability to provide our platform or products to our customers, causing us to lose customers, limiting our platform or products to less significant updates or increasing our technical support costs. If we are unable to manage this complexity, our business, operations, operating results and financial condition may suffer.</w:t>
      </w:r>
    </w:p>
    <w:p>
      <w:pPr>
        <w:spacing w:after="0" w:line="192" w:lineRule="exact"/>
        <w:rPr>
          <w:sz w:val="20"/>
          <w:szCs w:val="20"/>
          <w:color w:val="auto"/>
        </w:rPr>
      </w:pPr>
    </w:p>
    <w:p>
      <w:pPr>
        <w:jc w:val="both"/>
        <w:ind w:left="120" w:right="260"/>
        <w:spacing w:after="0" w:line="258" w:lineRule="auto"/>
        <w:rPr>
          <w:sz w:val="20"/>
          <w:szCs w:val="20"/>
          <w:color w:val="auto"/>
        </w:rPr>
      </w:pPr>
      <w:r>
        <w:rPr>
          <w:rFonts w:ascii="Times New Roman" w:cs="Times New Roman" w:eastAsia="Times New Roman" w:hAnsi="Times New Roman"/>
          <w:sz w:val="18"/>
          <w:szCs w:val="18"/>
          <w:color w:val="auto"/>
        </w:rPr>
        <w:t>As our customer base grows, we will need to expand our services and other personnel, and maintain and enhance our partnerships, to provide a high level of customer service. We also will need to manage our sales processes as our sales personnel and partner network continue to grow and become more complex, and as we continue to expand into new geographies and market segments. If we do not effectively manage this increasing complexity, the quality of our platform, products and customer service could suffer, and we may not be able to adequately address competitive challenges. These factors could impair our ability to attract and retain customers and expand our customers’ use of our platform and products.</w:t>
      </w:r>
    </w:p>
    <w:p>
      <w:pPr>
        <w:spacing w:after="0" w:line="287"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key employees or an inability to attract and retain highly skilled employees may adversely affect our business.</w:t>
      </w:r>
    </w:p>
    <w:p>
      <w:pPr>
        <w:spacing w:after="0" w:line="5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certain key employees, whom we rely on for research and development, marketing, sales, services and general and administrative functions. From time to time, our executive management team may change from the hiring or departure of executives, which could disrupt our business. Other than the employment agreements with our founders, we do not have employment agreements with our executive officers or other key personnel that require them to continue to work for us for any specified period; therefore, they could terminate their employment with us at any time. The loss of one or more of our executive officers or key employees could have a serious adverse effect on our business.</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To execute our growth plan, we must attract and retain highly qualified personnel. Competition for these personnel is intense. If we are unable to attract such personnel in cities where we are located, we may need to hire in other locations, which may add to the complexity and costs of our business operations.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stock awards they receive in connection with their employment. If the perceived value of our stock awards declines, it may adversely affect our ability to recruit and retain highly skilled employees. If we fail to attract new personnel or fail to retain and motivate our current personnel, it could adversely affect our business and future growth prospects.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retain and motivate qualified personnel, our business will suffer.</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Our ability to identify, hire, develop, motivate and retain qualified personnel will directly affect our ability to maintain and grow our business, and such efforts will require significant time, expense and attention. The inability to attract or retain qualified personnel or delays in hiring required personnel may seriously harm our business, financial condition and operating results. Our ability to continue to attract and retain highly skilled personnel, specifically employees with technical and engineering skills and employees with high levels of experience in designing and developing software and automotive solutions, will be critical to our future success. In addition, to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extent we hire personnel from competitors, we may be subject to allegations that they have been improperly solicited or have divulged proprietary or other confidential information.</w:t>
      </w:r>
    </w:p>
    <w:p>
      <w:pPr>
        <w:spacing w:after="0" w:line="162"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Wage inflation in certain geographies in which Blaize competes for highly skilled talent has been extremely high in the past few years. Although we have managed to retain our key employees, there has still been some level of attrition and there is no guarantee that we will be able to continue to retain these key employees or respond to these conditions if these trends continue.</w:t>
      </w:r>
    </w:p>
    <w:p>
      <w:pPr>
        <w:spacing w:after="0" w:line="176"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While we have in the past and intend to continue to issue options or other equity awards as key components of our overall compensation and employee attraction and retention efforts, we are required under accounting principles generally accepted in the United States of America (“GAAP”) to recognize compensation expense in our operating results for employee stock-based compensation under our equity grant programs, which may increase the pressure to limit stock-based compensation.</w:t>
      </w:r>
    </w:p>
    <w:p>
      <w:pPr>
        <w:spacing w:after="0" w:line="284"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our corporate culture as we grow, we could lose the innovation, teamwork, passion and focus on execution that we believe contribute to our success, and our business may be harmed.</w:t>
      </w:r>
    </w:p>
    <w:p>
      <w:pPr>
        <w:spacing w:after="0" w:line="5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We believe a portion of our success has been our corporate culture. We have invested substantial time and resources in building our team. As we grow and develop our infrastructure as a public company, our operations may become increasingly complex. We may find it difficult to maintain these important aspects of our corporate culture. Any failure to preserve our culture could negatively affect our future success, including our ability to retain and recruit personnel, and to effectively focus on and pursue our corporate objectives.</w:t>
      </w:r>
    </w:p>
    <w:p>
      <w:pPr>
        <w:spacing w:after="0" w:line="284"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software or hardware contains serious errors or defects, we may lose revenue and market acceptance and may incur costs to defend or settle claims with our customers.</w:t>
      </w:r>
    </w:p>
    <w:p>
      <w:pPr>
        <w:spacing w:after="0" w:line="5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Software and hardware such as ours often contain errors, defects, security vulnerabilities or software bugs that are difficult to detect and correct, particularly when first introduced or when new versions or enhancements are released. Despite internal testing, our platform and products may contain serious errors or defects, security vulnerabilities or software bugs that we may be unable to successfully correct in a timely manner or at all, which could result in lost revenue, significant expenditures of capital, a delay or loss in market acceptance and damage to our reputation and brand, any of which could have an adverse effect on our business, financial condition and results of operations. To the extent we deploy new versions or enhancements to our platform or products that contain errors, defects, security vulnerabilities or software bugs, the consequences may be severe. Such defects could expose us to product liability claims, litigation or regulatory action.</w:t>
      </w:r>
    </w:p>
    <w:p>
      <w:pPr>
        <w:spacing w:after="0" w:line="18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Errors, defects, security vulnerabilities, service interruptions or software bugs in our platform or products could result in losses to our customers. Our customers may seek significant compensation from us for any losses they suffer or cease conducting business with us altogether. Further, a customer could share information about bad experiences on social media, which could result in damage to our reputation and loss of future sales. There can be no assurance that provisions typically included in our agreements with our customers that attempt to limit our exposure to claims would be enforceable or adequate or would otherwise protect us from liabilities or damages with respect to any particular claim. Even if not successful, a claim brought against us by any of our customers would likely be time-consuming and costly to defend and could seriously damage our reputation and brand, making it harder for us to sell our solutions.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process proprietary, confidential and personal information of our employees, as well as employees of our customers and third parties with which we do business, in addition to any personal information that may be uploaded to our services by our customers, which may subject us to certain laws regarding their privacy and security of such personal information. If we fail to comply with applicable laws or if the security of this information is compromised or is otherwise accessed without authorization, our reputation may be harmed and we may be exposed to liability and loss of business.</w:t>
      </w:r>
    </w:p>
    <w:p>
      <w:pPr>
        <w:spacing w:after="0" w:line="57"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As part of our normal business activities, we collect, transmit, use, disclose store and otherwise process proprietary, confidential and personal information (“Confidential Information”) of our employees, employees of our customers and other third parties with which we do business and any personal information that may be uploaded to our services by our customers. As such, we are subject to federal and state and foreign laws regarding cybersecurity and the protection of data. Many jurisdictions have enacted laws requiring companies to notify individuals of security breaches involving certain types of personal information. The regulatory environment surrounding information security and privacy is increasingly demanding, with frequent imposition of new and changing requirements that are subject to differing interpretations.</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use third-party service providers and subprocessors to help us deliver services to our customers. These service providers and subprocessors may also collect, transmit, use, disclose, store and otherwise process Confidential Information. Such Confidential Information, and the information technology systems (“IT Systems”) that store such information, face numerous and evolving cybersecurity risks that threaten the confidentiality, integrity and availability of such IT Systems and Confidential Information, including as a result of third-party action, employee or contractor error or malfeasance, nation state malfeasance, malware, phishing, computer hackers, system error, software, viruses, bugs or defects, process failure or otherwise. Any of these could result in the failure of our IT Systems or the loss of Confidential Information.</w:t>
      </w:r>
    </w:p>
    <w:p>
      <w:pPr>
        <w:spacing w:after="0" w:line="187"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Information security risks for companies such as ours have significantly increased in recent years in part because of the proliferation of new technologies, the use of internet and telecommunications technologies to conduct financial transactions and the increased sophistication and activities of organized crime, hackers, terrorists and other external parties, as well as nation-state and nation-state-supported actors.</w:t>
      </w:r>
    </w:p>
    <w:p>
      <w:pPr>
        <w:spacing w:after="0" w:line="176"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Because the techniques and tools (including AI) used to obtain unauthorized access or sabotage systems change frequently, may originate from less regulated and remote areas of the world and be difficult to detect and generally are not identified until they are launched against a target, we may be unable to anticipate these techniques or to implement adequate preventative measures. Even if such a data breach did not arise out of our action or inaction, or even if it were to solely affect one or more of our competitors or our customers, the resulting concern could negatively affect our customers and our business. Concerns regarding data privacy and security may cause some of our customers to stop using our platform or products. In addition, failures to meet our customers’ expectations with respect to security and confidentiality of their data and information could damage our reputation and affect our ability to retain customers, attract new customers and grow our business.</w:t>
      </w:r>
    </w:p>
    <w:p>
      <w:pPr>
        <w:spacing w:after="0" w:line="18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breaches of security, we may fail to properly assess and understand the risks and cannot guarantee that these measures will be effective. Like other companies, we have been the subject of various cyber incidents. While we believe these incidents have not been material, we cannot guarantee that any future will not have a material impact.</w:t>
      </w:r>
    </w:p>
    <w:p>
      <w:pPr>
        <w:spacing w:after="0" w:line="176"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Our failure to comply with legal, contractual or standards-based requirements around the privacy or security of personal information could lead to significant fines and penalties, exposure to indemnification obligations, governmental investigations and enforcement actions, litigation (including class actions) or adverse publicity. These proceedings or violations could force us to spend money in defense or settlement of these proceedings, result in the imposition of monetary liability or injunctive relief, divert management’s time and attention, increase our costs of doing business and materially adversely affect our reputation and the demand for our platform and products.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Further, our insurance coverage, including coverage for errors and omissions and cyber liability, may not continue to be available on acceptable terms or may not be available in sufficient amounts to cover one or more large claims. Our insurers could deny coverage as to any future claim and our cyber liability coverage may not adequately protect us against any losses, liabilities and costs that we may incur. The successful assertion of one or more large claims against us, or changes in our insurance policies, including premium increases or the imposition of large deductible or co-insurance requirements, could have an adverse effect on our business, financial condition and results of operations.</w:t>
      </w:r>
    </w:p>
    <w:p>
      <w:pPr>
        <w:spacing w:after="0" w:line="287" w:lineRule="exact"/>
        <w:rPr>
          <w:sz w:val="20"/>
          <w:szCs w:val="20"/>
          <w:color w:val="auto"/>
        </w:rPr>
      </w:pPr>
    </w:p>
    <w:p>
      <w:pPr>
        <w:ind w:left="1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optimize, quantize and fine-tune existing AI models and may in the future, use and develop AI, machine learning and automated decision-making technologies throughout our business, which may expose us to certain regulatory and other risks that could adversely affect our results of operations and financial condition.</w:t>
      </w:r>
    </w:p>
    <w:p>
      <w:pPr>
        <w:spacing w:after="0" w:line="6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use AI and machine learning technologies (“AI Technologies”) throughout our business and are making significant investments in this area. For example, we use AI Technologies internally to prepare data provided by customers for assisting such customers with the AI development when using AI Studio.</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 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and the reputations of our customers, could suffer or we could incur liability resulting from the violation of laws or contracts to which we are party or civil claims.</w:t>
      </w:r>
    </w:p>
    <w:p>
      <w:pPr>
        <w:spacing w:after="0" w:line="19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addition, we may plan to increase our investment in this area to continuously improve our use of AI Technologies and are in various stages of development in relation to our products. In particular, we will be working to incorporate generative AI Technologies (i.e., AI Technologies that can produce and output new content, software code, data and information) into our solutions. There is a risk that generative AI Technologies could produce inaccurate or misleading content or other discriminatory or unexpected results or behaviors, such as hallucinatory behavior that can generate irrelevant, nonsensical or factually incorrect results, all of which could harm our reputation, business or customer relationships. We will take measures designed to ensure the accuracy of such AI generated content, such as investing into development and acceleration of Small Language or Multimodal models, which are typically domain-optimized and more narrowly focused in an effort to reduce risks of hallucination. However, those measures may not always be successful, and in some cases, we may need to rely on end users to report such inaccuracies. In addition, our ability to develop proprietary AI models may be limited by our access to processing infrastructure or training data and we may be dependent on third-party providers for such resources. As such, we may not be successful in our ongoing development and maintenance of these technologies in the face of novel and evolving technical, reputational and market factors.</w:t>
      </w:r>
    </w:p>
    <w:p>
      <w:pPr>
        <w:spacing w:after="0" w:line="19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Further, a number of aspects of intellectual property protection in the field of AI and machine learning are currently under development and there is uncertainty and ongoing litigation in different jurisdictions as to the degree and extent of protection warranted for AI and machine learning systems and relevant system input and outputs. If we fail to obtain protection for the intellectual property rights concerning our AI Technologies, or later have our intellectual property rights invalidated or otherwise diminished, our competitors may be able to take advantage of our research and development efforts to develop competing products that could adversely affect our business, reputation and financial condition. Further, given the long history of development of AI Technologies, other parties may have (or in the future may obtain) patents or other proprietary rights that would prevent, limit or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interfere with our ability to make, use or sell our own AI Technologies. For example, our generative AI Technologies could generate output that is infringing and we could be subject to claims or lawsuits, including for infringement of third-party intellectual property rights as a result of the output of such generative AI Technologies.</w:t>
      </w:r>
    </w:p>
    <w:p>
      <w:pPr>
        <w:spacing w:after="0" w:line="176" w:lineRule="exact"/>
        <w:rPr>
          <w:sz w:val="20"/>
          <w:szCs w:val="20"/>
          <w:color w:val="auto"/>
        </w:rPr>
      </w:pPr>
    </w:p>
    <w:p>
      <w:pPr>
        <w:jc w:val="both"/>
        <w:ind w:left="120" w:right="180"/>
        <w:spacing w:after="0" w:line="261" w:lineRule="auto"/>
        <w:rPr>
          <w:sz w:val="20"/>
          <w:szCs w:val="20"/>
          <w:color w:val="auto"/>
        </w:rPr>
      </w:pPr>
      <w:r>
        <w:rPr>
          <w:rFonts w:ascii="Times New Roman" w:cs="Times New Roman" w:eastAsia="Times New Roman" w:hAnsi="Times New Roman"/>
          <w:sz w:val="18"/>
          <w:szCs w:val="18"/>
          <w:color w:val="auto"/>
        </w:rPr>
        <w:t>Finally, the overall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For example, in the United States, the Biden administration issued a broad Executive Order on the Safe, Secure and Trustworthy Development and Use of Artificial Intelligence (the “2023 AI Order”) that sets out principles intended to guide AI design and deployment for the public and private sectors and signals the increase in governmental involvement and regulation over AI Technologies. The 2023 AI Order established certain new requirements for the training, testing and cybersecurity of sophisticated AI models and large scale compute centers used to train AI models and instructed several other federal agencies to promulgate additional regulations. Already agencies such as the Department of Commerce and the Federal Trade Commission have issued proposed rules. Legislation related to AI Technologies has also been introduced at the federal level and is advancing at the state level. For example, Colorado recently passed a AI Act, which regulates the development, deployment, and use of artificial intelligence (AI) systems and the California Privacy Protection Agency is currently in the process of finalizing regulations under the California Consumer Privacy Act regarding the use of automated decision-making.</w:t>
      </w:r>
    </w:p>
    <w:p>
      <w:pPr>
        <w:spacing w:after="0" w:line="188"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developing landscape, and the uncertain interpretation of such landscape,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w:t>
      </w:r>
    </w:p>
    <w:p>
      <w:pPr>
        <w:spacing w:after="0" w:line="280" w:lineRule="exact"/>
        <w:rPr>
          <w:sz w:val="20"/>
          <w:szCs w:val="20"/>
          <w:color w:val="auto"/>
        </w:rPr>
      </w:pPr>
    </w:p>
    <w:p>
      <w:pPr>
        <w:jc w:val="both"/>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data hosting and transmission services. Increases in cost, interruptions in service, latency or poor service from our third-party data center providers could impair the delivery of our platform, which could result in customer dissatisfaction, damage to our reputation, loss of customers, limited growth and reduction in revenue.</w:t>
      </w:r>
    </w:p>
    <w:p>
      <w:pPr>
        <w:spacing w:after="0" w:line="67"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We currently serve the majority of our platform functions from third-party data center hosting facilities operated by Flexential Colorado Corp., located in Morrisville, North Carolina. Our platform is deployed to multiple data centers within this geography, with additional geographies available for disaster recovery. Our operations depend, in part, on our third-party providers’ protection of these facilities from natural disasters, power or telecommunications failures, criminal acts or similar events. If any third-party facility’s arrangement is terminated, or its service lapses, we could experience interruptions in our platform or higher latency, as well as delays and additional expenses in arranging new facilities and services.</w:t>
      </w:r>
    </w:p>
    <w:p>
      <w:pPr>
        <w:spacing w:after="0" w:line="183"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A significant portion of our operating cost is from our third-party data hosting and transmission services. If the costs for such services increase due to vendor consolidation, regulation, contract renegotiation or otherwise, we may not be able to increase the fees for our ecommerce platform or professional services to cover the changes. As a result, our operating results may be significantly worse than forecasted. Our servers may be unable to achieve or maintain data transmission capacity sufficient for timely service of increased traffic or order processing. Our failure to achieve or maintain sufficient and performant data transmission capacity could significantly reduce demand for our platform.</w:t>
      </w:r>
    </w:p>
    <w:p>
      <w:pPr>
        <w:spacing w:after="0" w:line="183"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Despite precautions taken at our data centers, spikes in usage volume, a natural disaster, an act of terrorism, vandalism or sabotage, closure of a facility without adequate notice or other unanticipated problems could result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in lengthy interruptions or performance degradation of our platform. Any damage to, or failure of, the systems of our third-party providers could result in interruptions to our platform. Even with current and planned disaster recovery arrangements, our business could be harmed. If we experience damage or interruption, our insurance policies may not adequately compensate us for or protect us against any losses, liabilities and costs that we may incur. These factors in turn could further reduce our revenue, subject us to liability or cause customers to terminate their subscriptions, any of which could materially adversely affect our business.</w:t>
      </w:r>
    </w:p>
    <w:p>
      <w:pPr>
        <w:spacing w:after="0" w:line="287"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proprietary and open source software for our platform. Our inability to obtain third-party licenses for such software, or obtain them on favorable terms, or any errors, bugs, defects or failures caused by such software could adversely affect our business, results of operations and financial condition.</w:t>
      </w:r>
    </w:p>
    <w:p>
      <w:pPr>
        <w:spacing w:after="0" w:line="6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Some of our offerings include software or other intellectual property licensed from third parties. It may be necessary in the future to renew licenses relating to various aspects of these applications or to seek new licenses for existing or new applications. Necessary licenses may not be available on acceptable terms or under open source licenses permitting redistribution in commercial offerings, if at all. Our inability to obtain certain licenses or other rights or to obtain such licenses or rights on favorable terms could result in delays in product releases until equivalent technology can be identified, licensed or developed, if at all, and integrated into our platform and products, which therefore may have a material adverse effect on our business, results of operations and financial condition. In addition, third parties may allege that additional licenses are required for our use of their software or intellectual property. We may be unable to obtain such licenses on commercially reasonable terms or at all. The inclusion in our offerings of software or other intellectual property licensed from third parties on a non-exclusive basis could limit our ability to differentiate our offerings from those of our competitors. To the extent that our platform or products depend upon the successful operation of third-party software, any undetected errors, bugs, defects or failures in such third-party software could impair the functionality of our platform and products, delay new feature introductions or result in a failure of our platform, which could adversely affect our business, results of operations and financial condition.</w:t>
      </w:r>
    </w:p>
    <w:p>
      <w:pPr>
        <w:spacing w:after="0" w:line="296"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subject us to possible litigation or cause us to subject our platform or products to unwanted open source license conditions that could negatively impact our sales.</w:t>
      </w:r>
    </w:p>
    <w:p>
      <w:pPr>
        <w:spacing w:after="0" w:line="5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Our platform and products incorporate open source software, and we expect to incorporate open source software into other offerings or solutions in the future. Such open source software is generally licensed by its authors or other third parties under open source licenses. Little legal precedent governs the interpretation of these licenses; therefore, the potential impact of these terms on our business is unknown and may result in unanticipated obligations regarding our technologies. If a distributor of open source software were to allege that we had not complied with its license, we could be required to incur significant legal expenses. If we combine our proprietary software with open source software or utilize open source software in a certain manner, we could, under certain open source licenses, be required to disclose part or all of the source code of our proprietary software publicly and to allow further modification and redistribution on potentially unfavorable terms or at no cost, or otherwise be limited in the licensing of our services. This could provide an advantage to our competitors or other entrants to the market, allow them to create similar products with lower development effort and time, and ultimately result in a loss of sales for us.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rely on computer hardware, purchased or leased, and software licensed from and services rendered by third parties in order to run our business.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We rely on computer hardware, purchased or leased, and software licensed from and services rendered by third parties in order to run our business, which we have incorporated into our platform and products. Third-party hardware, software and services may not continue to be available on commercially reasonable terms, or at all. Some of our agreements with our licensors may be terminated by them for convenience, or otherwise provide for a limited term. Any loss of the right to use or any failures of third-party hardware, software or services could result in delays in our ability to run our business until equivalent hardware, software or services are developed by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us or, if available, identified, obtained and integrated, which could be costly and time-consuming and may not result in an equivalent solution, any of which could cause an adverse effect on our business and operating results. Further, customers could assert claims against us in connection with service disruptions or cease conducting business with us altogether. Even if not successful, a claim brought against us by any of our customers would likely be time-consuming and costly to defend and could seriously damage our reputation and brand, making it harder for us to sell our solutions.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third parties.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anticipate that the growth of our business will continue to depend on third-party relationships, including strategic partnerships and relationships with our service providers and suppliers, consultants, app developers, theme designers, referral sources, payments processors, installation partners and other partners. In addition to growing our third-party partner ecosystem, we have entered into agreements with, and intend to pursue additional relationships with, other third parties, such as shipping partners and technology and content providers. Identifying, negotiating and documenting relationships with third parties requires significant time and resources as does integrating third-party technology and content. Some of the third parties that sell our services have direct contractual relationships with the customers, and in these circumstances, we risk the loss of such customers if those third parties fail to perform their contractual obligations, including in the event of any such third party’s business failure. Our agreements with providers of cloud hosting, technology, content and consulting services are typically non-exclusive and do not prohibit such service providers from working with our competitors or from offering competing services. In particular, we have limited providers of cloud hosting services. These third-party providers may choose to terminate their relationship with us or to make material changes to their businesses, products or services in a manner that is adverse to us.</w:t>
      </w:r>
    </w:p>
    <w:p>
      <w:pPr>
        <w:spacing w:after="0" w:line="19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The success of our platform and products depends, in part, on our ability to integrate third-party applications, themes and other offerings into our third-party ecosystem. Third-party developers may also change the features of their offering of applications or alter the terms governing the use of their offerings in a manner that is adverse to us. If third-party applications change such that we do not or cannot maintain the compatibility of our platform and products with these applications, demand for our platform could decline. If we are unable to maintain technical interoperation, our customers may not be able to effectively integrate our platform with other systems and services they use. We may also be unable to maintain our relationships with certain third-party vendors if we are unable to integrate our platform and products with their offerings. In addition, third-party developers may refuse to partner with us or limit or restrict our access to their offerings. Partners may also impose additional restrictions on the ability of third parties like us and our customers to access or use data from their consumers. Such changes could functionally limit or terminate our ability to use these third-party offerings with our platform or products, which could negatively impact our solution offerings and harm our business. If we fail to integrate our platform and products with new third-party offerings that our customers need for their businesses, or to adapt to the data transfer requirements of such third-party offerings, we may not be able to offer the functionality that our customers and their clients expect, which would negatively impact our offerings and, as a result, harm our business.</w:t>
      </w:r>
    </w:p>
    <w:p>
      <w:pPr>
        <w:spacing w:after="0" w:line="19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Further, our competitors may effectively incentivize third-party developers to favor our competitors’ products or services, which could diminish our prospects for collaborations with third-parties and reduce subscriptions to our platform or purchases of our products. In addition, providers of third-party offerings may not perform as expected under our agreements or under their agreements with our customers, and we or our customers may in the future have disagreements or disputes with such providers. If any such disagreements or disputes cause us to lose access to products or services from a particular supplier, or lead us to experience a significant disruption in the supply of products or services from a current supplier, especially a single-source supplier, they could have an adverse effect on our business and operating results.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in protecting or defending our proprietary rights. Failure to adequately protect our rights could impair our competitive position and we could lose valuable assets, experience reduced revenue and incur costly litigation.</w:t>
      </w:r>
    </w:p>
    <w:p>
      <w:pPr>
        <w:spacing w:after="0" w:line="5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Our success is dependent, in part, upon protecting our proprietary technology. We rely on our confidentiality, non-compete, non-solicitation and nondisclosure agreements and a combination of trade secret laws, contractual provisions, trademarks, service marks, copyrights and patents in an effort to establish and protect our proprietary rights. However, the steps we take to protect our intellectual property may be inadequate. We make business decisions about when to seek patent protection for a particular technology and when to rely upon trade secret protection. The approach we select may ultimately prove to be inadequate.</w:t>
      </w:r>
    </w:p>
    <w:p>
      <w:pPr>
        <w:spacing w:after="0" w:line="183"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Our patents or patents issued in the future may not provide us with competitive advantages, or may be successfully challenged by third parties. Any of our patents, trademarks or other intellectual property rights may be challenged or circumvented by others or invalidated through administrative process or litigation. Others may independently develop similar products, duplicate any of our solutions or design around our patents or adopt similar or identical brands for competing platforms. Legal standards relating to the validity, enforceability and scope of protection of intellectual property rights are uncertain. Despite our precautions, it may be possible for unauthorized third parties to copy our platform and products and use information that we regard as proprietary to create products and services that compete with ours. Some license provisions restricting unauthorized use, copying, transfer and disclosure of our intellectual property may be unenforceable under the laws of jurisdictions outside the United States.</w:t>
      </w:r>
    </w:p>
    <w:p>
      <w:pPr>
        <w:spacing w:after="0" w:line="18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To the extent we expand our international activities, our exposure to unauthorized copying and use of our platform, products and proprietary information may increase. Moreover, effective trademark, copyright, patent and trade secret protection may not be available or commercially feasible in every country in which we conduct business. Further, intellectual property law, including statutory and case law, particularly in the United States, is constantly developing. Changes in the law could make it harder for us to enforce our rights.</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to protect our proprietary technologies. We enter into confidentiality agreements with strategic and business partners. As such, these agreements may not be effective in controlling access to and distribution of our proprietary information since they do not prevent our competitors or partners from independently developing technologies that are equivalent or superior to our platform and products.</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may be required to spend significant resources to monitor, protect, and enforce our intellectual property rights. Litigation may be necessary in the future to enforce our intellectual property rights and protect our trade secrets. Litigation brought to protect and enforce our intellectual property rights could be costly, time-consuming and distracting to management. Such litigation could result in the impairment or loss of portions of our intellectual property. Enforcement of our intellectual property rights may be met with defenses, counterclaims and countersuits attacking the validity and enforceability of our intellectual property. An adverse determination of any litigation proceedings could put our intellectual property at risk of being invalidated or interpreted narrowly. An adverse determination could risk the issuance or cancellation of pending patent and trademark filings. Because of the substantial discovery required in connection with intellectual property litigation, our confidential or sensitive information could be compromised by disclosure in litigation. Litigation could result in public disclosure of results of hearings, motions or other interim developments. If securities analysts or investors perceive these results to be negative, it could have a substantial adverse effect on the price of our Common Stock.</w:t>
      </w:r>
    </w:p>
    <w:p>
      <w:pPr>
        <w:spacing w:after="0" w:line="188"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In addition, our inability to protect our proprietary technology against unauthorized copying or use, as well as any costly litigation or diversion of our management’s attention and resources, could delay further sales or the implementation of our platform or products, impair the functionality of our platform or products, delay introductions of new functionality to our platform, result in the substitution of inferior or more costly technologies into our platform or products or injure our reputation. We will not be able to protect our intellectual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property if we are unable to enforce our rights or if we do not detect unauthorized use of our intellectual property.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If we fail to meaningfully protect our intellectual property and proprietary rights, our business, operating results and financial condition could be adversely affected.</w:t>
      </w:r>
    </w:p>
    <w:p>
      <w:pPr>
        <w:spacing w:after="0" w:line="28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execute invention assignment agreements with our employees and contractors involved in the development of intellectual property or are unable to protect the confidentiality of our trade secrets, the value of our products and our business and competitive position could be harmed.</w:t>
      </w:r>
    </w:p>
    <w:p>
      <w:pPr>
        <w:spacing w:after="0" w:line="5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generally enter into confidentiality and invention assignment agreements with our employees, consultants and third parties upon their commencement of a relationship with us. However, we may not enter into such agreements with all employees, consultants and third parties who have been involved in the development of our intellectual property. In addition, these agreements may not provide meaningful protection against the unauthorized use or disclosure of our trade secrets or other confidential information, and adequate remedies may not exist if unauthorized use or disclosure were to occur.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 Further, other parties may independently develop substantially equivalent know-how and technology.</w:t>
      </w:r>
    </w:p>
    <w:p>
      <w:pPr>
        <w:spacing w:after="0" w:line="192"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In addition to contractual measures, we try to protect the confidential nature of our proprietary information using commonly accepted physical and technological security measures. Such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trade secret violations are often a matter of state law, and the criteria for protection of trade secrets can vary among different jurisdictions. In addition, trade secrets may be independently developed by others in a manner that could prevent legal recourse by us. We also have agreements with our employees, consultants and third parties that obligate them to assign their inventions to us; however, these agreements may not be self-executing, not all employees or consultants may enter into such agreements or employees or consultants may breach or violate the terms of these agreements, and we may not have adequate remedies for any such breach or violation. If any of our intellectual property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w:t>
      </w:r>
    </w:p>
    <w:p>
      <w:pPr>
        <w:spacing w:after="0" w:line="301"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financial and economic sanctions, export controls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6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platform and products are subject to U.S. export controls, including the Export Administration Regulations and economic sanctions administered by the U.S. Treasury Department’s Office of Foreign Assets Control. We incorporate encryption technology into our platform. These encryption products and the underlying technology may be exported outside of the United States only with the required export authorizations, including by license, a license exception or other appropriate government authorizations.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Furthermore, our activities are subject to U.S. economic sanctions laws and regulations that restrict regulated persons from conducting transactions or dealings with certain countries, regions, governments and persons, and are subject to U.S. export control laws that regulate (and in some cases prohibit) the export, re-export, or transfer of items subject to the U.S. Export Administration Regulations. A violation of these laws or regulations could adversely affect our business, results of operations, financial condition and reputation.</w:t>
      </w:r>
    </w:p>
    <w:p>
      <w:pPr>
        <w:spacing w:after="0" w:line="180"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Recent administrations have been critical of existing trade agreements and may impose more stringent sanctions, export and import controls. Obtaining the necessary export license or other authorization for a particular sale may be time-consuming and may result in the delay or loss of sales opportunities even if the export license ultimately may be granted. While we take precautions to prevent our AI Studio platform and hardware from being exported in violation of these laws, including obtaining authorizations for our platform, performing geolocation IP blocking and screenings against U.S. and other lists of restricted and prohibited persons, we cannot guarantee that the precautions we take will prevent violations of export control and sanctions laws. Violations of U.S. sanctions or export control laws can result in significant fines or penalties and possible incarceration for responsible employees and managers could be imposed for criminal violations of these laws, which could adversely affect our business, results of operations, financial condition and reputation.</w:t>
      </w:r>
    </w:p>
    <w:p>
      <w:pPr>
        <w:spacing w:after="0" w:line="19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If our partners fail to obtain appropriate import, export or re-export licenses or permits, we may also be adversely affected, through reputational harm as well as other negative consequences, including government investigations and penalties. We are in the process of incorporating export control compliance requirements into our strategic partner agreements; however, no assurance can be given that our partners will comply with such requirements.</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Various countries regulate the import and export of certain encryption and other technology, including import and export licensing requirements. Some countries have enacted laws that could limit our ability to distribute our AI Studio platform or could limit our customers’ ability to implement our platform in those countries. Changes in our AI Studio platform or future changes in export and import regulations may create delays in the introduction of our AI Studio platform in international markets, prevent our customers with international operations from launching our platform globally or, in some cases, prevent the export or import of our platform to certain countries, governments or persons altogether. Various governmental agencies have proposed additional regulation of encryption technology, including the escrow and government recovery of private encryption keys. Any change in export or import regulations, economic sanctions or related legislation, or change in the countries, governments, persons or technologies targeted by such regulations, could limit our ability to export or sell our platform to existing or potential customers with international operations. Any decreased use of our platform or limitation on our ability to export or sell our AI Studio platform would adversely affect our business, operating results and prospects.</w:t>
      </w:r>
    </w:p>
    <w:p>
      <w:pPr>
        <w:spacing w:after="0" w:line="292"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a portion of our business with third-party ecosystem partners to provide defensive solutions that incorporate our products to various foreign and domestic government agencies, which are subject to unique risks.</w:t>
      </w:r>
    </w:p>
    <w:p>
      <w:pPr>
        <w:spacing w:after="0" w:line="5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Contracts with the U.S. or foreign governments are subject to extensive regulations, and new regulations, or changes to existing regulations, could increase our or our third-party ecosystem partners’ compliance costs, including in the form of withheld payments and/or reduced future business if our or our third-party ecosystem partners fail to comply with these requirements in the future, or otherwise have a material impact on our or our third-party ecosystem partners’ business, which could negatively impact our financial condition and operating results.</w:t>
      </w:r>
    </w:p>
    <w:p>
      <w:pPr>
        <w:spacing w:after="0" w:line="180"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Contracts with the U.S. or foreign governments are also subject to a variety of other requirements and risks including government reviews, audits, investigations, False Claims Act cases, suspensions and debarments as well as other legal actions and proceedings that generally do not apply to purely commercial contracts.</w:t>
      </w:r>
    </w:p>
    <w:p>
      <w:pPr>
        <w:spacing w:after="0" w:line="176"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In addition, transactions involving government contractors may be subject to government review and approvals and may require the contractor to hold certain national security clearances in order to perform them.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Non-compliance with such laws can subject us to criminal and/or civil liability and harm our business.</w:t>
      </w:r>
    </w:p>
    <w:p>
      <w:pPr>
        <w:spacing w:after="0" w:line="5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(“FCPA”), the U.S. domestic bribery statute contained in 18 U.S.C. § 201, the U.S. Travel Act, the UK Bribery Act of 2010, the UK Proceeds of Crime Act 2002, and other anti-bribery and anti-money laundering laws in the countries in which we conduct activities. Anti-corruption and anti-bribery laws have been enforced aggressively in recent years. These laws are interpreted broadly and prohibits, among other things, providing, offering, or promising, directly or indirectly, anything of value to any foreign government official or employee, or any political party or official thereof, or candidate for political office to improperly influence, induce, obtain and retain business from, expedite or secure the performance of official acts of a routine nature, secure an improper advantage, or otherwise violate any of the Anti-Bribery laws, from such or any person.</w:t>
      </w:r>
    </w:p>
    <w:p>
      <w:pPr>
        <w:spacing w:after="0" w:line="189" w:lineRule="exact"/>
        <w:rPr>
          <w:sz w:val="20"/>
          <w:szCs w:val="20"/>
          <w:color w:val="auto"/>
        </w:rPr>
      </w:pPr>
    </w:p>
    <w:p>
      <w:pPr>
        <w:ind w:left="120" w:right="80"/>
        <w:spacing w:after="0" w:line="277" w:lineRule="auto"/>
        <w:rPr>
          <w:sz w:val="20"/>
          <w:szCs w:val="20"/>
          <w:color w:val="auto"/>
        </w:rPr>
      </w:pPr>
      <w:r>
        <w:rPr>
          <w:rFonts w:ascii="Times New Roman" w:cs="Times New Roman" w:eastAsia="Times New Roman" w:hAnsi="Times New Roman"/>
          <w:sz w:val="17"/>
          <w:szCs w:val="17"/>
          <w:color w:val="auto"/>
        </w:rPr>
        <w:t>As we increase our international sales and business and sales to the public sector, we may engage with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Due to the expansive nature of the FCPA and other anti-corruption and anti-bribery laws, we can be held liable for corrupt or other illegal actions, even if seemingly innocent, of these third-party intermediaries, our employees, representatives, contractors, partners and agents, even if we do not explicitly authorize such activities.</w:t>
      </w:r>
    </w:p>
    <w:p>
      <w:pPr>
        <w:spacing w:after="0" w:line="168"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While we have policies and procedures to address compliance with such laws, our employees and agents could violate our policies and applicable law, for which we may be ultimately held responsible. As we increase our international sales and business, our risks under these laws may increase.</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Noncompliance with anti-corruption, anti-bribery or anti-money laundering laws could subject us to whistleblower complaints, investigations, sanctions, settlements, criminal prosecution, other enforcement actions, disgorgement of profits, significant fines, damages, including treble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imposed, or if we do not prevail in any possible civil or criminal litigation, our business, results of operations, and financial condition could be materially harmed.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operating results.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customer subscription and partner and services contracts are primarily denominated in U.S. dollars, and therefore substantially all of our revenue is not subject to foreign currency risk. However, a strengthening of the U.S. dollar could increase the real cost of our platform and products to our customers outside of the United States, which could adversely affect our operating results. In addition, an increasing portion of our operating expenses is incurred and an increasing portion of our assets is held outside the United States. These operating expenses and assets are denominated in foreign currencies and are subject to fluctuations due to changes in foreign currency exchange rates. If we are not able to successfully hedge against the risks associated with currency fluctuations, our operating results could be adversely affected.</w:t>
      </w:r>
    </w:p>
    <w:p>
      <w:pPr>
        <w:spacing w:after="0" w:line="291"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costs may increase significantly, we may be unable to obtain the same level of insurance coverage and our insurance coverage may not be adequate to cover all possible losses we may suffer.</w:t>
      </w:r>
    </w:p>
    <w:p>
      <w:pPr>
        <w:spacing w:after="0" w:line="5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We generally renew our insurance policies annually. If the cost of coverage becomes too high or if we believe certain coverage becomes inapplicable, we may need to reduce our policy limits, increase retention amounts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agree to certain exclusions from our coverage to reduce the premiums to an acceptable amount or to otherwise reduce coverage for certain occurrences. On the other hand, we may determine that we either do not have certain coverage that would be prudent for our business and the risks associated with our business or that our current coverages are too low to adequately cover such risks. In either event, we may incur additional or higher premiums for such coverage than in prior years.</w:t>
      </w:r>
    </w:p>
    <w:p>
      <w:pPr>
        <w:spacing w:after="0" w:line="180"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Among other factors, national security concerns, catastrophic events, pandemics or any changes in any applicable statutory requirement binding insurance carriers to offer certain types of coverage could also adversely affect available insurance coverage and result in, among other things, increased premiums on available coverage (which may cause us to elect to reduce our policy limits or not renew our coverage) and additional exclusions from coverage. As cyber incidents and threats continue to evolve, we may be required to expend additional, perhaps significant, resources to continue to update, modify or enhance our protective measures or to investigate and remediate any vulnerability to cyber incidents. Although we maintain and monitor our information technology systems and we have insurance coverage for protecting against cyber security risks, such systems and insurance coverage may not be sufficient to protect against or cover all the losses we may experience as a result of any cyber-attacks.</w:t>
      </w:r>
    </w:p>
    <w:p>
      <w:pPr>
        <w:spacing w:after="0" w:line="189"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We may suffer damage due to a casualty loss (such as fire, natural disasters, pandemics and acts of war or terrorism) or other losses, such as those related to labor, professional liability or certain actions or inactions by our management, directors, employees or others, that could severely disrupt its business or subject us to claims by third parties who are injured or harmed. Although we maintain insurance that we believe to be adequate, such insurance may be inadequate or unavailable to cover all the risks to which our business and assets may be exposed, including risks related to certain litigation. Should an uninsured loss (including a loss that is less than the applicable deductible or that is not covered by insurance) or loss in excess of insured limits occur, it could have a significant adverse impact on our business, results of operations or financial condition.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certain other attributes may be subject to certain limitations.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As of December 31, 2024, we had approximately $215.5 million of U.S. federal and $149.9 million of state net operating losses, respectively. Certain of our U.S. federal and state net operating loss carryforwards may be carried forward indefinitely, while other of these loss carryforwards are subject to expiration (beginning in 2030) . As of December 31, 2024, we had federal tax credit carryforwards of $5.7 million available to offset future U.S. federal income taxes payable, which will begin to expire in the year 2035. As of December 31, 2024, we had state tax credit carryforwards of $4.3 million available to offset future state income taxes payable and foreign tax credits of $97.2 million available to offset future India income taxes payable. It is possible that we will not generate taxable income in time to use these net operating loss carryforwards before their expiration (or that we will not generate taxable income at all). Under legislative changes made in December 2017, as modified by the Coronavirus Aid, Relief, and Economic Security Act (the “CARES Act”) in March 2020,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It is uncertain if and to what extent various states will conform to these federal tax laws.</w:t>
      </w:r>
    </w:p>
    <w:p>
      <w:pPr>
        <w:spacing w:after="0" w:line="194"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In addition, the federal and state net operating loss carryforwards and certain tax credits may be subject to significant limitations under Section 382 and Section 383 of the Code, respectively, and similar provisions of state law, including limitations that may result from the consummation of the Business Combination. Under those sections of the Internal Revenue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not yet determined whether the Business Combination will give rise to an “ownership change” for purposes of Section 382 and Section 383 of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Code. Furthermore, we may have experienced ownership changes in the past and may experience ownership changes in the future as a result of subsequent shifts in our stock ownership (some of which shifts are outside our control). As a result, our ability to use our pre-change federal NOLs and other tax attributes to offset future taxable income and taxes could be subject to limitations. For these reasons, we may be unable to use a material portion of our NOLs and other tax attributes, which could adversely affect our future net income and cash flows.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to applicable tax laws and regulations or exposure to additional income tax liabilities could affect our business and future profitability.</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Blaize is a U.S. corporation and thus is subject to U.S. corporate income tax on its worldwide income. Further, since our operations and customers are located throughout the United States, we are subject to various U.S. state and local taxes. U.S. federal, state, local and non-U.S. tax laws, policies, statutes, rules, regulations or ordinances could be interpreted, changed, modified or applied adversely to us and may have an adverse effect on our business and future profitability. For example, several tax proposals have been set forth that would, if enacted, make significant changes to U.S. tax laws. Such proposals include an increase in the U.S. income tax rate applicable to corporations (such as Blaize). Congress may consider, and could include, some or all of these proposals in connection with tax reform that may be undertaken (including with retroactive effect). We are unable to predict whether these or similar changes will be enacted and, if enacted, how soon any such changes could take effect. The passage of any legislation as a result of these proposals and other similar changes in U.S. federal income tax laws could adversely affect our business and future profitability.</w:t>
      </w:r>
    </w:p>
    <w:p>
      <w:pPr>
        <w:spacing w:after="0" w:line="296"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additional obligations to collect and remit sales tax and other taxes. We may be subject to tax liability for past sales, which could harm our business.</w:t>
      </w:r>
    </w:p>
    <w:p>
      <w:pPr>
        <w:spacing w:after="0" w:line="5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State, local and foreign jurisdictions have differing rules and regulations governing sales, use, value added, and other taxes, and these rules and regulations are subject to varying interpretations that may change over time. In particular, the applicability of such taxes to our ecommerce platform in various jurisdictions is unclear. These jurisdictions’ rules regarding tax nexus are complex and vary significantly. As a result, jurisdictions in which we have not historically collected or accrued sales, use, value added, or other taxes could assert our liability for such taxes. Our liability for these taxes and associated penalties could exceed our original estimates. This could result in substantial tax liabilities and related penalties for past sales. It could also discourage customers from using our software solutions platform or otherwise harm our business and operating results.</w:t>
      </w:r>
    </w:p>
    <w:p>
      <w:pPr>
        <w:spacing w:after="0" w:line="291"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Material weaknesses in our internal control over financial reporting could have a significant adverse effect on our business and the price of our common stock.</w:t>
      </w:r>
    </w:p>
    <w:p>
      <w:pPr>
        <w:spacing w:after="0" w:line="51"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As a public company, we are required to comply with the rules of the SEC implementing Sections 302 and 404 of the Sarbanes-Oxley Act, which requires management to certify financial and other information in our quarterly and annual reports and provide an annual management report on the effectiveness of controls over financial reporting. When evaluating our internal control over financial reporting as of March 31, 2025, our management concluded that our disclosure controls and procedures were not effective, due solely to the material weakness in our internal control over financial reporting, identified by BurTech management when preparing the BurTech Acquisition Corp. financial statements for the year ended December 31, 2024. As of March 31, 2025, the material weakness of combined entity has not been remediated by the Company and there can be no assurance that we will not identify additional material weaknesses in the future. If we identify additional material weaknesses in our internal control over financial reporting or are unable to comply with the requirements of Section 404 in a timely manner or assert that our internal control over financial reporting is effective, investors may lose confidence in the accuracy and completeness of our financial reports and the market price of our common stock could be materially adversely affected, and we could become subject to investigations by the stock exchange on which our securities are listed, the SEC or other regulatory authorities, which could require additional financial and management resources.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Capital Structure</w:t>
      </w:r>
    </w:p>
    <w:p>
      <w:pPr>
        <w:spacing w:after="0" w:line="117"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shares of Common Stock, warrants or convertible securities may dilute your ownership interest in us and could adversely affect our stock price.</w:t>
      </w:r>
    </w:p>
    <w:p>
      <w:pPr>
        <w:spacing w:after="0" w:line="51"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From time to time in the future, we may issue additional shares of our Common Stock, warrants or other securities convertible into Common Stock pursuant to a variety of transactions, including acquisitions. Additional shares of our Common Stock may also be issued upon exercise of outstanding stock options and warrants. The issuance by us of additional shares of our Common Stock, warrants or other securities convertible into our Common Stock would dilute your ownership interest in us and the sale of a significant amount of such shares in the public market could adversely affect prevailing market prices of our Common Stock and warrants. Subject to the satisfaction of vesting conditions and the expiration of our lock-up, shares issuable upon exercise of options will be available for resale immediately in the public market without restriction.</w:t>
      </w:r>
    </w:p>
    <w:p>
      <w:pPr>
        <w:spacing w:after="0" w:line="187"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As a result, holders of our Common Stock and Warrants bear the risk that our future offerings may reduce the market price of our Common Stock and Warrants and dilute their percentage ownership.</w:t>
      </w:r>
    </w:p>
    <w:p>
      <w:pPr>
        <w:spacing w:after="0" w:line="277"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of our Common Stock by us or our existing securityholders in the public market could cause the market price for our Common Stock to decline.</w:t>
      </w:r>
    </w:p>
    <w:p>
      <w:pPr>
        <w:spacing w:after="0" w:line="51" w:lineRule="exact"/>
        <w:rPr>
          <w:sz w:val="20"/>
          <w:szCs w:val="20"/>
          <w:color w:val="auto"/>
        </w:rPr>
      </w:pPr>
    </w:p>
    <w:p>
      <w:pPr>
        <w:ind w:left="120" w:right="80"/>
        <w:spacing w:after="0" w:line="274" w:lineRule="auto"/>
        <w:rPr>
          <w:sz w:val="20"/>
          <w:szCs w:val="20"/>
          <w:color w:val="auto"/>
        </w:rPr>
      </w:pPr>
      <w:r>
        <w:rPr>
          <w:rFonts w:ascii="Times New Roman" w:cs="Times New Roman" w:eastAsia="Times New Roman" w:hAnsi="Times New Roman"/>
          <w:sz w:val="17"/>
          <w:szCs w:val="17"/>
          <w:color w:val="auto"/>
        </w:rPr>
        <w:t>We are not restricted from issuing additional shares of Common Stock, including securities that are convertible into or exchangeable for, or that represent a right to receive, Common Stock. Any issuance of additional shares of our Common Stock or convertible securities, including the shares issued pursuant to the Purchase Agreement and Engagement Agreement, will dilute the ownership interest of our existing stockholders. Sales of a substantial number of shares of our Common Stock or other equity-related securities in the public market, or the perception that these sales could occur, could depress the market price of our Common Stock and impair our ability to raise capital through the sale of additional equity securities. We cannot predict the effect that future sales of our Common Stock or other equity-related securities would have on the market price of our Common Stock.</w:t>
      </w:r>
    </w:p>
    <w:p>
      <w:pPr>
        <w:spacing w:after="0" w:line="277"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including compliance with the reporting requirements of the Exchange Act, the requirements of the Sarbanes-Oxley Act and the requirements of Nasdaq, may strain our resources, increase our costs and distract management, and we may be unable to comply with these requirements in a timely or cost-effective manner.</w:t>
      </w:r>
    </w:p>
    <w:p>
      <w:pPr>
        <w:spacing w:after="0" w:line="67"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As a public company, we are subject to laws, regulations and requirements, certain corporate governance provisions of the Sarbanes-Oxley Act, related regulations of the SEC and the requirements of the Nasdaq, which we were not required to comply with as a private company. As a newly public company as a result of the Business Combination, complying with these statutes, regulations and requirements occupies a significant amount of time of our board of directors and management and significantly increases our costs and expenses. For example, we have to institute a more comprehensive compliance function, comply with rules promulgated by the Nasdaq, prepare and distribute periodic public reports in compliance with our obligations under the federal securities laws, and establish new internal policies, such as those relating to insider trading. We also have to</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retain and rely on outside counsel and accountants to a greater degree in these activities. In addition, being subject to these rules and regulations make it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executive officer.</w:t>
      </w:r>
    </w:p>
    <w:p>
      <w:pPr>
        <w:spacing w:after="0" w:line="284"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2(a)(19) of the Securities Act, as modified by the JOBS Act. As an emerging growth company, we may follow reduced disclosure requirements and do not have to make all of the disclosures that public companies that are not emerging growth companies do. We will remain an emerging growth company until the earlier of (a) the last day of the fiscal year in which the market value of shares of Common Stock that are held by non-affiliates exceeds $700 million as of June 30 of that fiscal year; (b) the last day of the fiscal year in which we have a total annual gross revenue of $1.235 billion or more during such fiscal year (as indexed for inflation); (c) the date on which we have issued more than $1 billion in non-convertible debt in the prior three-year period or (d) December 31, 2026, which is the last day of the fiscal year following the fifth anniversary of the date of the first sale of Common Stock in BurTech’s initial public offering.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94"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proxy statements; and</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of stockholders on executive compensation and stockholder approval of any golden parachute payments not previously approved.</w:t>
      </w:r>
    </w:p>
    <w:p>
      <w:pPr>
        <w:spacing w:after="0" w:line="162"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8"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As an emerging growth company, we may choose to take advantage of certain exemptions from various reporting requirements that are applicable to other public companies that are not emerging growth companies including, but not limited to,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will rely on these exemptions. If some investors find our shares of Common Stock less attractive as a result, there may be a less active market for our shares of common stock and our share price may be more volatile.</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60"/>
          </w:cols>
          <w:pgMar w:left="320" w:top="455" w:right="5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governing documents, as well as provisions of Delaware law, could impair a takeover attempt.</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our bylaws and Delaware law each contain provisions that could have the effect of delaying or preventing changes in control or changes in our management without the consent of our board of directors. These provisions include:</w:t>
      </w:r>
    </w:p>
    <w:p>
      <w:pPr>
        <w:spacing w:after="0" w:line="67"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with or without cause by stockholders, which prevents stockholders from being able to fill vacancies on our board of directors;</w:t>
      </w:r>
    </w:p>
    <w:p>
      <w:pPr>
        <w:spacing w:after="0" w:line="81"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determine whether to issue shares of our preferred stock and to determine the price and other terms of those shares, including preferences and voting rights, without stockholder approval, which could be used to significantly dilute the ownership of a hostile acquirer;</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chairperson of the board of directors, the chief executive officer, the president or the board of directors, which may delay the ability of our stockholders to force consideration of a proposal or to take action, including the removal of directors;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stockholder meetings;</w:t>
      </w:r>
    </w:p>
    <w:p>
      <w:pPr>
        <w:spacing w:after="0" w:line="27" w:lineRule="exact"/>
        <w:rPr>
          <w:rFonts w:ascii="Times New Roman" w:cs="Times New Roman" w:eastAsia="Times New Roman" w:hAnsi="Times New Roman"/>
          <w:sz w:val="18"/>
          <w:szCs w:val="18"/>
          <w:color w:val="auto"/>
        </w:rPr>
      </w:pPr>
    </w:p>
    <w:p>
      <w:pPr>
        <w:ind w:left="1080" w:right="20" w:hanging="424"/>
        <w:spacing w:after="0" w:line="26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the ability to remove directors with cause by the affirmative vote of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in voting power of the outstanding shares of Common Stock entitled to vote thereon;</w:t>
      </w:r>
    </w:p>
    <w:p>
      <w:pPr>
        <w:spacing w:after="0" w:line="1"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affirmative vote of at least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of the voting power of the outstanding shares of Common Stock entitled to vote generally in the election of directors, voting together as a single class, to amend our bylaws or ARTICLE IV, ARTICLE V, ARTICLE VI, ARTICLE VII, ARTICLE VIII, and ARTICLE IX of our certificate of incorporation; and</w:t>
      </w:r>
    </w:p>
    <w:p>
      <w:pPr>
        <w:spacing w:after="0" w:line="82"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provisions, alone or together, could delay hostile takeovers and changes in control of us or changes in our Board and our management.</w:t>
      </w:r>
    </w:p>
    <w:p>
      <w:pPr>
        <w:spacing w:after="0" w:line="225"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DGCL, which will prevent some stockholders holding more than 15% of the Common Stock from engaging in certain business combinations without approval of the holders of substantially all of our Common Stock. Any provision of our certificate of incorporation, our bylaws or Delaware law that has the effect of delaying or deterring a change in control could limit the opportunity for our stockholders to receive a premium for their shares of Common Stock and could also affect the price that some investors are willing to pay for our Common Stock.</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requires, to the fullest extent permitted by law, that derivative actions brought in our name against our directors, officers, other employees or stockholders for breach of fiduciary duty and other similar actions may be brought only in the Court of Chancery in the State of Delaware, which may have the effect of discouraging lawsuits against our directors, officers, other employees or stockholders.</w:t>
      </w:r>
    </w:p>
    <w:p>
      <w:pPr>
        <w:spacing w:after="0" w:line="6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against our directors, officers, other employees or stockholders for breach of fiduciary duty and other similar actions may be brought only in the Court of Chancery in the State of Delaware,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This exclusive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their compliance with federal securities laws and the rules and regulations thereunder. However, there is no assurance that a court would enforce the choice of forum provision contained in our certificate of incorporation. If a court were to find such provision to be inapplicable or unenforceable in an action, we may incur additional costs associated with resolving such action in other jurisdictions, which could harm our business, operating results and financial condition.</w:t>
      </w:r>
    </w:p>
    <w:p>
      <w:pPr>
        <w:spacing w:after="0" w:line="19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provides that the exclusive forum provision will be applicable to the fullest extent permitted by applicable law. Our certificate of incorporation also provides that (A) the exclusive forum provision shall not apply to claims or causes of action brought to enforce a duty or liability created by the Securities Act or the Exchange Act, or any other claim for which the federal courts have exclusive jurisdiction and (B) unless we consent in writing to the selection of an alternative forum, to the fullest extent permitted by law, the federal district courts of the United States will be the exclusive forum for the resolution of any complaint asserting a cause of action arising under the Securities Act.</w:t>
      </w:r>
    </w:p>
    <w:p>
      <w:pPr>
        <w:spacing w:after="0" w:line="183" w:lineRule="exact"/>
        <w:rPr>
          <w:sz w:val="20"/>
          <w:szCs w:val="20"/>
          <w:color w:val="auto"/>
        </w:rPr>
      </w:pPr>
    </w:p>
    <w:p>
      <w:pPr>
        <w:ind w:left="120" w:right="120"/>
        <w:spacing w:after="0" w:line="271" w:lineRule="auto"/>
        <w:rPr>
          <w:sz w:val="20"/>
          <w:szCs w:val="20"/>
          <w:color w:val="auto"/>
        </w:rPr>
      </w:pPr>
      <w:r>
        <w:rPr>
          <w:rFonts w:ascii="Times New Roman" w:cs="Times New Roman" w:eastAsia="Times New Roman" w:hAnsi="Times New Roman"/>
          <w:sz w:val="17"/>
          <w:szCs w:val="17"/>
          <w:color w:val="auto"/>
        </w:rPr>
        <w:t>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As noted above, our certificate of incorporation provides that the federal district courts of the United States will be the exclusive forum for the resolution of any complaint asserting a cause of action under the Securities Act. Due to the concurrent jurisdiction for federal and state courts created by Section 22 of the Securities Act over all suits brought to enforce any duty or liability created by the Securities Act or the rules and regulations thereunder, there is uncertainty as to whether a court would enforce the exclusive form provision. Investors also cannot waive compliance with the federal securities laws and the rules and regulations thereunder.</w:t>
      </w:r>
    </w:p>
    <w:p>
      <w:pPr>
        <w:spacing w:after="0" w:line="27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or may decline regardless of our operating performance. You may lose some or all of your investment.</w:t>
      </w:r>
    </w:p>
    <w:p>
      <w:pPr>
        <w:spacing w:after="0" w:line="5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is likely to be volatile. The stock market recently has experienced extreme volatility. This volatility often has been unrelated or disproportionate to the operating performance of particular companies. You may not be able to resell your shares at an attractive price due to a number of factors such as those listed in this section and the following:</w:t>
      </w:r>
    </w:p>
    <w:p>
      <w:pPr>
        <w:spacing w:after="0" w:line="81" w:lineRule="exact"/>
        <w:rPr>
          <w:sz w:val="20"/>
          <w:szCs w:val="20"/>
          <w:color w:val="auto"/>
        </w:rPr>
      </w:pPr>
    </w:p>
    <w:p>
      <w:pPr>
        <w:ind w:left="1080" w:right="32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resulting from the invasion of Ukraine by Russia, the Israel-Hamas conflict, strategic competition and tensions between Taiwan, China and the United States and resulting sanctions, and other events (such as terrorist attacks, geopolitical unrest, natural disasters or a significant outbreak of other infectious diseases);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55"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and prospects;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or annual earnings or those of other companies in our industry compared to market expectations;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that impact demand for our products and/or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announcements concerning our business, our clients’ businesses or our competitors’ businesses;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reaction to our reduced disclosure and other requirements as a result of being an “emerging growth company” under the Jumpstart Our Business Startups Act (the “JOBS 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public float;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by or changes in financial estimates by securities analysts or failure to meet their expectations;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industry perception of our success, or lack thereof, in pursuing our growth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 such as acquisitions or restructurings;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including laws or regulations relating to environmental, health and safety matters or initiatives relating to climate change, or changes in the implementation of regulations by regulatory bodies, which adversely affect our industry or 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protection laws, privacy or data breaches, or the loss of data;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exchanges or sales, or expected issuances, exchanges or sales of our capital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dividend policy;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resolution of new or pending litigation against us; and</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economic and political conditions in the United States and global economies or financial markets, including those resulting from natural disasters, terrorist attacks, acts of war and responses to such events.</w:t>
      </w:r>
    </w:p>
    <w:p>
      <w:pPr>
        <w:spacing w:after="0" w:line="162"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w:t>
      </w:r>
    </w:p>
    <w:p>
      <w:pPr>
        <w:spacing w:after="0" w:line="176"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market volatility, stockholders have instituted securities class action litigation. If we were involved in securities litigation, it could have a substantial cost and divert resources and the attention of management from our business regardless of the outcome of such litigation.</w:t>
      </w:r>
    </w:p>
    <w:p>
      <w:pPr>
        <w:spacing w:after="0" w:line="280"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public reporting company, we are subject to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67" w:lineRule="exact"/>
        <w:rPr>
          <w:sz w:val="20"/>
          <w:szCs w:val="20"/>
          <w:color w:val="auto"/>
        </w:rPr>
      </w:pPr>
    </w:p>
    <w:p>
      <w:pPr>
        <w:ind w:left="120" w:right="140"/>
        <w:spacing w:after="0" w:line="289" w:lineRule="auto"/>
        <w:rPr>
          <w:sz w:val="20"/>
          <w:szCs w:val="20"/>
          <w:color w:val="auto"/>
        </w:rPr>
      </w:pPr>
      <w:r>
        <w:rPr>
          <w:rFonts w:ascii="Times New Roman" w:cs="Times New Roman" w:eastAsia="Times New Roman" w:hAnsi="Times New Roman"/>
          <w:sz w:val="17"/>
          <w:szCs w:val="17"/>
          <w:color w:val="auto"/>
        </w:rPr>
        <w:t>We are subject to the rules and regulations established from time to time by the SEC and Nasdaq.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In addition, as a public company, we are required to document and test our internal control over financial reporting pursuant to Section 404 of the Sarbanes-Oxley Act so that our management can certify as to the effectiveness of our internal control over financial reporting.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for the foreseeable future.</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development and growth of our business. As a result, we do not anticipate declaring or paying any cash dividends on our Common Stock in the foreseeable future. Any decision to declare and pay dividends in the future will be made at the discretion of our board of directors and will depend on, among other things, our business prospects, results of operations, financial condition, cash requirements and availability, certain restrictions related to our indebtedness, industry trends and other factors that our board of directors may deem relevant. Any such decision will also be subject to compliance with contractual restrictions and covenants in the agreements governing our current and future indebtedness. In addition, we may incur additional indebtedness, the terms of which may further restrict or prevent us from paying dividends on our Common Stock. As a result, you may have to sell some or all of your Common Stock after price appreciation in order to generate cash flow from your investment, which you may not be able to do. Our inability or decision not to pay dividends, particularly when others in our industry have elected to do so, could also adversely affect the market price of our Common Stock.</w:t>
      </w:r>
    </w:p>
    <w:p>
      <w:pPr>
        <w:spacing w:after="0" w:line="292"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the market price of our Common Stock could decline.</w:t>
      </w:r>
    </w:p>
    <w:p>
      <w:pPr>
        <w:spacing w:after="0" w:line="5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We may be unable or slow to attract research coverage and if one or more analysts cease coverage of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we could lose visibility in the financial markets, which could cause the price or trading volume of our securities to decline. Moreover, if one or more of the analysts who cover us downgrades our Common Stock or if our reporting results do not meet their expectations, the market price of our Common Stock could decline.</w:t>
      </w:r>
    </w:p>
    <w:p>
      <w:pPr>
        <w:spacing w:after="0" w:line="293"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timely raise capital in the future may be limited, or may be unavailable on acceptable terms, if at all. Our failure to raise capital when needed could harm our business, operating results and financial condition. Debt issued to raise additional capital may reduce the value of our Common Stock.</w:t>
      </w:r>
    </w:p>
    <w:p>
      <w:pPr>
        <w:spacing w:after="0" w:line="67"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have funded our operations since inception primarily through continued financial support from our shareholders and other related parties. We cannot be certain when or if our operations will generate sufficient cash to fund our ongoing operations or the growth of our business.</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and may require additional funds. Additional financing may not be available on favorable terms, if at all. If adequate funds are not available on acceptable terms, we may be unable to invest in future growth opportunities, which could harm our business, operating results and financial condition. If we incur debt, the terms of such debt, including the accrual of interest at fixed or variable interest rates, could restrict our operations, including our ability to pay dividends on our common stock. Moreover, as a result of widespread inflation in the global economy, certain governmental authorities responsible for administering monetary policy have recently increased, and may continue to increase, applicable central bank interest rates, which could increase the costs required to obtain debt financing in the future or refinance any such future indebtedness Furthermore, if we incur debt, the debt holders could have rights senior to holders of our Common Stock to make claims on our assets. As a result, our stockholders bear the risk of future issuances of debt securities reducing the value of our Common Stock.</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COMMITTED EQUITY FACILITY</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July 14, 2025, we entered into the Purchase Agreement and the Registration Rights Agreement with B. Riley Principal Capital II. Upon the terms and subject to the satisfaction of the conditions contained in the Purchase Agreement, from and after the Commencement Date, we will have the right, in our sole discretion, to sell to B. Riley Principal Capital II up to $50,000,000 of shares of our Common Stock, subject to certain limitations set forth in the Purchase Agreement, from time to time after the date of this prospectus and during the term of the Purchase Agreement. Sales of Common Stock by us to B. Riley Principal Capital II under the Purchase Agreement, and the timing of any such sales, are solely at our option, and we are under no obligation to sell any securities to B. Riley Principal Capital II under the Purchase Agreement. In accordance with our obligations under the Registration Rights Agreement, we have filed the registration statement that includes this prospectus with the SEC to register under the Securities Act the resale by B. Riley Principal Capital II of up to 20,326,158 BRPC Shares, consisting of (i) up to 20,242,805 Purchase Shares that we may, in our sole discretion, elect to sell to B. Riley Principal Capital II, from time to time over a period of up to 36 months from and after the Commencement Date pursuant to the Purchase Agreement and (ii) the 83,353 Commitment Shares we issued, together with our payment of the Cash Commitment Fee, to B. Riley Principal Capital II upon our execution of the Purchase Agreement on July 15, 2025, as consideration for its commitment to purchase shares of our Common Stock that we may, in our sole discretion, direct B. Riley Principal Capital II to purchase from us pursuant to the Purchase Agreement.</w:t>
      </w:r>
    </w:p>
    <w:p>
      <w:pPr>
        <w:spacing w:after="0" w:line="190" w:lineRule="exact"/>
        <w:rPr>
          <w:sz w:val="20"/>
          <w:szCs w:val="20"/>
          <w:color w:val="auto"/>
        </w:rPr>
      </w:pPr>
    </w:p>
    <w:p>
      <w:pPr>
        <w:ind w:left="120" w:right="180"/>
        <w:spacing w:after="0" w:line="267" w:lineRule="auto"/>
        <w:rPr>
          <w:sz w:val="20"/>
          <w:szCs w:val="20"/>
          <w:color w:val="auto"/>
        </w:rPr>
      </w:pPr>
      <w:r>
        <w:rPr>
          <w:rFonts w:ascii="Times New Roman" w:cs="Times New Roman" w:eastAsia="Times New Roman" w:hAnsi="Times New Roman"/>
          <w:sz w:val="17"/>
          <w:szCs w:val="17"/>
          <w:color w:val="auto"/>
        </w:rPr>
        <w:t>We do not have the right to commence any sales of our Common Stock to B. Riley Principal Capital II under the Purchase Agreement until the Commencement Date, which is the date on which all of the conditions to B. Riley Principal Capital II’s purchase obligation set forth in the Purchase Agreement have initially been satisfied, none of which are in B. Riley Principal Capital II’s control, including that the registration statement that includes this prospectus shall have been declared effective by the SEC and the final form of this prospectus shall have been filed with the SEC. From and after the Commencement Date, we have the right, but not the obligation, from time to time at our sole discretion for a period of up to 36 months, unless the Purchase Agreement is earlier terminated, to direct B. Riley Principal Capital II to purchase up to a specified maximum amount of shares of Common Stock in one or more Market Open Purchases and Intraday Purchases as set forth in the Purchase Agreement, by timely delivering a written Market Open Purchase Notice for each Market Open Purchase and timely delivering a written Intraday Purchase Notice for each Intraday Purchase, if any, to B. Riley Principal Capital II in accordance with the Purchase Agreement on any trading day we select as the Purchase Date therefor, so long as</w:t>
      </w:r>
    </w:p>
    <w:p>
      <w:pPr>
        <w:spacing w:after="0" w:line="5" w:lineRule="exact"/>
        <w:rPr>
          <w:sz w:val="20"/>
          <w:szCs w:val="20"/>
          <w:color w:val="auto"/>
        </w:rPr>
      </w:pPr>
    </w:p>
    <w:p>
      <w:pPr>
        <w:ind w:left="340" w:hanging="224"/>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sale price of our Common Stock on the trading day immediately prior to such Purchase Date is not less than the Threshold Price and</w:t>
      </w:r>
    </w:p>
    <w:p>
      <w:pPr>
        <w:spacing w:after="0" w:line="9" w:lineRule="exact"/>
        <w:rPr>
          <w:rFonts w:ascii="Times New Roman" w:cs="Times New Roman" w:eastAsia="Times New Roman" w:hAnsi="Times New Roman"/>
          <w:sz w:val="18"/>
          <w:szCs w:val="18"/>
          <w:color w:val="auto"/>
        </w:rPr>
      </w:pPr>
    </w:p>
    <w:p>
      <w:pPr>
        <w:ind w:left="120" w:right="80" w:hanging="4"/>
        <w:spacing w:after="0" w:line="255" w:lineRule="auto"/>
        <w:tabs>
          <w:tab w:leader="none" w:pos="3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Common Stock subject to all prior Market Open Purchases and all prior Intraday Purchases (as applicable) effected by us under the Purchase Agreement, including all prior purchases effected on the same Purchase Date, have been received by B. Riley Principal Capital II at such time and in the manner set forth in the Purchase Agreement.</w:t>
      </w:r>
    </w:p>
    <w:p>
      <w:pPr>
        <w:spacing w:after="0" w:line="18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From and after Commencement, the Company will control the timing and amount of any sales of Common Stock to B. Riley Principal Capital II. Actual sales of shares of our Common Stock to B. Riley Principal Capital II under the Purchase Agreement will depend on a variety of factors to be determined by us from time to time, including, among other things, market conditions, the trading price of our Common Stock and determinations by us as to the appropriate sources of funding for our company and its operations.</w:t>
      </w:r>
    </w:p>
    <w:p>
      <w:pPr>
        <w:spacing w:after="0" w:line="180"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Under the applicable Nasdaq rules, in no event may we issue to B. Riley Principal Capital II under the Purchase Agreement shares of Common Stock in excess of the 19.99% Exchange Cap, unless (i) we obtain stockholder approval to issue shares of Common Stock in excess of the Exchange Cap in accordance with applicable Nasdaq rules, or (ii) the average price per share paid by B. Riley Principal Capital II for all of the shares of Common Stock that we direct B. Riley Principal Capital II to purchase from us pursuant to the Purchase Agreement, if any, equals or exceeds $2.91 per share (representing the lower of (a) the official closing price of our Common Stock on Nasdaq immediately preceding the execution of the Purchase Agreement and (b) the average official closing price of our Common Stock on Nasdaq for the five consecutive trading days immediately preceding the execution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of the Purchase Agreement, adjusted as required by Nasdaq to take into account our payment of the Cash Commitment Fee and our issuance of the Commitment Shares to B. Riley Principal Capital II for non-cash consideration), so that the Exchange Cap limitation will not apply to issuances and sales of Common Stock pursuant to the Purchase Agreement.</w:t>
      </w:r>
    </w:p>
    <w:p>
      <w:pPr>
        <w:spacing w:after="0" w:line="176"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Moreover, we may not issue or sell any shares of Common Stock to B. Riley Principal Capital II under the Purchase Agreement which, when aggregated with all other shares of Common Stock then beneficially owned by B. Riley Principal Capital II and its affiliates (as calculated pursuant to Section 13(d) of the Exchange Act and Rule 13d-3 thereunder), would result in B. Riley Principal Capital II beneficially owning shares of Common Stock in excess of the 4.99% Beneficial Ownership Limitation.</w:t>
      </w:r>
    </w:p>
    <w:p>
      <w:pPr>
        <w:spacing w:after="0" w:line="180"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The net proceeds to us from sales that we elect to make to B. Riley Principal Capital II under the Purchase Agreement, if any, will depend on the frequency and prices at which we sell shares of our Common Stock to B. Riley Principal Capital II. We expect that any proceeds received by us from such sales to B. Riley Principal Capital II will be used for working capital and general corporate purposes.</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Neither we nor B. Riley Principal Capital II may assign or transfer our respective rights and obligations under the Purchase Agreement or the Registration Rights Agreement, and no provision of the Purchase Agreement or the Registration Rights Agreement may be modified or waived by us or B. Riley Principal Capital II.</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As consideration for B. Riley Principal Capital II’s commitment to purchase shares of Common Stock at our direction upon the terms and subject to the conditions set forth in the Purchase Agreement, upon our execution of the Purchase Agreement, we (i) paid B. Riley Principal Capital II the Cash Commitment Fee in the amount of $200,000, which represents 0.4% of B. Riley Principal Capital II’s $50,000,000 total aggregate purchase commitment under the Purchase Agreement and (ii) delivered irrevocable instructions to the transfer agent to the Commitment Shares, which Commitment Shares have a total aggregate value equal to 0.5% of B. Riley Principal Capital II’s $50,000,000 total aggregate purchase commitment under the Purchase Agreement (assuming a value per Commitment Share of $2.9993, representing the VWAP for the five consecutive days immediately prior to signing of the Purchase Agreement, rounded to the nearest whole, to B. Riley Principal Capital II no later than 4:00 p.m. (New York City time) on the trading day immediately following the closing of the Purchase Agreement. The Cash Commitment Fee will be paid by wire transfer of immediately available funds to an account designated by B. Riley Principal Capital II on or prior to the date of the Purchase Agreement. See “</w:t>
      </w:r>
      <w:r>
        <w:rPr>
          <w:rFonts w:ascii="Times New Roman" w:cs="Times New Roman" w:eastAsia="Times New Roman" w:hAnsi="Times New Roman"/>
          <w:sz w:val="18"/>
          <w:szCs w:val="18"/>
          <w:i w:val="1"/>
          <w:iCs w:val="1"/>
          <w:color w:val="auto"/>
        </w:rPr>
        <w:t>Plan of Distribution (Conflict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Interest)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Offer and Resale of Common Stock by the Selling Stockholder</w:t>
      </w:r>
      <w:r>
        <w:rPr>
          <w:rFonts w:ascii="Times New Roman" w:cs="Times New Roman" w:eastAsia="Times New Roman" w:hAnsi="Times New Roman"/>
          <w:sz w:val="18"/>
          <w:szCs w:val="18"/>
          <w:color w:val="auto"/>
        </w:rPr>
        <w:t>” for more information about the Cash Commitment Fee we paid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Purchase Agreement.</w:t>
      </w:r>
    </w:p>
    <w:p>
      <w:pPr>
        <w:spacing w:after="0" w:line="192" w:lineRule="exact"/>
        <w:rPr>
          <w:sz w:val="20"/>
          <w:szCs w:val="20"/>
          <w:color w:val="auto"/>
        </w:rPr>
      </w:pPr>
    </w:p>
    <w:p>
      <w:pPr>
        <w:jc w:val="both"/>
        <w:ind w:left="120" w:right="440"/>
        <w:spacing w:after="0" w:line="266" w:lineRule="auto"/>
        <w:rPr>
          <w:sz w:val="20"/>
          <w:szCs w:val="20"/>
          <w:color w:val="auto"/>
        </w:rPr>
      </w:pPr>
      <w:r>
        <w:rPr>
          <w:rFonts w:ascii="Times New Roman" w:cs="Times New Roman" w:eastAsia="Times New Roman" w:hAnsi="Times New Roman"/>
          <w:sz w:val="18"/>
          <w:szCs w:val="18"/>
          <w:color w:val="auto"/>
        </w:rPr>
        <w:t>In addition, we have agreed to reimburse B. Riley Principal Capital II the Initial Investor Legal Fee Reimbursement Amount of $125,000 upon our execution of the Purchase Agreement and Registration Rights Agreement, and the Additional Investor Legal Fee Reimbursement Amount of up to $5,000 per fiscal quarter.</w:t>
      </w:r>
    </w:p>
    <w:p>
      <w:pPr>
        <w:spacing w:after="0" w:line="176" w:lineRule="exact"/>
        <w:rPr>
          <w:sz w:val="20"/>
          <w:szCs w:val="20"/>
          <w:color w:val="auto"/>
        </w:rPr>
      </w:pPr>
    </w:p>
    <w:p>
      <w:pPr>
        <w:jc w:val="both"/>
        <w:ind w:left="120" w:right="660"/>
        <w:spacing w:after="0" w:line="266" w:lineRule="auto"/>
        <w:rPr>
          <w:sz w:val="20"/>
          <w:szCs w:val="20"/>
          <w:color w:val="auto"/>
        </w:rPr>
      </w:pPr>
      <w:r>
        <w:rPr>
          <w:rFonts w:ascii="Times New Roman" w:cs="Times New Roman" w:eastAsia="Times New Roman" w:hAnsi="Times New Roman"/>
          <w:sz w:val="18"/>
          <w:szCs w:val="18"/>
          <w:color w:val="auto"/>
        </w:rPr>
        <w:t xml:space="preserve">The Purchase Agreement and the Registration Rights Agreement contain customary representations, warranties, conditions and indemnification obligations of the parties. Copies of the agreements have been filed as exhibits to the registration statement that includes this prospectus and are available electronically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Purchases of Common Stock Under the Purchase Agreement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Market Open Purchases</w:t>
      </w:r>
    </w:p>
    <w:p>
      <w:pPr>
        <w:spacing w:after="0" w:line="11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From and after the Commencement Date, we will have the right, but not the obligation, from time to time at our sole discretion for a period of up to 36 months, unless the Purchase Agreement is earlier terminated, beginning on the Commencement Date, to direct B. Riley Principal Capital II to purchase a specified number of shares of Common Stock, not to exceed the applicable Market Open Purchase Maximum Amount, in a Market Open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Purchase under the Purchase Agreement, by timely delivering a written Market Open Purchase Notice to B. Riley Principal Capital II, prior to 9:00 a.m.,</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City time, on any trading day we select as the Purchase Date for such Market Open Purchase, so long as:</w:t>
      </w:r>
    </w:p>
    <w:p>
      <w:pPr>
        <w:spacing w:after="0" w:line="112" w:lineRule="exact"/>
        <w:rPr>
          <w:sz w:val="20"/>
          <w:szCs w:val="20"/>
          <w:color w:val="auto"/>
        </w:rPr>
      </w:pPr>
    </w:p>
    <w:p>
      <w:pPr>
        <w:ind w:left="1080" w:right="4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sale price of our Common Stock on the trading day immediately prior to such Purchase Date is not less than the Threshold Price; and</w:t>
      </w:r>
    </w:p>
    <w:p>
      <w:pPr>
        <w:spacing w:after="0" w:line="67"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Common Stock subject to all prior Market Open Purchases and all prior Intraday Purchases effected by us under the Purchase Agreement have been received by B. Riley Principal Capital II prior to the time we deliver such Market Open Purchase Notice to B. Riley Principal Capital II.</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Purchase Maximum Amount applicable to such Market Open Purchase will be equal to the lesser of:</w:t>
      </w:r>
    </w:p>
    <w:p>
      <w:pPr>
        <w:spacing w:after="0" w:line="131"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shares of Common Stock; and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Open Purchase Percentage (as specified in the applicable Market Open Purchase Notice for such Purchase) of the total aggregate number (or volume) of shares of our Common Stock traded on Nasdaq during the applicable Market Open Purchase Valuation Period for such Market Open Purchase.</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actual number of shares of Common Stock that B. Riley Principal Capital II will be required to purchase in a Market Open Purchase, which we refer to as the Market Open Purchase Share Amount, will be equal to the number of shares that we specify in the applicable Market Open Purchase Notice, subject to adjustment to the extent necessary to give effect to the applicable Market Open Purchase Maximum Amount and other applicable limitations set forth in the Purchase Agreement, including the Beneficial Ownership Limitation and, if then applicable, the Exchange Cap.</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per share purchase price that B. Riley Principal Capital II will be required to pay for the Market Open Purchase Share Amount in a Market Open Purchase effected by us pursuant to the Purchase Agreement, if any, will be equal to the VWAP of our Common Stock for the applicable Market Open Purchase Valuation Period on the Purchase Date for such Market Open Purchase, less a fixed 3.0% discount to the VWAP for such Market Open Purchase Valuation Period. The Market Open Purchase Valuation Period for a Market Open Purchase is defined in the Purchase Agreement as the period beginning at the official open (or “commencement”) of the regular trading session on Nasdaq on the applicable Purchase Date for such Market Open Purchase, and ending at the earliest to occur of:</w:t>
      </w:r>
    </w:p>
    <w:p>
      <w:pPr>
        <w:spacing w:after="0" w:line="93" w:lineRule="exact"/>
        <w:rPr>
          <w:sz w:val="20"/>
          <w:szCs w:val="20"/>
          <w:color w:val="auto"/>
        </w:rPr>
      </w:pPr>
    </w:p>
    <w:p>
      <w:pPr>
        <w:ind w:left="1080" w:right="1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3:59 p.m., New York City time, on such Purchase Date or such earlier time publicly announced by the trading market as the official close of the regular trading session on such Purchase Date;</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that the total aggregate number (or volume) of shares of Common Stock traded on Nasdaq during such Market Open Purchase Valuation Period reaches the applicable Market Open Purchase Share Volume Maximum for such Market Open Purchase, which will be determined by dividing (a) the applicable Market Open Purchase Share Amount for such Market Open Purchase, by (b) the Market Open Purchase Percentage we specified in the applicable Market Open Purchase Notice for such Market Open Purchase; and</w:t>
      </w:r>
    </w:p>
    <w:p>
      <w:pPr>
        <w:spacing w:after="0" w:line="85"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further specify in the applicable Market Open Purchase Notice for such Market Open Purchase that a Limit Order Discontinue Election shall apply to such Market Open Purchase, such time that the trading price of our Common Stock on Nasdaq during such Market Open Purchase Valuation Period (calculated in accordance with the Purchase Agreement) falls below the applicable Minimum Price Threshold.</w:t>
      </w:r>
    </w:p>
    <w:p>
      <w:pPr>
        <w:spacing w:after="0" w:line="180"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Under the Purchase Agreement, for purposes of calculating the volume of shares of Common Stock traded during a Market Open Purchase Valuation Period, including for purposes of determining whether the applicable Market Open Purchase Share Volume Maximum for a Market Open Purchase has been reached, for purposes of calculating the VWAP of our Common Stock for the applicable Market Open Purchase Valuation Period, and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extent that we specify in the applicable Market Open Purchase Notice that the Limit Order Discontinue Election will apply, the following transactions, to the extent they occur during such Market Open Purchase Valuation Period, shall be excluded: (x) the opening or first purchase of Common Stock at or following the official open of the regular trading session on Nasdaq on the applicable Purchase Date for such Market Open Purchase, (y) the last or closing sale of Common Stock at or prior to the official close of the regular trading session on Nasdaq on the applicable Purchase Date for such Market Open Purchase, and (z) if we have specified in the applicable Market Open Purchase Notice for such Market Open Purchase that a Limit Order Continue Election, rather than a Limit Order Discontinue Election, shall apply to such Market Open Purchase, all purchases and sales of Common Stock on Nasdaq during such Market Open Purchase Valuation Period at a price per share that is less than the applicable Minimum Price Threshold for such Market Open Purchase.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Intraday Purchases</w:t>
      </w:r>
    </w:p>
    <w:p>
      <w:pPr>
        <w:spacing w:after="0" w:line="11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In addition to the Market Open Purchases described above, from and after the Commencement Date, we will also have the right, but not the obligation, subject to the continued satisfaction of the conditions set forth in the Purchase Agreement, to direct B. Riley Principal Capital II to make Intraday Purchases (whether or not a Market Open Purchase is effected on such Purchase Date), not to exceed the applicable Intraday Purchase Maximum Amount, in an Intraday Purchase under the Purchase Agreement, by timely delivering a written Intraday Purchase Notice to B. Riley Principal Capital II, after 10:00 a.m., New York City time (and after the Market Open Purchase Valuation Period for any earlier Market Open Purchase and the Intraday Purchase Valuation Period for the most recent prior Intraday Purchase effected on the same Purchase Date if applicable, have ended), and prior to 3:30 p.m., New York City time, on such Purchase Date, so long as:</w:t>
      </w:r>
    </w:p>
    <w:p>
      <w:pPr>
        <w:spacing w:after="0" w:line="94" w:lineRule="exact"/>
        <w:rPr>
          <w:sz w:val="20"/>
          <w:szCs w:val="20"/>
          <w:color w:val="auto"/>
        </w:rPr>
      </w:pPr>
    </w:p>
    <w:p>
      <w:pPr>
        <w:ind w:left="1080" w:right="3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sale price of our Common Stock on the trading day immediately prior to such Purchase Date is not less than the Threshold Price; and</w:t>
      </w:r>
    </w:p>
    <w:p>
      <w:pPr>
        <w:spacing w:after="0" w:line="67" w:lineRule="exact"/>
        <w:rPr>
          <w:rFonts w:ascii="Times New Roman" w:cs="Times New Roman" w:eastAsia="Times New Roman" w:hAnsi="Times New Roman"/>
          <w:sz w:val="18"/>
          <w:szCs w:val="18"/>
          <w:color w:val="auto"/>
        </w:rPr>
      </w:pPr>
    </w:p>
    <w:p>
      <w:pPr>
        <w:jc w:val="both"/>
        <w:ind w:left="1080" w:right="300" w:hanging="424"/>
        <w:spacing w:after="0" w:line="261"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Common Stock subject to all prior Market Open Purchases and all prior Intraday Purchases (as applicable) effected by us under the Purchase Agreement, including all prior purchases effected on the same Purchase Date as such applicable Intraday Purchase, have been received by B. Riley Principal Capital II in the manner set forth in the Purchase Agreement, prior to the time we deliver the Intraday Purchase Notice for such applicable Intraday Purchase to B. Riley Principal Capital II.</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Intraday Purchase Maximum Amount applicable to such Intraday Purchase will be equal to the lesser of:</w:t>
      </w:r>
    </w:p>
    <w:p>
      <w:pPr>
        <w:spacing w:after="0" w:line="13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shares of Common Stock; and</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Intraday Purchase Percentage (as specified by us in the applicable Intraday Purchase Notice for such Intraday Purchase) of the total aggregate number (or volume) of shares of our Common Stock traded on Nasdaq during the applicable Intraday Purchase Valuation Period for such Intraday Purchase.</w:t>
      </w:r>
    </w:p>
    <w:p>
      <w:pPr>
        <w:spacing w:after="0" w:line="17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actual number of shares of Common Stock that B. Riley Principal Capital II will be required to purchase in an Intraday Purchase, which we refer to as the Intraday Purchase Share Amount, will be equal to the number of shares that we specify in the applicable Intraday Purchase Notice, subject to adjustment to the extent necessary to give effect to the applicable Intraday Purchase Maximum Amount and other applicable limitations set forth in the Purchase Agreement, including the Beneficial Ownership Limitation and, if then applicable, the Exchange Cap.</w:t>
      </w:r>
    </w:p>
    <w:p>
      <w:pPr>
        <w:spacing w:after="0" w:line="180"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per share purchase price that B. Riley Principal Capital II will be required to pay for the Intraday Purchase Share Amount in an Intraday Purchase effected by us pursuant to the Purchase Agreement, if any, will be calculated in the same manner as in the case of a Market Open Purchase (including the same fixed percentage discounts to the applicable VWAP used to calculate the per share purchase price for a Market Open Purchase as described above), provided that the VWAP used to determine the purchase price for the Intraday Purchase Share Amount to be purchased in an Intraday Purchase will be equal to the VWAP for the applicable Intraday Purchase Valuation Period on the Purchase Date for such Intraday Purchase. The Intraday Purchase Valuation Period for an</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80"/>
          </w:cols>
          <w:pgMar w:left="320" w:top="455"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Intraday Purchase is defined in the Purchase Agreement as the period during the regular trading session on Nasdaq on such Purchase Date, beginning at the latest to occur of:</w:t>
      </w:r>
    </w:p>
    <w:p>
      <w:pPr>
        <w:spacing w:after="0" w:line="67"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of confirmation of B. Riley Principal Capital II’s receipt of the applicable Intraday Purchase Notice;</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that the Market Open Purchase Valuation Period for any prior Market Open Purchase effected on the same Purchase Date (if any) has ended; and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that the Intraday Purchase Valuation Period for the most recent prior Intraday Purchase effected on the same Purchase Date (if any) has ended,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ending at the earliest to occur of:</w:t>
      </w:r>
    </w:p>
    <w:p>
      <w:pPr>
        <w:spacing w:after="0" w:line="131" w:lineRule="exact"/>
        <w:rPr>
          <w:sz w:val="20"/>
          <w:szCs w:val="20"/>
          <w:color w:val="auto"/>
        </w:rPr>
      </w:pPr>
    </w:p>
    <w:p>
      <w:pPr>
        <w:ind w:left="1080" w:right="1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3:59 p.m., New York City time, on such Purchase Date or such earlier time publicly announced by the trading market as the official close of the regular trading session on such Purchase Date;</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that the total aggregate number (or volume) of shares of Common Stock traded on Nasdaq during such Intraday Purchase Valuation Period reaches the applicable Intraday Purchase Share Volume Maximum for such Intraday Purchase, which will be determined by dividing (a) the applicable Intraday Purchase Share Amount for such Intraday Purchase, by (b) the Purchase Percentage we specified in the applicable Intraday Purchase Notice for determining the applicable Intraday Purchase Share Amount for such Intraday Purchase; and</w:t>
      </w:r>
    </w:p>
    <w:p>
      <w:pPr>
        <w:spacing w:after="0" w:line="85"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further specify Limit Order Discontinue Election in the applicable Intraday Purchase Notice for such Intraday Purchase, such time that the trading price of our Common Stock on Nasdaq during such Intraday Purchase Valuation Period (calculated in accordance with the Purchase Agreement) falls below the applicable Minimum Price Threshold.</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As with Market Open Purchases, for purposes of calculating the volume of shares of Common Stock traded during an Intraday Purchase Valuation Period, including for purposes of determining whether the applicable Intraday Purchase Share Volume Maximum for an Intraday Purchase has been reached, for purposes of calculating the VWAP of our Common Stock for the applicable Intraday Purchase Valuation Period, the following transactions, to the extent they occur during such Intraday Purchase Valuation Period, are excluded: (x) the opening or first purchase of Common Stock at or following the official open of the regular trading session on Nasdaq on the applicable Purchase Date for such Intraday Purchase, (y) the last or closing sale of Common Stock at or prior to the official close of the regular trading session on Nasdaq on the applicable Purchase Date for such Intraday Purchase, and (z) if we have specified in the applicable Intraday Purchase Notice for such Intraday Purchase that a Limit Order Continue Election, rather than a Limit Order Discontinue Election, shall apply to such Intraday Purchase, all purchases and sales of Common Stock on Nasdaq during such Intraday Purchase Valuation Period at a price per share that is less than the applicable Minimum Price Threshold for such Intraday Purchase.</w:t>
      </w:r>
    </w:p>
    <w:p>
      <w:pPr>
        <w:spacing w:after="0" w:line="18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may, in our sole discretion, timely deliver multiple Intraday Purchase Notices to B. Riley Principal Capital II prior to 3:30 p.m., New York City time, on a single Purchase Date to effect multiple Intraday Purchases on such same Purchase Date, provided that the Market Open Purchase Valuation Period for any earlier Market Open Purchase effected on the same Purchase Date (as applicable) and the Intraday Purchase Valuation Period for the most recent prior Intraday Purchase effected on the same Purchase Date have ended prior to 3:30 p.m., New York City time, on such Purchase Date, and so long as all shares of Common Stock subject to all prior Market Open Purchases and all prior Intraday Purchases (as applicable) effected by us under the Purchase Agreement, including all prior purchases effected on the same Purchase Date as such applicable Intraday Purchase, have been received by B. Riley Principal Capital II prior to the time we deliver to B. Riley Principal Capital II a new Intraday Purchase Notice to effect an additional Intraday Purchase on the same Purchase Date as an earlier Market Open Purchase (as applicable) and one or more earlier Intraday Purchases effected on such same Purchase Date.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The terms and limitations that will apply to each subsequent additional Intraday Purchase effected on the same Purchase Date will be the same as those applicable to any earlier Market Open Purchase (as applicable) and any earlier Intraday Purchase effected on the same Purchase Date as such subsequent additional Intraday Purchase, and the per share purchase price for the shares of Common Stock that we elect to sell to B. Riley Principal Capital II in each subsequent additional Intraday Purchase effected on the same Purchase Date as an earlier Market Open Purchase (as applicable) and/or earlier Intraday Purchase(s) effected on such Purchase Date will be calculated in the same manner as in the case of such earlier Market Open Purchase (as applicable) and such earlier Intraday Purchase(s) effected on the same Purchase Date as such subsequent additional Intraday Purchase, with the exception that the Intraday Purchase Valuation Period for each subsequent additional Intraday Purchase will begin and end at different times (and may vary in duration) during the regular trading session on such Purchase Date, in each case as determined in accordance with the Purchase Agreement.</w:t>
      </w:r>
    </w:p>
    <w:p>
      <w:pPr>
        <w:spacing w:after="0" w:line="172"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In the case of Market Open Purchases and Intraday Purchases effected by us under the Purchase Agreement, if any, all share and dollar amounts used in determining the purchase price per share of Common Stock to be purchased by B. Riley Principal Capital II in a Market Open Purchase or an Intraday Purchase (as applicable), or in determining the applicable maximum purchase share amounts or applicable volume or minimum price threshold in connection with any such Market Open Purchase or Intraday Purchase (as applicable), in each case, will be equitably adjusted for any reorganization, recapitalization, non-cash dividend, stock split, reverse stock split or other similar transaction occurring during any period used to calculate such per share purchase price, maximum purchase share amounts or applicable volume or minimum price thresholds.</w:t>
      </w:r>
    </w:p>
    <w:p>
      <w:pPr>
        <w:spacing w:after="0" w:line="187"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At or prior to 5:30 p.m., New York City time, on the applicable Purchase Date for a Market Open Purchase and/or Intraday Purchase, B. Riley Principal Capital II will provide us with a written confirmation for such Market Open Purchase and/or Intraday Purchase, as applicable, setting forth the applicable purchase price (both on a per share basis and the total aggregate purchase price) to be paid by B. Riley Principal Capital II for the shares of Common Stock purchased by B. Riley Principal Capital II in such Market Open Purchase and/or Intraday Purchase, as applicable.</w:t>
      </w:r>
    </w:p>
    <w:p>
      <w:pPr>
        <w:spacing w:after="0" w:line="180"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payment for, against delivery of, shares of Common Stock purchased by B. Riley Principal Capital II in any Market Open Purchase or any Intraday Purchase under the Purchase Agreement will be fully settled on the trading day immediately following the applicable Purchase Date for such Market Open Purchase or such Intraday Purchase (as applicable), as set forth in the Purchase Agreement.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Precedent to Commencement and Each Purchase</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B. Riley Principal Capital II’s obligation to accept Market Open Purchase Notices and Intraday Purchase Notices that are timely delivered by us under the Purchase Agreement and to purchase shares of our Common Stock in Market Open Purchases and Intraday Purchases under the Purchase Agreement, are subject to (i) the initial satisfaction, at the Commencement, and (ii) the satisfaction, at the applicable “Purchase Condition Satisfaction Time” (as such term is defined in the Purchase Agreement) on the applicable Purchase Date for each Market Open Purchase and Intraday Purchase after the Commencement Date, of the conditions precedent thereto set forth in the Purchase Agreement, all of which are entirely outside of B. Riley Principal Capital II’s control, which conditions including the following:</w:t>
      </w:r>
    </w:p>
    <w:p>
      <w:pPr>
        <w:spacing w:after="0" w:line="93"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of the representations and warranties of the Company included in the Purchase Agreement;</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having performed, satisfied and complied in all material respects with all covenants, agreements and conditions required by the Purchase Agreement to be performed, satisfied or complied with by the Company;</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that includes this prospectus (and any one or more additional registration statements filed with the SEC that include shares of Common Stock that may be issued and sold by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220"/>
        <w:spacing w:after="0" w:line="261" w:lineRule="auto"/>
        <w:rPr>
          <w:sz w:val="20"/>
          <w:szCs w:val="20"/>
          <w:color w:val="auto"/>
        </w:rPr>
      </w:pPr>
      <w:r>
        <w:rPr>
          <w:rFonts w:ascii="Times New Roman" w:cs="Times New Roman" w:eastAsia="Times New Roman" w:hAnsi="Times New Roman"/>
          <w:sz w:val="18"/>
          <w:szCs w:val="18"/>
          <w:color w:val="auto"/>
        </w:rPr>
        <w:t>Company to B. Riley Principal Capital II under the Purchase Agreement) having been declared effective under the Securities Act by the SEC, and B. Riley Principal Capital II being able to utilize this prospectus (and the prospectus included in any one or more additional registration statements filed with the SEC under the Registration Rights Agreement) to resell all of BRPC Shares included in this prospectus (and included in any such additional prospectuses);</w:t>
      </w:r>
    </w:p>
    <w:p>
      <w:pPr>
        <w:spacing w:after="0" w:line="85" w:lineRule="exact"/>
        <w:rPr>
          <w:sz w:val="20"/>
          <w:szCs w:val="20"/>
          <w:color w:val="auto"/>
        </w:rPr>
      </w:pPr>
    </w:p>
    <w:p>
      <w:pPr>
        <w:ind w:left="1080" w:hanging="424"/>
        <w:spacing w:after="0" w:line="25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shall not have issued any stop order suspending the effectiveness of the registration statement that includes this prospectus (or any one or more additional registration statements filed with the SEC that include shares of Common Stock that may be issued and sold by the Company to B. Riley Principal Capital II under the Purchase Agreement) or prohibiting or suspending the use of this prospectus (or the prospectus included in any one or more additional registration statements filed with the SEC under the Registration Rights Agreement), and the absence of any suspension of qualification or exemption from qualification of the Common Stock for offering or sale in any jurisdiction;</w:t>
      </w:r>
    </w:p>
    <w:p>
      <w:pPr>
        <w:spacing w:after="0" w:line="92"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 shall not have provided an objection to, and shall have confirmed in writing that it has determined not to raise any objections with respect to the fairness and reasonableness of, the terms and arrangements of the transactions contemplated by the Purchase Agreement and the Registration Rights Agreement;</w:t>
      </w:r>
    </w:p>
    <w:p>
      <w:pPr>
        <w:spacing w:after="0" w:line="81"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event and there shall not exist any condition or state of facts, which makes any statement of a material fact made in the registration statement that includes this prospectus (or in any one or more additional registration statements filed with the SEC that include shares of Common Stock that may be issued and sold by the Company to B. Riley Principal Capital II under the Purchase Agreement) untrue or which requires the making of any additions to or changes to the statements contained therein in order to state a material fact required by the Securities Act to be stated therein or necessary in order to make the statements then made therein (in the case of this prospectus or the prospectus included in any one or more additional registration statements filed with the SEC under the Registration Rights Agreement, in the light of the circumstances under which they were made) not misleading;</w:t>
      </w:r>
    </w:p>
    <w:p>
      <w:pPr>
        <w:spacing w:after="0" w:line="94"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prospectus, in final form, shall have been filed with the SEC under the Securities Act prior to Commencement, and all reports, schedules, registrations, forms, statements, information and other documents required to have been filed by the Company with the SEC pursuant to the reporting requirements of the Exchange Act shall have been filed with the SEC;</w:t>
      </w:r>
    </w:p>
    <w:p>
      <w:pPr>
        <w:spacing w:after="0" w:line="81"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the Common Stock shall not have been suspended by the SEC or Nasdaq, the Company shall not have received any final and non-appealable notice that the listing or quotation of the Common Stock on Nasdaq, shall be terminated on a date certain (unless, prior to such date, the Common Stock is listed or quoted on any other Eligible Market, as such term is defined in the Purchase Agreement), and there shall be no suspension of, or restriction on, accepting additional deposits of the Common Stock, electronic trading or book-entry services by The Depository Trust Company with respect to the Common Stock;</w:t>
      </w:r>
    </w:p>
    <w:p>
      <w:pPr>
        <w:spacing w:after="0" w:line="88"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complied with all applicable federal, state and local governmental laws, rules, regulations and ordinances in connection with the execution, delivery and performance of the Purchase Agreement and the Registration Rights Agreement;</w:t>
      </w:r>
    </w:p>
    <w:p>
      <w:pPr>
        <w:spacing w:after="0" w:line="67"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statute, regulation, order, decree, writ, ruling or injunction by any court or governmental authority of competent jurisdiction which prohibits the consummation of or that would materially modify or delay any of the transactions contemplated by the Purchase Agreement or the Registration Rights Agreement;</w:t>
      </w:r>
    </w:p>
    <w:p>
      <w:pPr>
        <w:spacing w:after="0" w:line="81" w:lineRule="exact"/>
        <w:rPr>
          <w:rFonts w:ascii="Times New Roman" w:cs="Times New Roman" w:eastAsia="Times New Roman" w:hAnsi="Times New Roman"/>
          <w:sz w:val="18"/>
          <w:szCs w:val="18"/>
          <w:color w:val="auto"/>
        </w:rPr>
      </w:pPr>
    </w:p>
    <w:p>
      <w:pPr>
        <w:jc w:val="both"/>
        <w:ind w:left="1080" w:right="22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action, suit or proceeding before any arbitrator or any court or governmental authority seeking to restrain, prevent or change the transactions contemplated by the Purchase Agreement or the Registration Rights Agreement, or seeking material damages in connection with such transactions;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080" w:right="18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shares of Common Stock and all of the Commitment Shares that may be issued pursuant to the Purchase Agreement shall have been approved for listing or quotation on Nasdaq (or if the Common Stock or Commitment Shares are not then listed on Nasdaq, then on any Eligible Market), subject only to notice of issuance;</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condition, occurrence, state of facts or event constituting a Material Adverse Effect (as such term is defined in the Purchase Agreement) shall have occurred and be continuing;</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bankruptcy proceeding against the Company commenced by a third party, and the Company shall not have commenced a voluntary bankruptcy proceeding, consented to the entry of an order for relief against it in an involuntary bankruptcy case, consented to the appointment of a custodian of the Company or for all or substantially all of its property in any bankruptcy proceeding, or made a general assignment for the benefit of its creditors;</w:t>
      </w:r>
    </w:p>
    <w:p>
      <w:pPr>
        <w:spacing w:after="0" w:line="85"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B. Riley Principal Capital II of the legal opinions and negative assurances, bring-down legal opinions and negative assurances, and audit comfort letters, in each case as required under the Purchase Agreement;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having caused the Company’s transfer agent to credit to B. Riley Principal Capital II’s or its designee’s account at DTC as DWAC Shares such number of shares of Common Stock equal to the number of Commitment Shares issued to B. Riley Principal Capital II.</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Termination of the Purchase Agreement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Unless earlier terminated as provided in the Purchase Agreement, the Purchase Agreement will terminate automatically on the earliest to occur of:</w:t>
      </w:r>
    </w:p>
    <w:p>
      <w:pPr>
        <w:spacing w:after="0" w:line="13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of the month next following the 36-month anniversary of the Commencement Date;</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B. Riley Principal Capital II shall have purchased shares of Common Stock under the Purchase Agreement for an aggregate gross purchase price equal to $50,000,000;</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Common Stock shall have failed to be listed or quoted on Nasdaq or any other Eligible Market for a period of one trading day;</w:t>
      </w:r>
    </w:p>
    <w:p>
      <w:pPr>
        <w:spacing w:after="0" w:line="67" w:lineRule="exact"/>
        <w:rPr>
          <w:rFonts w:ascii="Times New Roman" w:cs="Times New Roman" w:eastAsia="Times New Roman" w:hAnsi="Times New Roman"/>
          <w:sz w:val="18"/>
          <w:szCs w:val="18"/>
          <w:color w:val="auto"/>
        </w:rPr>
      </w:pPr>
    </w:p>
    <w:p>
      <w:pPr>
        <w:ind w:left="1080" w:hanging="424"/>
        <w:spacing w:after="0" w:line="230"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after the date on which a voluntary or involuntary bankruptcy proceeding involving our company has been commenced that is not discharged or dismissed prior to such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and</w:t>
      </w:r>
    </w:p>
    <w:p>
      <w:pPr>
        <w:ind w:left="1080" w:right="140" w:hanging="424"/>
        <w:spacing w:after="0" w:line="258"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 bankruptcy custodian is appointed for all or substantially all of our property, or we make a general assignment for the benefit of our creditors.</w:t>
      </w:r>
    </w:p>
    <w:p>
      <w:pPr>
        <w:spacing w:after="0" w:line="183"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We have the right to terminate the Purchase Agreement at any time after Commencement, at no cost or penalty, upon 10 trading days’ prior written notice to B. Riley Principal Capital II. We and B. Riley Principal Capital II may also terminate the Purchase Agreement at any time by mutual written consent.</w:t>
      </w:r>
    </w:p>
    <w:p>
      <w:pPr>
        <w:spacing w:after="0" w:line="176"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B. Riley Principal Capital II also has the right to terminate the Purchase Agreement upon 10 trading days’ prior written notice to us, but only upon the occurrence of certain events, including:</w:t>
      </w:r>
    </w:p>
    <w:p>
      <w:pPr>
        <w:spacing w:after="0" w:line="67"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and continuation of a Material Adverse Effect (as such term is defined in the Purchase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Fundamental Transaction (as such term defined in the Purchase Agreement) involving our company;</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registration statement is not filed by the applicable Filing Deadline (as defined in the Registration Rights Agreement) or declared effective by the SEC by the applicable Effectiveness Deadline (as defined in the Registration Rights Agreement), or the Company is otherwise in breach or default in 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100"/>
        <w:spacing w:after="0" w:line="266" w:lineRule="auto"/>
        <w:rPr>
          <w:sz w:val="20"/>
          <w:szCs w:val="20"/>
          <w:color w:val="auto"/>
        </w:rPr>
      </w:pPr>
      <w:r>
        <w:rPr>
          <w:rFonts w:ascii="Times New Roman" w:cs="Times New Roman" w:eastAsia="Times New Roman" w:hAnsi="Times New Roman"/>
          <w:sz w:val="18"/>
          <w:szCs w:val="18"/>
          <w:color w:val="auto"/>
        </w:rPr>
        <w:t>material respect under any of the other provisions of the Registration Rights Agreement, and, if such failure, breach or default is capable of being cured, such failure, breach or default is not cured within 10 trading days after notice of such failure, breach or default is delivered to us;</w:t>
      </w:r>
    </w:p>
    <w:p>
      <w:pPr>
        <w:spacing w:after="0" w:line="81" w:lineRule="exact"/>
        <w:rPr>
          <w:sz w:val="20"/>
          <w:szCs w:val="20"/>
          <w:color w:val="auto"/>
        </w:rPr>
      </w:pPr>
    </w:p>
    <w:p>
      <w:pPr>
        <w:ind w:left="1080" w:right="46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in breach or default in any material respect of any of our covenants and agreements in the Purchase Agreement or in the Registration Rights Agreement, and, if such breach or default is capable of being cured, such breach or default is not cured within 10 trading days after notice of such breach or default is delivered to us;</w:t>
      </w:r>
    </w:p>
    <w:p>
      <w:pPr>
        <w:spacing w:after="0" w:line="81"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the registration statement that includes this prospectus or any additional registration statement we file with the SEC pursuant to the Registration Rights Agreement lapses for any reason (including the issuance of a stop order by the SEC), or this prospectus or the prospectus included in any additional registration statement we file with the SEC pursuant to the Registration Rights Agreement otherwise becomes unavailable to B. Riley Principal Capital II for the resale of all of BRPC Shares included therein, and such lapse or unavailability continues for a period of 45 consecutive trading days or for more than an aggregate of 90 trading days in any 365-day period, other than due to acts of B. Riley Principal Capital II; or</w:t>
      </w:r>
    </w:p>
    <w:p>
      <w:pPr>
        <w:spacing w:after="0" w:line="92"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the Common Stock on Nasdaq (or if the Common Stock is then listed on an Eligible Market, trading in the Common Stock on such Eligible Market) has been suspended for a period of five consecutive trading days.</w:t>
      </w:r>
    </w:p>
    <w:p>
      <w:pPr>
        <w:spacing w:after="0" w:line="16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No termination of the Purchase Agreement by us or by B. Riley Principal Capital II will become effective prior to the fifth trading day immediately following the date on which any pending Market Open Purchase and any pending Intraday Purchase has been fully settled in accordance with the terms and conditions of the Purchase Agreement, and no termination will affect any of our respective rights and obligations under the Purchase Agreement with respect to any pending Market Open Purchase, any pending Intraday Purchase, the Commitment Shares, and any fees and disbursements of B. Riley Principal Capital II’s legal counsel in connection with the transactions contemplated by the Purchase Agreement and the Registration Rights Agreement. Both we and B. Riley Principal Capital II have agreed to complete our respective obligations with respect to any such pending Market Open Purchase and any pending Intraday Purchase under the Purchase Agreement. Furthermore, no termination of the Purchase Agreement will affect the Registration Rights Agreement, which will survive any termination of the Purchase Agreement.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Short-Selling or Hedging by B. Riley Principal Capital II</w:t>
      </w:r>
    </w:p>
    <w:p>
      <w:pPr>
        <w:spacing w:after="0" w:line="121"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B. Riley Principal Capital II has represented to us that at no time prior to the date of the Purchase Agreement has B. Riley Principal Capital II, any of its officers, or any entity managed or controlled by B. Riley Principal Capital II, engaged in or effected, in any manner whatsoever, directly or indirectly, for B. Riley Principal Capital II’s own principal account or for the principal account of any such entity managed or controlled by B. Riley Principal Capital II, any short sale (as such term is defined in Rule 200 of Regulation SHO of the Exchange Act) of our Common Stock or any hedging transaction, which establishes a net short position with respect to our Common Stock that remained in effect as of the date of the Purchase Agreement. B. Riley Principal Capital II has agreed that, during the term of the Purchase Agreement, none of B. Riley Principal Capital II, any of its officers, or any entity managed or controlled by B. Riley Principal Capital II will engage in or effect, directly or indirectly, any of the foregoing transactions either for B. Riley Principal Capital II’s own principal account or for the principal account of any such entity managed or controlled by B. Riley Principal Capital II.</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Prohibition on Variable Rate Transactions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Subject to specified exceptions included in the Purchase Agreement, we are limited in our ability to enter into specified “Variable Rate Transactions” (as such term is defined in the Purchase Agreement) during the term of the Purchase Agreement. Such transactions include, among others, the issuance of convertible securities with 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conversion or exercise price that is based upon or varies with the trading price of our Common Stock after the date of issuance, or our effecting or entering into an agreement to effect an “equity line of credit” or other substantially similar continuous offering with a third party, in which we may offer, issue or sell Common Stock or any securities exercisable, exchangeable or convertible into Common Stock at a future determined price.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Sales of our Common Stock under the Purchase Agreement on our Stockholders</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Commitment Shares that we issued, and the Purchase Shares to be issued or sold by us, to B. Riley Principal Capital II under the Purchase Agreement that are being registered under the Securities Act for resale by B. Riley Principal Capital II in this offering are expected to be freely tradable. The 20,242,805 Purchase Shares being registered for resale in this offering may be issued and sold by us to B. Riley Principal Capital II from time to time at our discretion over a period of up to 36 months (unless the Purchase Agreement is earlier terminated), beginning on the Commencement Date. The resale by B. Riley Principal Capital II of a significant amount of BRPC Shares registered for resale in this offering at any given time, or the perception that these sales may occur, could cause the market price of our Common Stock to decline and to be highly volatile. Sales of our Common Stock, if any, to B. Riley Principal Capital II under the Purchase Agreement will depend upon market conditions and other factors to be determined by us. We may ultimately decide to sell to B. Riley Principal Capital II all, some or none of the shares of our Common Stock that may be available for us to sell to B. Riley Principal Capital II pursuant to the Purchase Agreement.</w:t>
      </w:r>
    </w:p>
    <w:p>
      <w:pPr>
        <w:spacing w:after="0" w:line="18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If and when we do elect to sell shares of our Common Stock to B. Riley Principal Capital II pursuant to the Purchase Agreement, after B. Riley Principal Capital II has acquired such shares, B. Riley Principal Capital II may resell all, some or none of such shares at any time or from time to time in its discretion and at different prices. As a result, investors who purchase shares from B. Riley Principal Capital II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B. Riley Principal Capital II in this offering as a result of future sales made by us to B. Riley Principal Capital II at prices lower than the prices such investors paid for their shares in this offering. In addition, if we sell a substantial number of shares of our Common Stock to B. Riley Principal Capital II under the Purchase Agreement, or if investors expect that we will do so, the actual sales of shares or the mere existence of our arrangement with B. Riley Principal Capital II may make it more difficult for us to sell equity or equity-related securities in the future at a time and at a price that we might otherwise wish to effect such sales.</w:t>
      </w:r>
    </w:p>
    <w:p>
      <w:pPr>
        <w:spacing w:after="0" w:line="188"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Because the per share purchase price that B. Riley Principal Capital II will pay for Purchase Shares in any Market Open Purchase or Intraday Purchase that we may elect to effect pursuant to the Purchase Agreement will be determined by reference to the VWAP during the applicable Market Open Purchase Valuation Period or Intraday Purchase Valuation Period, respectively, on the applicable Purchase Date for such Market Open Purchase or Intraday Purchase (as the case may be), as of the date of this prospectus, we cannot determine the actual purchase price per share that B. Riley Principal Capital II will be required to pay for any Purchase Shares that we may elect to sell to B. Riley Principal Capital II under the Purchase Agreement from and after Commencement and, therefore, we cannot be certain how many Purchase Shares, in the aggregate, we may issue and sell to B. Riley Principal Capital II under the Purchase Agreement from and after Commencement. As of July 14, 2025, there were 101,682,422 shares of our Common Stock outstanding, of which 53,453,601 shares were held by non-affiliates of our company. If all of the 20,242,805 Purchase Shares offered for resale by B. Riley Principal Capital II under this prospectus were issued and outstanding as of the date hereof, such shares would represent approximately 19.91% of the total number of outstanding shares of Common Stock and approximately 37.87% of the total number of outstanding shares of Common Stock held by non-affiliates of our company, in each case as of July 14, 2025.</w:t>
      </w:r>
    </w:p>
    <w:p>
      <w:pPr>
        <w:spacing w:after="0" w:line="19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Although the Purchase Agreement provides that we may sell up to $50,000,000 of our Common Stock to B. Riley Principal Capital II, only 20,242,805 Purchase Shares (in addition to the 83,353 Commitment Shares, for which we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have not and will not receive any cash consideration) are being registered under the Securities Act for resale by B. Riley Principal Capital II under the registration statement that includes this prospectus. If we were to issue and sell all of such 20,242,805 Purchase Shares to B. Riley Principal Capital II (without taking into account the 19.99% Exchange Cap limitation) at an assumed purchase price per share of $2.91, representing the closing sale price of our Common Stock on Nasdaq on July 14, 2025, we would only receive approximately $59,000,000 in aggregate gross proceeds from the sale of such Purchase Shares to B. Riley Principal Capital II under the Purchase Agreement. Depending on the market prices of our Common Stock on the Purchase Dates on which we elect to sell such Purchase Shares to B. Riley Principal Capital II under the Purchase Agreement, we may in the future need to register under the Securities Act additional shares of our Common Stock for resale by B. Riley Principal Capital II which, together with the 20,242,805 Purchase Shares included in this prospectus, will enable us to issue and sell to B. Riley Principal Capital II such aggregate number of shares of Common Stock under the Purchase Agreement as will be necessary in order for us to receive aggregate proceeds equal to B. Riley Principal Capital II’s $50,000,000 maximum aggregate purchase commitment available to us under the Purchase Agreement.</w:t>
      </w:r>
    </w:p>
    <w:p>
      <w:pPr>
        <w:spacing w:after="0" w:line="19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If we elect to issue and sell to B. Riley Principal Capital II more than the 20,326,158 BRPC Shares being registered under the Securities Act for resale by B. Riley Principal Capital II under the registration statement that includes this prospectus (83,353 of which shares represent the Commitment Shares that we issued to B. Riley Principal Capital II, together with our payment of the $200,000 Cash Commitment Fee to B. Riley Principal Capital II, upon execution of the Purchase Agreement on July 15, 2025, for which we have not and will not receive any cash consideration), which we have the right, but not the obligation, to do, we must first (i) obtain stockholder approval to issue shares of Common Stock in excess of the Exchange Cap under the Purchase Agreement in accordance with applicable Nasdaq rules, unless the average price for all shares of our Common Stock purchased by B. Riley Principal Capital II under the Purchase Agreement equals or exceeds $2.91 per share, such that the Exchange Cap limitation would not apply under applicable Nasdaq rules, and (ii) file with the SEC one or more additional registration statements to register under the Securities Act for the offer and resale by B. Riley Principal Capital II of any such additional shares of our Common Stock we wish to sell from time to time under the Purchase Agreement, which the SEC must declare effective, in each case before we may elect to sell any additional shares of our Common Stock to B. Riley Principal Capital II under the Purchase Agreement. Any issuance and sale by us under the Purchase Agreement of a substantial amount of shares of Common Stock in addition to the 20,326,158 BRPC Shares being registered for resale by B. Riley Principal Capital II under the registration statement that includes this prospectus could cause additional substantial dilution to our stockholders.</w:t>
      </w:r>
    </w:p>
    <w:p>
      <w:pPr>
        <w:spacing w:after="0" w:line="18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number of BRPC Shares ultimately offered for resale by B. Riley Principal Capital II through this prospectus is dependent upon the number of shares of Common Stock, if any, we elect to sell to B. Riley Principal Capital II under the Purchase Agreement from and after the Commencement Date. The issuance of our Common Stock to B. Riley Principal Capital II pursuant to the Purchase Agreement will not affect the rights or privileges of our existing stockholders, except that the economic and voting interests of each of our existing stockholders will be diluted. Although the number of shares of our Common Stock that our existing stockholders own will not decrease, the shares of our Common Stock owned by our existing stockholders will represent a smaller percentage of our total outstanding shares of our Common Stock after any such issuance.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amount of gross proceeds we would receive from B. Riley Principal Capital II from our sale of BRPC Shares (which are being registered for resale by B. Riley Principal Capital II under the registration statement that includes this prospectus) to B. Riley Principal Capital II as Purchase Shares under the Purchase Agreement at varying purchase prices: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80" w:type="dxa"/>
            <w:vAlign w:val="bottom"/>
            <w:gridSpan w:val="3"/>
            <w:vMerge w:val="restart"/>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60" w:type="dxa"/>
            <w:vAlign w:val="bottom"/>
          </w:tcPr>
          <w:p>
            <w:pPr>
              <w:spacing w:after="0"/>
              <w:rPr>
                <w:sz w:val="13"/>
                <w:szCs w:val="13"/>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Proceeds</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1300" w:type="dxa"/>
            <w:vAlign w:val="bottom"/>
            <w:gridSpan w:val="3"/>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from the Sale of</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4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After Giving</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to B. Riley</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Registered</w:t>
            </w:r>
          </w:p>
        </w:tc>
        <w:tc>
          <w:tcPr>
            <w:tcW w:w="64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Effect to the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64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Issuance to</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Capital II</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to be</w:t>
            </w:r>
          </w:p>
        </w:tc>
        <w:tc>
          <w:tcPr>
            <w:tcW w:w="64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B. Riley</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0" w:type="dxa"/>
            <w:vAlign w:val="bottom"/>
          </w:tcPr>
          <w:p>
            <w:pPr>
              <w:spacing w:after="0"/>
              <w:rPr>
                <w:sz w:val="1"/>
                <w:szCs w:val="1"/>
                <w:color w:val="auto"/>
              </w:rPr>
            </w:pPr>
          </w:p>
        </w:tc>
      </w:tr>
      <w:tr>
        <w:trPr>
          <w:trHeight w:val="148"/>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Assumed Average Purchase Price Per Share</w:t>
            </w:r>
          </w:p>
        </w:tc>
        <w:tc>
          <w:tcPr>
            <w:tcW w:w="24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If</w:t>
            </w:r>
          </w:p>
        </w:tc>
        <w:tc>
          <w:tcPr>
            <w:tcW w:w="64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65"/>
        </w:trPr>
        <w:tc>
          <w:tcPr>
            <w:tcW w:w="2700" w:type="dxa"/>
            <w:vAlign w:val="bottom"/>
            <w:tcBorders>
              <w:bottom w:val="single" w:sz="8" w:color="auto"/>
            </w:tcBorders>
            <w:vMerge w:val="continue"/>
          </w:tcPr>
          <w:p>
            <w:pPr>
              <w:spacing w:after="0"/>
              <w:rPr>
                <w:sz w:val="13"/>
                <w:szCs w:val="13"/>
                <w:color w:val="auto"/>
              </w:rPr>
            </w:pPr>
          </w:p>
        </w:tc>
        <w:tc>
          <w:tcPr>
            <w:tcW w:w="3380" w:type="dxa"/>
            <w:vAlign w:val="bottom"/>
            <w:gridSpan w:val="2"/>
          </w:tcPr>
          <w:p>
            <w:pPr>
              <w:jc w:val="center"/>
              <w:ind w:left="2293"/>
              <w:spacing w:after="0" w:line="160" w:lineRule="exact"/>
              <w:rPr>
                <w:sz w:val="20"/>
                <w:szCs w:val="20"/>
                <w:color w:val="auto"/>
              </w:rPr>
            </w:pPr>
            <w:r>
              <w:rPr>
                <w:rFonts w:ascii="Times New Roman" w:cs="Times New Roman" w:eastAsia="Times New Roman" w:hAnsi="Times New Roman"/>
                <w:sz w:val="14"/>
                <w:szCs w:val="14"/>
                <w:b w:val="1"/>
                <w:bCs w:val="1"/>
                <w:color w:val="auto"/>
              </w:rPr>
              <w:t>Full Purchase</w:t>
            </w:r>
            <w:r>
              <w:rPr>
                <w:rFonts w:ascii="Times New Roman" w:cs="Times New Roman" w:eastAsia="Times New Roman" w:hAnsi="Times New Roman"/>
                <w:sz w:val="10"/>
                <w:szCs w:val="10"/>
                <w:b w:val="1"/>
                <w:bCs w:val="1"/>
                <w:color w:val="auto"/>
              </w:rPr>
              <w:t>(1)</w:t>
            </w:r>
          </w:p>
        </w:tc>
        <w:tc>
          <w:tcPr>
            <w:tcW w:w="640" w:type="dxa"/>
            <w:vAlign w:val="bottom"/>
          </w:tcPr>
          <w:p>
            <w:pPr>
              <w:spacing w:after="0"/>
              <w:rPr>
                <w:sz w:val="13"/>
                <w:szCs w:val="13"/>
                <w:color w:val="auto"/>
              </w:rPr>
            </w:pPr>
          </w:p>
        </w:tc>
        <w:tc>
          <w:tcPr>
            <w:tcW w:w="124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Capital II</w:t>
            </w:r>
            <w:r>
              <w:rPr>
                <w:rFonts w:ascii="Times New Roman" w:cs="Times New Roman" w:eastAsia="Times New Roman" w:hAnsi="Times New Roman"/>
                <w:sz w:val="10"/>
                <w:szCs w:val="10"/>
                <w:b w:val="1"/>
                <w:bCs w:val="1"/>
                <w:color w:val="auto"/>
              </w:rPr>
              <w:t>(2)</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Agreement</w:t>
            </w:r>
          </w:p>
        </w:tc>
        <w:tc>
          <w:tcPr>
            <w:tcW w:w="0" w:type="dxa"/>
            <w:vAlign w:val="bottom"/>
          </w:tcPr>
          <w:p>
            <w:pPr>
              <w:spacing w:after="0"/>
              <w:rPr>
                <w:sz w:val="1"/>
                <w:szCs w:val="1"/>
                <w:color w:val="auto"/>
              </w:rPr>
            </w:pPr>
          </w:p>
        </w:tc>
      </w:tr>
      <w:tr>
        <w:trPr>
          <w:trHeight w:val="20"/>
        </w:trPr>
        <w:tc>
          <w:tcPr>
            <w:tcW w:w="2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c>
          <w:tcPr>
            <w:tcW w:w="240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00" w:type="dxa"/>
            <w:vAlign w:val="bottom"/>
            <w:vMerge w:val="continue"/>
            <w:shd w:val="clear" w:color="auto" w:fill="CCEEFF"/>
          </w:tcPr>
          <w:p>
            <w:pPr>
              <w:spacing w:after="0"/>
              <w:rPr>
                <w:sz w:val="17"/>
                <w:szCs w:val="17"/>
                <w:color w:val="auto"/>
              </w:rPr>
            </w:pPr>
          </w:p>
        </w:tc>
        <w:tc>
          <w:tcPr>
            <w:tcW w:w="2400" w:type="dxa"/>
            <w:vAlign w:val="bottom"/>
            <w:vMerge w:val="continue"/>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20,242,805</w:t>
            </w:r>
          </w:p>
        </w:tc>
        <w:tc>
          <w:tcPr>
            <w:tcW w:w="640" w:type="dxa"/>
            <w:vAlign w:val="bottom"/>
            <w:vMerge w:val="continue"/>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203" w:lineRule="exact"/>
              <w:rPr>
                <w:sz w:val="20"/>
                <w:szCs w:val="20"/>
                <w:color w:val="auto"/>
              </w:rPr>
            </w:pPr>
            <w:r>
              <w:rPr>
                <w:rFonts w:ascii="Times New Roman" w:cs="Times New Roman" w:eastAsia="Times New Roman" w:hAnsi="Times New Roman"/>
                <w:sz w:val="18"/>
                <w:szCs w:val="18"/>
                <w:color w:val="auto"/>
              </w:rPr>
              <w:t>16.58%</w:t>
            </w:r>
          </w:p>
        </w:tc>
        <w:tc>
          <w:tcPr>
            <w:tcW w:w="2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rPr>
              <w:t>20,242,805</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$2.00</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20,242,805</w:t>
            </w:r>
          </w:p>
        </w:tc>
        <w:tc>
          <w:tcPr>
            <w:tcW w:w="1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16.58%</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40,485,610</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$3.00</w:t>
            </w: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16,666,667</w:t>
            </w:r>
          </w:p>
        </w:tc>
        <w:tc>
          <w:tcPr>
            <w:tcW w:w="1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13.65%</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50,000,000</w:t>
            </w:r>
          </w:p>
        </w:tc>
        <w:tc>
          <w:tcPr>
            <w:tcW w:w="0" w:type="dxa"/>
            <w:vAlign w:val="bottom"/>
          </w:tcPr>
          <w:p>
            <w:pPr>
              <w:spacing w:after="0"/>
              <w:rPr>
                <w:sz w:val="1"/>
                <w:szCs w:val="1"/>
                <w:color w:val="auto"/>
              </w:rPr>
            </w:pPr>
          </w:p>
        </w:tc>
      </w:tr>
      <w:tr>
        <w:trPr>
          <w:trHeight w:val="216"/>
        </w:trPr>
        <w:tc>
          <w:tcPr>
            <w:tcW w:w="27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$4.10</w:t>
            </w:r>
            <w:r>
              <w:rPr>
                <w:rFonts w:ascii="Times New Roman" w:cs="Times New Roman" w:eastAsia="Times New Roman" w:hAnsi="Times New Roman"/>
                <w:sz w:val="25"/>
                <w:szCs w:val="25"/>
                <w:color w:val="auto"/>
                <w:vertAlign w:val="superscript"/>
              </w:rPr>
              <w:t>(3)</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12,195,122</w:t>
            </w:r>
          </w:p>
        </w:tc>
        <w:tc>
          <w:tcPr>
            <w:tcW w:w="1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9.99%</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50,000,000</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$5.00</w:t>
            </w: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8.19%</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50,000,000</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$6.00</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8,333,333</w:t>
            </w:r>
          </w:p>
        </w:tc>
        <w:tc>
          <w:tcPr>
            <w:tcW w:w="1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6.83%</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50,000,000</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$7.00</w:t>
            </w: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7,142,857</w:t>
            </w:r>
          </w:p>
        </w:tc>
        <w:tc>
          <w:tcPr>
            <w:tcW w:w="1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5.85%</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50,000,000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line="252"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the 83,353 Commitment Shares that we issued, together with our payment of the Cash Commitment Fee, to B. Riley Principal Capital II upon our execution of the Purchase Agreement on July 15, 2025, as consideration for its commitment to purchase shares of Common Stock at our direction upon the terms and subject to the conditions set forth in the Purchase Agreement. We have not and will not receive any cash consideration in exchange for issuing the Commitment Shares to B. Riley Principal Capital II. Although the Purchase Agreement provides that we may sell up to $50,000,000 of our Common Stock to B. Riley Principal Capital II, we are only registering 20,326,158 shares under the registration statement that includes this prospectus, consisting of the 83,353 Commitment Shares (for which we have not and will not receive any cash consideration and 20,242,805 Purchase Shares, which may or may not cover all of the shares of Common Stock we ultimately sell to B. Riley Principal Capital II under the Purchase Agreement. We will not issue more than an aggregate of 20,326,158 shares of our Common Stock (i.e., the Exchange Cap), unless (i) we obtain stockholder approval to issue shares of Common Stock in excess of the Exchange Cap in accordance with applicable Nasdaq rules, or (ii) the average price per share paid by B. Riley Principal Capital II for all of the shares of Common Stock that we direct B. Riley Principal Capital II to purchase from us pursuant to the Purchase Agreement, if any, equals or exceeds $2.91 per share (in which case the Exchange Cap limitation will not apply to issuances and sales of Common Stock pursuant to the Purchase Agreement). The number of shares to be issued as set forth in this column (i) does not give effect to the Exchange Cap and (ii) is without regard for the Beneficial Ownership Limitation.</w:t>
      </w:r>
    </w:p>
    <w:p>
      <w:pPr>
        <w:spacing w:after="0" w:line="102" w:lineRule="exact"/>
        <w:rPr>
          <w:rFonts w:ascii="Times New Roman" w:cs="Times New Roman" w:eastAsia="Times New Roman" w:hAnsi="Times New Roman"/>
          <w:sz w:val="18"/>
          <w:szCs w:val="18"/>
          <w:color w:val="auto"/>
        </w:rPr>
      </w:pPr>
    </w:p>
    <w:p>
      <w:pPr>
        <w:ind w:left="540" w:right="140" w:hanging="424"/>
        <w:spacing w:after="0" w:line="258"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is based on 101,765,775 shares of Common Stock outstanding as of July 14, 2025 (which, for these purposes, includes the 83,353 Commitment Shares we issued to B. Riley Principal Capital II on July 15, 2025), adjusted to include the issuance of the number of Purchase Shares set forth in the adjacent column that we would have sold to B. Riley Principal Capital II, assuming the average purchase price in the first column. The numerator is based on the number of Purchase Shares issuable under the Purchase Agreement (which are included in this prospectus) at the corresponding assumed average purchase price set forth in the first column.</w:t>
      </w:r>
    </w:p>
    <w:p>
      <w:pPr>
        <w:spacing w:after="0" w:line="88"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sale price of our Common Stock on Nasdaq on July 30, 2025.</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not receive any proceeds from the sale of BRPC Shares by the Selling Stockholder.</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may receive up to $50,000,000 aggregate gross proceeds under the Purchase Agreement from any sales we make to B. Riley Principal Capital II pursuant to the Purchase Agreement. The net proceeds from sales, if any, under the Purchase Agreement, will depend on the frequency and prices at which we sell our Common Stock to B. Riley Principal Capital II after the date of this prospectus. See the section titled “</w:t>
      </w:r>
      <w:r>
        <w:rPr>
          <w:rFonts w:ascii="Times New Roman" w:cs="Times New Roman" w:eastAsia="Times New Roman" w:hAnsi="Times New Roman"/>
          <w:sz w:val="18"/>
          <w:szCs w:val="18"/>
          <w:i w:val="1"/>
          <w:iCs w:val="1"/>
          <w:color w:val="auto"/>
        </w:rPr>
        <w:t>The Committed Equity Facility</w:t>
      </w:r>
      <w:r>
        <w:rPr>
          <w:rFonts w:ascii="Times New Roman" w:cs="Times New Roman" w:eastAsia="Times New Roman" w:hAnsi="Times New Roman"/>
          <w:sz w:val="18"/>
          <w:szCs w:val="18"/>
          <w:color w:val="auto"/>
        </w:rPr>
        <w:t>” in this prospectus for more information.</w:t>
      </w:r>
    </w:p>
    <w:p>
      <w:pPr>
        <w:spacing w:after="0" w:line="180"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All of the Common Stock offered by Cantor pursuant to this prospectus will be sold by Cantor for its respective account. We will not receive any proceeds from the sale of shares of Common Stock by Cantor.</w:t>
      </w:r>
    </w:p>
    <w:p>
      <w:pPr>
        <w:spacing w:after="0" w:line="162"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We expect to use any proceeds that we receive under the Purchase Agreement to accelerate commercialization of the South Asia smart infrastructure contract previously announced on June 30, 2025 and investment in its next-generation chip, as well as for working capital and general corporate purposes. As of the date of this prospectus, we cannot specify with certainty all of the particular uses, and the respective amounts we may allocate to those uses, for any net proceeds we receive. Accordingly, we will retain broad discretion over the use of these proceeds.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cannot currently determine the price or prices at which shares of Common Stock may be sold by the Selling Securityholders under this prospectus.</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520"/>
          </w:cols>
          <w:pgMar w:left="320" w:top="455" w:right="10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future earnings, if any, to fund the development and growth of the business, and therefore, do not anticipate declaring or paying any cash dividends on our Common Stock in the foreseeable future. Any future determination related to our dividend policy will be made at the discretion of our board of directors after considering our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the board of directors deems relevant.</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60"/>
          </w:cols>
          <w:pgMar w:left="320" w:top="455" w:right="5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Common Stock is currently listed on Nasdaq under the symbol “BZAI”. Prior to the consummation of the Business Combination, the Class A common stock was listed on Nasdaq under the symbol “BRKH”. As of August 7, 2025, there were 363 holders of record of our Common Stock and the closing sale price of our Common Stock was $3.44 per share. The actual number of stockholders of our Common Stock is greater than the number of record holders and includes holders of our Common Stock whose shares of Common Stock are held in street name by brokers and other nominees.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80"/>
          </w:cols>
          <w:pgMar w:left="320" w:top="455" w:right="4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financial condition and results of operations together with the consolidated financial statements and the related notes and other financial information of Blaize included elsewhere in this prospectus, including our unaudited condensed consolidated financial statements for the three months ended March 31, 2025 and 2024 as well as our audited consolidated financial statements for the years ended December 31, 2024 and 2023. Some of the information contained in this discussion and analysis contains forward-looking statements that involve risks and uncertainties. As a result of many factors, such as those set forth in the section of the prospectus captioned “Risk Factors” and elsewhere in this prospectus, actual results may differ materially from those anticipated in these forward-looking statements.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Blaize is a provider of purpose-built, transformative artificial intelligence (AI)-enabled edge computing solutions that unite software and silicon to optimize AI from the edge to the core. Blaize provides a full-stack programmable processor architecture suite and low-code/no-code software platform that enables AI processing solutions for high-performance computing at the network’s edge and in the data center. Blaize solutions deliver real-time insights and decision-making capabilities at low power consumption, high efficiency, minimal size and low cost. Our mission is to enable enterprises to harness the power of AI at the edge, delivering real-time insights and decision- making capabilities with compelling speed and efficiency. With our innovative hardware and software solutions, we believe we are at the forefront of transforming industries and unlocking new possibilities in an increasingly connected and data-driven world.</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portfolio includes highly efficient programmable AI processors in a broad range of form factors, deployable across several verticals, including enterprise, commercial, industrial, defense and automotive. Blaize’s accelerated AI computing platforms enable applications such as computer vision, advanced video analytics and AI inference. The use of industry standards ensures rapid integration into existing workflows and systems by our customers. Our unique and rich set of software tools empower non-expert practitioners to deploy existing and novel AI applications on our hardware, with ease and speed, without the need to learn or use source code. All of this is combined into integrated AI solutions which are designed to deliver real-time insights and decision-making capabilities with substantial speed and efficiency.</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believe we are well positioned to empower organizations to process and analyze data in real time at the edge of the network, thereby enabling them to make informed decisions, unlock new business opportunities, and gain a competitive advantage in the rapidly evolving AI landscape. With a strong focus on innovation, performance, and partnership, we believe we will help to drive the future of AI accelerated computing at the edge.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Growth Strategy and Outlook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key elements of our strategy for growth include focusing on the following areas:</w:t>
      </w:r>
    </w:p>
    <w:p>
      <w:pPr>
        <w:spacing w:after="0" w:line="131"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Scaling through expansion of our current products to reach deeper into our own industry’s verticals and expanding into adjacent verticals.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ecosystem of hardware manufacturers and independent software vendors specializing across a variety of industry verticals and form new partnerships with them to bring innovative turn-key solutions to market.</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enhance the features available in AI Studio in order to target a wider community of developers, including universities and other institutes of higher education.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Incorporating market AI trends into the design of our next-generation SoC to further expand our total addressable market.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Our pipeline continues to expand, driven by strong and accelerating market interest in Edge AI, and ongoing engagement with high-quality prospective customers across key sectors, including, but not limited to, Smart Cities, defense, and the automotive industry.</w:t>
      </w:r>
    </w:p>
    <w:p>
      <w:pPr>
        <w:spacing w:after="0" w:line="67" w:lineRule="exact"/>
        <w:rPr>
          <w:sz w:val="20"/>
          <w:szCs w:val="20"/>
          <w:color w:val="auto"/>
        </w:rPr>
      </w:pPr>
    </w:p>
    <w:p>
      <w:pPr>
        <w:ind w:left="1080" w:right="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technology agreement with KAIST to produce new edge AI computing applications across biomedical, neuromorphic, photovoltaics, thermoelectrics and green hydrogen.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with alwaysAI to revolutionize real-time insights with AI Edge Computing and advanced computer vision applications.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with VSBLTY to develop new AI-enabled hybrid technology for large-scale global safety and security solutions.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with Turbo Federal to procure contracts to accelerate AI solutions for the U.S. Department of Defense.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Merger and Reverse Recapitalization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January 13, 2025 (the “Closing Date”), we consummated the transactions (the “Merger”) contemplated by the Agreement and Plan of Merger dated December 22, 2023 (as amended on April 22, 2024, October 24, 2024 and November 21, 2024) with BurTech Acquisition Corp (“BurTech”), BurTech Merger Sub, Inc (“Merger Sub”), Blaize, Inc. (“Legacy Blaize”), and solely for the limited purposes of the transaction, Burkhan Capital LLC (“Burkhan”), a Delaware limited liability company and affiliate of BurTech, On the Closing Date, Merger Sub merged with and into Legacy Blaize, with Legacy Blaize surviving the Business Combination as a wholly owned subsidiary of the Company.</w:t>
      </w:r>
    </w:p>
    <w:p>
      <w:pPr>
        <w:spacing w:after="0" w:line="183"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Merger is accounted for as a reverse recapitalization, with BurTech being treated as the acquired company and Legacy Blaize was treated as the acquirer for financial reporting purposes. This accounting treatment is equivalent to Legacy Blaize issuing stock for the net assets of BurTech, accompanied by a recapitalization whereby no goodwill or other intangible assets are recorded. Operations prior to the Merger are those of Legacy Blaize. For periods prior to the Merger, the reported share and per share amounts have been retroactively converted (“Retroactive Conversion”) by applying the Exchange Ratio. Legacy Blaize shareholders were issued 87,314,968 shares of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Legacy Blaize Redeemable Convertible Preferred Stock, Convertible Promissory Notes and Warrants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of the Merger, all outstanding convertible notes, inclusive of accrued and unpaid interest, each of the issued and outstanding shares of redeemable convertible preferred stock, and all outstanding warrants of Legacy Blaize were automatically converted into shares of Company common stock.</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Upon the consummation of the Merger, (i) each outstanding stock option to purchase Legacy Blaize common stock was converted into a stock option of the Company, upon substantially the same terms and conditions as in effect with respect to the corresponding Legacy Blaize option, and the right to receive a number of earnout shares. Additionally, each Legacy Blaize restricted stock unit (“RSU”) was converted into an RSU of the Company, upon substantially the same terms and conditions as in effect with respect to the corresponding Legacy Blaize RSU, and the right to receive a number of earnout shares.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Arrangements entered into at time of Merger or assumed upon the consummation of the Merger:</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Public and Private Placement Warrants</w:t>
      </w:r>
    </w:p>
    <w:p>
      <w:pPr>
        <w:spacing w:after="0" w:line="11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BurTech’s 28,750,000 public warrants and 898,250 private warrants, both outstanding immediately prior to the consummation of the Merger, became warrants of the Company.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Shareholder Note Receivable</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Upon the consummation of the Merger, BurTech LP, LLC (“BurTech LP”) issued a secured promissory note and pledge agreement (the “Shareholder Note”) to BurTech in the principal amount of $8,753,744 in exchange for 750,000 shares of Company common stock. The principal of the Shareholder Note will decrease when BurTech LP pays for transaction costs that the Company assumed from BurTech in the Merger. The Shareholder Note bears interest at 7.0%, compounding annually on December 31 of each year and is secured by 2,000,000 shares of the Company’s common stock owned by BurTech LP.</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119" w:lineRule="exact"/>
        <w:rPr>
          <w:sz w:val="20"/>
          <w:szCs w:val="20"/>
          <w:color w:val="auto"/>
        </w:rPr>
      </w:pPr>
    </w:p>
    <w:p>
      <w:pPr>
        <w:ind w:left="120" w:right="280" w:firstLine="440"/>
        <w:spacing w:after="0" w:line="276" w:lineRule="auto"/>
        <w:rPr>
          <w:sz w:val="20"/>
          <w:szCs w:val="20"/>
          <w:color w:val="auto"/>
        </w:rPr>
      </w:pPr>
      <w:r>
        <w:rPr>
          <w:rFonts w:ascii="Times New Roman" w:cs="Times New Roman" w:eastAsia="Times New Roman" w:hAnsi="Times New Roman"/>
          <w:sz w:val="17"/>
          <w:szCs w:val="17"/>
          <w:color w:val="auto"/>
        </w:rPr>
        <w:t>On the Closing Date, in connection with the consummation of the Business Combination and as contemplated by the Merger Agreement, we entered into lock-up agreements (the “Lock-up Agreements”) with (i) certain of Blaize’s directors and officers, (ii) certain stockholders of Blaize and</w:t>
      </w:r>
    </w:p>
    <w:p>
      <w:pPr>
        <w:spacing w:after="0" w:line="1" w:lineRule="exact"/>
        <w:rPr>
          <w:sz w:val="20"/>
          <w:szCs w:val="20"/>
          <w:color w:val="auto"/>
        </w:rPr>
      </w:pPr>
    </w:p>
    <w:p>
      <w:pPr>
        <w:ind w:left="120" w:hanging="4"/>
        <w:spacing w:after="0" w:line="253" w:lineRule="auto"/>
        <w:tabs>
          <w:tab w:leader="none" w:pos="4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Burkhan, in each case, restricting the transfer of Company common stock and any shares of Company common stock issuable upon the exercise or settlement, as applicable, of stock options or restricted stock units held immediately after the Merger. The restrictions under the Lock-up Agreements began at Closing and end on the earlier of (x) the date that is 180 days after the Closing Date, (y) the last reported sale price of Blaize common stock reaching $12.00 per share (as adjusted for stock splits, stock dividends, reorganizations, recapitalizations and the like) for any 20 trading days within any 30-trading day period commencing at least 150 days after the Closing and (z) the liquidation of Blaize.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Non-Redemption Agreement</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December 31, 2024 and through January 13, 2025, BurTech, BurTech LP and Legacy Blaize entered into agreements (each, a “Non-Redemption Agreement” and collectively, the “Non-Redemption Agreements”) with one or more unaffiliated stockholders of BurTech (each, an “Investor”) who agreed not to redeem (or validly rescind any redemption requests on) their shares of BurTech Class A common stock, par value $0.0001 per share of the Company (“Non-Redeemed Shares”). On the Closing Date, such Class A common stock shares were exchanged for shares of the Company’s common stock and placed into an escrow account. In exchange for the foregoing commitments not to redeem the Non-Redeemed Shares, the Company and BurTech LP have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Entering into the Non-Redemption Agreement is expected to increase the amount of funds that remain in the Company’s trust account following the Merger.</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PIPE Subscription Agreements</w:t>
      </w:r>
    </w:p>
    <w:p>
      <w:pPr>
        <w:spacing w:after="0" w:line="11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From December 31, 2024 and through January 13, 2025, BurTech and certain other subscribers (collectively, the “Subscribers”) entered into subscription agreements under which BurTech agreed to issue and sell to the Subscribers, immediately before the Closing Date, 1,529,500 shares of BurTech’s Class A common stock, par value $0.0001 per share (“PIPE Shares”) at a purchase price of $10.00 per share for an aggregate purchase price of $15,295,000, in a private placement. Such PIPE shares that were outstanding immediately prior to the Merger became shares of Company common stock.</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Earnout Arrangement</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Legacy Blaize shareholders and outstanding equity award holders (including stock options and RSUs) are entitled to Earnout Shares in four tranches upon the occurrence of four separate Triggering Events (defined below) during the Earnout Period, which commences on January 13, 2025 and ends on January 13, 2030. The Triggering Events are driven by whether our closing share price on 20 trading days out of 30 consecutive trading days equals or exceeds defined per share thresholds in each tranche as follows:</w:t>
      </w:r>
    </w:p>
    <w:p>
      <w:pPr>
        <w:spacing w:after="0" w:line="85" w:lineRule="exact"/>
        <w:rPr>
          <w:sz w:val="20"/>
          <w:szCs w:val="20"/>
          <w:color w:val="auto"/>
        </w:rPr>
      </w:pPr>
    </w:p>
    <w:p>
      <w:pPr>
        <w:ind w:left="5540" w:right="1660" w:hanging="4884"/>
        <w:spacing w:after="0" w:line="454" w:lineRule="auto"/>
        <w:tabs>
          <w:tab w:leader="none" w:pos="109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common stock price is greater than or equal to $12.50 per share, 3,750,000 Earnout Shares will be issued; and 62</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common stock price is greater than or equal to $15.00 per share, an additional 3,750,000 Earnout Shares will be issued;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common stock price is greater than or equal to $17.50 per share, an additional 3,750,000 Earnout Shares will be issued;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common stock price is greater than or equal to $20.00 per share, an additional 3,750,000 Earnout Shares will be issued.</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Employees entitled to receive Earnout Shares with respect to options and RSUs, must provide service through the date the target is achieved and if an employee departs, the Earnout Shares are reallocated to the remaining pool of recipients who received the right to the Earnout Shares on the Closing Date.</w:t>
      </w:r>
    </w:p>
    <w:p>
      <w:pPr>
        <w:spacing w:after="0" w:line="176"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Additionally, Burkhan has the right to receive up to an aggregate amount of 2,600,000 shares of Blaize Class A Common Stock, 650,000 following the occurrence of each of the Triggering Events stated above (the “Burkhan Earnout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Proof of Concept Stage</w:t>
      </w:r>
    </w:p>
    <w:p>
      <w:pPr>
        <w:spacing w:after="0" w:line="11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A proof-of-concept stage (“POC”) represents that a proposal for a proof of concept has either been initiated or is in progress with a potential customer or partner. We utilize POCs to demonstrate the Blaize technology’s significant value proposition along with its tailored use scenarios and satisfaction of customer and/or partner requirements. As of March 31, 2025, a total of 40 POCs have been initiated or are in progress with a potential customer.</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Partners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partner (“Partner”) consists of either an independent software vendor or independent hardware vendor with whom Blaize is working to integrate Blaize products and services into the vendor’s offerings for their customers. Such vendors may include OEMs, original design manufacturers, system integrators or hardware resellers or distributors, among others. As of March 31, 2025, Blaize has a total of 34 Partners.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Design Wins</w:t>
      </w:r>
    </w:p>
    <w:p>
      <w:pPr>
        <w:spacing w:after="0" w:line="119"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A design win (“Design Win”) represents that a Partner or a customer has selected Blaize’s products and/or services to be incorporated into a product that it intends to produce or consume, as applicable, and has confirmed that Blaize’s offerings integrate into such product accordingly. As of March 31, 2025, a total of 21 Design Wins have been confirmed with a Partner or customer.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Financial Definitions/Components of Results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currently derive revenue through a combination of:</w:t>
      </w:r>
    </w:p>
    <w:p>
      <w:pPr>
        <w:spacing w:after="0" w:line="131"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services revenue, this involves providing customized design services to our customers, tailored to their specific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revenue — this encompasses the sale of our semiconductor products through various supply agreements.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21"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We classify our costs and expenses into the following categories: Cost of revenue (exclusive of depreciation and amortization), Research and development expenses, Selling, general and administrative expenses, Depreciation and amortization expenses, Loss on purchase commitments and Transaction costs.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00"/>
          </w:cols>
          <w:pgMar w:left="320" w:top="455"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Revenue (exclusive of depreciation and amortization)</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Cost of revenue (exclusive of depreciation and amortization) is primarily comprised of the cost of semiconductors purchased from subcontractors, including wafer fabrication, assembly, testing and packaging, board and device costs as well as indirect costs such as inventory carrying costs and inventory valuation reserves. In addition, cost of revenue (exclusive of depreciation and amortization) also includes direct labor costs associated with the servicing of our engineering services revenue contracts.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primarily consists of personnel costs for our research and development activities. Research and development expense also includes costs associated with the design and development of our application-specific integrated circuit and intellectual property (IP) solutions, such as third-party foundry costs, third party computer-aided tools and software licenses, third party IP licenses, reference design development, and allocated costs, such as facilities and information technology costs.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11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primarily consists of personnel-related expenses for our finance, human resources, information technology, and legal organizations. These expenses also include non-personnel costs, such as legal, audit, accounting services, advertising expenses, other professional fees as well as certain tax, corporate software licenses, and insurance-related expenses.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consists of depreciation and amortization on long-lived assets such as computer equipment, capitalized software licenses, furniture and fixtures, leasehold improvements, office equipment and vehicles.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Loss on purchase commitments</w:t>
      </w:r>
    </w:p>
    <w:p>
      <w:pPr>
        <w:spacing w:after="0" w:line="11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Loss on purchase commitments consists of contractual obligations to procure inventory from our third-party contract manufacturer and other suppliers that are in excess of expected demand and where the value of these purchase commitments may not be recoverable.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Transaction costs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Transaction costs primarily consist of legal fees, consultant fees and other direct costs incurred to explore prior potential merger transactions.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March 31, 2025 compared to the three months ended March 31, 2024</w:t>
      </w:r>
    </w:p>
    <w:p>
      <w:pPr>
        <w:spacing w:after="0" w:line="121"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The following tables set forth Blaize’s condensed consolidated statements of operations data for the three months ended March 31, 2025 and 2024, respectively, as well as changes between periods. The period-to-period comparison of financial results is not necessarily indicative of future results.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3260" w:type="dxa"/>
            <w:vAlign w:val="bottom"/>
          </w:tcPr>
          <w:p>
            <w:pPr>
              <w:spacing w:after="0"/>
              <w:rPr>
                <w:sz w:val="15"/>
                <w:szCs w:val="15"/>
                <w:color w:val="auto"/>
              </w:rPr>
            </w:pPr>
          </w:p>
        </w:tc>
        <w:tc>
          <w:tcPr>
            <w:tcW w:w="1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8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60" w:type="dxa"/>
            <w:vAlign w:val="bottom"/>
            <w:tcBorders>
              <w:bottom w:val="single" w:sz="8" w:color="CCEEFF"/>
            </w:tcBorders>
            <w:vMerge w:val="continue"/>
          </w:tcPr>
          <w:p>
            <w:pPr>
              <w:spacing w:after="0"/>
              <w:rPr>
                <w:sz w:val="12"/>
                <w:szCs w:val="12"/>
                <w:color w:val="auto"/>
              </w:rPr>
            </w:pPr>
          </w:p>
        </w:tc>
        <w:tc>
          <w:tcPr>
            <w:tcW w:w="32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$1,007</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$549</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$458</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365"/>
        </w:trPr>
        <w:tc>
          <w:tcPr>
            <w:tcW w:w="3860" w:type="dxa"/>
            <w:vAlign w:val="bottom"/>
          </w:tcPr>
          <w:p>
            <w:pPr>
              <w:spacing w:after="0"/>
              <w:rPr>
                <w:sz w:val="24"/>
                <w:szCs w:val="24"/>
                <w:color w:val="auto"/>
              </w:rPr>
            </w:pPr>
          </w:p>
        </w:tc>
        <w:tc>
          <w:tcPr>
            <w:tcW w:w="326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64</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Revenue increased 83% to $1.0 million for the three months ended March 31, 2025 compared to approximately $0.5 million for the three months ended March 31, 2024. The increase was primarily due to sales of hardware product of $1.0 million, partially offset by a decrease of $0.5 million due to the end of our multi-year license and development contract with a strategic investor and the completion of a contract during the year ended December 31, 2024.</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Blaize’s revenue by customer geographical location:</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78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5"/>
                <w:szCs w:val="15"/>
                <w:color w:val="auto"/>
              </w:rPr>
            </w:pPr>
          </w:p>
        </w:tc>
        <w:tc>
          <w:tcPr>
            <w:tcW w:w="178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117"/>
        </w:trPr>
        <w:tc>
          <w:tcPr>
            <w:tcW w:w="58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5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Borders>
              <w:top w:val="single" w:sz="8" w:color="auto"/>
            </w:tcBorders>
            <w:gridSpan w:val="2"/>
            <w:vMerge w:val="restart"/>
          </w:tcPr>
          <w:p>
            <w:pPr>
              <w:spacing w:after="0"/>
              <w:rPr>
                <w:sz w:val="10"/>
                <w:szCs w:val="10"/>
                <w:color w:val="auto"/>
              </w:rPr>
            </w:pPr>
          </w:p>
        </w:tc>
        <w:tc>
          <w:tcPr>
            <w:tcW w:w="620" w:type="dxa"/>
            <w:vAlign w:val="bottom"/>
            <w:tcBorders>
              <w:top w:val="single" w:sz="8" w:color="auto"/>
            </w:tcBorders>
          </w:tcPr>
          <w:p>
            <w:pPr>
              <w:jc w:val="right"/>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620" w:type="dxa"/>
            <w:vAlign w:val="bottom"/>
          </w:tcPr>
          <w:p>
            <w:pPr>
              <w:spacing w:after="0"/>
              <w:rPr>
                <w:sz w:val="10"/>
                <w:szCs w:val="10"/>
                <w:color w:val="auto"/>
              </w:rPr>
            </w:pPr>
          </w:p>
        </w:tc>
        <w:tc>
          <w:tcPr>
            <w:tcW w:w="54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Borders>
              <w:top w:val="single" w:sz="8" w:color="auto"/>
            </w:tcBorders>
            <w:vMerge w:val="restart"/>
          </w:tcPr>
          <w:p>
            <w:pPr>
              <w:spacing w:after="0"/>
              <w:rPr>
                <w:sz w:val="10"/>
                <w:szCs w:val="10"/>
                <w:color w:val="auto"/>
              </w:rPr>
            </w:pPr>
          </w:p>
        </w:tc>
        <w:tc>
          <w:tcPr>
            <w:tcW w:w="620" w:type="dxa"/>
            <w:vAlign w:val="bottom"/>
            <w:tcBorders>
              <w:top w:val="single" w:sz="8" w:color="auto"/>
            </w:tcBorders>
          </w:tcPr>
          <w:p>
            <w:pPr>
              <w:jc w:val="right"/>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840" w:type="dxa"/>
            <w:vAlign w:val="bottom"/>
            <w:tcBorders>
              <w:bottom w:val="single" w:sz="8" w:color="CCEEFF"/>
            </w:tcBorders>
            <w:vMerge w:val="continue"/>
          </w:tcPr>
          <w:p>
            <w:pPr>
              <w:spacing w:after="0"/>
              <w:rPr>
                <w:sz w:val="15"/>
                <w:szCs w:val="15"/>
                <w:color w:val="auto"/>
              </w:rPr>
            </w:pPr>
          </w:p>
        </w:tc>
        <w:tc>
          <w:tcPr>
            <w:tcW w:w="560" w:type="dxa"/>
            <w:vAlign w:val="bottom"/>
            <w:tcBorders>
              <w:bottom w:val="single" w:sz="8" w:color="auto"/>
            </w:tcBorders>
            <w:gridSpan w:val="2"/>
            <w:vMerge w:val="continue"/>
          </w:tcPr>
          <w:p>
            <w:pPr>
              <w:spacing w:after="0"/>
              <w:rPr>
                <w:sz w:val="15"/>
                <w:szCs w:val="15"/>
                <w:color w:val="auto"/>
              </w:rPr>
            </w:pPr>
          </w:p>
        </w:tc>
        <w:tc>
          <w:tcPr>
            <w:tcW w:w="560" w:type="dxa"/>
            <w:vAlign w:val="bottom"/>
            <w:tcBorders>
              <w:bottom w:val="single" w:sz="8" w:color="CCEEFF"/>
            </w:tcBorders>
            <w:gridSpan w:val="2"/>
            <w:vMerge w:val="continue"/>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gridSpan w:val="2"/>
            <w:vMerge w:val="continue"/>
          </w:tcPr>
          <w:p>
            <w:pPr>
              <w:spacing w:after="0"/>
              <w:rPr>
                <w:sz w:val="15"/>
                <w:szCs w:val="15"/>
                <w:color w:val="auto"/>
              </w:rPr>
            </w:pPr>
          </w:p>
        </w:tc>
        <w:tc>
          <w:tcPr>
            <w:tcW w:w="560" w:type="dxa"/>
            <w:vAlign w:val="bottom"/>
            <w:tcBorders>
              <w:bottom w:val="single" w:sz="8" w:color="CCEEFF"/>
            </w:tcBorders>
            <w:vMerge w:val="continue"/>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 Pacific</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Pr>
          <w:p>
            <w:pPr>
              <w:spacing w:after="0"/>
              <w:rPr>
                <w:sz w:val="18"/>
                <w:szCs w:val="18"/>
                <w:color w:val="auto"/>
              </w:rPr>
            </w:pPr>
          </w:p>
        </w:tc>
        <w:tc>
          <w:tcPr>
            <w:tcW w:w="1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215</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560" w:type="dxa"/>
            <w:vAlign w:val="bottom"/>
            <w:vMerge w:val="continue"/>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1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1620" w:type="dxa"/>
            <w:vAlign w:val="bottom"/>
            <w:gridSpan w:val="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8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30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4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13,118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3"/>
              </w:rPr>
              <w:t>4,094</w:t>
            </w:r>
          </w:p>
        </w:tc>
        <w:tc>
          <w:tcPr>
            <w:tcW w:w="118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9,024</w:t>
            </w:r>
          </w:p>
        </w:tc>
        <w:tc>
          <w:tcPr>
            <w:tcW w:w="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13,357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3"/>
              </w:rPr>
              <w:t>3,988</w:t>
            </w:r>
          </w:p>
        </w:tc>
        <w:tc>
          <w:tcPr>
            <w:tcW w:w="118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9,369</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costs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12,035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118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11,990</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26,644%</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39,028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8,686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30,342</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revenue (exclusive of depreciation and amortization)</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Cost of revenue (excluding depreciation and amortization) for the three months ended March 31, 2025 reflects an increase of $21,000, or 7%, compared to the three months ended March 31, 2024. This increase was primarily driven by $0.3 million related to hardware sales during the three months ended March 31, 2025, which was partially offset by a decrease of $0.2 million related to inventory carrying costs with an outside supplier. Cost of revenue for the three months ended March 31, 2025 also included a $0.6 million benefit relating to the sale of inventory whose carrying amount had been written down to below original cost in a prior period.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for the three months ended March 31, 2025 increased $9.0 million or 220% compared to the three months ended March 31, 2024. The increase was driven by an increase in personnel costs of $6.9 million as a result of market-based salary adjustments made in the year ended December 31, 2024 which were implemented after the three months ended March 31, 2024 as well as additional stock-based compensation connected to the consummation of the Merger and an increase of $1.8 million in spending associated with our new chip development. We expect research and development to continue to increase to support the development of our next generation product portfolio in future years.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for the three months ended March 31, 2025 increased $9.4 million or 235% compared to the three months ended March 31, 2024. The increase was primarily due to a</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80"/>
          </w:cols>
          <w:pgMar w:left="320" w:top="455" w:right="4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$6.3 million increase in employee related costs associated with the hiring of new Company executives, market-based salary adjustments (as previously described), additional stock-based compensation connected to the consummation of the Merger and the building of our internal sales team. We also incurred additional costs such as a $1.4 million increase in professional services costs incurred in support of the requirements of being a public company and a $1.7 million increase in marketing and other sundry costs relating to activities focused on our sales pipeline.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for the three months ended March 31, 2025 decreased $62,000 or 25% compared to the three months ended March 31, 2024. The decrease was primarily due to a decrease in depreciation costs for computer equipment and server and network equipment that were fully depreciated in the comparative period.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Transaction costs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Transaction costs increased by $12.0 million as a direct result of the Merger.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Total other expense, net</w:t>
      </w:r>
    </w:p>
    <w:p>
      <w:pPr>
        <w:spacing w:after="0" w:line="11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6"/>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1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800" w:type="dxa"/>
            <w:vAlign w:val="bottom"/>
            <w:gridSpan w:val="2"/>
          </w:tcPr>
          <w:p>
            <w:pPr>
              <w:jc w:val="right"/>
              <w:ind w:right="641"/>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   %</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1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foreign exchange transactions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0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w w:val="96"/>
              </w:rPr>
              <w:t>(165,703)</w:t>
            </w:r>
          </w:p>
        </w:tc>
        <w:tc>
          <w:tcPr>
            <w:tcW w:w="80" w:type="dxa"/>
            <w:vAlign w:val="bottom"/>
          </w:tcPr>
          <w:p>
            <w:pPr>
              <w:spacing w:after="0"/>
              <w:rPr>
                <w:sz w:val="18"/>
                <w:szCs w:val="18"/>
                <w:color w:val="auto"/>
              </w:rPr>
            </w:pPr>
          </w:p>
        </w:tc>
        <w:tc>
          <w:tcPr>
            <w:tcW w:w="7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w w:val="98"/>
              </w:rPr>
              <w:t>(4,651)</w:t>
            </w:r>
          </w:p>
        </w:tc>
        <w:tc>
          <w:tcPr>
            <w:tcW w:w="1320" w:type="dxa"/>
            <w:vAlign w:val="bottom"/>
            <w:gridSpan w:val="4"/>
          </w:tcPr>
          <w:p>
            <w:pPr>
              <w:jc w:val="right"/>
              <w:ind w:right="281"/>
              <w:spacing w:after="0"/>
              <w:rPr>
                <w:sz w:val="20"/>
                <w:szCs w:val="20"/>
                <w:color w:val="auto"/>
              </w:rPr>
            </w:pPr>
            <w:r>
              <w:rPr>
                <w:rFonts w:ascii="Times New Roman" w:cs="Times New Roman" w:eastAsia="Times New Roman" w:hAnsi="Times New Roman"/>
                <w:sz w:val="18"/>
                <w:szCs w:val="18"/>
                <w:color w:val="auto"/>
              </w:rPr>
              <w:t>(161,052)</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3,463%</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(60,345)</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w w:val="98"/>
              </w:rPr>
              <w:t>(3,515)</w:t>
            </w:r>
          </w:p>
        </w:tc>
        <w:tc>
          <w:tcPr>
            <w:tcW w:w="1320" w:type="dxa"/>
            <w:vAlign w:val="bottom"/>
            <w:gridSpan w:val="4"/>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(56,830)</w:t>
            </w:r>
          </w:p>
        </w:tc>
        <w:tc>
          <w:tcPr>
            <w:tcW w:w="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16"/>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earnout share liabilities</w:t>
            </w:r>
          </w:p>
        </w:tc>
        <w:tc>
          <w:tcPr>
            <w:tcW w:w="100" w:type="dxa"/>
            <w:vAlign w:val="bottom"/>
          </w:tcPr>
          <w:p>
            <w:pPr>
              <w:spacing w:after="0"/>
              <w:rPr>
                <w:sz w:val="18"/>
                <w:szCs w:val="18"/>
                <w:color w:val="auto"/>
              </w:rPr>
            </w:pPr>
          </w:p>
        </w:tc>
        <w:tc>
          <w:tcPr>
            <w:tcW w:w="10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116,518</w:t>
            </w:r>
          </w:p>
        </w:tc>
        <w:tc>
          <w:tcPr>
            <w:tcW w:w="80" w:type="dxa"/>
            <w:vAlign w:val="bottom"/>
          </w:tcPr>
          <w:p>
            <w:pPr>
              <w:spacing w:after="0"/>
              <w:rPr>
                <w:sz w:val="18"/>
                <w:szCs w:val="18"/>
                <w:color w:val="auto"/>
              </w:rPr>
            </w:pPr>
          </w:p>
        </w:tc>
        <w:tc>
          <w:tcPr>
            <w:tcW w:w="7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4"/>
          </w:tcPr>
          <w:p>
            <w:pPr>
              <w:jc w:val="right"/>
              <w:ind w:right="341"/>
              <w:spacing w:after="0"/>
              <w:rPr>
                <w:sz w:val="20"/>
                <w:szCs w:val="20"/>
                <w:color w:val="auto"/>
              </w:rPr>
            </w:pPr>
            <w:r>
              <w:rPr>
                <w:rFonts w:ascii="Times New Roman" w:cs="Times New Roman" w:eastAsia="Times New Roman" w:hAnsi="Times New Roman"/>
                <w:sz w:val="18"/>
                <w:szCs w:val="18"/>
                <w:color w:val="auto"/>
              </w:rPr>
              <w:t>116,518</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210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(109,578</w:t>
            </w:r>
          </w:p>
        </w:tc>
        <w:tc>
          <w:tcPr>
            <w:tcW w:w="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(8,444</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(101,134</w:t>
            </w:r>
          </w:p>
        </w:tc>
        <w:tc>
          <w:tcPr>
            <w:tcW w:w="4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Total other expense, net</w:t>
      </w:r>
    </w:p>
    <w:p>
      <w:pPr>
        <w:spacing w:after="0" w:line="119" w:lineRule="exact"/>
        <w:rPr>
          <w:sz w:val="20"/>
          <w:szCs w:val="20"/>
          <w:color w:val="auto"/>
        </w:rPr>
      </w:pPr>
    </w:p>
    <w:p>
      <w:pPr>
        <w:jc w:val="both"/>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Total other expense, net for the three months ended March 31, 2025 reflects an increase of $101.1 million, or 1,198%, compared to the three months ended March 31, 2024.</w:t>
      </w:r>
    </w:p>
    <w:p>
      <w:pPr>
        <w:spacing w:after="0" w:line="162"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Total other expense, net for the three months ended March 31, 2025 was primarily comprised of the total net change in fair value of our convertible notes and warrant liabilities of $226.0 million and the change in our earnout liabilities of $116.5 million.</w:t>
      </w:r>
    </w:p>
    <w:p>
      <w:pPr>
        <w:spacing w:after="0" w:line="162"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Total other expense, net for the three months ended March 31, 2024 was primarily comprised of the total net change in fair value of our convertible notes and warrant liabilities of $8.2 million.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1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5"/>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7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80" w:type="dxa"/>
            <w:vAlign w:val="bottom"/>
            <w:vMerge w:val="continue"/>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9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2025 </w:t>
            </w: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460" w:type="dxa"/>
            <w:vAlign w:val="bottom"/>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w w:val="76"/>
              </w:rPr>
              <w:t>2024 </w:t>
            </w:r>
          </w:p>
        </w:tc>
        <w:tc>
          <w:tcPr>
            <w:tcW w:w="500" w:type="dxa"/>
            <w:vAlign w:val="bottom"/>
          </w:tcPr>
          <w:p>
            <w:pPr>
              <w:spacing w:after="0"/>
              <w:rPr>
                <w:sz w:val="12"/>
                <w:szCs w:val="12"/>
                <w:color w:val="auto"/>
              </w:rPr>
            </w:pP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7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3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79"/>
              </w:rPr>
              <w:t>   %</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provision for income taxes amounted to approximately $0.2 million for the three months ended March 31, 2025 and 2024, respectively, and our effective tax rate was approximately (0.1)% and (1.4)%, respectively. The effective income tax rate was primarily driven by the valuation allowance which is driven by the deferred tax assets arising from capitalized research and experimental expenditures and the net operating losses.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00"/>
          </w:cols>
          <w:pgMar w:left="320" w:top="455"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Net loss was approximately $147.8 million for the three months ended March 31, 2025 compared to a net loss of approximately $16.7 million for the three months ended March 31, 2024. The increase in net loss for the three months ended March 31, 2025 compared to the three months ended March 31, 2024 was primarily attributable to the $226.0 million change in fair value of convertible notes and warrant liabilities and the increase in loss from operations of $29.9 million, partially offset by the $116.5 million change in the fair value of earnout liabilities.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Blaize’s condensed consolidated financial statements have been prepared on a going concern basis, which assumes that we will be able to meet our obligations and continue our operations for the foreseeable future. Our condensed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Since inception of Blaize and through March 31, 2025, we have funded our operations primarily with cash flows from contributions from founders or other investors and other financing activities. We have incurred recurring losses and negative cash flows since our inception, including a net loss of $147.8 million and $16.7 million for the three months ended March 31, 2025 and 2024, respectively. As of March 31, 2025, we had cash and cash equivalents of approximately $45.0 million, and an accumulated deficit of $577.0 million.</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ability to continue to meet our obligations, to achieve our business objectives and continue as a going concern is dependent upon several factors, including our revenue growth rate, the timing and extent of spending to support further sales and marketing initiatives as well as our research and development efforts. In order to finance these opportunities, we will need to raise additional financing. While there can be no assurances, we intend to raise such capital through issuances of additional debt financing and public or private equity offerings or other means. If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187"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As a result of the above, in connection with our assessment of going concern considerations in accordance with Financial Accounting Standard Board’s (“FASB”) Accounting Standards Update (“ASU”) 2014-15, Disclosures of Uncertainties about an Entity’s Ability to Continue as a Going Concern, we have determined that our liquidity condition raises substantial doubt about our ability to continue as a going concern through a year from the date that our unaudited condensed consolidated financial statements were available to be issued.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flows for the three months ended March 31, 2025 and 2024</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cash flows from operating, investing and financing activities: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4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8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(15,944)</w:t>
            </w:r>
          </w:p>
        </w:tc>
        <w:tc>
          <w:tcPr>
            <w:tcW w:w="5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(7,363)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spacing w:after="0"/>
              <w:rPr>
                <w:sz w:val="18"/>
                <w:szCs w:val="18"/>
                <w:color w:val="auto"/>
              </w:rPr>
            </w:pPr>
          </w:p>
        </w:tc>
        <w:tc>
          <w:tcPr>
            <w:tcW w:w="10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11,343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11,372</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5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11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$15.9 million during the three months ended March 31, 2025, compared to $7.4 million for the three months ended March 31, 2024. The increase in cash used in operating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activities was primarily due to an increase of $131.0 million in net loss and a decrease of $116.5 million in the fair value of our earnout share liabilities, partially offset by an increase of $217.9 million in the fair value of our convertible notes and warrant liabilities, an increase of $10.7 million in stock-based compensation, and a decrease of $8.5 million in prepaid expenses and other current assets.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119" w:lineRule="exact"/>
        <w:rPr>
          <w:sz w:val="20"/>
          <w:szCs w:val="20"/>
          <w:color w:val="auto"/>
        </w:rPr>
      </w:pPr>
    </w:p>
    <w:p>
      <w:pPr>
        <w:ind w:left="120" w:right="600" w:firstLine="440"/>
        <w:spacing w:after="0" w:line="312" w:lineRule="auto"/>
        <w:rPr>
          <w:sz w:val="20"/>
          <w:szCs w:val="20"/>
          <w:color w:val="auto"/>
        </w:rPr>
      </w:pPr>
      <w:r>
        <w:rPr>
          <w:rFonts w:ascii="Times New Roman" w:cs="Times New Roman" w:eastAsia="Times New Roman" w:hAnsi="Times New Roman"/>
          <w:sz w:val="17"/>
          <w:szCs w:val="17"/>
          <w:color w:val="auto"/>
        </w:rPr>
        <w:t>For the three months ended March 31, 2025 and 2024, we used $ 0.7 million and $0.2 million of cash to purchase property and equipment, respectively. The increase of $0.5 million during the three months ended March 31, 2025 was primarily due to the licensing of software.</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three months ended March 31, 2025, net cash provided by financing activities was $11.3 million, which primarily consisted of</w:t>
      </w:r>
    </w:p>
    <w:p>
      <w:pPr>
        <w:spacing w:after="0" w:line="27"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$15.9 million of proceeds from the Merger and PIPE financing, partially offset by the $4.5 million payment of deferred offering costs. This compares to net cash provided by financing activities for the three months ended March 31, 2024 of $11.4 million, which primarily consisted of $11.5 million in proceeds from the issuance of secured convertible notes under the 2023 Note Purchase Agreement.</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March 31, 2025 and December 31, 2024, we had outstanding purchase orders and contractual obligations totaling $0.3 million and</w:t>
      </w:r>
    </w:p>
    <w:p>
      <w:pPr>
        <w:spacing w:after="0" w:line="27" w:lineRule="exact"/>
        <w:rPr>
          <w:sz w:val="20"/>
          <w:szCs w:val="20"/>
          <w:color w:val="auto"/>
        </w:rPr>
      </w:pPr>
    </w:p>
    <w:p>
      <w:pPr>
        <w:ind w:left="120" w:right="60"/>
        <w:spacing w:after="0" w:line="251" w:lineRule="auto"/>
        <w:rPr>
          <w:sz w:val="20"/>
          <w:szCs w:val="20"/>
          <w:color w:val="auto"/>
        </w:rPr>
      </w:pPr>
      <w:r>
        <w:rPr>
          <w:rFonts w:ascii="Times New Roman" w:cs="Times New Roman" w:eastAsia="Times New Roman" w:hAnsi="Times New Roman"/>
          <w:sz w:val="18"/>
          <w:szCs w:val="18"/>
          <w:color w:val="auto"/>
        </w:rPr>
        <w:t>$0.2 million, respectively, to procure inventory. The majority of our outstanding inventory purchase orders and preauthorized commitments to procure strategic components based on our expected demand are placed with our primary third-party contract manufacturer and a semiconductor supplier. We have an obligation to purchase inventories that have been purchased by the contract manufacturer when components have not been consumed within a period defined in the terms of our agreement. While we expect such purchased components to be used in future production of our finished goods, these components are considered in our reserve estimate for excess and obsolete inventory. Furthermore, we accrue for losses on commitments for the future purchase on non-cancelable and non- returnable components from this contract manufacturer at the time that circumstances, such as changes in demand, indicated that the value of the components many not be recoverable, the loss is probable and management has the ability to reasonably estimate the amount of the loss. As of March 31, 2025 and December 31, 2024, the liability balance of our accrued loss on accrued purchase commitments equaled $0.6 million.</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 the year ended December 31, 2024 compared to year ended December 31, 2023</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Blaize’s consolidated statements of operations data for the years ended December 31, 2024 and 2023, respectively.</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(in thousands)</w:t>
            </w:r>
          </w:p>
        </w:tc>
        <w:tc>
          <w:tcPr>
            <w:tcW w:w="244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3"/>
                <w:szCs w:val="13"/>
                <w:color w:val="auto"/>
              </w:rPr>
            </w:pPr>
          </w:p>
        </w:tc>
        <w:tc>
          <w:tcPr>
            <w:tcW w:w="60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5080" w:type="dxa"/>
            <w:vAlign w:val="bottom"/>
            <w:vMerge w:val="continue"/>
          </w:tcPr>
          <w:p>
            <w:pPr>
              <w:spacing w:after="0"/>
              <w:rPr>
                <w:sz w:val="15"/>
                <w:szCs w:val="15"/>
                <w:color w:val="auto"/>
              </w:rPr>
            </w:pPr>
          </w:p>
        </w:tc>
        <w:tc>
          <w:tcPr>
            <w:tcW w:w="24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96"/>
        </w:trPr>
        <w:tc>
          <w:tcPr>
            <w:tcW w:w="5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8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Engineering services revenue - related party</w:t>
            </w:r>
          </w:p>
        </w:tc>
        <w:tc>
          <w:tcPr>
            <w:tcW w:w="28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$ 1,525</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$ 3,840</w:t>
            </w:r>
          </w:p>
        </w:tc>
        <w:tc>
          <w:tcPr>
            <w:tcW w:w="12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$(2,315)</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 revenue</w:t>
            </w:r>
          </w:p>
        </w:tc>
        <w:tc>
          <w:tcPr>
            <w:tcW w:w="28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29</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2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3"/>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8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4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220" w:type="dxa"/>
            <w:vAlign w:val="bottom"/>
          </w:tcPr>
          <w:p>
            <w:pPr>
              <w:spacing w:after="0"/>
              <w:rPr>
                <w:sz w:val="19"/>
                <w:szCs w:val="19"/>
                <w:color w:val="auto"/>
              </w:rPr>
            </w:pPr>
          </w:p>
        </w:tc>
        <w:tc>
          <w:tcPr>
            <w:tcW w:w="12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(2,302)</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and expenses:</w:t>
            </w:r>
          </w:p>
        </w:tc>
        <w:tc>
          <w:tcPr>
            <w:tcW w:w="1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28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579</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3,656</w:t>
            </w:r>
          </w:p>
        </w:tc>
        <w:tc>
          <w:tcPr>
            <w:tcW w:w="12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(3,077)</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25,094</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18,115</w:t>
            </w:r>
          </w:p>
        </w:tc>
        <w:tc>
          <w:tcPr>
            <w:tcW w:w="12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6,979</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22,413</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17,303</w:t>
            </w:r>
          </w:p>
        </w:tc>
        <w:tc>
          <w:tcPr>
            <w:tcW w:w="12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5,110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886</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2,040</w:t>
            </w:r>
          </w:p>
        </w:tc>
        <w:tc>
          <w:tcPr>
            <w:tcW w:w="12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(1,154)</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365"/>
        </w:trPr>
        <w:tc>
          <w:tcPr>
            <w:tcW w:w="5080" w:type="dxa"/>
            <w:vAlign w:val="bottom"/>
          </w:tcPr>
          <w:p>
            <w:pPr>
              <w:spacing w:after="0"/>
              <w:rPr>
                <w:sz w:val="24"/>
                <w:szCs w:val="24"/>
                <w:color w:val="auto"/>
              </w:rPr>
            </w:pPr>
          </w:p>
        </w:tc>
        <w:tc>
          <w:tcPr>
            <w:tcW w:w="1840" w:type="dxa"/>
            <w:vAlign w:val="bottom"/>
          </w:tcPr>
          <w:p>
            <w:pPr>
              <w:jc w:val="right"/>
              <w:ind w:right="1232"/>
              <w:spacing w:after="0"/>
              <w:rPr>
                <w:sz w:val="20"/>
                <w:szCs w:val="20"/>
                <w:color w:val="auto"/>
              </w:rPr>
            </w:pPr>
            <w:r>
              <w:rPr>
                <w:rFonts w:ascii="Times New Roman" w:cs="Times New Roman" w:eastAsia="Times New Roman" w:hAnsi="Times New Roman"/>
                <w:sz w:val="18"/>
                <w:szCs w:val="18"/>
                <w:color w:val="auto"/>
              </w:rPr>
              <w:t>68</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66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3"/>
                <w:szCs w:val="13"/>
                <w:color w:val="auto"/>
              </w:rPr>
            </w:pPr>
          </w:p>
        </w:tc>
        <w:tc>
          <w:tcPr>
            <w:tcW w:w="180" w:type="dxa"/>
            <w:vAlign w:val="bottom"/>
            <w:vMerge w:val="restart"/>
          </w:tcPr>
          <w:p>
            <w:pPr>
              <w:spacing w:after="0"/>
              <w:rPr>
                <w:sz w:val="13"/>
                <w:szCs w:val="13"/>
                <w:color w:val="auto"/>
              </w:rPr>
            </w:pPr>
          </w:p>
        </w:tc>
        <w:tc>
          <w:tcPr>
            <w:tcW w:w="6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3"/>
                <w:szCs w:val="13"/>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9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4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purchase commitments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Transaction costs</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217</w:t>
            </w:r>
          </w:p>
        </w:tc>
        <w:tc>
          <w:tcPr>
            <w:tcW w:w="12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105</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112</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49,189</w:t>
            </w:r>
          </w:p>
        </w:tc>
        <w:tc>
          <w:tcPr>
            <w:tcW w:w="12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42,384</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6,805</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(47,635)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4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9,107</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Pay-to-Play financing charge</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(35,832)</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(35,832)</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(464)</w:t>
            </w:r>
          </w:p>
        </w:tc>
        <w:tc>
          <w:tcPr>
            <w:tcW w:w="12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(3,145)</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(2,681)</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1,903</w:t>
            </w: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(255)</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2,158</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gain on foreign exchange transactions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(228)</w:t>
            </w:r>
          </w:p>
        </w:tc>
        <w:tc>
          <w:tcPr>
            <w:tcW w:w="12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50</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278</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(10,022)</w:t>
            </w: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(9,532)</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490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(5,701)</w:t>
            </w:r>
          </w:p>
        </w:tc>
        <w:tc>
          <w:tcPr>
            <w:tcW w:w="12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(945)</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4,756</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30"/>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expense</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(49,659)</w:t>
            </w:r>
          </w:p>
        </w:tc>
        <w:tc>
          <w:tcPr>
            <w:tcW w:w="40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(35,147)</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(62,147)</w:t>
            </w:r>
          </w:p>
        </w:tc>
        <w:tc>
          <w:tcPr>
            <w:tcW w:w="12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(88,187)</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(26,040)</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(952)</w:t>
            </w: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(598)</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354</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(61,195)</w:t>
            </w:r>
          </w:p>
        </w:tc>
        <w:tc>
          <w:tcPr>
            <w:tcW w:w="12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(87,589)</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(26,394)</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Revenue decreased 60% to $1.6 million for the year ended December 31, 2024 compared to approximately $3.9 million for the year ended December 31, 2023, primarily due to us reaching the end of our multi-year license and development contract with a strategic investor resulting in a $2.6 million decrease compared to the year ended December 31, 2023. This reduction was partially offset by $0.3 million associated with a new development arrangement entered into with a separate strategic investor during the year ended December 31, 2024.</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revenue (exclusive of depreciation and amortization)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Cost of revenue (excluding depreciation and amortization) for the year ended December 31, 2024 reflects a decrease of $3.1 million, or 84%,</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compared to the year ended December 31, 2023. This decrease was primarily driven by a $2.9 million decrease in charges for excess inventory and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$0.4 million decrease in direct labor costs commensurate with the decrease in engineering services revenue, partially offset by a $0.1 million increase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costs for inventory carrying costs with an outside supplier and a $0.1 reduction in other miscellaneous costs.</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for the year ended December 31, 2024 increased $7.0 million or 39% compared to the year ended December 31, 2023. The increase was primarily driven by an increase in personnel costs of $4.4 million, an increase in IP licenses and design services of $2.4 million associated with the development of our new chip, an increase in other miscellaneous research and development costs of $0.2 million, and an increase in integration service of $0.6 million, partially offset by a $0.6 million reduction in external engineering services. We expect research and development to continue to increase to support the development of our next generation product portfolio in future years.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for the year ended December 31, 2024 increased $5.1 million or 30% compared to the year ended December 31, 2023. The increase was primarily due to a $3.5 million increase in employee related costs, a $1.1 million increase in legal and accounting costs incurred in support of public company readiness efforts, a $0.5 million increase in marketing costs, and a $0.5 million increase in business development costs. The increases were partially offset by a $0.5 million reduction in facility costs.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40"/>
          </w:cols>
          <w:pgMar w:left="320" w:top="455"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for the year ended December 31, 2024 decreased $1.2 million or 57% compared to the year ended December 31, 2023. The decrease was primarily due to a decrease in depreciation costs for computer equipment and server and network equipment that were fully depreciated in the comparative period.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Loss on purchase commitments</w:t>
      </w:r>
    </w:p>
    <w:p>
      <w:pPr>
        <w:spacing w:after="0" w:line="119"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We did not record a loss on purchase commitments for the year ended December 31, 2024 as compared to $1.2 million for the year ended December 31, 2023 as a result of not having any additional purchase commitments requiring a loss on purchase commitment accrual.</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Total other expense</w:t>
      </w:r>
    </w:p>
    <w:p>
      <w:pPr>
        <w:spacing w:after="0" w:line="11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Total other expense for the years ended December 31, 2024 and 2023 amounted to a net expense of $14.5 million and $49.7 million, respectively, for a decrease of net expense period over period of $35.1 million.</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Total other expense for the year ended December 31, 2024 was primarily comprised of the total net change in fair value of our convertible notes and warrant liabilities of $15.7 million, additional expenses of $0.7 million, offset by other income from investments of $1.9 million.</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Total other expense for the year ended December 31, 2023 was primarily comprised of the Pay-to-Play financing charge of $35.8 million and the debt financing charge on the convertible notes issued under the 2023 NPA of $3.1 million as well as the total change in fair value of the convertible notes and warrant liabilities of $10.5 million.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The benefit from the provision for income taxes amounted to approximately $1.0 million for the year ended December 31, 2024 and our effective tax rate was approximately 1.53%. The effective income tax rate was primarily driven by remeasurement of our warrant liability as well as our valuation allowance which is driven by the deferred tax assets arising from capitalized research and experimental expenditures and the net operating losses.</w:t>
      </w:r>
    </w:p>
    <w:p>
      <w:pPr>
        <w:spacing w:after="0" w:line="158" w:lineRule="exact"/>
        <w:rPr>
          <w:sz w:val="20"/>
          <w:szCs w:val="20"/>
          <w:color w:val="auto"/>
        </w:rPr>
      </w:pPr>
    </w:p>
    <w:p>
      <w:pPr>
        <w:jc w:val="both"/>
        <w:ind w:left="120" w:right="80" w:firstLine="440"/>
        <w:spacing w:after="0" w:line="257" w:lineRule="auto"/>
        <w:rPr>
          <w:sz w:val="20"/>
          <w:szCs w:val="20"/>
          <w:color w:val="auto"/>
        </w:rPr>
      </w:pPr>
      <w:r>
        <w:rPr>
          <w:rFonts w:ascii="Times New Roman" w:cs="Times New Roman" w:eastAsia="Times New Roman" w:hAnsi="Times New Roman"/>
          <w:sz w:val="18"/>
          <w:szCs w:val="18"/>
          <w:color w:val="auto"/>
        </w:rPr>
        <w:t>The benefit from the provision for income taxes amounted to approximately $0.6 million for the year ended December 31, 2023 and our effective tax rate was approximately 0.68%. Income tax benefit for the year ended December 31, 2023 was primarily attributable to foreign taxes payable on net income generated outside the United States. The effective income tax rate was primarily driven by the impact of the tax treatment of</w:t>
      </w:r>
    </w:p>
    <w:p>
      <w:pPr>
        <w:spacing w:after="0" w:line="1" w:lineRule="exact"/>
        <w:rPr>
          <w:sz w:val="20"/>
          <w:szCs w:val="20"/>
          <w:color w:val="auto"/>
        </w:rPr>
      </w:pPr>
    </w:p>
    <w:p>
      <w:pPr>
        <w:ind w:left="120" w:right="360"/>
        <w:spacing w:after="0" w:line="260" w:lineRule="auto"/>
        <w:rPr>
          <w:sz w:val="20"/>
          <w:szCs w:val="20"/>
          <w:color w:val="auto"/>
        </w:rPr>
      </w:pPr>
      <w:r>
        <w:rPr>
          <w:rFonts w:ascii="Times New Roman" w:cs="Times New Roman" w:eastAsia="Times New Roman" w:hAnsi="Times New Roman"/>
          <w:sz w:val="18"/>
          <w:szCs w:val="18"/>
          <w:color w:val="auto"/>
        </w:rPr>
        <w:t>the Pay-to-Play equity financing charge and the valuation allowance which is driven by the deferred tax assets arising from capitalized research and experimental expenditures and the net operating losses.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Net loss was approximately $61.2 million for the year ended December 31, 2024 compared to net loss of approximately $87.6 million for the year ended December 31, 2023. The decrease in net loss for the year ended December 31, 2024 of $26.4 million compared to the year ended December 31, 2023 was primarily attributable to the nonrecurring Pay-to-Play financing charge of $35.8 million, the decrease in debt financing charge of $2.7 million, and an increase in other income (expense), net of $2.2 million which was partially offset by the $9.1 million increase in loss from operations and the $5.2 million increase in expense associated with the change in fair value of convertible notes and warrant liabilities as discussed above.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00"/>
          </w:cols>
          <w:pgMar w:left="320" w:top="455"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Blaize’s consolidated financial statements have been prepared on a going concern basis, which assumes that we will be able to meet our obligations and continue our operations for the foreseeable future. Our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Since inception of Blaize and through December 31, 2024, we have funded our operations primarily with cash flows from contributions from founders or other investors and other financing activities. We have incurred recurring losses and negative cash flows since its inception, including a net loss of $61.2 million and $87.6 million for the years ended December 31, 2024 and 2023, respectively. As of December 31, 2024, we had cash and cash equivalents of approximately $50.2 million, a net working capital deficit of $114.5 million, and an accumulated deficit of $429.3 million.</w:t>
      </w:r>
    </w:p>
    <w:p>
      <w:pPr>
        <w:spacing w:after="0" w:line="180" w:lineRule="exact"/>
        <w:rPr>
          <w:sz w:val="20"/>
          <w:szCs w:val="20"/>
          <w:color w:val="auto"/>
        </w:rPr>
      </w:pPr>
    </w:p>
    <w:p>
      <w:pPr>
        <w:jc w:val="both"/>
        <w:ind w:left="120" w:right="360" w:firstLine="440"/>
        <w:spacing w:after="0" w:line="256" w:lineRule="auto"/>
        <w:rPr>
          <w:sz w:val="20"/>
          <w:szCs w:val="20"/>
          <w:color w:val="auto"/>
        </w:rPr>
      </w:pPr>
      <w:r>
        <w:rPr>
          <w:rFonts w:ascii="Times New Roman" w:cs="Times New Roman" w:eastAsia="Times New Roman" w:hAnsi="Times New Roman"/>
          <w:sz w:val="18"/>
          <w:szCs w:val="18"/>
          <w:color w:val="auto"/>
        </w:rPr>
        <w:t>Our ability to continue to meet our obligations, to achieve our business objectives and continue as a going concern is dependent upon several factors, including our revenue growth rate, the timing and extent of spending to support further sales and marketing and research and development efforts. To finance these opportunities, we will need to raise additional financing. While there can be no assurances, we intend to raise such capital through issuances of additional equity raises. If additional financing is required from outside sources, we may not be able to raise such financing on terms acceptable to us or at all. If we are unable to raise additional capital when desired, our business, results of operations and financial condition would be materially and adversely affected.</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While we are currently taking actions to source cash through a combination of the issuances of additional debt financing and public or private equity offerings or other means, we cannot be assured that we will be able to enter into any such contracts or raise capital on terms acceptable to the Company. As a result of the above, in connection with our assessment of going concern considerations in accordance with Financial Accounting Standard Board’s (“FASB”) Accounting Standards Update (“ASU”) 2014-15, Disclosures of Uncertainties about an Entity’s Ability to Continue as a Going Concern, we have determined that our liquidity condition raises substantial doubt about our ability to continue as a going concern through a year from the date that our consolidated financial statements were available to be issued.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Debt Financings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were a party to the following debt financing agreements during the years ended December 31, 2024 and 2023:</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Convertible Notes Under the July 2023 Note Purchase Agreement (as amended and restated, the “2023-2024 Convertible Notes”)</w:t>
      </w:r>
    </w:p>
    <w:p>
      <w:pPr>
        <w:spacing w:after="0" w:line="22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July 2023, we entered into a Note Purchase Agreement, as amended on August 1, 2023 and as amended and restated on April 22, 2024 (the “2023 NPA”). During the nine months ended September 30, 2024, we issued approximately a total of $110.7 million in convertible notes under the 2023 NPA, of which $11.5 million in convertible notes under the 2023 NPA to the Sponsor. During the year ended December 31, 2023, we issued approximately $12.3 million in convertible notes under the 2023 NPA, of which $5 million was issued to the Sponsor and another $5 million was issued to a related party investor. The 2023-2024 Convertible Notes are secured by all our assets and accrue interest at 10%. Following the April 2024 amendment and restatement, principal and accrued interest on the 2023-2024 Convertible Notes mature on December 31, 2025.</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2023-2024 Convertible Notes provides that the notes may be converted as follows:</w:t>
      </w:r>
    </w:p>
    <w:p>
      <w:pPr>
        <w:spacing w:after="0" w:line="131" w:lineRule="exact"/>
        <w:rPr>
          <w:sz w:val="20"/>
          <w:szCs w:val="20"/>
          <w:color w:val="auto"/>
        </w:rPr>
      </w:pPr>
    </w:p>
    <w:p>
      <w:pPr>
        <w:ind w:left="1080" w:right="2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 “Next Equity Financing” assuming a Corporate Transaction (as defined therein), Maturity Conversion (as defined therein), SPAC Conversion (as defined therein) or repayment has not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00"/>
          </w:cols>
          <w:pgMar w:left="320" w:top="455" w:right="4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20"/>
        <w:spacing w:after="0" w:line="282" w:lineRule="auto"/>
        <w:rPr>
          <w:sz w:val="20"/>
          <w:szCs w:val="20"/>
          <w:color w:val="auto"/>
        </w:rPr>
      </w:pPr>
      <w:r>
        <w:rPr>
          <w:rFonts w:ascii="Times New Roman" w:cs="Times New Roman" w:eastAsia="Times New Roman" w:hAnsi="Times New Roman"/>
          <w:sz w:val="18"/>
          <w:szCs w:val="18"/>
          <w:color w:val="auto"/>
        </w:rPr>
        <w:t>occurred wherein the Next Equity Financing, defined as the next sale of Company equity securities or other securities issued in connection with Senior Indebtedness, following the date of the 2023-2024 Convertible Notes for the purpose of raising capital.</w:t>
      </w:r>
    </w:p>
    <w:p>
      <w:pPr>
        <w:spacing w:after="0" w:line="67" w:lineRule="exact"/>
        <w:rPr>
          <w:sz w:val="20"/>
          <w:szCs w:val="20"/>
          <w:color w:val="auto"/>
        </w:rPr>
      </w:pPr>
    </w:p>
    <w:p>
      <w:pPr>
        <w:ind w:left="1080" w:right="120" w:hanging="424"/>
        <w:spacing w:after="0" w:line="25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Lenders who purchased a 2023-2024 Convertible Note on or before July 3, 2023, the issuance of shares pursuant to the conversion of each note shall be subject to the same terms and conditions applicable to the equity securities sold in the Next Equity Financing, except that (A) the per share liquidation preference shall be 1.5 times the conversion price, (B) the initial conversion price for purposes of price-based anti-dilution protection will equal the conversion price, (C) the basis for any dividend rights will be based on the conversion price, and (D) such shares will rank senior to the other equity securities existing at the time of the applicable conversion with respect to liquidation preference.</w:t>
      </w:r>
    </w:p>
    <w:p>
      <w:pPr>
        <w:spacing w:after="0" w:line="92"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2023-2024 Convertible Note after July 3, 2023, the issuance of shares pursuant to the conversion of each note shall be subject to the same terms as described in the preceding paragraph except that the per share liquidation preference will equal the conversion price.</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for all Lenders, regardless of purchase date, for this Next Equity Financing is defined as the lesser of 80% of the per share issue price of the equity securities sold in this financing event or a calculated per share value based on a defined valuation cap and fully-diluted capital.</w:t>
      </w:r>
    </w:p>
    <w:p>
      <w:pPr>
        <w:spacing w:after="0" w:line="81" w:lineRule="exact"/>
        <w:rPr>
          <w:rFonts w:ascii="Times New Roman" w:cs="Times New Roman" w:eastAsia="Times New Roman" w:hAnsi="Times New Roman"/>
          <w:sz w:val="18"/>
          <w:szCs w:val="18"/>
          <w:color w:val="auto"/>
        </w:rPr>
      </w:pPr>
    </w:p>
    <w:p>
      <w:pPr>
        <w:ind w:left="1080" w:right="120" w:hanging="424"/>
        <w:spacing w:after="0" w:line="25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SPAC conversion or repayment of the outstanding principal and unpaid accrued interest has not occurred on or before the maturity date, the principal and unpaid accrued interest of each 2023-2024 Convertible Note shall, at the written election of the Requisite Noteholders (which must include certain noteholder), pursuant to mutually agreed-upon terms, be automatically converted (the “Maturity Conversion”) into a class of equity shares subject to mutual agreement between the Lenders and the Company, provided that the conversion price shall not be based on a valuation in excess of the defined valuation cap.</w:t>
      </w:r>
    </w:p>
    <w:p>
      <w:pPr>
        <w:spacing w:after="0" w:line="92"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or repayment of the outstanding principal and unpaid accrued interest has not occurred prior to a SPAC transaction, the principal and unpaid accrued interest of each 2023-2024 Convertible Note, with the exception of notes issued to a Final Closing Lender shall automatically convert (the “SPAC Conversion”) into a number of common shares equal to the quotient obtained by dividing the outstanding principal and unpaid accrued interest on each 2023-2024 Convertible Note by the applicable conversion price.</w:t>
      </w:r>
    </w:p>
    <w:p>
      <w:pPr>
        <w:spacing w:after="0" w:line="88"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2023-2024 Convertible Note before April 22, 2024, the conversion price in this SPAC Conversion is the lesser of 80% of $11.50 per share or a calculated per share value based on a defined valuation cap and fully-diluted capital immediately prior to the SPAC transaction.</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2023-2024 Convertible Note on or after April 22, 2024, the conversion price in this SPAC Conversion is a price per share that would entitle such lender to receive a number of shares of BurTech Class A common stock equal to the outstanding principal and unpaid accrued interest on such 2023-2024 Convertible Note divided by five.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Corporate Transaction (any “Liquidation Event” as defined in Blaize’s existing certificate of incorporation), the 2023-</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Convertible Notes shall be repaid as follows at the closing of the Corporate Transaction:</w:t>
      </w:r>
    </w:p>
    <w:p>
      <w:pPr>
        <w:spacing w:after="0" w:line="112" w:lineRule="exact"/>
        <w:rPr>
          <w:rFonts w:ascii="Times New Roman" w:cs="Times New Roman" w:eastAsia="Times New Roman" w:hAnsi="Times New Roman"/>
          <w:sz w:val="18"/>
          <w:szCs w:val="18"/>
          <w:color w:val="auto"/>
        </w:rPr>
      </w:pPr>
    </w:p>
    <w:p>
      <w:pPr>
        <w:ind w:left="1080" w:right="100" w:hanging="424"/>
        <w:spacing w:after="0" w:line="312" w:lineRule="auto"/>
        <w:tabs>
          <w:tab w:leader="none" w:pos="10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Lender who purchased a 2023-2024 Convertible Note on or before July 3, 2023, in respect of a Corporate Transaction that occurs on or before July 3, 2024, an amount equal to the then accrued but unpaid interest plus three (3) times the then outstanding principal.</w:t>
      </w:r>
    </w:p>
    <w:p>
      <w:pPr>
        <w:spacing w:after="0" w:line="45" w:lineRule="exact"/>
        <w:rPr>
          <w:rFonts w:ascii="Times New Roman" w:cs="Times New Roman" w:eastAsia="Times New Roman" w:hAnsi="Times New Roman"/>
          <w:sz w:val="17"/>
          <w:szCs w:val="17"/>
          <w:color w:val="auto"/>
        </w:rPr>
      </w:pPr>
    </w:p>
    <w:p>
      <w:pPr>
        <w:ind w:left="1080" w:right="10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2023-2024 Convertible Note on or before July 3, 2023, in respect of a Corporate Transaction that occurs following July 3, 2024, an amount equal to the then accrued but unpaid interest plus five (5) times the then outstanding principal.</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note after July 3, 2023, in respect of any such Corporate Transaction, an amount equal to the then accrued but unpaid interest plus one and a half (1.5) times the then outstanding principal.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00"/>
          </w:cols>
          <w:pgMar w:left="320" w:top="455" w:right="4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69" w:lineRule="auto"/>
        <w:rPr>
          <w:sz w:val="20"/>
          <w:szCs w:val="20"/>
          <w:color w:val="auto"/>
        </w:rPr>
      </w:pPr>
      <w:r>
        <w:rPr>
          <w:rFonts w:ascii="Times New Roman" w:cs="Times New Roman" w:eastAsia="Times New Roman" w:hAnsi="Times New Roman"/>
          <w:sz w:val="17"/>
          <w:szCs w:val="17"/>
          <w:color w:val="auto"/>
        </w:rPr>
        <w:t>Investors in the 2023-2024 Convertible Notes received warrants (“2023-2024 Convertible Note Warrants”) exercisable upon the earliest to occur of a Next Equity Financing Conversion, Maturity Conversion, SPAC Conversion or Corporate Transaction, as defined, and expire five years from issuance. The number of warrant shares issuable upon exercise is equal to the quotient obtained by dividing (i) 25% or 10% (the higher percentage which applies only to investors who purchased a convertible note on or before July 3, 2023) of the original principal amount of the corresponding note by (ii) (y) with respect to a Next Equity Financing Conversion, Maturity Conversion, or a SPAC Conversion, the Exercise Price (as defined herein) or</w:t>
      </w:r>
    </w:p>
    <w:p>
      <w:pPr>
        <w:spacing w:after="0" w:line="3" w:lineRule="exact"/>
        <w:rPr>
          <w:sz w:val="20"/>
          <w:szCs w:val="20"/>
          <w:color w:val="auto"/>
        </w:rPr>
      </w:pPr>
    </w:p>
    <w:p>
      <w:pPr>
        <w:ind w:left="120" w:hanging="4"/>
        <w:spacing w:after="0" w:line="260" w:lineRule="auto"/>
        <w:tabs>
          <w:tab w:leader="none" w:pos="3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Corporate Transaction, a per share price equal to the value of the consideration payable to the holder of each share of common stock of the Company. The Exercise price is defined as follows:</w:t>
      </w:r>
    </w:p>
    <w:p>
      <w:pPr>
        <w:spacing w:after="0" w:line="8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Next Equity Financing Conversion, the per share issue price by new money investors for the equity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Maturity Conversion, a per share price mutually agreed upon by the Company and the Requisite Noteholders;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SPAC Conversion, $11.50 per share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Corporate Transaction, the Corporate Transaction Exercise Price, as defined.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Additionally, the expiration date of the warrants was amended in April 2022 from 10 years to 5 years from the original date of issuance.</w:t>
      </w:r>
    </w:p>
    <w:p>
      <w:pPr>
        <w:spacing w:after="0" w:line="225"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On January 13, 2025, as provided by the terms of the 2023-2024 Convertible Notes, the outstanding notes were converted, at the option of the holders, to Common Stock upon the consummation of the Merger.</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Demand Notes</w:t>
      </w:r>
    </w:p>
    <w:p>
      <w:pPr>
        <w:spacing w:after="0" w:line="11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we issued approximately $5.1 million of demand notes, of which approximately $0.3 million in principal with related accrued interest was repaid. The remaining $4.8 million of demand notes principal and related accrued interest was repaid in April 2024.</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Pay-to-Play Notes</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December 2022, in connection with the P2P Transaction, we entered into a P2P NPA with a group of Lenders. Total proceeds from the issuance of convertible promissory notes under the P2P NPA received in November and December of 2022 approximated $2.9 million. In January and February of 2023, we received an additional $9.3 million in convertible promissory note proceeds. Pursuant to the P2P NPA, each Lender will pay Consideration in return for one or more promissory notes. The P2P Notes have a 24-month term from the date of the P2P NPA or December 9, 2024.</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P2P NPA provides that the P2P Notes may be converted as follows:</w:t>
      </w:r>
    </w:p>
    <w:p>
      <w:pPr>
        <w:spacing w:after="0" w:line="131" w:lineRule="exact"/>
        <w:rPr>
          <w:sz w:val="20"/>
          <w:szCs w:val="20"/>
          <w:color w:val="auto"/>
        </w:rPr>
      </w:pPr>
    </w:p>
    <w:p>
      <w:pPr>
        <w:ind w:left="1080" w:right="140" w:hanging="424"/>
        <w:spacing w:after="0" w:line="261"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 “Next Equity Financing” assuming a Corporate Transaction (as defined), Maturity Conversion (as defined) or repayment has not occurred wherein the Next Equity Financing is defined as the next sale of Company equity securities, including warrants, other than Series D-2 Preferred stock or warrants to purchase Series D-2 preferred stock, following the date of the P2P NPA for the purpose of raising capital with gross proceeds of at least $5 million excluding the P2P Notes.</w:t>
      </w:r>
    </w:p>
    <w:p>
      <w:pPr>
        <w:spacing w:after="0" w:line="85"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or repayment of the outstanding principal and unpaid accrued interest has not occurred on or before the maturity date (December 9, 2024), the principal and unpaid accrued interest of each P2P Note shall, at the written election of the Requisite Noteholders (holders of a majority interest in the aggregate outstanding principal amount of the P2P Notes) and we, pursuant to mutually agreed-upon terms, be automatically converted (the “Maturity Conversion”) into a class of equity shares subject to mutual agreement between the Lenders and Blaize.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9" w:lineRule="auto"/>
        <w:tabs>
          <w:tab w:leader="none" w:pos="10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Corporate Transaction (any “Liquidation Event” as defined in Blaize’s existing certificate of incorporation), the P2P Notes shall either be repaid or, at the option of the Requisite Noteholders, converted. If conversion is elected upon a Corporate Transaction, the P2P NPA provides that all outstanding principal and unpaid accrued interest due on the P2P Notes shall be converted into common stock.</w:t>
      </w:r>
    </w:p>
    <w:p>
      <w:pPr>
        <w:spacing w:after="0" w:line="158"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If upon a Corporate Transaction, repayment is elected by the Requisite Noteholders, the outstanding amount of the P2P Note balance will be repaid based on (i) whether or not the Lender provided consideration less than, equal to or greater than their Pro Rata Portion (calculated as the percentage ownership in Preferred Stock held by the lender) of $20 million (the “Insider Amount”) by (ii) the date of Contribution being either prior to November 30, 2022 (the “Initial Commitment Date”) or February 24, 2023 (“Final Closing date”).</w:t>
      </w:r>
    </w:p>
    <w:p>
      <w:pPr>
        <w:spacing w:after="0" w:line="180"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New Lenders will receive payment equal to the then accrued and unpaid interest plus one and a half times (1.5X) the then outstanding principal, plus two times (2X) the outstanding principal (with respect only to the outstanding principal in excess of $1 million but less than $5 million), as applicable, plus three times (3X) the outstanding principal with respect only to the outstanding principal in excess of $5 million on the P2P Note.</w:t>
      </w:r>
    </w:p>
    <w:p>
      <w:pPr>
        <w:spacing w:after="0" w:line="158"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P2P NPA, any existing investor that purchased any P2P Note, received the right to exchange the common stock held following the November 30, 2022 conversion event (the “Converted Common Stock”) for a number of shares of shadow preferred stock mirroring the respective classes of preferred stock held prior to the conversion (the “Pull-Through Exchange”), however, due to their recent capital investments in the Company in the fourth quarter of 2022 that were critical to funding the ongoing business and operations of the Company, all Senior Series D shareholders received an automatic pull-through of their Converted Common Stock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purchased a P2P Notes representing less than its pro rata portion of the Insider Amount, such investors Converted Common Stock remain as Converted Common Stock for that portion equal to the shortfall in its pro-rata contribution. Additionally, certain investors in the P2P Notes also are entitled to receive warrants (the “P2P Warrants”) whose total exercise price is determined based on the timing of investment as well as the level of investor participation vis-à-vis each investor’s designated pro-rata portion.</w:t>
      </w:r>
    </w:p>
    <w:p>
      <w:pPr>
        <w:spacing w:after="0" w:line="192"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On January 13, 2025, as provided by the terms of the P2P notes, the outstanding P2P Notes were converted, at the option of the holders, to common stock upon the execution of the Merger.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Financings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were a party to the following equity financing agreements during the years ended December 31, 2023 and 2022:</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Series D, D-1 and D-2 redeemable convertible preferred stock</w:t>
      </w:r>
    </w:p>
    <w:p>
      <w:pPr>
        <w:spacing w:after="0" w:line="11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 September 2022, with the conversion of $32.0 million in existing Series D-2 Notes and incremental cash proceeds of $5.6 million, we issued a total of 7,561,820 Series D-2 redeemable convertible preferred stock. The total carrying value recognized from conversion and new proceeds, approximated $32.0 million and $5.6 million, prior to issuance costs, respectively. The original issue price and conversion price of Series D-2 redeemable convertible preferred stock was $4.9717 per share. The Series D-2 convertible preferred shares were issued with detachable Series D-2 Preferred Stock warrants expiring September 2025. The Series D-2 Preferred Stock warrants were valued at $1.6 million in total value allocated to the preferred stock warrant liability.</w:t>
      </w:r>
    </w:p>
    <w:p>
      <w:pPr>
        <w:spacing w:after="0" w:line="18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issuance of Series D-2 redeemable convertible preferred stock, we amended our authorized capital stock to increase the total shares to 246,530,097, allocating 149,880,000 for common stock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96,650,097 to preferred stock. The authorized shares of Seed Preferred, Series A, Series B, Series C and Series remained unchanged. Series D authorized shares decreased to 4,707,494 and 27,042,965 shares were designated as Series D-2 preferred stock. Additionally, two new series of redeemable convertible preferred stock were created; Series D Exchange Preferred Stock (“Series D Exchange shares”) and Series D-1 Exchange Preferred Stock (Series D-1 Exchange Shares). These two new series, when combined with the new Series D-2 stock became the new senior preferred group of preferred stock (“Senior Series D”).</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Series D-2 Stock Purchase Agreement, each investor that was a holder of our Series D Preferred Stock and/or Series D-1 Preferred Stock immediately prior to the Series D-2 issuance who purchased Series D-2 shares with new cash on or before the subsequent closing date, in an investment amount equal to or greater than its Exchange Pro Rata Share, as defined, was entitled to exchange such number of shares of Series D preferred stock and/or Series D-1 Preferred Stock held by such investors for an equivalent number of Series D Exchange Preferred Stock and/or Serie D-1 Exchange preferred stock based on the defined formula of total new cash investment divided by the original issuance price of the Series D Preferred Stock and/or Series D-1 Preferred stock. Shares of Series D and D-1 that are exchanged for shares of Series D Exchange and/or Series D-1 Exchange shares were cancelled and no longer available for issuance. As a result of the new proceeds received, we exchanged 239,405 Series D Shares for Series D Exchange shares. We accounted for the exchange as an extinguishment of preferred stock, reducing the carrying value of the exchanged Series D stock totaling $2.5 million, recording the fair value of the new Series D Exchange shares equaling $0.9 million, with the difference of $1.6 million recognized as a credit to accumulated deficit.</w:t>
      </w:r>
    </w:p>
    <w:p>
      <w:pPr>
        <w:spacing w:after="0" w:line="194"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On November 30, 2022, we converted all outstanding shares of preferred stock into common stock and shortly thereafter effected a one-for-ten reverse stock split. No fractional shares of common stock were issued as a result of the reverse split. In lieu of any fractional shares to which a holder was otherwise entitled, the number of shares issued were rounded to the nearest whole share. The reverse stock split did not result in any change to the conversion rate of any series of preferred stock.</w:t>
      </w:r>
    </w:p>
    <w:p>
      <w:pPr>
        <w:spacing w:after="0" w:line="180"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On January 13, 2025, as provided by the terms of the redeemable preferred stock, the outstanding shares were converted, at the option of the holders, to common stock upon the execution of the Merger.</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Shadow Preferred stock</w:t>
      </w:r>
    </w:p>
    <w:p>
      <w:pPr>
        <w:spacing w:after="0" w:line="11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conjunction with our P2P Transaction, on December 12, 2022, we executed an Amended and Restated Certificate of Incorporation which introduced “Shadow Preferred” classes of stock. A Shadow Preferred class of stock was created for each series of preferred stock outstanding prior to the Conversion Event. Those shareholders who participated in our P2P Transaction obtained the benefit of the Pull-Through Exchange of the common shares into which their prior preferred stock was converted into at the time of the conversion and reverse stock-split event (the “Converted Common Stock”) into shares of the class(es) of Shadow Preferred Stock identical to those previously held. Investors who did not participate, retained ownership only in Converted Common Stock. For the year ended December 31, 2022, the Pull-Through Exchange resulted in incremental value to the investors in the 2022 P2P Notes of $55.9 million, measured as the difference in the fair value of the Shadow Preferred Stock shares held after the Pull-Through Exchange to the fair value of the Converted Common Stock held just prior to the Pull-Through Exchange, which has been accounted for as a Pay-to-Play financing charge in the consolidated statements of operations.</w:t>
      </w:r>
    </w:p>
    <w:p>
      <w:pPr>
        <w:spacing w:after="0" w:line="188"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 January and February 2023, we raised $9.4 million in additional P2P Notes. Those shareholders who participated in providing additional funding in 2023 obtained the benefit of the Pull-Through Exchange of their Converted Common Stock into shares of the class(es) of Shadow Preferred Stock identical to those previously held. Investors who did not participate, retained ownership only in Converted Common Stock. For the year ended December 31, 2023, the Pull-Through Exchange resulted in incremental value to the investors in the P2P Notes of $30.6 million, measured as the difference in the fair value of the Shadow Preferred Stock shares held after the Pull-Through Exchange to the fair value of the Converted Common Stock held just prior to the Pull-Through</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00"/>
          </w:cols>
          <w:pgMar w:left="320" w:top="455"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Exchange, which has been accounted for as a Pay-to-Play financing charge in the consolidated statements of operations.</w:t>
      </w:r>
    </w:p>
    <w:p>
      <w:pPr>
        <w:spacing w:after="0" w:line="225"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 P2P NPA provided Blaize a right, subject to the approval of our Board of Directors (the “Board”), to conduct a common rights offering (the “Offering”) with holders of Blaize Common Stock that held shares of Blaize Common Stock as of immediately prior to the reverse stock split consummated in connection with the P2P Transaction (the “Eligible Common Stockholders”) to raise additional funds. In November 2023, we entered into the P2P NPA with participating Eligible Common Stockholders, whereby, each participating Eligible Common Stockholder received a P2P Note, subject to the same terms as existing P2P Notes with the exception that the P2P Notes issued to these common stockholders did not include the right to receive P2P Warrants. Proceeds received under the Offering totaled $0.1 million. In addition to the P2P Note, we entered into an Exchange Agreement with each participating Eligible Common Stockholder, pursuant to which each participating Eligible Common Stockholder had the right to restore all or a portion of their pre-P2P Transaction holdings by exchanging a certain number of shares of Blaize Common Stock held immediately following the reverse split, to the extent then-held, for ten (10) shares of Blaize Common Stock (the “Common Stock Restoration”). To the extent that an Eligible Common Stockholder purchased P2P Notes in the Offering representing at least its full Pro Rata Amount (as defined below), such Eligible Common Stockholder was eligible to exchange each share of Blaize Common Stock held immediately following the reverse split, to the extent then-held, for ten</w:t>
      </w:r>
    </w:p>
    <w:p>
      <w:pPr>
        <w:spacing w:after="0" w:line="4" w:lineRule="exact"/>
        <w:rPr>
          <w:sz w:val="20"/>
          <w:szCs w:val="20"/>
          <w:color w:val="auto"/>
        </w:rPr>
      </w:pPr>
    </w:p>
    <w:p>
      <w:pPr>
        <w:ind w:left="120" w:right="20" w:hanging="4"/>
        <w:spacing w:after="0" w:line="251" w:lineRule="auto"/>
        <w:tabs>
          <w:tab w:leader="none" w:pos="4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Blaize Common Stock, such that such Eligible Common Stockholder would then hold such number of shares of Blaize Common Stock held as of immediately prior to the reverse stock split. If an Eligible Common Stockholder purchased P2P Notes in the Offering representing less than its Pro Rata Amount, such percentage representing the shortfall of the Pro Rata Amount was not eligible for the Common Stock Restoration. “Pro Rata Amount” means the product of $150,000 and the quotient obtained by dividing (i) the total number of shares of Blaize Common Stock held by an Eligible Common Stockholder by (ii) the total number of shares of Blaize Common Stock outstanding and held by the Eligible Common Stockholder as of November 16, 2023. For the year ended December 31, 2023, this Common Stock Restoration resulted in incremental value to the participating Eligible Common Stockholders of $5.2 million, measured as the fair value of the incremental shares of Blaize Common Stock received or restored following the Offering. This incremental value has been accounted for as a Pay-to-Play financing charge in the consolidated statements of operations.</w:t>
      </w:r>
    </w:p>
    <w:p>
      <w:pPr>
        <w:spacing w:after="0" w:line="194"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On January 13, 2025, as provided by the terms of the redeemable preferred stock, the outstanding shares were converted, at the option of the holders, to common stock upon the execution of the Merger.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2024 and December 31, 2023, we had outstanding purchase orders and contractual obligations totaling $0.2 million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$4.4 million, respectively, to procure inventory. The majority of our outstanding inventory purchase orders and preauthorized commitments to procure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strategic components based on our expected demand are placed with our primary third-party contract manufacturer and a semiconductor supplier. We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have an obligation to purchase inventories that have been purchased by the contract manufacturer when components have not been consumed within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period defined in the terms of our agreement. While we expect such purchased components to be used in future production of our finished goods, these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components are considered in our reserve estimate for excess and obsolete inventory. Furthermore, we accrue for losses on commitments for the future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purchase on non-cancelable and non- returnable components from this contract manufacturer at the time that circumstances, such as changes in demand,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indicated that the value of the components many not be recoverable, the loss is probable and management has the ability to reasonably estimate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 of the loss. As of December 31, 2024, the liability balance of our accrued loss on accrued purchase commitments equaled $0.6 million. As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 the liability balance of our accrued losses on accrued purchase commitments equaled $3.6 million. The accrued losses on accrued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 commitments as of December 31, 2024 and 2023 are included in the purchase orders and contractual obligations amount.</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80"/>
          </w:cols>
          <w:pgMar w:left="320" w:top="455" w:right="4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flows for the years ended December 31, 2024 and 2023</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cash flows from operating, investing and financing activities for the years ended December 31, 2024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6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r>
      <w:tr>
        <w:trPr>
          <w:trHeight w:val="209"/>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(53,532)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(27,955)</w:t>
            </w: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101,709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26,475</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12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Net cash used in operating activities was $53.5 million during the year ended December 31, 2024 compared to $28.0 million for the year ended December 31, 2023. For the year ended December 31, 2024, cash used in operating activities resulted from a net loss of $61.2 million, partially offset by $21.0 million in noncash items, the largest of which related to the $15.7 million change in the fair value of our convertible notes and warrant liabilities, $3.8 million in stock-based compensation, and $1.5 million of other miscellaneous non-cash expenses including depreciation and amortization, lease expense, deferred income taxes, deferred financing charges on convertible notes, and credit losses, offset by the impact of a net cash outflow of</w:t>
      </w:r>
    </w:p>
    <w:p>
      <w:pPr>
        <w:spacing w:after="0" w:line="3" w:lineRule="exact"/>
        <w:rPr>
          <w:sz w:val="20"/>
          <w:szCs w:val="20"/>
          <w:color w:val="auto"/>
        </w:rPr>
      </w:pPr>
    </w:p>
    <w:p>
      <w:pPr>
        <w:ind w:left="120" w:right="180"/>
        <w:spacing w:after="0" w:line="253" w:lineRule="auto"/>
        <w:rPr>
          <w:sz w:val="20"/>
          <w:szCs w:val="20"/>
          <w:color w:val="auto"/>
        </w:rPr>
      </w:pPr>
      <w:r>
        <w:rPr>
          <w:rFonts w:ascii="Times New Roman" w:cs="Times New Roman" w:eastAsia="Times New Roman" w:hAnsi="Times New Roman"/>
          <w:sz w:val="18"/>
          <w:szCs w:val="18"/>
          <w:color w:val="auto"/>
        </w:rPr>
        <w:t>$13.4 million from changes in our net operating assets and liabilities. For the year ended December 31, 2023, cash used in operating activities resulted from a net loss of $87.6 million, offset by $56.3 million of noncash items, the largest two of which related to the Pay-to-Play financing charge of $35.8 million and $3.1 million of debt financing charges on convertible notes, offset by a net cash inflow of $3.4 million from changes in our net operating assets and liabilities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21" w:lineRule="exact"/>
        <w:rPr>
          <w:sz w:val="20"/>
          <w:szCs w:val="20"/>
          <w:color w:val="auto"/>
        </w:rPr>
      </w:pPr>
    </w:p>
    <w:p>
      <w:pPr>
        <w:ind w:left="120" w:right="86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we used $ 0.9 million and $0.2 million of cash to purchase property and equipment, respectively. The increase of $0.7 million during the year ended December 31, 2024 was primarily due to the licensing of software.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net cash provided by financing activities was $101.7 million, which primarily consisted of $110.7 million of proceeds from the issuance of secured convertible notes under the 2023 NPA, partially offset by the $4.8 million repayment of the short-term demand notes and $4.4 million payment of deferred offering costs. This compares to net cash provided by financing activities for the year ended December 31, 2023 of $26.5 million, which primarily consisted of $12.3 million in proceeds from the issuance of secured convertible notes under the 2023 NPA, $9.4 million in the issuance of Pay-to-Play convertible notes and $4.9 million raised via the issuance of demand notes.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of the date of this prospectus, we do not have any off-balance sheet arrangements that have or are reasonably likely to have a current or future effect on its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Blaize is a party, under which it has any obligation arising under a guarantee contract, derivative instrument or variable interest or a retained or contingent interest in assets transferred to such entity or similar arrangement that serves as credit, liquidity or market risk support for such assets..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Currently we do not engage in off-balance sheet financing arrangements.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Blaize is an emerging growth company (“EGC”) as defined in the JOBS Act. The JOBS Act permits companies with EGC status to take advantage of an extended transition period to comply with new or revised accounting standards, delaying the adoption of these accounting standards until they apply to private companies. We have elected to use this extended transition period to enable it to comply with new or revised accounting standards that have different effective dates for public and private companies until the earlier of the date it (i) is no longer an emerging growth company or</w:t>
      </w:r>
    </w:p>
    <w:p>
      <w:pPr>
        <w:spacing w:after="0" w:line="3" w:lineRule="exact"/>
        <w:rPr>
          <w:sz w:val="20"/>
          <w:szCs w:val="20"/>
          <w:color w:val="auto"/>
        </w:rPr>
      </w:pPr>
    </w:p>
    <w:p>
      <w:pPr>
        <w:ind w:left="120" w:right="100" w:hanging="4"/>
        <w:spacing w:after="0" w:line="260" w:lineRule="auto"/>
        <w:tabs>
          <w:tab w:leader="none" w:pos="38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affirmatively and irrevocably opts out of the extended transition period provided in the JOBS Act. As a result, our consolidated financial statements may not be comparable to companies that comply with the new or revised accounting standards as of public company effective dates.</w:t>
      </w:r>
    </w:p>
    <w:p>
      <w:pPr>
        <w:spacing w:after="0" w:line="1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Subject to certain conditions set forth in the JOBS Act, if, as an EGC, we intend to rely on such exemptions, it is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Blaize will remain an EGC under the JOBS Act until the earliest of (i) the last day of its first fiscal year following the fifth anniversary of the closing of BurTech’s initial public offering, (ii) the last date of our fiscal year in which it has total annual gross revenue of at least $1.235 billion, (iii) the date on which it is deemed to be a “large accelerated filer” under the rules of the SEC with at least $700.0 million of outstanding securities held by non-affiliates or (iv) the date on which it have issued more than $1.0 billion in non-convertible debt securities during the previous three-years.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Our operations expose us to a variety of market risks. We monitor and manage these financial exposures as an integral part of our overall risk management program.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are exposed to foreign currency exchange rate risk by virtue of our international operations. This risk arises because we use different currencies to recognize revenue and pay operating expenses. We derived 21.8% and less than 1% of our revenue for the years ended December 31, 2024 and 2023 respectively, from operations outside of the United States. Our strategy for managing foreign currency risk relies on efforts to negotiate customer contracts to receive payment in the same currency used to pay expenses or, in some cases, we have historically entered into foreign currency exchange rate fluctuation provisions in our contracts with our customers. The exchange rate fluctuation provisions may result in increases or decreases in revenue or operating income in periods of significant exchange rate volatility when such exchange rates increase over a stated exchange rate or dollar threshold in the contract with a customer.</w:t>
      </w:r>
    </w:p>
    <w:p>
      <w:pPr>
        <w:spacing w:after="0" w:line="189"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reporting and functional currency is the United Stated dollar (“U.S. dollar”). We are primarily exposed to movements in foreign currencies, predominately in the Indian rupee, British pound, and the Philippine peso, which are the local currencies of our foreign subsidiaries whose functional currency is also the US dollar.</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Changes in exchange rates between the applicable foreign currency and the U.S. dollar will affect the remeasurement of our foreign subsidiaries’ financial results into U.S. dollars for purposes of reporting our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consolidated financial results. For the year ended December 31, 2024, the loss on foreign exchange transactions was $0.2 million. For the year ended December 31, 2023, the gain on foreign exchange transactions was not material.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maintain cash in checking and savings accounts. We investment securities in U.S. government treasury securities, U.S. government money market funds, and mutual funds. We do not enter into investments for trading or speculative purposes and have not used any derivative financial instruments to manage our interest rate risk exposure.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cash accounts in financial institutions may at times exceed the Federal Depository Insurance coverage of $250,000.</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exposed to credit risk in the event of nonpayment by customers up to the amounts recorded on the consolidated balance sheets. We manage our accounts receivable credit risk through ongoing credit evaluation of its customers’ financial conditions. We establish an allowance for credit losses as the estimate of the amount of probable credit losses in the Company’s existing accounts receivable. We determine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regarding the product or service rendered. Account balances are charged off against the allowance after all means of collection have been exhausted and the potential for recovery is considered remote. The allowance for credit losses was $0.4 million as of December 31, 2024 and 2023, respectively.</w:t>
      </w:r>
    </w:p>
    <w:p>
      <w:pPr>
        <w:spacing w:after="0" w:line="18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one customer accounted for approximately 98% of our total accounts receivable. As of December 31, 2023, one customer, a related party, accounted for approximately 98% of our total accounts receivable.</w:t>
      </w:r>
    </w:p>
    <w:p>
      <w:pPr>
        <w:spacing w:after="0" w:line="162"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Historically, a relatively small number of customers have accounted for a significant portion of our revenue. For the year ended December 31, 2024, two customers, both related parties, accounted for approximately 77% and 21% of our revenue. For the year ended December 31, 2023, one customer, a related party, accounted for nearly 100% of our revenue.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Critical Accounting Policies and Estimates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generally accepted accounting principles in the United States of America (“US GAAP”). The preparation of these condensed consolidated financial statements requires management to make estimates, assumptions and judgments that affect the reported amounts of assets and liabilities and disclosure of contingent assets and liabilities at the date of the condensed consolidated financial statements, and the reported amounts of revenue and expenses during the applicable periods. We evaluate our estimates, assumptions and judgments on an ongoing basis. Our estimates, assumptions and judgments are based on historical experience and various other factors that we believe to be reasonable under the circumstances. Different assumptions and judgments would change the estimates used in the preparation of our condensed consolidated financial statements, which, in turn, could change the results from those reported.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Company derives revenue from product sales, license and development arrangements, joint marketing arrangements and cloud services. The Company recognizes revenue under ASC 606, Revenue from Contracts with Customers, in which it determines revenue recognition through the following steps: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1: Identify the contract with the customer.</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2: Identify the performance obligations in the contract.</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3: Determine the transaction price.</w:t>
      </w:r>
    </w:p>
    <w:p>
      <w:pPr>
        <w:spacing w:after="0" w:line="11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4: Allocate the transaction price to the performance obligations in the contract.</w:t>
      </w:r>
    </w:p>
    <w:p>
      <w:pPr>
        <w:spacing w:after="0" w:line="11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Contracts that contain multiple performance obligations require an allocation of the transaction price to each performance obligation based on each performance obligation’s relative standalone selling price (“SSP”).</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5: Recognize revenue when we satisfy a performance obligation.</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the Company provides services over period of time. Hardware revenue is recognized at a point in time when the product is shipped. The Company generates all its revenue from contracts with customers.</w:t>
      </w:r>
    </w:p>
    <w:p>
      <w:pPr>
        <w:spacing w:after="0" w:line="180"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Revenue from hardware sales is recognized upon transfer of control of products to customers in an amount that reflects the consideration the Company expects to receive in exchange for the hardware. The Company offers unspecified upgrades and support on certain products, however, the related revenue has historically not been material.</w:t>
      </w:r>
    </w:p>
    <w:p>
      <w:pPr>
        <w:spacing w:after="0" w:line="176"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Company’s license and development arrangements entail revenue from the licensing of its intellectual property (“IP”) and also include nonrecurring engineering development services to configure the Company’s IP and hardware to a customer’s needs. For each contract, the Company considers the promise to deliver a license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that grants the customer the right to use the IP, as well as any professional services provided under the contract, as distinct performance obligations. The Company recognizes licensing revenue from such arrangements over the term of the arrangements and recognizes professional services over time as the services are provided. The Company measures progress to completion based on actual costs incurred to date as a percentage of the estimated total cost required to complete the project.</w:t>
      </w:r>
    </w:p>
    <w:p>
      <w:pPr>
        <w:spacing w:after="0" w:line="180"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 The following table is a rollforward of contract liabilities, which are included in accrued expenses and other current liabilities and other liabilities:</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0" w:type="dxa"/>
            <w:vAlign w:val="bottom"/>
          </w:tcPr>
          <w:p>
            <w:pPr>
              <w:spacing w:after="0"/>
              <w:rPr>
                <w:sz w:val="1"/>
                <w:szCs w:val="1"/>
                <w:color w:val="auto"/>
              </w:rPr>
            </w:pPr>
          </w:p>
        </w:tc>
      </w:tr>
      <w:tr>
        <w:trPr>
          <w:trHeight w:val="173"/>
        </w:trPr>
        <w:tc>
          <w:tcPr>
            <w:tcW w:w="69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142"/>
        </w:trPr>
        <w:tc>
          <w:tcPr>
            <w:tcW w:w="69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0" w:type="dxa"/>
            <w:vAlign w:val="bottom"/>
            <w:tcBorders>
              <w:top w:val="single" w:sz="8" w:color="auto"/>
            </w:tcBorders>
            <w:gridSpan w:val="3"/>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to deferred revenue</w:t>
            </w:r>
          </w:p>
        </w:tc>
        <w:tc>
          <w:tcPr>
            <w:tcW w:w="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1,728</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 recognized</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20" w:type="dxa"/>
            <w:vAlign w:val="bottom"/>
            <w:tcBorders>
              <w:top w:val="single" w:sz="8" w:color="auto"/>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defers incremental costs of obtaining a customer contract and amortizes the deferred costs over the period that the related revenue is recognized. The Company had no material incremental costs to obtain customer contracts in any period presented.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elected to account for shipping and handling fees as fulfillment activities and not separate performance obligations.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Accordingly, these fees are reflected in revenue and the related fulfillment costs are accrued as cost of revenue as the related fulfillment costs incurred.</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offers a standard assurance-type warranty to customers for hardware sales.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The Company considers all highly liquid investments with an original maturity of 90 days or less to be cash equivalents in the condensed consolidated financial statements. The Company’s cash equivalents are primarily comprised of U.S. Government treasury securities, mutual funds, and money market funds. The Company has cash deposits in a financial institution that, at times, may be in excess of Federal Deposit Insurance Corporation insurance limits. The Company has not experienced losses in such accounts and periodically evaluates the creditworthiness of its financial institutions.</w:t>
      </w:r>
    </w:p>
    <w:p>
      <w:pPr>
        <w:spacing w:after="0" w:line="16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 Company had cash and cash equivalents balances, inclusive of funds held in escrow, in excess of domestic and international insurance limits of approximately $71.9 million and $49.3 million, respectively.</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held $30.9 million in U.S. Government treasury securities, $5.3 million in U.S. Government money market funds, and $5.1 million in mutual funds, while as of December 31, 2024, the Company held $30.6 million in U.S. Government treasury securities, $9.2 million in U.S. Government money market funds, and $5.1 million in mutual funds.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119" w:lineRule="exact"/>
        <w:rPr>
          <w:sz w:val="20"/>
          <w:szCs w:val="20"/>
          <w:color w:val="auto"/>
        </w:rPr>
      </w:pPr>
    </w:p>
    <w:p>
      <w:pPr>
        <w:ind w:left="120" w:right="920" w:firstLine="440"/>
        <w:spacing w:after="0" w:line="282" w:lineRule="auto"/>
        <w:rPr>
          <w:sz w:val="20"/>
          <w:szCs w:val="20"/>
          <w:color w:val="auto"/>
        </w:rPr>
      </w:pPr>
      <w:r>
        <w:rPr>
          <w:rFonts w:ascii="Times New Roman" w:cs="Times New Roman" w:eastAsia="Times New Roman" w:hAnsi="Times New Roman"/>
          <w:sz w:val="18"/>
          <w:szCs w:val="18"/>
          <w:color w:val="auto"/>
        </w:rPr>
        <w:t>Restricted cash represents cash balances held as security deposits related to international payment services. As of March 31, 2025 and December 31, 2024, restricted cash of $0.3 million was included within other assets on the condensed consolidated balance sheets.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Funds Held in Escrow</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March 31, 2025, the Company held $33.4 million of cash in an interest-earning escrow account pursuant to certain non-redemption agreements entered into with several unaffiliated stockholders of the Company, whereby amounts are required to be held in a separate account at the Closing of the Merger and held until such time that certain non-redeemed shares are either sold in the open market and/or put to the Company. The funds in escrow approximate $11.57 per non-redeemed share.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119"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Accounts receivable, net is recorded at the invoiced amount and does not accrue interest. The allowance for credit losses is the Company’s estimate of the amount of probable credit losses in the Company’s existing accounts receivable. The Company determines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the product or service rendered. Account balances are charged off against the allowance after all means of collection have been exhausted and the potential for recovery is considered remote. The allowance for credit losses was $0.4 million as of March 31, 2025 and December 31, 2024.</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Inventories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condensed consolidated statements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Deferred Offering Costs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Deferred offering costs consist of direct incremental legal, consulting and banking fees primarily relating to the Merger. The capitalized costs were fully expensed upon the consummation of the Merger within transaction costs on the condensed consolidated statement of operations during the three months ended March 31, 2025. As of December 31, 2024, there were $11.1 million of capitalized deferred offering costs included in prepaid expenses and other current assets on the condensed consolidated balance sheets.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Whenever events or changes in circumstances indicate that the carrying amount of long-lived assets may not be recoverable, the Company estimates the expected undiscounted future cash flows from the use of those assets and their eventual disposition (without any allocated debt financing charges). If the sum of the expected undiscounted future cash flows is less than the carrying amount of those assets, the Company recognizes an impairment loss based on the excess of the carrying amount over the fair value of the assets. For the three months ended March 31, 2025 and 2024, the Company did not recognize any impairment expense related to its long-lived assets.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Embedded Derivative Evaluation</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evaluates the terms of its debt instruments to determine if any identified embedded features, including embedded conversion options or redemption features, are required to be bifurcated and accounted for separately as a derivative financial instrument. In circumstances where a host instrument contains more than one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embedded derivative instrument, including a conversion option, that is required to be bifurcated, the bifurcated derivative instruments would be accounted for as a single, compound derivative instrument. Any identified and bifurcated embedded derivatives are initially recorded at fair value and are revalued at each reporting date with changes in the fair value reported as non-operating income or expense.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Legacy Blaize Convertible Notes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Prior to the consummation of the Merger, the Company accounted for its convertible notes, some of which contained predominantly fixed rate conversion features under ASU 2020-06 </w:t>
      </w:r>
      <w:r>
        <w:rPr>
          <w:rFonts w:ascii="Times New Roman" w:cs="Times New Roman" w:eastAsia="Times New Roman" w:hAnsi="Times New Roman"/>
          <w:sz w:val="18"/>
          <w:szCs w:val="18"/>
          <w:i w:val="1"/>
          <w:iCs w:val="1"/>
          <w:color w:val="auto"/>
        </w:rPr>
        <w:t>Debt — Debt with Conversion and Other Options (Subtopic 470-20), Derivatives and Hedging — Contracts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Entity’s Own Equity (Subtopic 815-40) and Accounting for Convertible Instruments and Contracts in an Entity’s Own Equity</w:t>
      </w:r>
      <w:r>
        <w:rPr>
          <w:rFonts w:ascii="Times New Roman" w:cs="Times New Roman" w:eastAsia="Times New Roman" w:hAnsi="Times New Roman"/>
          <w:sz w:val="18"/>
          <w:szCs w:val="18"/>
          <w:color w:val="auto"/>
        </w:rPr>
        <w:t>. The Company elected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for its convertible notes at fair value at each period end pursuant to ASC 825, Financial Instruments wherein changes in the fair value were recorded as change in fair value of convertible notes in the condensed consolidated statements of operations. The convertible notes were remeasured just prior to the date of the Merger and upon the closing of the Merger, the convertible notes were fully converted into shares of common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Legacy Blaize Warrant Liabilities</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Prior to the consummation of the Merger, the Company had issued freestanding warrants in connection with certain of its convertible debt agreements and preferred stock issuances which were recorded as current liabilities on the condensed consolidated balance sheets at their estimated fair value. At initial recognition, the warrants were recorded at their estimated fair value calculated using the Black-Scholes-Merton (“Black-Scholes”) option pricing model (see Note 9). The liability associated with these warrants were subject to fair value remeasurement at each balance sheet date, with changes in fair value recorded as change in the fair value of warrant liabilities on the condensed consolidated statements of operations. The warrants were remeasured just prior to the date of the Merger and, upon the consummation of the Merger, the warrant liabilities were fully converted into shares of common stock.</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Earnout Shares</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Merger, Legacy Blaize shareholders and outstanding equity award holders (including stock options and RSUs) are entitled to receive up to 15,000,000 shares of the Company’s Class A common stock (the “Earnout Shares”). Earnout Shares issued to eligible Legacy Blaize equity holders (including holders of stock options and restricted stock units (“RSUs”)) are considered a compensatory award and are accounted for under ASC 718, Share-Based Compensation. Further these awards have been determined to be equity classified and accordingly will not be remeasured at each reporting date.</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Earnout Shares issued to Burkhan and all other equity holders not within the scope of ASC 718 in connection with consummation of the Merger, were evaluated by management under ASC 480, Distinguishing Liabilities from Equity. The Company determined that the Earnout Shares are freestanding and not liability classified under ASC 480. Subsequently, management evaluated whether the Earnout Shares represented a derivative instrument pursuant to ASC 815, Derivatives and Hedging. The Company concluded that the Earnout Shares under the arrangement resulted in liability classification pursuant to ASC 815-40. The liability for such Earnout Shares will be remeasured at each reporting date with changes in the fair value recorded to earnings on the condensed consolidated statements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Legacy Blaize Redeemable Convertible Preferred Stock</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Prior to the consummation of the Merger, the Company had (i) Series Seed Shadow Preferred Stock, (ii) Series A Shadow Preferred Stock,</w:t>
      </w:r>
    </w:p>
    <w:p>
      <w:pPr>
        <w:spacing w:after="0" w:line="27" w:lineRule="exact"/>
        <w:rPr>
          <w:sz w:val="20"/>
          <w:szCs w:val="20"/>
          <w:color w:val="auto"/>
        </w:rPr>
      </w:pPr>
    </w:p>
    <w:p>
      <w:pPr>
        <w:ind w:left="120" w:right="200" w:hanging="4"/>
        <w:spacing w:after="0" w:line="260" w:lineRule="auto"/>
        <w:tabs>
          <w:tab w:leader="none" w:pos="4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Shadow B Shadow Preferred Stock, (iv) Series C Shadow Preferred Stock, (v) Series D Shadow Preferred Stock, (vi) Series D Exchange Shadow Preferred Stock, (vii) Series D-1</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00"/>
          </w:cols>
          <w:pgMar w:left="320" w:top="455" w:right="4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277" w:lineRule="auto"/>
        <w:rPr>
          <w:sz w:val="20"/>
          <w:szCs w:val="20"/>
          <w:color w:val="auto"/>
        </w:rPr>
      </w:pPr>
      <w:r>
        <w:rPr>
          <w:rFonts w:ascii="Times New Roman" w:cs="Times New Roman" w:eastAsia="Times New Roman" w:hAnsi="Times New Roman"/>
          <w:sz w:val="17"/>
          <w:szCs w:val="17"/>
          <w:color w:val="auto"/>
        </w:rPr>
        <w:t>Shadow Preferred Stock, (viii) Series D-1 Exchange Shadow Preferred Stock, and (ix) Series D-2 Shadow Preferred Stock, all outstanding. The Company’s redeemable convertible preferred stock had been classified outside of stockholders’ equity (deficit), as mezzanine equity, due to the redemption option of the preferred stock shareholders. The Company recorded redeemable convertible preferred stock at fair value on the dates of issuance, net of issuance costs. The Company adjusted the carrying values of the redeemable convertible preferred stock, subsequent to the initial issuance date, to the redemption value of such shares because it was probable that the convertible preferred stock would become redeemable.</w:t>
      </w:r>
    </w:p>
    <w:p>
      <w:pPr>
        <w:spacing w:after="0" w:line="168"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Upon the consummation of the Merger, all shares of redeemable convertible preferred stock outstanding were converted into shares of common stock. All shares of redeemable convertible preferred stock which were converted into shares of common stock were retroactively adjusted using the exchange ratio and reclassified into permanent equity as a result of the Merger.</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Common Stock Subject to Possible Redemption</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accounts for common stock subject to possible redemption in accordance with the guidance in ASC Topic 480 Distinguishing Liabilities from Equity. Certain common stock is held in escrow pursuant to Non-Redemption Agreements and feature certain redemption rights that are considered to be outside of the Company’s control and within the control of the holders. Accordingly, as of March 31, 2025, 2,854,242 shares of common stock are subject to possible redemption, and have been presented at redemption value as temporary equity, outside of the stockholders’ equity (deficit) section of the condensed consolidated balance sheet.</w:t>
      </w:r>
    </w:p>
    <w:p>
      <w:pPr>
        <w:spacing w:after="0" w:line="183"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as they occur by adjusting the carrying value of common stock subject to possible redemption to equal the redemption value as of the end of each reporting period. Changes in the carrying amount of redeemable common stock are affected by charges against additional paid-in capital and accumulated deficit.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ASC 480 and ASC 815, Derivatives and Hedging. The assessment considers whether the warrants are freestanding financial instruments pursuant to ASC 480, meet the definition of a liability pursuant to ASC 480, and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as well as each subsequent reporting period while the warrants are outstanding.</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 analyzed the warrants issued in BurTech’s Initial Public Offering (“Public Warrants”), warrants included in the Private Placement Units (the “Private Warrants”) and warrants issued to advisor for services (the “Common Stock Warrants”) and determined they are considered to be freestanding instruments and do not exhibit any of the characteristics in ASC 480 and therefore are not classified as liabilities under ASC 480. As of March 31, 2025, the Company’s outstanding public warrants and private warrants met all the requirements for equity classification under ASC 815 and therefore were classified as equity. As of December 31, 2024, Legacy Blaize warrants were classified as liabilities, as described above.</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80"/>
          </w:cols>
          <w:pgMar w:left="320" w:top="455" w:right="4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U.S. and various foreign jurisdictions. The Company uses the asset-and-liability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is subject to tax audits in various jurisdictions. The Company regularly assess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The Company includes interest expense and penalties related to its uncertain tax positions in the provision for income taxes.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The Company recognizes the cost of employee, non-employee consultants and non-employee directors’ services received in exchange for awards of stock options based on the fair value of those awards at the date of grant over the requisite service period. The fair value of stock options granted is determined using the Black-Scholes option-pricing model using various inputs, including Company estimates of expected stock price volatility, term, risk-free rate and future dividends. The Company has elected the simplified method to determine the expected term of the option grants.</w:t>
      </w:r>
    </w:p>
    <w:p>
      <w:pPr>
        <w:spacing w:after="0" w:line="16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also grants RSUs to employees and non-employee consultants, which vest upon the satisfaction of both a service-based condition and a liquidity event condition, as defined. The fair value of RSUs is determined based on the Company’s estimated fair value of common stock at the date of grant. Due to the Merger that occurred during the three months ended March 31, 2025, the Company recorded cumulative stock-based compensation using the accelerated attribution method for those RSUs for which the service condition has been satisfied prior to the Merger, and will record the remaining unrecognized stock-based compensation over the remainder of the requisite service period. The Company did not record any stock-based compensation expense associated with the RSUs during the three months ended March 31, 2024, as a liquidity event had not occurred during that period.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This ASU improves reportable segment disclosure requirements, primarily through enhanced disclosures about significant segment expenses. We adopted this standard during the year ended December 31, 2024. The adoption resulted in expanded disclosures for the Company’s single reportable segment, but did not have a material impact on our consolidated financial statements.</w:t>
      </w:r>
    </w:p>
    <w:p>
      <w:pPr>
        <w:spacing w:after="0" w:line="180"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7"/>
          <w:szCs w:val="17"/>
          <w:color w:val="auto"/>
        </w:rPr>
        <w:t>On October 2021, the FASB issued ASU 2021-08, Business Combinations (Topic 805): Accounting for Contract Assets and Contract Liabilities from Contracts with Customers. The FASB issued authoritative guidance that clarifies that an acquirer of a business should recognize and measure contract assets and contract liabilities in a business combination in accordance with ASC Topic 606, Revenue from Contracts with Customers. We adopted this standard as of January 1, 2024. The adoption of this standard did not have an impact on our consolidated financial statements.</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Blaize is a provider of purpose-built, transformative artificial intelligence (“AI”)-enabled edge computing solutions that unite software and silicon to optimize AI from the edge of our customers’ networks (the “edge”) to their data centers (the “core”). We provide a full-stack programmable processor architecture suite and low-code/no-code software platform that enables AI processing solutions for high-performance computing at the edge and the core. Our solutions deliver real-time insights and decision-making capabilities at low power consumption, high efficiency, minimal size and low cost. Our mission is to enable enterprises to harness the power of AI at the edge, delivering real-time insights and decision-making capabilities with compelling speed and efficiency. With our innovative hardware and software solutions, we believe we are at the forefront of transforming industries and unlocking new possibilities in an increasingly connected and data-driven world.</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provide AI accelerated computing solutions, optimized for vision analytics applications at the edge. This is particularly relevant in the mobility and automotive sectors, where we provide solutions for Level 2 (“L2”) and Level 2+ (“L2+”) applications and collaborate with Original Equipment Manufacturer (“OEMs”) to develop advanced Level 4+ (“L4+”) capabilities, as per the Society of Automotive Engineers’ “Levels of Driving Automation.” Our fully automotive-grade compliant chip roadmap supports our customers’ continued evolution and reinforces our commitment to advancing AI-powered autonomy.</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With over a decade of investment in research and development, we have developed groundbreaking technologies that enable applications, such as computer vision and machine learning, to deploy and run faster and more efficiently. Our engineering team has developed a proprietary parallel computing architecture that serves as the foundation for our products, enabling high-performance AI inference with industry-leading efficiency, delivering significant value to our customers.</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are developing our next-generation chip, which will introduce enhanced features and capabilities while leveraging the latest advancements in semiconductor processing. Additionally, we plan to offer an intermediate hardware solution for mobility and L2 automotive customers ahead of the launch of our full automotive-grade AI processor.</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With a strong focus on innovation, performance, and strategic partnerships, we believe we are well positioned to enable organizations to process and analyze their data in real time from core to edge, unlocking new business opportunities and gaining a competitive advantage in the evolving AI landscape. Our integrated approach to AI accelerated computing ensures that enterprises can harness the full potential of AI.</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Historically, most processing solutions designed for the edge (“edge applications”) were built around cloud and data center-centric infrastructure.</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such solutions, data is collected at the edge and is sent back to a centralized location where the real AI processing happens. This approach is power-demanding, adds latency, causes significant data traffic, makes real-time processing difficult, and is less secure. Prompted by the proliferation of data at the edge, industry participants have been looking for ways to enable the power of AI processing where the data is, allowing for effective, real-time decision-making at the edge with greater thermal efficiency, less latency, less power consumption, less costs (including communication costs), ability to keep data local and avoid the burden of cloud and centralized infrastructure.</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recent years we have witnessed AI moving from exploration and innovation to deployment phase across most industries. Business leaders and organizations have started to understand the value, benefits and the return on investment of AI, leading to a significant growth in adoption of AI and demand for AI accelerator technologies.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Blaize is already engaged in various industries with great potential for the widespread adoption of AI such as automotive, defense, enterprise and more. The adoption of AI in these industries is growing at a healthy rate and is poised to continue to do so in the long term, supported by strong fundamentals such as the adoption of autonomous solutions and generative AI, decentralization of data and AI for data privacy and data ownership and the drive for sustainability. We are well positioned to immediately access the burgeoning AI accelerator market today with our software and solutions, in addition to our rich roadmap, which we believe will allow us to continue our Serviceable Addressable Market (“SAM”).</w:t>
      </w:r>
    </w:p>
    <w:p>
      <w:pPr>
        <w:spacing w:after="0" w:line="183"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expect the AI landscape to continue evolving at a rapid pace. Key trends that will impact the future of our industries include adoption of generative AI, large language models (“LLMs”), small language models (“SLMs”), vision transformers and multi-modality. The industry will continue to seek alternatives to incumbent architectures such as the graphic processing unit (“GPU”) and the central processing unit (“CPU”), prioritizing performance, total cost of ownership and ease of use. These characteristics are just as relevant and necessary for data center inference applications as they are for edge AI vision analytics. As the Blaize chip roadmap is enhanced, the inherent advantages of the Graph Streaming Processor (“GSP”) architecture and ease of programmability enable Blaize to remain relevant to market and customer evolution.</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AI market is subject to rapid technological changes, evolving industry standards, customer needs and preferences and developing regulations in the United States of America (“U.S.”) and abroad, which have focused on, among other things, safety and efficacy of AI systems, algorithmic discrimination and protection, data privacy and notice and explanation. Further, continued growth in adoption of AI-based technologies will depend, in part, on the reduction of operating and capital costs associated with AI computing, the increase in customer confidence in data protection and privacy related to centralized AI systems, software responsiveness to dynamic data, models and customer needs and transparency in application from data preparation to production. We believe Blaize helps facilitate such growth in adoption by providing a platform which (i) reduces the total cost of ownership of AI across a wide range of use-cases and verticals, (ii) positions the AI computing functions behind customer firewalls for added data privacy and security, (iii) automatically responds to and remediates accuracy and performance-related software issues in the system and (iv) enables and implements open standards and comprehensive auditing capabilities for customers. Blaize also continuously monitors regulatory developments related to the AI market to remain compliant with the latest requirements.</w:t>
      </w:r>
    </w:p>
    <w:p>
      <w:pPr>
        <w:spacing w:after="0" w:line="19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target markets are large, growing and sustained by strong fundamentals. The drivers for this growth are mainly attributed to an adoption drive across industries for autonomous solutions, traditional and generative AI applications, with the trend moving towards decentralization of data, data privacy and ownership, and the global appetite for sustainability.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Blaize’s product roadmap focuses on creating optimized solutions that can fulfill customer demands for AI applications at the edge. The main target markets include: enterprise, commercial, industrial, and automotive. These markets require low-power systems with highly optimized total cost of ownership, agility and flexibility on development and deployment, and a reliable supply chain. We believe our technology and targeted marketing strategy are designed to deliver products that meet and exceed those requirements.</w:t>
      </w:r>
    </w:p>
    <w:p>
      <w:pPr>
        <w:spacing w:after="0" w:line="180"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Blaize has created an innovative type of AI computing accelerator, the GSP. This processor has been designed from the ground up for computer vision and machine learning applications. It is fully programmable, making it flexible and adaptable for the foreseeable future. The GSP leverages parallelism at data, instruction, task, chip and system level — streamlining execution processing and enabling low energy consumption, high performance and scalability. These advantages are demonstrated time and time again through the numerous technical evaluations that customers undertake on their own data. As the demands of edge AI inference continue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00"/>
          </w:cols>
          <w:pgMar w:left="320" w:top="455" w:right="4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increase at a rapid pace, and customer data is evolving and changing frequently, our GSP has key advantages in enabling customer confidence.</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Blaize’s hardware products are compute cards that incorporate our GSP and come in a comprehensive set of commonly used form factors. We work closely with OEM vendors to qualify these cards to add AI compute acceleration to their systems, delivering solutions across a broad spectrum of performance points and deployment verticals, from edge to data center inference. We continue to expand the range and variety of servers and edge AI boxes powered by us that meet the demands of a wide range of customer use cases.</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support industry standard Application Programming Interfaces (“APIs”) and frameworks, enabling customers to execute current models and develop new applications on our hardware. We also provide a comprehensive software suite, Blaize AI Studio (“AI Studio”). This is an intuitive and visual non-code environment intended to simplify the creation and deployment of AI models, with the goal of empowering developers and data scientists to build and optimize AI applications more efficiently. Our AI Studio features a robust set of tools and libraries, and is designed to streamline the development lifecycle, allowing organizations to bring AI-powered solutions to market more quickly.</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Collaborating with system integrators, software vendors, and hardware manufacturers, we are continuously expanding our technology ecosystem to ensure seamless integration and interoperability with existing infrastructure and AI frameworks. This approach enables organizations to leverage their existing investments while adopting our innovative AI capabilities.</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current generation of our products are primarily focused on video analytics applications and AI inference at the edge. Our current technology can address the autonomous systems market for drones, robotics and automotives, including AI accelerators for cockpit, in-cabin and infotainment applications.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current hardware products place us in a strong position into the rapidly expanding AI accelerator market today. We have worked with many customers in testing and technical evaluations across industries, such as enterprise, defense and automotive. In addition to hardware sales, we believe we are well positioned for growth in our software sales and services through our comprehensive, pre-integrated software stack, vertically integrated solutions, AI Studio development platform, and analytics framework and toolkit.</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Product Target Markets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Our product targets two of AI’s highest-impact verticals that require AI accelerated computing at the edge: short cycle industrial and long cycle automotive.</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Short Cycle Industrial</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Blaize accelerator cards can be embedded in a variety of host platforms, such as AI boxes, industrial PCs, rugged computer systems, and AI server blades for deployment in racks and data centers. This versatility enables systems based on Blaize’s products to be deployed across an extensive set of use-cases and market verticals, enabling applications such as computer vision, advanced video analytics and AI inference. Our products and applications can provide optimal solutions to the various needs of enterprise, commercial, industrial and defense customers, while many other current solutions in the market are fragmented, with multiple vendor platforms, leaving customers with the associated cost and complexity of making the pieces work together.</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we are uniquely positioned to provide value to the market due to the following:</w:t>
      </w:r>
    </w:p>
    <w:p>
      <w:pPr>
        <w:spacing w:after="0" w:line="131" w:lineRule="exact"/>
        <w:rPr>
          <w:sz w:val="20"/>
          <w:szCs w:val="20"/>
          <w:color w:val="auto"/>
        </w:rPr>
      </w:pPr>
    </w:p>
    <w:p>
      <w:pPr>
        <w:ind w:left="1080" w:right="10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 programmable hardware and AI Studio software platform enables customers to fully and easily integrate their solutions and deploy to market faster and more efficiently.</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ease of use of our products allows customers to quickly deploy, manage, and extract contextual value from their analytics to meet their needs. We enable our customers to easily update their models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when new data becomes available, without having to resort to scarce and expensive data science skilled resources.</w:t>
      </w:r>
    </w:p>
    <w:p>
      <w:pPr>
        <w:spacing w:after="0" w:line="131" w:lineRule="exact"/>
        <w:rPr>
          <w:sz w:val="20"/>
          <w:szCs w:val="20"/>
          <w:color w:val="auto"/>
        </w:rPr>
      </w:pPr>
    </w:p>
    <w:p>
      <w:pPr>
        <w:ind w:left="1080" w:right="8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dynamic hardware and software solutions enable proactive maintenance, ongoing optimization and enhanced security in tailored applications, such as in full-field asset tracking and monitoring functions related to security and monitoring.</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Long Cycle Automotive</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Blaize’s GSP provides an efficient way to run standard and customized neural networks in automobiles and other transportation vehicles. We expect to use our GSP-based platforms to replace power-consuming GPU and Field Programmable Gate Arrays chips, improving system efficiency advantage and a single scalable architecture across various use cases. In addition, we provide full programmability for a range of platforms, dynamic workloads, and updates. By combining low latency with low power consumption, our GSP is designed to efficiently process AI workloads at the automotive edge, either as an embedded or accelerator solution.</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consider our technology to be uniquely positioned to win in this market. The automotive value chain is quickly evolving with profits coming from the ability of automotive OEMs and Tier-1 suppliers to offer software upgrades and new features in the field. Our technology can bring considerable advantages in these applications due to the programmability of the hardware, the support for industry standards and the overall advantage in total cost of ownership.</w:t>
      </w:r>
    </w:p>
    <w:p>
      <w:pPr>
        <w:spacing w:after="0" w:line="180"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Our technology roadmap is robust and expected to meet the ever-growing complexity and size of models for current and future demands of autonomous driving.</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Product Roadmap</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product roadmap focuses on creating optimized solutions that can fulfill customer demands for AI applications at the edge. The main target markets include: enterprise, commercial, industrial, and automotive. These markets require low-power systems with highly optimized TCO, agility and flexibility on development and deployment, and a reliable supply chain. We believe our technology and targeted marketing strategy are designed to deliver products that meet and exceed those requirements.</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part of our hardware offering, we deliver solutions that include silicon chips, boards, and systems. These are complemented with full-stack software that includes a Software Development Kit (“SDK”), optimized libraries for visual analytics, AI, high-performance computing, and AI Studio, which is a complete application development and deployment platform that enables customers to create, optimize, deploy, and maintain their own solutions.</w:t>
      </w:r>
    </w:p>
    <w:p>
      <w:pPr>
        <w:spacing w:after="0" w:line="18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We believe the scalable and programmable nature of our product architecture positions us well to provide advantageous AI solutions for the rapidly changing demands of AI applications and allows us to differentiate our products from established and emerging competitive alternatives that focus on raw performance for specific and narrow workloads.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existing products will enable Blaize to capture market share for video analytics applications in verticals such as retail, defense and healthcare by embedding in devices such as surveillance and security cameras, edge servers (including edge data centers), drones, machine vision (including industrial automation) and robotics. As these markets are established, we believe we will be able to expand into adjacent verticals through updated hardware and software products.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commercial organization utilizes research to identify key markets and sales opportunities across our target markets. Our marketing activities focus on elevating brand, product and value proposition awareness across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40"/>
          </w:cols>
          <w:pgMar w:left="320" w:top="455" w:right="5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60"/>
        <w:spacing w:after="0" w:line="312" w:lineRule="auto"/>
        <w:rPr>
          <w:sz w:val="20"/>
          <w:szCs w:val="20"/>
          <w:color w:val="auto"/>
        </w:rPr>
      </w:pPr>
      <w:r>
        <w:rPr>
          <w:rFonts w:ascii="Times New Roman" w:cs="Times New Roman" w:eastAsia="Times New Roman" w:hAnsi="Times New Roman"/>
          <w:sz w:val="17"/>
          <w:szCs w:val="17"/>
          <w:color w:val="auto"/>
        </w:rPr>
        <w:t>the broader industry, with prospects in selected target verticals. This includes participation at trade events, demonstrations of Blaize technology, collaborations and co-promotions with ecosystem partners, social campaigns, competitive positioning and other marketing activities.</w:t>
      </w:r>
    </w:p>
    <w:p>
      <w:pPr>
        <w:spacing w:after="0" w:line="32"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Our go-to-market (“GTM”) strategy focuses on creating a partnership ecosystem to develop and define a portfolio of end-to-end, market ready solutions powered by our products that addresses enterprise customer requirements in the enterprise, commercial, industrial and defense verticals.</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focus our marketing and sales efforts on the following areas:</w:t>
      </w:r>
    </w:p>
    <w:p>
      <w:pPr>
        <w:spacing w:after="0" w:line="127" w:lineRule="exact"/>
        <w:rPr>
          <w:sz w:val="20"/>
          <w:szCs w:val="20"/>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Hardware powered by Blaize </w:t>
      </w:r>
      <w:r>
        <w:rPr>
          <w:rFonts w:ascii="Times New Roman" w:cs="Times New Roman" w:eastAsia="Times New Roman" w:hAnsi="Times New Roman"/>
          <w:sz w:val="18"/>
          <w:szCs w:val="18"/>
          <w:color w:val="auto"/>
        </w:rPr>
        <w:t>- we build, qualify, and quantify market ready hardware solutions with a large number of OEMs;</w:t>
      </w:r>
    </w:p>
    <w:p>
      <w:pPr>
        <w:spacing w:after="0" w:line="130"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unique full stack approach </w:t>
      </w:r>
      <w:r>
        <w:rPr>
          <w:rFonts w:ascii="Times New Roman" w:cs="Times New Roman" w:eastAsia="Times New Roman" w:hAnsi="Times New Roman"/>
          <w:sz w:val="18"/>
          <w:szCs w:val="18"/>
          <w:color w:val="auto"/>
        </w:rPr>
        <w:t>- we are well positioned to deliver a fully integrated software and hardware solutions which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innovative developer tools. Unlike alternative hardware vendors, we believe our full-stack approach helps us to engage directly with our customers to deliver solutions that fix their problems and add value to their endeavors. The resulting intimate relationship enables Blaize to gain important insight into customers’ data and needs, which in turn are incorporated into our innovation and product roadmap;</w:t>
      </w:r>
    </w:p>
    <w:p>
      <w:pPr>
        <w:spacing w:after="0" w:line="81" w:lineRule="exact"/>
        <w:rPr>
          <w:rFonts w:ascii="Times New Roman" w:cs="Times New Roman" w:eastAsia="Times New Roman" w:hAnsi="Times New Roman"/>
          <w:sz w:val="18"/>
          <w:szCs w:val="18"/>
          <w:color w:val="auto"/>
        </w:rPr>
      </w:pPr>
    </w:p>
    <w:p>
      <w:pPr>
        <w:ind w:left="1080" w:hanging="532"/>
        <w:spacing w:after="0" w:line="28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Applications powered by Blaize </w:t>
      </w:r>
      <w:r>
        <w:rPr>
          <w:rFonts w:ascii="Times New Roman" w:cs="Times New Roman" w:eastAsia="Times New Roman" w:hAnsi="Times New Roman"/>
          <w:sz w:val="18"/>
          <w:szCs w:val="18"/>
          <w:color w:val="auto"/>
        </w:rPr>
        <w:t>- our team concentrates on qualifying with application partners that deliver customer-facing software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in our focused verticals;</w:t>
      </w:r>
    </w:p>
    <w:p>
      <w:pPr>
        <w:spacing w:after="0" w:line="60" w:lineRule="exact"/>
        <w:rPr>
          <w:rFonts w:ascii="Times New Roman" w:cs="Times New Roman" w:eastAsia="Times New Roman" w:hAnsi="Times New Roman"/>
          <w:sz w:val="18"/>
          <w:szCs w:val="18"/>
          <w:color w:val="auto"/>
        </w:rPr>
      </w:pPr>
    </w:p>
    <w:p>
      <w:pPr>
        <w:ind w:left="1080" w:right="460" w:hanging="532"/>
        <w:spacing w:after="0" w:line="28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Ecosystem channel delivery </w:t>
      </w:r>
      <w:r>
        <w:rPr>
          <w:rFonts w:ascii="Times New Roman" w:cs="Times New Roman" w:eastAsia="Times New Roman" w:hAnsi="Times New Roman"/>
          <w:sz w:val="18"/>
          <w:szCs w:val="18"/>
          <w:color w:val="auto"/>
        </w:rPr>
        <w:t>- we contract with cloud, distribution, integration, and value-add resellers already supporting our target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and</w:t>
      </w:r>
    </w:p>
    <w:p>
      <w:pPr>
        <w:spacing w:after="0" w:line="60" w:lineRule="exact"/>
        <w:rPr>
          <w:rFonts w:ascii="Times New Roman" w:cs="Times New Roman" w:eastAsia="Times New Roman" w:hAnsi="Times New Roman"/>
          <w:sz w:val="18"/>
          <w:szCs w:val="18"/>
          <w:color w:val="auto"/>
        </w:rPr>
      </w:pPr>
    </w:p>
    <w:p>
      <w:pPr>
        <w:ind w:left="1080" w:right="400" w:hanging="532"/>
        <w:spacing w:after="0" w:line="28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Enterprise adoption </w:t>
      </w:r>
      <w:r>
        <w:rPr>
          <w:rFonts w:ascii="Times New Roman" w:cs="Times New Roman" w:eastAsia="Times New Roman" w:hAnsi="Times New Roman"/>
          <w:sz w:val="18"/>
          <w:szCs w:val="18"/>
          <w:color w:val="auto"/>
        </w:rPr>
        <w:t>- we promote market ready solutions powered by Blaize and present use cases that meet our customers’ varying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budget and deployment requirements.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Customers and Prospective Customers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are working with multiple customers across various industries globally, including in North America, Japan, Korea, EU and the GCC (Gulf Corporation Countries) Region. We have a multi-million dollar purchase order with a defense entity to provide a host of complete solutions that require low latency, low power and high performance compute in the field, where our technology advantages excel. These solutions can be easily and rapidly offered to other defense entities.</w:t>
      </w:r>
    </w:p>
    <w:p>
      <w:pPr>
        <w:spacing w:after="0" w:line="180"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In the automotive sector, our programable hardware technology has been vetted and endorsed through a long-standing partnership with DENSO, one of the world’s largest Tier 1 supplier to Toyota, Honda, GM, and others. Additionally, in 2023 and 2024, we teamed up with Mercedes-Benz and their partner vendors to evaluate their requirements for an advanced L4 platform, intended to be in production by the end of this decade. We believe these collaborations demonstrate a high level of confidence in our architecture and our readiness to provide automotive-grade silicon to the industry.</w:t>
      </w:r>
    </w:p>
    <w:p>
      <w:pPr>
        <w:spacing w:after="0" w:line="16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past twelve months, Blaize entered into a Purchase Order Contract Agreement dated May 1, 2024 with a UAE private company (the “POCA Counterparty”) that provides defense solutions (the “POCA”) and is currently negotiating an addendum to the Purchase Order Contract Agreement. The POCA provides solutions to government entities in the UAE. Under the POCA, Blaize will provide numerous solutions to the POCA Counterparty that require low latency, low power and high performance compute in the field. Specifically, the POCA Counterparty, as the Technical Service Provider licensed by the DED AbuDhabi, Government of United Arab Emirates (“TSP”), and Blaize, as the supplier of equipment, software and/or managed services to TSP for the purpose of installation, provision, operations and/or maintenance of TSP’s networks (in such capacity, the “Vendor”), agreed that the Vendor will supply equipment and services to TSP’s clients for consideration of up to $105 million. Blaize will provide its technology platform to TSP on a project-by-project basis. Each of the project offerings includes a specific combination of Blaize’s software and hardware products, as well as customized delivery, development and installation solutions, to be determined by each end user’s specific needs.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POCA establish a timeline for each of the projects, including deadlines for the deliverables that TSP will require, beginning in the third quarter of 2024 through the fourth quarter of 2025. The POCA will continue to be in full force and effect unless terminated earlier by TSP.</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Performance of the parties’ obligations under the POCA have been delayed and, as of March 31, 2025, Blaize has not shipped any products nor received any payments from the POCA Counterparty. Under the terms of the POCA, Blaize must receive advance payment by the POCA Counterparty before the shipment of any product.</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Though no revenues have been realized under the terms of the POCA to date, Blaize is expecting to initiate work on field trials once the customer has identified the specific use case and provides access to their data.</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further believe that the solutions that Blaize is currently developing for TSP and TSP’s clients demonstrate Blaize’s capability to create a full-stack solution for the defense industry, which we believe can be marketed for other defense solutions in the future.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the following key strengths will help us maintain our unique product solutions and continue our growth trajectory moving forward:</w:t>
      </w:r>
    </w:p>
    <w:p>
      <w:pPr>
        <w:spacing w:after="0" w:line="127" w:lineRule="exact"/>
        <w:rPr>
          <w:sz w:val="20"/>
          <w:szCs w:val="20"/>
          <w:color w:val="auto"/>
        </w:rPr>
      </w:pPr>
    </w:p>
    <w:p>
      <w:pPr>
        <w:ind w:left="1080" w:right="20" w:hanging="424"/>
        <w:spacing w:after="0" w:line="257"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Revolutionary Architecture</w:t>
      </w:r>
      <w:r>
        <w:rPr>
          <w:rFonts w:ascii="Times New Roman" w:cs="Times New Roman" w:eastAsia="Times New Roman" w:hAnsi="Times New Roman"/>
          <w:sz w:val="18"/>
          <w:szCs w:val="18"/>
          <w:color w:val="auto"/>
        </w:rPr>
        <w:t>. We believe our innovative full-stack solution, incorporating and bundling silicon, hardware, and software,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edge, untethered from a data center or the cloud, sets us apart from our competition. We developed a patented novel chip architecture that is highly programmable for every edge-computing use case. Our chip structure delivers high performance computing at low latency and is extremely thermally efficient, all of which are essential for adopting AI at scale. Leveraging our ecosystem of hardware and software partners, we believe we can address multiple verticals with AI and computer vision solutions and meet demanding requirements for true autonomous driving and mobility.</w:t>
      </w:r>
    </w:p>
    <w:p>
      <w:pPr>
        <w:spacing w:after="0" w:line="87" w:lineRule="exact"/>
        <w:rPr>
          <w:rFonts w:ascii="Times New Roman" w:cs="Times New Roman" w:eastAsia="Times New Roman" w:hAnsi="Times New Roman"/>
          <w:sz w:val="18"/>
          <w:szCs w:val="18"/>
          <w:color w:val="auto"/>
        </w:rPr>
      </w:pPr>
    </w:p>
    <w:p>
      <w:pPr>
        <w:ind w:left="1080" w:right="60" w:hanging="424"/>
        <w:spacing w:after="0" w:line="268" w:lineRule="auto"/>
        <w:tabs>
          <w:tab w:leader="none" w:pos="10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Efficient and Programmable Graph Streaming Processor</w:t>
      </w:r>
      <w:r>
        <w:rPr>
          <w:rFonts w:ascii="Times New Roman" w:cs="Times New Roman" w:eastAsia="Times New Roman" w:hAnsi="Times New Roman"/>
          <w:sz w:val="17"/>
          <w:szCs w:val="17"/>
          <w:color w:val="auto"/>
        </w:rPr>
        <w:t>. Our Graph Streaming Processor architecture, or GSP, is the first true Graph-native architecture built to address the challenges in efficiently processing neural networks and building complete AI applications. With a fully programmable graph streaming architecture, GSP chips process graphs more efficiently than CPU/GPU architectures. As a result, the GSP architecture enables developers to not only build entire AI applications, but also optimize the applications for Edge deployment constraints, run the applications efficiently in a complete streaming fashion, and continuously iterate to keep up with rapid evolutions in neural networks. Our GSP architecture consists of an array of graph streaming processors, dedicated math processors, hardware controls and various types of data cache. The four main architectural characteristics of the GSP that enable efficient graph streaming of entire AI applications include: (1) true task-level parallelism, (2) minimal use of off-chip memory, (3) depth-first hardware graph scheduling, and</w:t>
      </w:r>
    </w:p>
    <w:p>
      <w:pPr>
        <w:spacing w:after="0" w:line="4" w:lineRule="exact"/>
        <w:rPr>
          <w:rFonts w:ascii="Times New Roman" w:cs="Times New Roman" w:eastAsia="Times New Roman" w:hAnsi="Times New Roman"/>
          <w:sz w:val="17"/>
          <w:szCs w:val="17"/>
          <w:color w:val="auto"/>
        </w:rPr>
      </w:pPr>
    </w:p>
    <w:p>
      <w:pPr>
        <w:ind w:left="10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 fully programmable.</w:t>
      </w:r>
    </w:p>
    <w:p>
      <w:pPr>
        <w:spacing w:after="0" w:line="108" w:lineRule="exact"/>
        <w:rPr>
          <w:rFonts w:ascii="Times New Roman" w:cs="Times New Roman" w:eastAsia="Times New Roman" w:hAnsi="Times New Roman"/>
          <w:sz w:val="17"/>
          <w:szCs w:val="17"/>
          <w:color w:val="auto"/>
        </w:rPr>
      </w:pPr>
    </w:p>
    <w:p>
      <w:pPr>
        <w:ind w:left="1080" w:hanging="424"/>
        <w:spacing w:after="0" w:line="268"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Task-Level Parallelism through Highly Efficient Streaming of Neural Network Graphs</w:t>
      </w:r>
      <w:r>
        <w:rPr>
          <w:rFonts w:ascii="Times New Roman" w:cs="Times New Roman" w:eastAsia="Times New Roman" w:hAnsi="Times New Roman"/>
          <w:sz w:val="18"/>
          <w:szCs w:val="18"/>
          <w:color w:val="auto"/>
        </w:rPr>
        <w:t>. Neural network processing lends itself well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four different levels of parallelism: instruction-level, data-level, thread level, and task-level. Our GSP architecture is the only one in the industry to provide all four levels of parallelism:</w:t>
      </w:r>
    </w:p>
    <w:p>
      <w:pPr>
        <w:spacing w:after="0" w:line="80" w:lineRule="exact"/>
        <w:rPr>
          <w:sz w:val="20"/>
          <w:szCs w:val="20"/>
          <w:color w:val="auto"/>
        </w:rPr>
      </w:pPr>
    </w:p>
    <w:p>
      <w:pPr>
        <w:ind w:left="1540" w:right="360" w:hanging="331"/>
        <w:spacing w:after="0" w:line="282" w:lineRule="auto"/>
        <w:tabs>
          <w:tab w:leader="none" w:pos="1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GSPs offer instruction-level parallelism by scheduling instructions as soon as their dependencies have been met. Each processor executes its instructions independently of any other processor.</w:t>
      </w:r>
    </w:p>
    <w:p>
      <w:pPr>
        <w:spacing w:after="0" w:line="67" w:lineRule="exact"/>
        <w:rPr>
          <w:rFonts w:ascii="Times New Roman" w:cs="Times New Roman" w:eastAsia="Times New Roman" w:hAnsi="Times New Roman"/>
          <w:sz w:val="18"/>
          <w:szCs w:val="18"/>
          <w:color w:val="auto"/>
        </w:rPr>
      </w:pPr>
    </w:p>
    <w:p>
      <w:pPr>
        <w:ind w:left="1540" w:right="160" w:hanging="331"/>
        <w:spacing w:after="0" w:line="282" w:lineRule="auto"/>
        <w:tabs>
          <w:tab w:leader="none" w:pos="1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GSPs offer thread parallelism, with multiple hardware threads per processor. Within a single clock cycle, our processor can change context either by switching threads or by dispatching a new thread.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540" w:right="40"/>
        <w:spacing w:after="0" w:line="282" w:lineRule="auto"/>
        <w:rPr>
          <w:sz w:val="20"/>
          <w:szCs w:val="20"/>
          <w:color w:val="auto"/>
        </w:rPr>
      </w:pPr>
      <w:r>
        <w:rPr>
          <w:rFonts w:ascii="Times New Roman" w:cs="Times New Roman" w:eastAsia="Times New Roman" w:hAnsi="Times New Roman"/>
          <w:sz w:val="18"/>
          <w:szCs w:val="18"/>
          <w:color w:val="auto"/>
        </w:rPr>
        <w:t>GSPs offer data parallelism through special instructions that can operate directly on unaligned blocks of data in a register file. These instructions include 2D block instructions, such as block move and block add, as well as reduction instructions, such as dot product.</w:t>
      </w:r>
    </w:p>
    <w:p>
      <w:pPr>
        <w:spacing w:after="0" w:line="67" w:lineRule="exact"/>
        <w:rPr>
          <w:sz w:val="20"/>
          <w:szCs w:val="20"/>
          <w:color w:val="auto"/>
        </w:rPr>
      </w:pPr>
    </w:p>
    <w:p>
      <w:pPr>
        <w:jc w:val="both"/>
        <w:ind w:left="1540" w:right="40" w:hanging="331"/>
        <w:spacing w:after="0" w:line="261" w:lineRule="auto"/>
        <w:tabs>
          <w:tab w:leader="none" w:pos="15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GSP provides true task-level parallelism. Multiple nodes from multiple layers can be processed concurrently, and nodes can be scheduled as soon as the data they need has been calculated. With the GSP, nodes need not wait for the completed processing of any other nodes. In addition, the GSP architecture supports true task-level parallelism through its dynamic scheduling, which allows it to adapt to actual results as they unfold and enable highly efficient streaming of neural network graphs.</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Fully Programmable Architecture with Efficient End-to-end Applications</w:t>
      </w:r>
      <w:r>
        <w:rPr>
          <w:rFonts w:ascii="Times New Roman" w:cs="Times New Roman" w:eastAsia="Times New Roman" w:hAnsi="Times New Roman"/>
          <w:sz w:val="18"/>
          <w:szCs w:val="18"/>
          <w:color w:val="auto"/>
        </w:rPr>
        <w:t>. AI developers today face three major challenges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deploying AI applications in the real-world:</w:t>
      </w:r>
    </w:p>
    <w:p>
      <w:pPr>
        <w:spacing w:after="0" w:line="60" w:lineRule="exact"/>
        <w:rPr>
          <w:rFonts w:ascii="Times New Roman" w:cs="Times New Roman" w:eastAsia="Times New Roman" w:hAnsi="Times New Roman"/>
          <w:sz w:val="18"/>
          <w:szCs w:val="18"/>
          <w:color w:val="auto"/>
        </w:rPr>
      </w:pPr>
    </w:p>
    <w:p>
      <w:pPr>
        <w:ind w:left="2080" w:right="360" w:hanging="533"/>
        <w:spacing w:after="0" w:line="286" w:lineRule="auto"/>
        <w:tabs>
          <w:tab w:leader="none" w:pos="208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Integration</w:t>
      </w:r>
      <w:r>
        <w:rPr>
          <w:rFonts w:ascii="Times New Roman" w:cs="Times New Roman" w:eastAsia="Times New Roman" w:hAnsi="Times New Roman"/>
          <w:sz w:val="18"/>
          <w:szCs w:val="18"/>
          <w:color w:val="auto"/>
        </w:rPr>
        <w:t>. Neural network functions are usually part of an overall application; therefore, developers need to be 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easily and efficiently integrate both the neural network and non-neural network functions;</w:t>
      </w:r>
    </w:p>
    <w:p>
      <w:pPr>
        <w:spacing w:after="0" w:line="60" w:lineRule="exact"/>
        <w:rPr>
          <w:rFonts w:ascii="Times New Roman" w:cs="Times New Roman" w:eastAsia="Times New Roman" w:hAnsi="Times New Roman"/>
          <w:sz w:val="18"/>
          <w:szCs w:val="18"/>
          <w:color w:val="auto"/>
        </w:rPr>
      </w:pPr>
    </w:p>
    <w:p>
      <w:pPr>
        <w:ind w:left="2080" w:right="40" w:hanging="533"/>
        <w:spacing w:after="0" w:line="286" w:lineRule="auto"/>
        <w:tabs>
          <w:tab w:leader="none" w:pos="208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Efficiency</w:t>
      </w:r>
      <w:r>
        <w:rPr>
          <w:rFonts w:ascii="Times New Roman" w:cs="Times New Roman" w:eastAsia="Times New Roman" w:hAnsi="Times New Roman"/>
          <w:sz w:val="18"/>
          <w:szCs w:val="18"/>
          <w:color w:val="auto"/>
        </w:rPr>
        <w:t>. The entire AI application must run efficiently on the hardware deployed, with high performance, low latency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low power; and</w:t>
      </w:r>
    </w:p>
    <w:p>
      <w:pPr>
        <w:spacing w:after="0" w:line="60" w:lineRule="exact"/>
        <w:rPr>
          <w:rFonts w:ascii="Times New Roman" w:cs="Times New Roman" w:eastAsia="Times New Roman" w:hAnsi="Times New Roman"/>
          <w:sz w:val="18"/>
          <w:szCs w:val="18"/>
          <w:color w:val="auto"/>
        </w:rPr>
      </w:pPr>
    </w:p>
    <w:p>
      <w:pPr>
        <w:ind w:left="2080" w:hanging="533"/>
        <w:spacing w:after="0" w:line="286" w:lineRule="auto"/>
        <w:tabs>
          <w:tab w:leader="none" w:pos="208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Periodic Updates</w:t>
      </w:r>
      <w:r>
        <w:rPr>
          <w:rFonts w:ascii="Times New Roman" w:cs="Times New Roman" w:eastAsia="Times New Roman" w:hAnsi="Times New Roman"/>
          <w:sz w:val="18"/>
          <w:szCs w:val="18"/>
          <w:color w:val="auto"/>
        </w:rPr>
        <w:t>. It is crucial to be able to update applications and neural networks as more data is collected in the field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neural network innovations rapidly evolve.</w:t>
      </w:r>
    </w:p>
    <w:p>
      <w:pPr>
        <w:spacing w:after="0" w:line="5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We believe our GSP solves these three major challenges in the following ways:</w:t>
      </w:r>
    </w:p>
    <w:p>
      <w:pPr>
        <w:spacing w:after="0" w:line="248" w:lineRule="exact"/>
        <w:rPr>
          <w:sz w:val="20"/>
          <w:szCs w:val="20"/>
          <w:color w:val="auto"/>
        </w:rPr>
      </w:pPr>
    </w:p>
    <w:p>
      <w:pPr>
        <w:ind w:left="2080" w:right="120" w:hanging="533"/>
        <w:spacing w:after="0" w:line="268" w:lineRule="auto"/>
        <w:tabs>
          <w:tab w:leader="none" w:pos="20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Integration</w:t>
      </w:r>
      <w:r>
        <w:rPr>
          <w:rFonts w:ascii="Times New Roman" w:cs="Times New Roman" w:eastAsia="Times New Roman" w:hAnsi="Times New Roman"/>
          <w:sz w:val="18"/>
          <w:szCs w:val="18"/>
          <w:color w:val="auto"/>
        </w:rPr>
        <w:t>. The GSP architecture is fully programmable, which enables developers to build end-to-end AI applications,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integrate non-neural network functions (such as Image Signal Processing) and neural network functions that are built in any Machine Learning framework, and execute these on the same hardware.</w:t>
      </w:r>
    </w:p>
    <w:p>
      <w:pPr>
        <w:spacing w:after="0" w:line="76" w:lineRule="exact"/>
        <w:rPr>
          <w:rFonts w:ascii="Times New Roman" w:cs="Times New Roman" w:eastAsia="Times New Roman" w:hAnsi="Times New Roman"/>
          <w:sz w:val="18"/>
          <w:szCs w:val="18"/>
          <w:color w:val="auto"/>
        </w:rPr>
      </w:pPr>
    </w:p>
    <w:p>
      <w:pPr>
        <w:ind w:left="2080" w:right="160" w:hanging="533"/>
        <w:spacing w:after="0" w:line="286" w:lineRule="auto"/>
        <w:tabs>
          <w:tab w:leader="none" w:pos="20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Efficiency</w:t>
      </w:r>
      <w:r>
        <w:rPr>
          <w:rFonts w:ascii="Times New Roman" w:cs="Times New Roman" w:eastAsia="Times New Roman" w:hAnsi="Times New Roman"/>
          <w:sz w:val="18"/>
          <w:szCs w:val="18"/>
          <w:color w:val="auto"/>
        </w:rPr>
        <w:t>. The fully integrated Picasso software development platform and graph framework take care of translating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complex end-to-end AI applications into graphs that run efficiently and performantly on the underlying hardware.</w:t>
      </w:r>
    </w:p>
    <w:p>
      <w:pPr>
        <w:spacing w:after="0" w:line="60" w:lineRule="exact"/>
        <w:rPr>
          <w:rFonts w:ascii="Times New Roman" w:cs="Times New Roman" w:eastAsia="Times New Roman" w:hAnsi="Times New Roman"/>
          <w:sz w:val="18"/>
          <w:szCs w:val="18"/>
          <w:color w:val="auto"/>
        </w:rPr>
      </w:pPr>
    </w:p>
    <w:p>
      <w:pPr>
        <w:ind w:left="2080" w:right="700" w:hanging="533"/>
        <w:spacing w:after="0" w:line="286" w:lineRule="auto"/>
        <w:tabs>
          <w:tab w:leader="none" w:pos="20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Periodic updates</w:t>
      </w:r>
      <w:r>
        <w:rPr>
          <w:rFonts w:ascii="Times New Roman" w:cs="Times New Roman" w:eastAsia="Times New Roman" w:hAnsi="Times New Roman"/>
          <w:sz w:val="18"/>
          <w:szCs w:val="18"/>
          <w:color w:val="auto"/>
        </w:rPr>
        <w:t>. As the neural network and workflow evolves, and as new data is collected, the AI models can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re-trained and re-deployed with ease and speed, using the integrated Picasso toolkit.</w:t>
      </w:r>
    </w:p>
    <w:p>
      <w:pPr>
        <w:spacing w:after="0" w:line="60" w:lineRule="exact"/>
        <w:rPr>
          <w:rFonts w:ascii="Times New Roman" w:cs="Times New Roman" w:eastAsia="Times New Roman" w:hAnsi="Times New Roman"/>
          <w:sz w:val="18"/>
          <w:szCs w:val="18"/>
          <w:color w:val="auto"/>
        </w:rPr>
      </w:pPr>
    </w:p>
    <w:p>
      <w:pPr>
        <w:ind w:left="1080" w:hanging="424"/>
        <w:spacing w:after="0" w:line="28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Low Capex and De-Risked Business Model</w:t>
      </w:r>
      <w:r>
        <w:rPr>
          <w:rFonts w:ascii="Times New Roman" w:cs="Times New Roman" w:eastAsia="Times New Roman" w:hAnsi="Times New Roman"/>
          <w:sz w:val="18"/>
          <w:szCs w:val="18"/>
          <w:color w:val="auto"/>
        </w:rPr>
        <w:t>. While we design and sell our hardware and semiconductor chips, we do not manufacture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silicon wafers or chips used in our products. Instead, we outsource the fabrication of these products to a manufacturing plant.</w:t>
      </w:r>
    </w:p>
    <w:p>
      <w:pPr>
        <w:spacing w:after="0" w:line="60" w:lineRule="exact"/>
        <w:rPr>
          <w:rFonts w:ascii="Times New Roman" w:cs="Times New Roman" w:eastAsia="Times New Roman" w:hAnsi="Times New Roman"/>
          <w:sz w:val="18"/>
          <w:szCs w:val="18"/>
          <w:color w:val="auto"/>
        </w:rPr>
      </w:pPr>
    </w:p>
    <w:p>
      <w:pPr>
        <w:ind w:left="1080" w:right="200" w:hanging="424"/>
        <w:spacing w:after="0" w:line="26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Cost Efficiency</w:t>
      </w:r>
      <w:r>
        <w:rPr>
          <w:rFonts w:ascii="Times New Roman" w:cs="Times New Roman" w:eastAsia="Times New Roman" w:hAnsi="Times New Roman"/>
          <w:sz w:val="18"/>
          <w:szCs w:val="18"/>
          <w:color w:val="auto"/>
        </w:rPr>
        <w:t>. As a fabless manufacturing company, we avoid potentially high capital investments that would be required to build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 our own fabrication facilities (fabs). Semiconductor fabs are extremely expensive to set up and require regular updates to stay technologically competitive. By outsourcing fabrication, we strategically allocate our resources more efficiently and focus on our core competencies.</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8"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Flexibility and Scalability</w:t>
      </w:r>
      <w:r>
        <w:rPr>
          <w:rFonts w:ascii="Times New Roman" w:cs="Times New Roman" w:eastAsia="Times New Roman" w:hAnsi="Times New Roman"/>
          <w:sz w:val="18"/>
          <w:szCs w:val="18"/>
          <w:color w:val="auto"/>
        </w:rPr>
        <w:t>. We can scale production quickly without having to invest in additional manufacturing facilities. As a result,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respond to market demand fluctuations by leveraging the capacity and capabilities of external foundries. We believe this flexibility allows us to adapt to market conditions and rapidly bring new products to market.</w:t>
      </w:r>
    </w:p>
    <w:p>
      <w:pPr>
        <w:spacing w:after="0" w:line="76" w:lineRule="exact"/>
        <w:rPr>
          <w:rFonts w:ascii="Times New Roman" w:cs="Times New Roman" w:eastAsia="Times New Roman" w:hAnsi="Times New Roman"/>
          <w:sz w:val="18"/>
          <w:szCs w:val="18"/>
          <w:color w:val="auto"/>
        </w:rPr>
      </w:pPr>
    </w:p>
    <w:p>
      <w:pPr>
        <w:ind w:left="1080" w:right="160" w:hanging="424"/>
        <w:spacing w:after="0" w:line="26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Technological Expertise</w:t>
      </w:r>
      <w:r>
        <w:rPr>
          <w:rFonts w:ascii="Times New Roman" w:cs="Times New Roman" w:eastAsia="Times New Roman" w:hAnsi="Times New Roman"/>
          <w:sz w:val="18"/>
          <w:szCs w:val="18"/>
          <w:color w:val="auto"/>
        </w:rPr>
        <w:t>. We have a relentless focus to concentrate all efforts on research, development, and innovation, without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burdened by the complexities of semiconductor manufacturing. Our teams of experts are solely focused on designing advanced chips and pushing technological boundaries. We believe this specialization has enabled our development of more cutting-edge products and faster time-to-market.</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080" w:hanging="424"/>
        <w:spacing w:after="0" w:line="268"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Access to Advanced Processes</w:t>
      </w:r>
      <w:r>
        <w:rPr>
          <w:rFonts w:ascii="Times New Roman" w:cs="Times New Roman" w:eastAsia="Times New Roman" w:hAnsi="Times New Roman"/>
          <w:sz w:val="18"/>
          <w:szCs w:val="18"/>
          <w:color w:val="auto"/>
        </w:rPr>
        <w:t>. Our use of external foundries offers access to leading-edge fabrication processes, which would be cost-prohibitive for us to develop in-house. By partnering with advanced foundries, we leverage the latest process technologies and benefit from improved performance, power efficiency, and smaller form factors.</w:t>
      </w:r>
    </w:p>
    <w:p>
      <w:pPr>
        <w:spacing w:after="0" w:line="76"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Global Supply Chain</w:t>
      </w:r>
      <w:r>
        <w:rPr>
          <w:rFonts w:ascii="Times New Roman" w:cs="Times New Roman" w:eastAsia="Times New Roman" w:hAnsi="Times New Roman"/>
          <w:sz w:val="18"/>
          <w:szCs w:val="18"/>
          <w:color w:val="auto"/>
        </w:rPr>
        <w:t>. Our fabless approach gives us the ability to tap into a global network of foundries, enabling our selection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most suitable manufacturing partner based on the specific requirements. We believe this global supply chain, in turn, also offers geographic diversification, reducing the risk of disruptions caused by regional issues, such as natural disasters or geopolitical factors.</w:t>
      </w:r>
    </w:p>
    <w:p>
      <w:pPr>
        <w:spacing w:after="0" w:line="76" w:lineRule="exact"/>
        <w:rPr>
          <w:rFonts w:ascii="Times New Roman" w:cs="Times New Roman" w:eastAsia="Times New Roman" w:hAnsi="Times New Roman"/>
          <w:sz w:val="18"/>
          <w:szCs w:val="18"/>
          <w:color w:val="auto"/>
        </w:rPr>
      </w:pPr>
    </w:p>
    <w:p>
      <w:pPr>
        <w:ind w:left="1080" w:right="60" w:hanging="424"/>
        <w:spacing w:after="0" w:line="268"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Focus on Differentiation</w:t>
      </w:r>
      <w:r>
        <w:rPr>
          <w:rFonts w:ascii="Times New Roman" w:cs="Times New Roman" w:eastAsia="Times New Roman" w:hAnsi="Times New Roman"/>
          <w:sz w:val="18"/>
          <w:szCs w:val="18"/>
          <w:color w:val="auto"/>
        </w:rPr>
        <w:t>. With manufacturing outsourced, we have the capacity to heavily focus on developing unique features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intellectual property (“IP”). We are investing in specialized design teams, software development, and system integration to create products that stand out in the market and provide a competitive advantage.</w:t>
      </w:r>
    </w:p>
    <w:p>
      <w:pPr>
        <w:spacing w:after="0" w:line="76" w:lineRule="exact"/>
        <w:rPr>
          <w:rFonts w:ascii="Times New Roman" w:cs="Times New Roman" w:eastAsia="Times New Roman" w:hAnsi="Times New Roman"/>
          <w:sz w:val="18"/>
          <w:szCs w:val="18"/>
          <w:color w:val="auto"/>
        </w:rPr>
      </w:pPr>
    </w:p>
    <w:p>
      <w:pPr>
        <w:ind w:left="1080" w:right="280" w:hanging="424"/>
        <w:spacing w:after="0" w:line="268"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Reduced Time-to-Market</w:t>
      </w:r>
      <w:r>
        <w:rPr>
          <w:rFonts w:ascii="Times New Roman" w:cs="Times New Roman" w:eastAsia="Times New Roman" w:hAnsi="Times New Roman"/>
          <w:sz w:val="18"/>
          <w:szCs w:val="18"/>
          <w:color w:val="auto"/>
        </w:rPr>
        <w:t>. We believe the fabless manufacturing model allows us to expedite our product development cycles.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partnering with external foundries, we parallelize design and fabrication processes, reducing time-consuming steps and accelerating the overall time-to-market.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key elements of our strategy for growth include focusing on the following areas:</w:t>
      </w:r>
    </w:p>
    <w:p>
      <w:pPr>
        <w:spacing w:after="0" w:line="131" w:lineRule="exact"/>
        <w:rPr>
          <w:sz w:val="20"/>
          <w:szCs w:val="20"/>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Scaling through expansion of our current products to reach deeper into our own industry’s verticals and expanding into adjacent verticals.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ecosystem of hardware manufacturers and independent software vendors specializing across a variety of industry verticals and form new partnerships with them to bring innovative turn-key solutions to market.</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enhance the features available in AI Studio in order to target a wider community of developers, including universities and other institutes of higher education.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Incorporating market AI trends into the design of our next-generation SoC to further expand our addressable TAM.</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currently outsource all of our manufacturing and leverage partnerships with several global manufacturing and assembly providers.</w:t>
      </w:r>
    </w:p>
    <w:p>
      <w:pPr>
        <w:spacing w:after="0" w:line="225"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Samsung Foundry, located in Austin, Texas, is involved with manufacturing the current generation SoC. All packaging and testing of the SoC is performed by our partners located in Taiwan. We closely monitor and reserve raw materials for silicon wafers and related packaging for our finished SoCs in collaboration with Samsung Foundry and our Taiwanese packaging partners. The raw materials and components used include silicon, polymers, copper, aluminum, other metal alloys, and plastics, which are generally available throughout the world but largely provided by companies in China.</w:t>
      </w:r>
    </w:p>
    <w:p>
      <w:pPr>
        <w:spacing w:after="0" w:line="164"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 addition to Samsung Foundry, we integrate Plexus, a contract manufacturer boasting a 377,000 square foot facility in Penang, Malaysia, who provides new product introduction services and mass produces all of our products. In addition to performing printed circuit board assembly (“PCBA”), final assembly, and functional testing for our products, Plexus procures raw material components to meet our periodic build forecasts, and provides quick turnaround shipments of our products to our third-party logistics partner, Rush Order, Inc. (“Rush Order”), and customers around the world. The raw materials and components used include integrated circuits, epoxy glass fabric laminate, metals, plastics, resistors, capacitors, inductors, transistors, diodes, and sensors, which are generally available throughout the world, but largely provided by companies in Asia.</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Rush Order stores inventory of our products in California, conveniently located near major sea and air transportation hubs. Rush Order also supports us with international logistics and trade compliance services by assembling, packaging, and shipping our customer orders. We anticipate that we will continue to utilize Rush Order’s logistics services as we grow and scale because they offer expansion flexibility and have warehouses located globally.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scalable and programmable architecture enables us to sell into a broad set of markets and applications.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result, our competitors vary depending on the target market segment.</w:t>
      </w:r>
    </w:p>
    <w:p>
      <w:pPr>
        <w:spacing w:after="0" w:line="127" w:lineRule="exact"/>
        <w:rPr>
          <w:sz w:val="20"/>
          <w:szCs w:val="20"/>
          <w:color w:val="auto"/>
        </w:rPr>
      </w:pPr>
    </w:p>
    <w:p>
      <w:pPr>
        <w:ind w:left="1080" w:right="140" w:hanging="424"/>
        <w:spacing w:after="0" w:line="268"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Data Center and Edge</w:t>
      </w:r>
      <w:r>
        <w:rPr>
          <w:rFonts w:ascii="Times New Roman" w:cs="Times New Roman" w:eastAsia="Times New Roman" w:hAnsi="Times New Roman"/>
          <w:sz w:val="18"/>
          <w:szCs w:val="18"/>
          <w:color w:val="auto"/>
        </w:rPr>
        <w:t>. We believe our main competitors come from producers of graphics processing units (“GPUs”), such as NVIDIA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(“NVIDIA”), and GPU-derived application-specific-standard products (“ASSPs”). As we continue to grow, we predict additional competition will come from in-CPU acceleration provided by established vendors, including Intel and AMD.</w:t>
      </w:r>
    </w:p>
    <w:p>
      <w:pPr>
        <w:spacing w:after="0" w:line="76" w:lineRule="exact"/>
        <w:rPr>
          <w:rFonts w:ascii="Times New Roman" w:cs="Times New Roman" w:eastAsia="Times New Roman" w:hAnsi="Times New Roman"/>
          <w:sz w:val="18"/>
          <w:szCs w:val="18"/>
          <w:color w:val="auto"/>
        </w:rPr>
      </w:pPr>
    </w:p>
    <w:p>
      <w:pPr>
        <w:ind w:left="1080" w:right="220" w:hanging="424"/>
        <w:spacing w:after="0" w:line="259"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Surveillance and Security</w:t>
      </w:r>
      <w:r>
        <w:rPr>
          <w:rFonts w:ascii="Times New Roman" w:cs="Times New Roman" w:eastAsia="Times New Roman" w:hAnsi="Times New Roman"/>
          <w:sz w:val="18"/>
          <w:szCs w:val="18"/>
          <w:color w:val="auto"/>
        </w:rPr>
        <w:t>. We consider companies with in-house application-specific integrated circuits (“ASICs”) that are either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or built around technology from suppliers, such as Ambarella, Inc., and start-up hardware developers, such as Hailo Technologies Ltd., to be competitors. In addition, this category includes merchants with already integrated solutions that have existing partnerships with expert solution vendors, such as Qualcomm Incorporated (“Qualcomm”), Intel Corporation’s (“Intel”) subsidiary, Movidius, and NVIDIA’s Jetson platform, who we also believe are our competitors.</w:t>
      </w:r>
    </w:p>
    <w:p>
      <w:pPr>
        <w:spacing w:after="0" w:line="84" w:lineRule="exact"/>
        <w:rPr>
          <w:rFonts w:ascii="Times New Roman" w:cs="Times New Roman" w:eastAsia="Times New Roman" w:hAnsi="Times New Roman"/>
          <w:sz w:val="18"/>
          <w:szCs w:val="18"/>
          <w:color w:val="auto"/>
        </w:rPr>
      </w:pPr>
    </w:p>
    <w:p>
      <w:pPr>
        <w:ind w:left="1080" w:right="40" w:hanging="424"/>
        <w:spacing w:after="0" w:line="26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Machine Vision</w:t>
      </w:r>
      <w:r>
        <w:rPr>
          <w:rFonts w:ascii="Times New Roman" w:cs="Times New Roman" w:eastAsia="Times New Roman" w:hAnsi="Times New Roman"/>
          <w:sz w:val="18"/>
          <w:szCs w:val="18"/>
          <w:color w:val="auto"/>
        </w:rPr>
        <w:t>. We compete with industrial autonomation, quality control, and other machine vision utilization industries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category. We believe our main competitors include field programmable gate array (“FPGA”) vendors, such as Altera Corporation (recently spun off from Intel) (“Altera”) and AMD’s subsidiary, Xilinx, Inc. (“Xilinx”), and anticipate future competition from merchant vendors, such as Qualcomm and NVIDIA’s Jetson platform.</w:t>
      </w:r>
    </w:p>
    <w:p>
      <w:pPr>
        <w:spacing w:after="0" w:line="81" w:lineRule="exact"/>
        <w:rPr>
          <w:rFonts w:ascii="Times New Roman" w:cs="Times New Roman" w:eastAsia="Times New Roman" w:hAnsi="Times New Roman"/>
          <w:sz w:val="18"/>
          <w:szCs w:val="18"/>
          <w:color w:val="auto"/>
        </w:rPr>
      </w:pPr>
    </w:p>
    <w:p>
      <w:pPr>
        <w:ind w:left="1080" w:right="80" w:hanging="424"/>
        <w:spacing w:after="0" w:line="26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Drones, Robotics and Other Embedded Applications</w:t>
      </w:r>
      <w:r>
        <w:rPr>
          <w:rFonts w:ascii="Times New Roman" w:cs="Times New Roman" w:eastAsia="Times New Roman" w:hAnsi="Times New Roman"/>
          <w:sz w:val="18"/>
          <w:szCs w:val="18"/>
          <w:color w:val="auto"/>
        </w:rPr>
        <w:t>. We believe competition in this category is primarily from in-house designs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 built ASICs (either fully proprietary or based on third-party technologies from vendors, such as Ambarella). Further, we believe that merchant options provided by NVIDIA and Qualcomm and FPGA solutions from Xilinx and Altera will also represent competitors in this category, albeit in a smaller and more fragmented fashion.</w:t>
      </w:r>
    </w:p>
    <w:p>
      <w:pPr>
        <w:spacing w:after="0" w:line="81" w:lineRule="exact"/>
        <w:rPr>
          <w:rFonts w:ascii="Times New Roman" w:cs="Times New Roman" w:eastAsia="Times New Roman" w:hAnsi="Times New Roman"/>
          <w:sz w:val="18"/>
          <w:szCs w:val="18"/>
          <w:color w:val="auto"/>
        </w:rPr>
      </w:pPr>
    </w:p>
    <w:p>
      <w:pPr>
        <w:ind w:left="1080" w:right="520" w:hanging="424"/>
        <w:spacing w:after="0" w:line="268"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Automotive</w:t>
      </w:r>
      <w:r>
        <w:rPr>
          <w:rFonts w:ascii="Times New Roman" w:cs="Times New Roman" w:eastAsia="Times New Roman" w:hAnsi="Times New Roman"/>
          <w:sz w:val="18"/>
          <w:szCs w:val="18"/>
          <w:color w:val="auto"/>
        </w:rPr>
        <w:t>. We believe competition in this category comes from programmable AI-based computer vision developed in-house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automotive OEMs and by solutions merchants, such as NVIDIA, Qualcomm, Mobileye Global Inc., and emerging start-ups, such as Tenstorrent Inc.</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various laws and regulations in the United States and internationally, which may expose us to liability, increase costs or have other adverse effects that could harm our business. These laws and regulations include but are not limited to data privacy and data localization, copyright or similar laws, anti-spam, consumer protection, employment, and taxation. Compliance with such laws can require changes to our business practices and significant management time and effort. Additionally, as we continue to develop and improve consumer-facing products and services, and as those offerings grow in popularity, the risk that additional laws and regulations will impact our business will continue to increase.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and Privacy</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All states have adopted laws requiring notice to consumers of certain security breaches involving their personal information. In the event of a security breach, these laws may subject us to incident response, notice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remediation costs. Failure to safeguard data adequately or to destroy data (including personal information) securely could subject us to regulatory investigations, enforcement actions, and litigation under federal or state data privacy, data security, unfair practices, consumer protection, or other laws. The scope and interpretation of these laws could change, and the associated burdens and compliance costs could increase in the future.</w:t>
      </w:r>
    </w:p>
    <w:p>
      <w:pPr>
        <w:spacing w:after="0" w:line="176"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Privacy and security laws and regulations, cross-border data transfer restrictions, data localization requirements, and other domestic or foreign laws or regulations may expose us to liability, or otherwise adversely affect our business. Laws and regulations related to data privacy and the collection, processing, and disclosure of personal information are constantly evolving. Such laws and regulations could restrict our ability to store and process personal information (in particular, our ability to use personal information for purposes such as risk or fraud avoidance, marketing, or advertising), to control our costs by using certain vendors or service providers in certain jurisdictions and could limit our ability to effectively market or advertise to interested buyers and, in general, increase the resources required to operate our business. Additionally, such laws and regulations are often inconsistent and may be subject to amendment or reinterpretation, which may cause us to incur significant costs and expend significant effort to ensure compliance.</w:t>
      </w:r>
    </w:p>
    <w:p>
      <w:pPr>
        <w:spacing w:after="0" w:line="17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overall regulatory framework for AI and machine learning technologies (“AI Technologies”) is rapidly evolving as many federal, state and foreign government bodies and agencies have introduced, or are currently considering, AI laws and regulations. Additionally, existing laws and regulations may be interpreted in ways that would affect the operation of our AI Technologies. As a result, implementation standards and enforcement practices are likely to remain uncertain for the foreseeable future.</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For example, in the U.S., the Biden administration issued a broad Executive Order on the Safe, Secure and Trustworthy Development and Use of Artificial Intelligence (the “2023 AI Order”) that sets out principles intended to guide AI design and deployment for the public and private sectors and signals the increase in governmental involvement and regulation over AI Technologies. The 2023 AI Order established certain new requirements for the training, testing and cybersecurity of sophisticated AI models and large-scale compute centers used to train AI models and instructed several other federal agencies to promulgate additional regulations. Already agencies such as the Department of Commerce and the Federal Trade Commission have issued proposed rules. On January 20, 2025, President Trump signed an Executive Order revoking the 2023 AI Order, and on January 23, 2025, issued an Executive Order entitled “Removing Barriers to American Leadership in Artificial Intelligence.” The new Executive Order seeks to maintain US leadership in AI innovation, “revokes certain existing AI policies and directives that act as barriers to American AI innovation,” and directs the Assistant to the President for Science and Technology, working with agency heads, to identify such policies and directives. This new Executive Order also requires the development of a new AI action plan within 180 days that must be “free from ideological bias or engineered social agendas.” While this action could indicate a less interventionist approach to AI than the prior administration, it is not clear how this new Executive Order will be implemented or whether it will affect rules issued by other agencies following the principles set forth in the 2023 AI Order.</w:t>
      </w:r>
    </w:p>
    <w:p>
      <w:pPr>
        <w:spacing w:after="0" w:line="190" w:lineRule="exact"/>
        <w:rPr>
          <w:sz w:val="20"/>
          <w:szCs w:val="20"/>
          <w:color w:val="auto"/>
        </w:rPr>
      </w:pPr>
    </w:p>
    <w:p>
      <w:pPr>
        <w:ind w:left="120" w:right="380" w:firstLine="440"/>
        <w:spacing w:after="0" w:line="289" w:lineRule="auto"/>
        <w:rPr>
          <w:sz w:val="20"/>
          <w:szCs w:val="20"/>
          <w:color w:val="auto"/>
        </w:rPr>
      </w:pPr>
      <w:r>
        <w:rPr>
          <w:rFonts w:ascii="Times New Roman" w:cs="Times New Roman" w:eastAsia="Times New Roman" w:hAnsi="Times New Roman"/>
          <w:sz w:val="17"/>
          <w:szCs w:val="17"/>
          <w:color w:val="auto"/>
        </w:rPr>
        <w:t>Legislation related to AI Technologies has also been introduced at the federal level and is advancing at the state level. For example, Colorado recently passed an AI Act, which regulates the development, deployment, and use of AI systems and the California Privacy Protection Agency is currently in the process of finalizing regulations under the California Consumer Privacy Act regarding the use of automated decision-making.</w:t>
      </w:r>
    </w:p>
    <w:p>
      <w:pPr>
        <w:spacing w:after="0" w:line="15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developing landscape, and the uncertain interpretation of such landscape,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 For more information, please refer to “Risk Factors – We may in the future, use and develop AI, machine learning and automated decision-making technologies throughout our business, which may expose us to certain regulatory and other risks that could adversely affect our results of operations and financial condition.”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failure to comply with these privacy, security and AI laws or regulations could expose us to significant fines and penalties imposed by regulators and has in the past and could in the future expose us to legal claims by buyers, or other relevant stakeholders. Some of these laws permit individual or class action claims for certain alleged violations, increasing the likelihood of such legal claims. Similarly, many of these laws require us to maintain an online privacy policy, terms of service, and other informational pages that disclose our practices regarding the collection, processing, and disclosure of personal information. If these disclosures contain any information that a court or regulator finds to be inaccurate, we could also be exposed to legal or regulatory liability. Any such proceedings or violations could force us to spend money in defense or settlement of these proceedings, harm our reputation, result in the imposition of monetary liability or demanding injunctive relief, divert management’s time and attention, increase our costs of doing business, and materially adversely affect our reputation.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Anti-Corruption, Sanctions and CFIUS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(“FCPA”). The FCPA prohibits corporations and individuals from engaging in improper activities to obtain or retain business or to influence a person working in an official capacity. It prohibits, among other things, providing, offering, or promising, directly or indirectly, anything of value to any foreign government official or employee, or any political party or official thereof, or candidate for political office to improperly influence, induce, obtain and retain business from, expedite or secure the performance of official acts of a routine nature, secure an improper advantage, or otherwise violate any of the Anti-Bribery laws, from such or any person. Similar laws exist in other countries, such as the UK, which restrict improper payments to persons in the public or private sector. Many countries have laws prohibiting these types of payments within the respective country. Historically, technology companies have been the target of FCPA and other anti-corruption investigations and penalties.</w:t>
      </w:r>
    </w:p>
    <w:p>
      <w:pPr>
        <w:spacing w:after="0" w:line="19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addition, we are subject to U.S. and foreign laws and regulations that restrict our activities in certain countries and with certain persons. These include the economic sanctions regulations administered by the U.S. Treasury Department’s Office of Foreign Assets Control and the export control laws administered by the U.S. Commerce Department’s Bureau of Industry and Security.</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Investment in the Company by non-U.S. investors may be subject to the jurisdiction of and review by the Committee on Foreign Investment in the U.S. (“CFIUS”), which has the power to rescind or mitigate transactions, or impose monetary penalties for violations of CFIUS regulations. Because we develop technology that is deemed “critical” from a U.S. national security perspective, certain investments by non-U.S. persons or entities could trigger mandatory CFIUS filings before an investment is allowed to close.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believe our success depends in part upon our ability to develop and protect our core technology and intellectual property rights. We have built a portfolio of intellectual property rights, including issued patents and registered trademarks, copyrights, confidential technical information, and expertise in the AI and ML at the edge sectors.</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own numerous issued patents and pending patent applications. As of December 31, 2024, we held 39 patents and had 17 pending patent applications. Our patents are expected to expire between June 16, 2031 and September 24, 2044. Our two issued and allowed foreign patents include patents in two separate countries: the United Kingdom and Korea. Our five pending foreign patent applications include patent applications in India. Our patents contain a broad range of claims related to the field of AI and parallel processing architecture.</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addition to actively seeking patent protection covering inventions originating from us, from time to time, we review opportunities to acquire or in-license patents to the extent we believe such patents may be useful or relevant to our business.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00"/>
          </w:cols>
          <w:pgMar w:left="320" w:top="455" w:right="4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20" w:firstLine="440"/>
        <w:spacing w:after="0" w:line="281" w:lineRule="auto"/>
        <w:rPr>
          <w:sz w:val="20"/>
          <w:szCs w:val="20"/>
          <w:color w:val="auto"/>
        </w:rPr>
      </w:pPr>
      <w:r>
        <w:rPr>
          <w:rFonts w:ascii="Times New Roman" w:cs="Times New Roman" w:eastAsia="Times New Roman" w:hAnsi="Times New Roman"/>
          <w:sz w:val="17"/>
          <w:szCs w:val="17"/>
          <w:color w:val="auto"/>
        </w:rPr>
        <w:t>We have filed patent and trademark applications in order to further secure these rights and strengthen our ability to defend against third parties who may infringe on our rights. We also rely on trade secrets, design and manufacturing know-how, and continuing technological innovations to maintain and improve our competitive position. Additionally, we protect our proprietary rights through agreements with our commercial partners, supply-chain vendors, employees, and consultants, as well as close monitoring of the developments and products in the industry.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Except as listed below, we are not currently a party to any litigation or legal proceedings that, in the opinion of our management, may have a material adverse effect on our business. Regardless of outcome, litigation can have an adverse impact on us because of defense and settlement costs, diversion of management resources and other factors.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Jefferies LLC v. Blaize Holdings, Inc. (formerly known as BurTech Acquisition Corp.)</w:t>
      </w:r>
    </w:p>
    <w:p>
      <w:pPr>
        <w:spacing w:after="0" w:line="119" w:lineRule="exact"/>
        <w:rPr>
          <w:sz w:val="20"/>
          <w:szCs w:val="20"/>
          <w:color w:val="auto"/>
        </w:rPr>
      </w:pPr>
    </w:p>
    <w:p>
      <w:pPr>
        <w:ind w:left="120" w:right="180" w:firstLine="440"/>
        <w:spacing w:after="0" w:line="312" w:lineRule="auto"/>
        <w:rPr>
          <w:sz w:val="20"/>
          <w:szCs w:val="20"/>
          <w:color w:val="auto"/>
        </w:rPr>
      </w:pPr>
      <w:r>
        <w:rPr>
          <w:rFonts w:ascii="Times New Roman" w:cs="Times New Roman" w:eastAsia="Times New Roman" w:hAnsi="Times New Roman"/>
          <w:sz w:val="17"/>
          <w:szCs w:val="17"/>
          <w:color w:val="auto"/>
        </w:rPr>
        <w:t>On September 9, 2024, BurTech entered into an Advisory Services Engagement Letter with Jefferies to serve as its exclusive capital markets advisor in connection with the contemplated transaction involving Legacy Blaize (i.e. the Business Combination) (the “Jefferies Engagement Letter”).</w:t>
      </w:r>
    </w:p>
    <w:p>
      <w:pPr>
        <w:spacing w:after="0" w:line="14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April 7, 2025, Jefferies commenced a lawsuit against the Company in the Supreme Court of the State of New York, County of New York, seeking summary judgment in lieu of complaint. The lawsuit alleges that pursuant to the Jefferies Engagement Letter, Jefferies was entitled to receive a fee of $4,500,000 conditional on the Closing of the Business Combination, with the option for the Company to defer up to $1,000,000 of this fee for up to 12 months post-closing, and $500,000 in reimbursable expenses. Jefferies alleges that as of March 31, 2025, no fees have been paid to Jefferies under the Jefferies Engagement Letter. Jefferies seeks $3,500,000 for its fees, as well as $500,000 in expense reimbursement, as well as pre-and post-judgment interest and attorneys’ fees and legal costs incurred in connection with the lawsuit. The Company has retained counsel and intends to vigorously defend the litigation.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of January 1, 2025, we employed a total of approximately 232 people globally, including 56 people on a full-time basis in the United States and 220 people on a full-time basis internationally, either directly through our international subsidiaries or through a professional employer organization. This included approximately 166 hardware and software engineers. As the Company scales to deliver on its product roadmap, we expect to significantly expand our engineering strength. We also engage consultants and contractors to supplement our permanent workforce where the skill is specialized and temporary. None of our employees are represented by a labor union or covered by collective bargaining agreements. We believe we have strong and positive relations with our employees.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corporate headquarters are located in El Dorado Hills, California where we lease approximately 1,753 square feet of office space pursuant to a lease that expires on December 14, 2025. Our El Dorado Hills premises contains administrative functions of the company. We also lease approximately 4,192 square feet of office space pursuant to a lease that expires on September 1, 2026. Our San Jose premises contains engineering and research and development functions of the company.</w:t>
      </w:r>
    </w:p>
    <w:p>
      <w:pPr>
        <w:spacing w:after="0" w:line="18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lease approximately 35,000 square feet of office space in Hyderabad, India pursuant to leases that expire on September 30, 2028. Our India premises contains engineering, research and development, and administrative functions of the company.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lease approximately 1,000 square feet of office space in the United Kingdom pursuant to a lease that expires on August 9, 2029. Our U.K. premises contains engineering, research and development, and administrative functions of Blaize. We also lease approximately 1,500 square feet of office space in the United Kingdom pursuant to a lease that expired on July 15, 2025, which contains engineering and R&amp;D functions for Blaize. The Company is currently negotiating a lease extension for the 1,500 square foot office space lease in the United Kingdom and expects to sign a short-term renewal.</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believe that our office and other space is adequate for our current needs and, should we need additional space, we believe we will be able to obtain additional space on commercially reasonable terms.</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980"/>
          </w:cols>
          <w:pgMar w:left="320" w:top="455" w:right="5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and Board of Directors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sets forth certain information, as of March 31, 2025, concerning the persons who serve as our executive officers and directors.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00" w:type="dxa"/>
            <w:vAlign w:val="bottom"/>
            <w:tcBorders>
              <w:bottom w:val="single" w:sz="8" w:color="CCEEFF"/>
            </w:tcBorders>
          </w:tcPr>
          <w:p>
            <w:pPr>
              <w:spacing w:after="0"/>
              <w:rPr>
                <w:sz w:val="16"/>
                <w:szCs w:val="16"/>
                <w:color w:val="auto"/>
              </w:rPr>
            </w:pPr>
          </w:p>
        </w:tc>
        <w:tc>
          <w:tcPr>
            <w:tcW w:w="508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Dinakar Munagala</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50</w:t>
            </w:r>
          </w:p>
        </w:tc>
        <w:tc>
          <w:tcPr>
            <w:tcW w:w="5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Harminder Sehmi</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63</w:t>
            </w:r>
          </w:p>
        </w:tc>
        <w:tc>
          <w:tcPr>
            <w:tcW w:w="5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Nominees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8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Frank</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68</w:t>
            </w:r>
          </w:p>
        </w:tc>
        <w:tc>
          <w:tcPr>
            <w:tcW w:w="5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Lane M. Bess</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63</w:t>
            </w:r>
          </w:p>
        </w:tc>
        <w:tc>
          <w:tcPr>
            <w:tcW w:w="5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Juergen Hambrecht</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78</w:t>
            </w:r>
          </w:p>
        </w:tc>
        <w:tc>
          <w:tcPr>
            <w:tcW w:w="5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Tony Cannestra</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59</w:t>
            </w:r>
          </w:p>
        </w:tc>
        <w:tc>
          <w:tcPr>
            <w:tcW w:w="5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de Urioste</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69</w:t>
            </w:r>
          </w:p>
        </w:tc>
        <w:tc>
          <w:tcPr>
            <w:tcW w:w="5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Yoshiaki Fujimori</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73</w:t>
            </w:r>
          </w:p>
        </w:tc>
        <w:tc>
          <w:tcPr>
            <w:tcW w:w="5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Dinakar Munagala, Chief Executive Officer and Director</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Dinakar Munagala, 50, has served as our Chief Executive Officer and Director since January 2025, and as a co-founder of Legacy Blaize, he previously served as our Chief Executive Officer and a member of the board of directors of Legacy Blaize since our inception in January 2010. Prior to that, Mr. Munagala has served in a leadership role in the Graphics Division of Intel Corporation. Mr. Munagala holds a Bachelor’s of Science Degree in Electrical and Computer Engineering from Osmania University and Master’s Degree in Electric and Computer Engineering from Purdue University. We believe that Mr. Munagala is qualified to serve as a member of the Board due to his education and extensive experience as an executive officer and board member of companies in the technology space.</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Harminder Sehmi, Chief Financial Officer</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Harminder Sehmi, 63, has served as our Chief Financial Officer since January 2025, and previously served as Chief Financial Officer of Legacy Blaize since November 2023. From July 2019 to October 2023, Mr. Sehmi served as our Vice President of Finance overseeing the Finance, Legal and Human Resources functions. Prior to that, from October 2011 to May 2016, Mr. Sehmi served as the Finance Director of Truphone, a GSMA-accredited global mobile network headquartered in London, with operations globally. In addition, Mr. Sehmi served in a variety of operational, group and global roles with Vodafone Group PLC.</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Mr. Sehmi is a member of the Institute of Chartered Accountants in England and Wales (ACA) and he obtained his Accounting qualifications from the Oxford Brookes University and a Masters in Business Administration from the Cranfield School of Management.</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Lane M. Bess, Director</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Lane Bess, 63, has served as Chairman of our Board since January 2025, and previously served as a member of the board of directors of Legacy Blaize since January 2022. Since September 2022, Mr. Bess has served as the Chief Executive Officer of Deep Instinct, a cybersecurity company that applies deep learning to cybersecurity. In addition, he has served as the Principal and Founder of Bess Ventures and Advisory since March 2015. Prior to that, he served as the Chief Operating Officer of Zscaler Inc., a cloud-based internet security services company. Since 2019, Mr. Bess has served as a member of the board of directors of TrueFort Inc., a software company offering advanced microsegmentation tools and solutions for real-time visibility into the production environment.</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40"/>
          </w:cols>
          <w:pgMar w:left="320" w:top="455"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Mr. Bess received a Bachelor’s of Science degree in Managerial Economics from Carnegie Mellon University and a Master’s Degree in Business Administration from the University of Dayton. We believe that Mr. Bess is qualified to serve as a member of our board of directors due to his over 30 years as an operational executive officer of companies in the technology space and extensive experience in building technology businesses in Europe, Asia Pacific and Japan, among other international regions.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Tony Cannestra, Director</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Tony Cannestra, 59, has served as a member of our Board since January 2025, and previously served as a member of the board of directors of Legacy Blaize since October 2016. From April 2014 to March 2025, Mr. Cannestra has served as a Director of Corporate Ventures for DENSO International America, a U.S. subsidiary of DENSO Corporation, a global automotive components manufacturer headquartered in Japan. He currently serves as a member of the board of directors of Dellfer, Inc., an Internet of Things (IoT) and automotive cybersecurity company; Quadric, a company developing a leading processor architecture optimized for on-device AI computing; Lambda:4, a developer of a leading range algorithm for Bluetooth Channel Sounding; Metawave Corporation, a wireless technology company that builds intelligent and high-performance automotive radars by leveraging metamaterials and AI; and Canatu, a carbon nanomaterial developer. Previously, from May 2019 to November 2020, Mr. Cannestra previously served on the board of directors of BOND Mobility. Mr. Cannestra received a Bachelor of Arts in International Economics from the University of California at Berkeley and a Masters in Business Administration, with a Certificate in Management of Technology, from the University of California at Berkeley. We believe that Mr. Cannestra is qualified to serve as a member of our board of directors due to his education and extensive experience as a director of companies in the technology and automotive industry.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Dr. Edward (Ed) H. Frank, Director</w:t>
      </w:r>
    </w:p>
    <w:p>
      <w:pPr>
        <w:spacing w:after="0" w:line="121"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Dr. Edward H. Frank, 68, has served as a member of our Board since January 2025 and as Lead Independent Director of our Board since March 2025, and previously served as a member of the board of directors of Legacy Blaize since December 2021. Dr. Frank has served as the Executive Chair of Gradient Technologies, an Identity and Access Management cybersecurity startup, and a member of the board of directors of Rocket Lab, since September 2022. In addition, he has served on the board of directors of Analog Devices and SiTime since July 2014 and November 2019, respectively.</w:t>
      </w:r>
    </w:p>
    <w:p>
      <w:pPr>
        <w:spacing w:after="0" w:line="164" w:lineRule="exact"/>
        <w:rPr>
          <w:sz w:val="20"/>
          <w:szCs w:val="20"/>
          <w:color w:val="auto"/>
        </w:rPr>
      </w:pPr>
    </w:p>
    <w:p>
      <w:pPr>
        <w:ind w:left="120" w:right="100" w:firstLine="440"/>
        <w:spacing w:after="0" w:line="273" w:lineRule="auto"/>
        <w:rPr>
          <w:sz w:val="20"/>
          <w:szCs w:val="20"/>
          <w:color w:val="auto"/>
        </w:rPr>
      </w:pPr>
      <w:r>
        <w:rPr>
          <w:rFonts w:ascii="Times New Roman" w:cs="Times New Roman" w:eastAsia="Times New Roman" w:hAnsi="Times New Roman"/>
          <w:sz w:val="17"/>
          <w:szCs w:val="17"/>
          <w:color w:val="auto"/>
        </w:rPr>
        <w:t>Previously, Dr. Frank served on the board of directors of Cavium, FusionIO, Marvell, and Quantenna and prior to Gradient Technologies, he was co-founder and CEO of Cloud Parity Inc., a voice-of-the-customer startup in the SF Bay Area, founded in late 2013. Dr. Frank is also a named inventor on over 50 issued patents and serves as an advisor to and/or board member of several startups. Dr. Frank holds a Bachelor’s of Science Degree and Master’s Degree in Electric Engineering from Stanford University and received a Ph.D. in Computer Science from Carnegie Mellon University, where he was a Hertz Foundation Fellow. He is a member of the National Academy of Engineering (NAE), a Fellow of the Institute for Electrical and Electronic Engineers (IEEE), and a Board Leadership Fellow of the National Association of Corporate Directors (NACD). We believe that Dr. Frank is qualified to serve as a member of the Board due to his education and extensive experience as a board member of companies in the technology space.</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Dr. Jüergen Hambrecht, Director</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Dr. Jüergen Hambrecht, 78, has served as a member of our Board since January 2025, and previously served as a member of the board of directors of Legacy Blaize since February 2022. From 2014 to 2020, Dr. Hambrecht served as the Chief Executive Officer and Chairman of the board of directors of BASF SE, a global supplier of chemicals for industries including construction and coatings, automotive, health and nutrition, among others. Since 2020, Dr. Hambrecht has served as a member of the board of directors for Nyxoah S.A. and as lead director of the board for AYA Gold &amp; Silver. Previously, from 2008 to 2021, he served as member of the board of directors and as a member on the presidential committee of Mercedes-Benz AG, a German multinational</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00"/>
          </w:cols>
          <w:pgMar w:left="320" w:top="455" w:right="4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automotive company and one of the world’s leading car manufacturers. In addition, Dr. Hambrecht served on the board of directors of Daimler Truck AG from 2019 to 2021. Dr. Hambrecht received a Doctorate in Chemistry from the University of Tübingen, Germany. We believe that Dr. Hambrecht is qualified to serve as a member of the Board due to his education and extensive experience as a board member of automotive and materials and supply companies.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George de Urioste, Director</w:t>
      </w:r>
    </w:p>
    <w:p>
      <w:pPr>
        <w:spacing w:after="0" w:line="12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George de Urioste, 69, has served as a member of our Board since January 2025. From August 2023 to present, he has served as a member of the board of directors of Roambee Corporation and from September 2021 to present, he has served on the board of directors of HeartBeam Inc. From October 2021 to present, Mr. de Urioste has performed a variety of consulting and advisor services, including interim chief financial officer of Mozilla Corporation and previously Marvell Technologies, Inc. From April 2019 to September 2020, he served as the chief financial officer of 4iQ, Inc., a cybersecurity intelligence company. His overall experience includes ten board of director roles, including several audit committee chairman roles and other committee roles. Mr. de Urioste received a Bachelor of Science in Accounting from the University of Southern California and a Master of Business Administration, Finance &amp; International Business, from the University of California at Berkeley and is a Certified Public Accountant (inactive). We believe that Mr. de Urioste is qualified to serve as a member of our board of directors due to his education and extensive experience as a CFO and COO at public and private companies, his public accounting experience at Deloitte and extensive experience as a director of companies in the technology industry.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Yoshiaki Fujimori, Director</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Yoshiaki Fujimori, 73, has served as a member of our Board since January 2025. Mr. Fujimori has served as an outside director for Takeda Pharmaceutical Company Limited since June 2016 and Boston Scientific Corporation since July 2016, and as an outside director and Chairman for Oracle Japan Corporation since August 2018. He is a partner of Corporate Support Research Institute Ltd. since July 2023. He serves as a Senior Executive Advisor for CVC Capital Partners Asia Pacific Japan Ltd. since February 2017. He serves as outside director for those portfolio companies of CVC including Riraku Co. Ltd., Torai Co. Ltd. and Sogo Medical Co. Ltd. He also serves as a Senior Executive Advisor for GENPACT Japan Ltd. since January 2018. He serves as a Senior Advisor for Deloitte-Tohmatsu Financial Advisory LLC since October 2020. He serves as a Senior Executive Advisor for DigitalBridge Group Inc. since September 2024. He owns controlling ownership of those private companies including Hobart Inc., Capital Z Inc., Future Leadership Platform Inc., and zSustainergy Inc. Previously he spent 25 years with General Electric for various CEO roles including CEO of GE Plastics, CEO of GE Healthcare Asia, CEO of GE Money Asia and CEO of GE Asia. He served as outside director for Toshiba Corporation from 2019 to 2021 and Shiseido Co. Ltd. from 2020 to 2022. Mr. Fujimori received a Bachelor of Science Degree in Petroleum Engineering from the University of Tokyo and a Master in Business Administration from Carnegie Mellon Graduate School of Business, where he serves as a member of the Board of Trustees. We believe that Mr. Fujimori is qualified to serve as a member of our board of directors due to his education, extensive leadership and director experiences for companies in the technology and manufacturing spaces.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Dinakar Munagala, Chief Executive Officer Director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biographical information above in the Directors section.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Harminder Sehmi, Chief Financial Officer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biographical information above in the Directors section.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structure our corporate governance in a manner we believe closely aligns our interests with those of our stockholders. Notable features of this corporate governance include:</w:t>
      </w:r>
    </w:p>
    <w:p>
      <w:pPr>
        <w:spacing w:after="0" w:line="67" w:lineRule="exact"/>
        <w:rPr>
          <w:sz w:val="20"/>
          <w:szCs w:val="20"/>
          <w:color w:val="auto"/>
        </w:rPr>
      </w:pPr>
    </w:p>
    <w:p>
      <w:pPr>
        <w:ind w:left="1080" w:right="16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independent director representation on our audit, compensation and nominating committees, and our independent directors meet regularly in executive sessions without the presence of our corporate officers or non-independent directors;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of our directors qualifies as an “audit committee financial expert” as defined by the SEC;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begun to and will continue to implement a range of other corporate governance best practices, including implementing a robust director education program.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Nasdaq listing standards require that a majority of the Board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The Company’s independent directors expect to have regularly scheduled meetings at which only independent directors are present. Any affiliated transactions will be on terms no less favorable to the Company than could be obtained from independent parties. Our Board will review and approve all affiliated transactions with any interested director abstaining from such review and approval.</w:t>
      </w:r>
    </w:p>
    <w:p>
      <w:pPr>
        <w:spacing w:after="0" w:line="187" w:lineRule="exact"/>
        <w:rPr>
          <w:sz w:val="20"/>
          <w:szCs w:val="20"/>
          <w:color w:val="auto"/>
        </w:rPr>
      </w:pPr>
    </w:p>
    <w:p>
      <w:pPr>
        <w:ind w:left="120" w:right="240" w:firstLine="440"/>
        <w:spacing w:after="0" w:line="255" w:lineRule="auto"/>
        <w:rPr>
          <w:sz w:val="20"/>
          <w:szCs w:val="20"/>
          <w:color w:val="auto"/>
        </w:rPr>
      </w:pPr>
      <w:r>
        <w:rPr>
          <w:rFonts w:ascii="Times New Roman" w:cs="Times New Roman" w:eastAsia="Times New Roman" w:hAnsi="Times New Roman"/>
          <w:sz w:val="18"/>
          <w:szCs w:val="18"/>
          <w:color w:val="auto"/>
        </w:rPr>
        <w:t>Based on information provided by each director concerning his or her background, employment and affiliations, the Board has determined that each of the directors, other than Dinakar Munagala and Lane Bess, do not have a relationship that would interfere with the exercise of independent judgment in carrying out the responsibilities of a director and that each of these directors is an “independent director” as defined in the Nasdaq listing standards and applicable SEC rules. In making these determinations, the Board considered the current and prior relationships that each non-employee director has with the Company and all other facts and circumstances that the Board deemed relevant in determining their independence, including the beneficial ownership of the Company’s capital stock by each non-employee director, and the transactions involving them. See “Certain Relationships and Related Persons Transactions.”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 Leadership Structure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Lane M. Bess serves as our Chairman of the Board and Edward Frank is the Board’s lead independent director. Our Board has adopted the Lead Independent Director Guidelines, pursuant to which the independent directors of the Board will elect from among themselves a lead independent director when the Chairperson of the Board is not an independent director. We do not have a formal policy as to whether the same person should serve as our Chairperson of the Board and Chief Executive Officer. Our Board has determined its leadership structure is appropriate and effective given our stage of development.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Composition of the Board of Directors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Our Board consists of seven (7) members, with each director having a term that expires at our annual meeting of stockholders in 2025 and when his or her respective successor is duly elected and qualified, or upon his or her earlier death, resignation, retirement or removal. There is no cumulative voting with respect to the election of directors, with the result that the holders of more than 50% of the shares voted for the election of directors can elect all of the directors. Lane M. Bess will serve as Chairman of the Board.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At each annual meeting of stockholders, the successors to our directors will be elected to serve from the time of election and qualification until the next annual meeting following their election and until their successors are duly elected and qualified, or their earlier resignation, removal, disqualification or death. Our directors may be removed for cause by the affirmative vote of the holders of at least sixty-six and two-thirds percent (66 2/3%) of our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Board directs the management of our business and affairs, as provided by Delaware law, and conducts its business through meetings of the Board and standing committees. The standing committees of our Board include an audit committee of the Board (the “Audit Committee”) and a compensation committee of the Board (the “Compensation Committee”), each of which operates under a charter that has been approved by our board of directors. Such charters are available on our website at https://ir.blaize.com/corporate-governance/documents-charters. The reference to our website address does not constitute incorporation by reference of the information contained at or available through our website. We have included our website address as an inactive textual reference only.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is primarily concerned with the effectiveness of our audits by our internal audit staff and by our independent auditors and is responsible for, among other things:</w:t>
      </w:r>
    </w:p>
    <w:p>
      <w:pPr>
        <w:spacing w:after="0" w:line="67" w:lineRule="exact"/>
        <w:rPr>
          <w:sz w:val="20"/>
          <w:szCs w:val="20"/>
          <w:color w:val="auto"/>
        </w:rPr>
      </w:pPr>
    </w:p>
    <w:p>
      <w:pPr>
        <w:ind w:left="1080" w:right="72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independence, compensation, retention, oversight and qualifications of our independent auditors and determining whether to retain our existing independent auditors or engage new independent auditors;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reporting processes and disclosure controls;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engagement of our independent auditors to perform audit services and any permissible non-audit services;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6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 policies and procedures, including reviewing, with the independent auditors, management’s plans with respect to the responsibilities, budget, staffing and effectiveness of our internal audit function, and reviewing and approving our head of internal audit (if established);</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the annual audit plan, including the scope of audit activities and all critical accounting policies and practices to be used by us;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9" w:lineRule="auto"/>
        <w:tabs>
          <w:tab w:leader="none" w:pos="10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reviewing at least annually (if required by applicable stock exchange listing requirements) or as otherwise determined, a report by our independent auditors describing the independent auditors’ internal quality-control procedures and any material issues raised by the most recent internal quality-control review, peer review, or any inquiry or investigation by governmental or professional authorities;</w:t>
      </w:r>
    </w:p>
    <w:p>
      <w:pPr>
        <w:spacing w:after="0" w:line="63"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clear hiring policies for employees or former employees of our independent auditors;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partners of our independent auditors on our engagement team as required by law;</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relationships that may reasonably be thought to bear on the independence of the committee, receiving and reviewing a letter from the independent auditor affirming their independence, discussing the potential effects of any such relationship, and assessing and otherwise taking the appropriate action to oversee the independence of our independent auditor;</w:t>
      </w:r>
    </w:p>
    <w:p>
      <w:pPr>
        <w:spacing w:after="0" w:line="81"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annual and quarterly financial statements and reports and discussing the statements and reports with our independent auditors and management;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00"/>
          </w:cols>
          <w:pgMar w:left="320" w:top="455" w:right="4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440" w:hanging="424"/>
        <w:spacing w:after="0" w:line="266"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auditors and management significant issues that arise regarding accounting principles and financial statement presentation and matters concerning the scope, adequacy and effectiveness of our financial controls and critical accounting policies;</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independent auditors any earnings announcements, disclosures and other financial information and guidance;</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review, retention and investigation of complaints received by us regarding financial controls, accounting, auditing or other matters;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our annual proxy statement;</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providing oversight of any related party transactions in accordance with our related party transaction policy and reviewing and monitoring compliance with legal and regulatory responsibilities, including our code of business conduct and ethics;</w:t>
      </w:r>
    </w:p>
    <w:p>
      <w:pPr>
        <w:spacing w:after="0" w:line="67" w:lineRule="exact"/>
        <w:rPr>
          <w:rFonts w:ascii="Times New Roman" w:cs="Times New Roman" w:eastAsia="Times New Roman" w:hAnsi="Times New Roman"/>
          <w:sz w:val="18"/>
          <w:szCs w:val="18"/>
          <w:color w:val="auto"/>
        </w:rPr>
      </w:pPr>
    </w:p>
    <w:p>
      <w:pPr>
        <w:ind w:left="1080" w:right="340" w:hanging="424"/>
        <w:spacing w:after="0" w:line="312" w:lineRule="auto"/>
        <w:tabs>
          <w:tab w:leader="none" w:pos="10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discussing with management risks related to data privacy, technology and information security, including cybersecurity, back-up of information systems, and policies and procedures that we have in place to monitor and control such exposures;</w:t>
      </w:r>
    </w:p>
    <w:p>
      <w:pPr>
        <w:spacing w:after="0" w:line="45" w:lineRule="exact"/>
        <w:rPr>
          <w:rFonts w:ascii="Times New Roman" w:cs="Times New Roman" w:eastAsia="Times New Roman" w:hAnsi="Times New Roman"/>
          <w:sz w:val="17"/>
          <w:szCs w:val="17"/>
          <w:color w:val="auto"/>
        </w:rPr>
      </w:pPr>
    </w:p>
    <w:p>
      <w:pPr>
        <w:ind w:left="108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major financial risk exposures, including the guidelines and policies to govern the process by which risk assessment and risk management is implemented;</w:t>
      </w:r>
    </w:p>
    <w:p>
      <w:pPr>
        <w:spacing w:after="0" w:line="67" w:lineRule="exact"/>
        <w:rPr>
          <w:rFonts w:ascii="Times New Roman" w:cs="Times New Roman" w:eastAsia="Times New Roman" w:hAnsi="Times New Roman"/>
          <w:sz w:val="18"/>
          <w:szCs w:val="18"/>
          <w:color w:val="auto"/>
        </w:rPr>
      </w:pPr>
    </w:p>
    <w:p>
      <w:pPr>
        <w:ind w:left="1080" w:right="440" w:hanging="424"/>
        <w:spacing w:after="0" w:line="266"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any analyses prepared by management or the independent auditors setting forth significant financial reporting issues and judgments made in connection with the preparation of the financial statements, including analyses of the effects of alternative GAAP methods on the financial statements;</w:t>
      </w:r>
    </w:p>
    <w:p>
      <w:pPr>
        <w:spacing w:after="0" w:line="81" w:lineRule="exact"/>
        <w:rPr>
          <w:rFonts w:ascii="Times New Roman" w:cs="Times New Roman" w:eastAsia="Times New Roman" w:hAnsi="Times New Roman"/>
          <w:sz w:val="18"/>
          <w:szCs w:val="18"/>
          <w:color w:val="auto"/>
        </w:rPr>
      </w:pPr>
    </w:p>
    <w:p>
      <w:pPr>
        <w:ind w:left="1080" w:right="280" w:hanging="424"/>
        <w:spacing w:after="0" w:line="261"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independent auditors any disagreement between them regarding financial reporting, accounting practices or policies, or other matters, that individually or in the aggregate could be significant to our financial statements or the independent auditor’s report, reviewing management’s response, and resolving any other conflicts or disagreements regarding financial reporting;</w:t>
      </w:r>
    </w:p>
    <w:p>
      <w:pPr>
        <w:spacing w:after="0" w:line="85" w:lineRule="exact"/>
        <w:rPr>
          <w:rFonts w:ascii="Times New Roman" w:cs="Times New Roman" w:eastAsia="Times New Roman" w:hAnsi="Times New Roman"/>
          <w:sz w:val="18"/>
          <w:szCs w:val="18"/>
          <w:color w:val="auto"/>
        </w:rPr>
      </w:pPr>
    </w:p>
    <w:p>
      <w:pPr>
        <w:ind w:left="1080" w:right="420" w:hanging="424"/>
        <w:spacing w:after="0" w:line="266"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reviewing with management, the independent auditors, and outside advisors or accountants any correspondence with regulators or governmental agencies and any published reports that raise material issues regarding Blaize’s financial statements or accounting policies;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legal and regulatory compliance and any material current, pending or threatened legal matters;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Audit Committee and the audit committee charter.</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Audit Committee consists of George de Urioste, Edward Frank and Tony Cannestra, with George de Urioste serving as chair. Rule 10A-3 of the Exchange Act and Nasdaq rules require that our Audit Committee must be composed entirely of independent members. Our Board has affirmatively determined that George de Urioste, Edward Frank and Tony Cannestra each meet the definition of “independent director” for purposes of serving on the Audit Committee under Rule 10A-3 of the Exchange Act and Nasdaq rules. Each member of our Audit Committee also meets the financial literacy requirements of Nasdaq listing standards. In addition, our Board has determined that George de Urioste qualifies as an “audit committee financial expert,” as such term is defined in Item 407(d)(5) of Regulation S-K. Our Board adopted a written charter for the Audit Committee, which is available on our corporate website at www.blaize.com. The information on any of our websites is deemed not to be incorporated in this prospectus or to be part of this prospectus.</w:t>
      </w:r>
    </w:p>
    <w:p>
      <w:pPr>
        <w:spacing w:after="0" w:line="192"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The Audit Committee meets with our independent auditors at least quarterly to discuss the results of the annual audit or interim periodic reviews and to review the financial statements; appoints the independent auditors to be retained; oversees the independence of the independent accountants; evaluates the independent auditors’ performance; approves fees paid to independent auditors and receives and considers the independent auditors’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00"/>
          </w:cols>
          <w:pgMar w:left="320" w:top="455" w:right="4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comments as to controls, adequacy of staff and management performance and procedures in connection with audit and financial controls. The Audit Committee did not meet during fiscal year 2024 as it was formed upon the closing of the Business Combination on January 13, 2025.</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Compensation Committee is primarily concerned with overall compensation strategy and policies and is responsible for, among other things:</w:t>
      </w:r>
    </w:p>
    <w:p>
      <w:pPr>
        <w:spacing w:after="0" w:line="131" w:lineRule="exact"/>
        <w:rPr>
          <w:sz w:val="20"/>
          <w:szCs w:val="20"/>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goals and objectives that pertain to our overall compensation strategy and policies;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annually the compensation and other terms of employment of our executive officers and other members of senior management, in the Compensation Committee’s discretion;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type and amount of compensation to be paid or awarded to our non-employee board members;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incentive plans and other benefit plans;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terms of any employment agreements, severance arrangements, change in control protections, indemnification agreements and any other material arrangements with our executive officers and other members of senior management, in the Compensation Committee’s discretion;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appropriate insurance coverage for our directors and officers;</w:t>
      </w:r>
    </w:p>
    <w:p>
      <w:pPr>
        <w:spacing w:after="0" w:line="128" w:lineRule="exact"/>
        <w:rPr>
          <w:rFonts w:ascii="Times New Roman" w:cs="Times New Roman" w:eastAsia="Times New Roman" w:hAnsi="Times New Roman"/>
          <w:sz w:val="18"/>
          <w:szCs w:val="18"/>
          <w:color w:val="auto"/>
        </w:rPr>
      </w:pPr>
    </w:p>
    <w:p>
      <w:pPr>
        <w:ind w:left="1080" w:right="340" w:hanging="424"/>
        <w:spacing w:after="0" w:line="315" w:lineRule="auto"/>
        <w:tabs>
          <w:tab w:leader="none" w:pos="10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discussing with management our disclosures under the caption “</w:t>
      </w:r>
      <w:r>
        <w:rPr>
          <w:rFonts w:ascii="Times New Roman" w:cs="Times New Roman" w:eastAsia="Times New Roman" w:hAnsi="Times New Roman"/>
          <w:sz w:val="17"/>
          <w:szCs w:val="17"/>
          <w:i w:val="1"/>
          <w:iCs w:val="1"/>
          <w:color w:val="auto"/>
        </w:rPr>
        <w:t>Compensation Discussion and Analysis</w:t>
      </w:r>
      <w:r>
        <w:rPr>
          <w:rFonts w:ascii="Times New Roman" w:cs="Times New Roman" w:eastAsia="Times New Roman" w:hAnsi="Times New Roman"/>
          <w:sz w:val="17"/>
          <w:szCs w:val="17"/>
          <w:color w:val="auto"/>
        </w:rPr>
        <w:t>” in our periodic reports or proxy statements to be filed with the SEC, to the extent such caption is included in any such report or proxy statement;</w:t>
      </w:r>
    </w:p>
    <w:p>
      <w:pPr>
        <w:spacing w:after="0" w:line="42"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 annual report on executive compensation that the SEC requires in our annual proxy statement;</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practices and policies for employee compensation as related to risk management and risk-taking incentives to determine if such compensation policies and practices are reasonably likely to have a material adverse effect on us;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monitoring stock ownership guidelines for our directors and executive officers, if and as determined to be necessary or appropriate;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recommendations to our Board on compensation-related proposals to be considered at our annual meeting of stockholders;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if appropriate, the independence of and any conflicts of interest raised by the work of a compensation consultant, outside legal counsel, or advisor hired by the compensation committee or management and how such conflict is being addressed for disclosure in the appropriate filing or report;</w:t>
      </w:r>
    </w:p>
    <w:p>
      <w:pPr>
        <w:spacing w:after="0" w:line="81"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discussing with management our human capital management practices with respect to its employees and, where applicable, independent contractors;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modifying, as needed, clawback policies allowing us to recoup improper compensation paid to employees;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Compensation Committee and recommending such changes as deemed necessary with our Board</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consists of Edward Frank, George de Urioste and Tony Cannestra, with Edward Frank serving as chair. Our Board has affirmatively determined that Edward Frank, George de Urioste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40"/>
          </w:cols>
          <w:pgMar w:left="320" w:top="455"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and Tony Cannestra each meet the definition of “independent director” for purposes of serving on the Compensation Committee under Nasdaq rules, and are “non-employee directors” as defined in Rule 16b-3 of the Exchange Act. Our Board adopted a written charter for the Compensation Committee, which is available on our corporate website at www.blaize.com The information on any of our websites is deemed not to be incorporated in this prospectus or to be part of this prospectus.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Nomination of Directors</w:t>
      </w:r>
    </w:p>
    <w:p>
      <w:pPr>
        <w:spacing w:after="0" w:line="11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do not have a nominating and corporate governance committee of the Board. Pursuant to Nasdaq Rule 5605-6(e)(1), the nomination of directors is made, or recommended to the Board by a majority of our independent directors. We may in the future establish a nominating and corporate governance committee for the nomination of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our Board in Risk Oversight/Risk Committee</w:t>
      </w:r>
    </w:p>
    <w:p>
      <w:pPr>
        <w:spacing w:after="0" w:line="121"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Our board of directors is responsible for overseeing our risk management process. Our board of directors does not have a standing risk management committee, but rather anticipates administering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will have the responsibility to consider and discuss our major financial risk exposures and the steps its management will take to monitor and control such exposures, including guidelines and policies to govern the process by which risk assessment and management is undertaken. The audit committee also monitors compliance with legal and regulatory requirements. Our compensation committee assesses and monitors whether our compensation plans, policies and programs comply with applicable legal and regulatory requirements.</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None of our members of our Compensation Committee has ever been an executive officer or employee of Blaize. None of our executive officers currently serve, or has served during the last completed fiscal year, on the compensation committee or board of directors of any other entity that has one or more executive officers that will serve as a member of our Board or Compensation Committee.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for Employees, Executive Officers and Directors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adopted a written code of business conduct and ethics that applies to our directors, officers and employees. A copy of the code is posted on our corporate website at www.blaize.com/investors/. Information contained on or accessible through our website is not a part of this prospectus, and the inclusion of our website address in this prospectus is an inactive textual reference only. The nominating and corporate governance committee of our Board is responsible for overseeing the Code of Conduct and must approve any waivers of the Code of Conduct for employees, executive officers and directors. Any amendments to the Code of Conduct, or any waivers of its requirements, will be disclosed on our website.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21"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Our Third Amended and Restated Certificate of Incorporation limits the liability of the directors and officers of Blaize to the fullest extent permitted by law, and our Amended and Restated Bylaws provide that we will indemnify them to the fullest extent permitted by such law. We have entered and expect to continue to enter into agreements to indemnify our directors, executive officers and other employees as determined by our Board.</w:t>
      </w:r>
    </w:p>
    <w:p>
      <w:pPr>
        <w:spacing w:after="0" w:line="158"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such indemnification agreements, we are required to, among other things, indemnify each of our directors and officers for certain expenses, including attorneys’ fees, judgments, fines, ERISA excise taxes or penalties and settlement amounts, to the fullest extent permitted by applicable law, if the basis of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indemnitee’s involvement was by reason of the fact that the indemnitee, or a person for whom he or she is the legal representative, is or was a director or officer of Blaize or any of its subsidiaries or is or was serving at our request as a director, officer, employee or agent for another entity. The indemnification agreements also require us, to the fullest extent not prohibited by law and if so requested, to advance within thirty (30) days of such request all expenses that any of the indemnitees incurred, provided that such indemnitee will return any such advance if it is ultimately determined that such indemnitee is not entitled to indemnification by us. Any claims for indemnification by our directors and officers may reduce our available funds to satisfy successful third-party claims against us and may reduce the amount of money available to us.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Blaize maintains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its directors or officers. The coverage provided by these policies may apply whether or not the Company would have the power to indemnify such person against such liability under the provisions of the DGCL. At present, we are not aware of any pending litigation or proceeding involving any person who will be one of the Company’s directors or officers or is or was one of its directors or officers, or is or was one of its directors or officers serving at its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of corporations and their stockholders for monetary damages for breaches of directors’ fiduciary duties, subject to certain exceptions. Our Third Amended and Restated Certificate of Incorporation includes a provision that eliminates the personal liability of directors for damages for any breach of fiduciary duty as a director where, in civil proceedings, the person acted in good faith and in a manner that person reasonably believed to be in or not opposed to the best interests of our Company or, in criminal proceedings, where the person had no reasonable cause to believe that his or her conduct was unlawful.</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limitation of liability, advancement and indemnification provisions in our Third Amended and Restated Certificate of Incorporation and our Amended and Restated Bylaws may discourage stockholders from bringing lawsuit against directors for breach of their fiduciary duty. These provisions also may have the effect of reducing the likelihood of derivative litigation against directors and officers, even though such an action, if successful, might otherwise benefit Blaize and our stockholders. In addition, your investment may be adversely affected to the extent Blaize pays the costs of settlement and damage awards against directors and officer pursuant to these indemnification provisions.</w:t>
      </w:r>
    </w:p>
    <w:p>
      <w:pPr>
        <w:spacing w:after="0" w:line="183" w:lineRule="exact"/>
        <w:rPr>
          <w:sz w:val="20"/>
          <w:szCs w:val="20"/>
          <w:color w:val="auto"/>
        </w:rPr>
      </w:pPr>
    </w:p>
    <w:p>
      <w:pPr>
        <w:ind w:left="120" w:right="1100" w:firstLine="440"/>
        <w:spacing w:after="0" w:line="282" w:lineRule="auto"/>
        <w:rPr>
          <w:sz w:val="20"/>
          <w:szCs w:val="20"/>
          <w:color w:val="auto"/>
        </w:rPr>
      </w:pPr>
      <w:r>
        <w:rPr>
          <w:rFonts w:ascii="Times New Roman" w:cs="Times New Roman" w:eastAsia="Times New Roman" w:hAnsi="Times New Roman"/>
          <w:sz w:val="18"/>
          <w:szCs w:val="18"/>
          <w:color w:val="auto"/>
        </w:rPr>
        <w:t>There is currently no pending material litigation or proceeding involving any of Blaize’s directors, officers, or employees for which indemnification is sought.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BLAIZE’S EXECUTIVE COMPENSATION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Throughout this section, unless otherwise noted, “the company,” “we,” “us,” “our” and similar terms refer to Blaize prior to the Closing.</w:t>
      </w:r>
    </w:p>
    <w:p>
      <w:pPr>
        <w:spacing w:after="0" w:line="225"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Blaize’s executive officers who are named in the “Summary Compensation Table” below. In 2024, Blaize’s “named executive officers” and their positions were as follows:</w:t>
      </w:r>
    </w:p>
    <w:p>
      <w:pPr>
        <w:spacing w:after="0" w:line="67" w:lineRule="exact"/>
        <w:rPr>
          <w:sz w:val="20"/>
          <w:szCs w:val="20"/>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Dinakar Munagala,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 Cook, Chief Software Architect;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Santiago Fernandez-Gomez, Vice President of Platform Engineering.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Blaize’s named executive officers for the year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3600" w:type="dxa"/>
            <w:vAlign w:val="bottom"/>
            <w:vMerge w:val="restart"/>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6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60" w:type="dxa"/>
            <w:vAlign w:val="bottom"/>
            <w:tcBorders>
              <w:bottom w:val="single" w:sz="8" w:color="auto"/>
            </w:tcBorders>
            <w:vMerge w:val="continue"/>
          </w:tcPr>
          <w:p>
            <w:pPr>
              <w:spacing w:after="0"/>
              <w:rPr>
                <w:sz w:val="12"/>
                <w:szCs w:val="12"/>
                <w:color w:val="auto"/>
              </w:rPr>
            </w:pPr>
          </w:p>
        </w:tc>
        <w:tc>
          <w:tcPr>
            <w:tcW w:w="3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Year</w:t>
            </w:r>
          </w:p>
        </w:tc>
        <w:tc>
          <w:tcPr>
            <w:tcW w:w="260" w:type="dxa"/>
            <w:vAlign w:val="bottom"/>
          </w:tcPr>
          <w:p>
            <w:pPr>
              <w:spacing w:after="0"/>
              <w:rPr>
                <w:sz w:val="12"/>
                <w:szCs w:val="12"/>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 xml:space="preserve">Salary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600" w:type="dxa"/>
            <w:vAlign w:val="bottom"/>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 xml:space="preserve">Bonus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80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4"/>
                <w:szCs w:val="14"/>
                <w:b w:val="1"/>
                <w:bCs w:val="1"/>
                <w:color w:val="auto"/>
                <w:vertAlign w:val="superscript"/>
              </w:rPr>
              <w:t>(1)</w:t>
            </w:r>
          </w:p>
        </w:tc>
        <w:tc>
          <w:tcPr>
            <w:tcW w:w="240" w:type="dxa"/>
            <w:vAlign w:val="bottom"/>
          </w:tcPr>
          <w:p>
            <w:pPr>
              <w:spacing w:after="0"/>
              <w:rPr>
                <w:sz w:val="12"/>
                <w:szCs w:val="12"/>
                <w:color w:val="auto"/>
              </w:rPr>
            </w:pPr>
          </w:p>
        </w:tc>
        <w:tc>
          <w:tcPr>
            <w:tcW w:w="900" w:type="dxa"/>
            <w:vAlign w:val="bottom"/>
            <w:tcBorders>
              <w:top w:val="single" w:sz="8" w:color="auto"/>
            </w:tcBorders>
          </w:tcPr>
          <w:p>
            <w:pPr>
              <w:jc w:val="right"/>
              <w:ind w:right="218"/>
              <w:spacing w:after="0" w:line="122" w:lineRule="exact"/>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4"/>
                <w:szCs w:val="14"/>
                <w:b w:val="1"/>
                <w:bCs w:val="1"/>
                <w:color w:val="auto"/>
                <w:vertAlign w:val="superscript"/>
              </w:rPr>
              <w:t>(2)</w:t>
            </w:r>
          </w:p>
        </w:tc>
        <w:tc>
          <w:tcPr>
            <w:tcW w:w="260" w:type="dxa"/>
            <w:vAlign w:val="bottom"/>
          </w:tcPr>
          <w:p>
            <w:pPr>
              <w:spacing w:after="0"/>
              <w:rPr>
                <w:sz w:val="12"/>
                <w:szCs w:val="12"/>
                <w:color w:val="auto"/>
              </w:rPr>
            </w:pPr>
          </w:p>
        </w:tc>
        <w:tc>
          <w:tcPr>
            <w:tcW w:w="780" w:type="dxa"/>
            <w:vAlign w:val="bottom"/>
          </w:tcPr>
          <w:p>
            <w:pPr>
              <w:jc w:val="right"/>
              <w:ind w:right="153"/>
              <w:spacing w:after="0" w:line="12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3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Dinakar Munagala</w:t>
            </w: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2024</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595,833</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3,798,428</w:t>
            </w:r>
          </w:p>
        </w:tc>
        <w:tc>
          <w:tcPr>
            <w:tcW w:w="2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4,394,285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8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300,000</w:t>
            </w:r>
          </w:p>
        </w:tc>
        <w:tc>
          <w:tcPr>
            <w:tcW w:w="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— </w:t>
            </w: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1,337,142</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1,637,167</w:t>
            </w:r>
          </w:p>
        </w:tc>
        <w:tc>
          <w:tcPr>
            <w:tcW w:w="0" w:type="dxa"/>
            <w:vAlign w:val="bottom"/>
          </w:tcPr>
          <w:p>
            <w:pPr>
              <w:spacing w:after="0"/>
              <w:rPr>
                <w:sz w:val="1"/>
                <w:szCs w:val="1"/>
                <w:color w:val="auto"/>
              </w:rPr>
            </w:pPr>
          </w:p>
        </w:tc>
      </w:tr>
      <w:tr>
        <w:trPr>
          <w:trHeight w:val="196"/>
        </w:trPr>
        <w:tc>
          <w:tcPr>
            <w:tcW w:w="536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Val Cook</w:t>
            </w:r>
          </w:p>
        </w:tc>
        <w:tc>
          <w:tcPr>
            <w:tcW w:w="880" w:type="dxa"/>
            <w:vAlign w:val="bottom"/>
            <w:gridSpan w:val="3"/>
          </w:tcPr>
          <w:p>
            <w:pPr>
              <w:ind w:left="260"/>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900" w:type="dxa"/>
            <w:vAlign w:val="bottom"/>
            <w:gridSpan w:val="2"/>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rPr>
              <w:t>397,570</w:t>
            </w:r>
          </w:p>
        </w:tc>
        <w:tc>
          <w:tcPr>
            <w:tcW w:w="600" w:type="dxa"/>
            <w:vAlign w:val="bottom"/>
          </w:tcPr>
          <w:p>
            <w:pPr>
              <w:ind w:left="320"/>
              <w:spacing w:after="0" w:line="195" w:lineRule="exact"/>
              <w:rPr>
                <w:sz w:val="20"/>
                <w:szCs w:val="20"/>
                <w:color w:val="auto"/>
              </w:rPr>
            </w:pPr>
            <w:r>
              <w:rPr>
                <w:rFonts w:ascii="Times New Roman" w:cs="Times New Roman" w:eastAsia="Times New Roman" w:hAnsi="Times New Roman"/>
                <w:sz w:val="18"/>
                <w:szCs w:val="18"/>
                <w:color w:val="auto"/>
                <w:w w:val="96"/>
              </w:rPr>
              <w:t>— </w:t>
            </w:r>
          </w:p>
        </w:tc>
        <w:tc>
          <w:tcPr>
            <w:tcW w:w="1280" w:type="dxa"/>
            <w:vAlign w:val="bottom"/>
            <w:gridSpan w:val="3"/>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781,714</w:t>
            </w:r>
          </w:p>
        </w:tc>
        <w:tc>
          <w:tcPr>
            <w:tcW w:w="1160" w:type="dxa"/>
            <w:vAlign w:val="bottom"/>
            <w:gridSpan w:val="2"/>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rPr>
              <w:t>24</w:t>
            </w:r>
          </w:p>
        </w:tc>
        <w:tc>
          <w:tcPr>
            <w:tcW w:w="840" w:type="dxa"/>
            <w:vAlign w:val="bottom"/>
            <w:gridSpan w:val="2"/>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1,179,308</w:t>
            </w:r>
          </w:p>
        </w:tc>
        <w:tc>
          <w:tcPr>
            <w:tcW w:w="0" w:type="dxa"/>
            <w:vAlign w:val="bottom"/>
          </w:tcPr>
          <w:p>
            <w:pPr>
              <w:spacing w:after="0"/>
              <w:rPr>
                <w:sz w:val="1"/>
                <w:szCs w:val="1"/>
                <w:color w:val="auto"/>
              </w:rPr>
            </w:pPr>
          </w:p>
        </w:tc>
      </w:tr>
      <w:tr>
        <w:trPr>
          <w:trHeight w:val="236"/>
        </w:trPr>
        <w:tc>
          <w:tcPr>
            <w:tcW w:w="536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Chief Software Architect</w:t>
            </w:r>
          </w:p>
        </w:tc>
        <w:tc>
          <w:tcPr>
            <w:tcW w:w="8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225,000</w:t>
            </w: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— </w:t>
            </w: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476,724</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701,749</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Santiago Fernandez-Gomez</w:t>
            </w:r>
          </w:p>
        </w:tc>
        <w:tc>
          <w:tcPr>
            <w:tcW w:w="8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447,917</w:t>
            </w:r>
          </w:p>
        </w:tc>
        <w:tc>
          <w:tcPr>
            <w:tcW w:w="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— </w:t>
            </w: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730,817</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1,178,758</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Vice President of Platform Engineering</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60" w:hanging="424"/>
        <w:spacing w:after="0" w:line="255"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full fair value of stock options granted during 2024 as of the date on which the options were approved by the Board computed in accordance with ASC Topic 718, rather than the amounts paid to or realized by the named individual. Assumptions used to calculate the value of all option awards made to the named executive officers are included in Notes 2 and 12 to Blaize’s consolidated financial statements included with this prospectus.</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aggregate dollar value of life insurance premiums paid by Blaize with respect to each named executive officer during 2024.</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NARRATIVE TO SUMMARY COMPENSATION TABLE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Salaries</w:t>
      </w:r>
    </w:p>
    <w:p>
      <w:pPr>
        <w:spacing w:after="0" w:line="121" w:lineRule="exact"/>
        <w:rPr>
          <w:sz w:val="20"/>
          <w:szCs w:val="20"/>
          <w:color w:val="auto"/>
        </w:rPr>
      </w:pPr>
    </w:p>
    <w:p>
      <w:pPr>
        <w:ind w:left="120" w:right="300" w:firstLine="440"/>
        <w:spacing w:after="0" w:line="272" w:lineRule="auto"/>
        <w:rPr>
          <w:sz w:val="20"/>
          <w:szCs w:val="20"/>
          <w:color w:val="auto"/>
        </w:rPr>
      </w:pPr>
      <w:r>
        <w:rPr>
          <w:rFonts w:ascii="Times New Roman" w:cs="Times New Roman" w:eastAsia="Times New Roman" w:hAnsi="Times New Roman"/>
          <w:sz w:val="17"/>
          <w:szCs w:val="17"/>
          <w:color w:val="auto"/>
        </w:rPr>
        <w:t>The named executive officers receive a base salary to compensate them for services rendered to Blaize. The base salary payable to each named executive officer is intended to provide a fixed component of compensation reflecting the executive’s skill set, experience, role and responsibilities. During 2024, Blaize’s named executive officers’ annual base salaries were as follows: Mr. Munagala: $600,000; Mr. Cook: $400,000; and</w:t>
      </w:r>
    </w:p>
    <w:p>
      <w:pPr>
        <w:spacing w:after="0" w:line="2"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Mr. Fernandez-Gomez: $450,000. The Summary Compensation Table above shows the actual base salaries paid to each named executive officer in fiscal year 2024.</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Certain of Blaize’s named executive officers hold options to purchase shares of common stock of Blaize which were granted under the 2011 Stock Plan. On October 24, 2024, we granted each of Messrs. Munagala, Cook, and Fernandez-Gomez stock options covering 7,379,065, 1,517,044, and 1,418,448 shares of Blaize common stock, respectively.</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40"/>
          </w:cols>
          <w:pgMar w:left="320" w:top="455"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options granted to the named executive officers in 2024 vest and become exercisable with respect to one-third (1/3rd) of the shares subject to the option on the first anniversary of the vesting commencement date and with respect to one-thirty-sixth (1/36th) of the shares subject to the option on each monthly anniversary of the vesting commencement date thereafter, subject to continued service through the applicable vesting date. The options granted to Messrs. Munagala and Cook are also subject to accelerated vesting upon certain terminations of their employment with Blaize pursuant to their offer letters as described in the section titled “</w:t>
      </w:r>
      <w:r>
        <w:rPr>
          <w:rFonts w:ascii="Times New Roman" w:cs="Times New Roman" w:eastAsia="Times New Roman" w:hAnsi="Times New Roman"/>
          <w:sz w:val="18"/>
          <w:szCs w:val="18"/>
          <w:i w:val="1"/>
          <w:iCs w:val="1"/>
          <w:color w:val="auto"/>
        </w:rPr>
        <w:t>Offer Letters</w:t>
      </w:r>
      <w:r>
        <w:rPr>
          <w:rFonts w:ascii="Times New Roman" w:cs="Times New Roman" w:eastAsia="Times New Roman" w:hAnsi="Times New Roman"/>
          <w:sz w:val="18"/>
          <w:szCs w:val="18"/>
          <w:color w:val="auto"/>
        </w:rPr>
        <w:t>” below.</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we adopted, and our stockholders approved, a 2025 Incentive Award Plan and an Employee Stock Purchase Plan, each of which became effective upon the closing of the Business Combination. No further awards have been or will be granted under the 2011 Stock Plan following the closing of the Business Combination.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Elements of Compensation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Retirement Plan</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Blaize currently maintains a 401(k) retirement savings plan for its employees, including its named executive officers, who satisfy certain eligibility requirements. The Internal Revenue Code allows eligible employees to defer a portion of their compensation, within prescribed limits, on a pre-tax basis through contributions to the 401(k) plan. We believe that providing a vehicle for tax-deferred retirement savings though a 401(k) plan adds to the overall desirability of its executive compensation package and further incentivizes our employees, including its named executive officers, in accordance with its compensation policies.</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Employee Benefits and Perquisites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of our full-time employees, including our named executive officers, are eligible to participate in our health and welfare plans, including:</w:t>
      </w:r>
    </w:p>
    <w:p>
      <w:pPr>
        <w:spacing w:after="0" w:line="131" w:lineRule="exact"/>
        <w:rPr>
          <w:sz w:val="20"/>
          <w:szCs w:val="20"/>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dental and vision benefits;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and long-term disability insurance;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life and accidental death and dismemberment insurance.</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believe these benefits are appropriate and provide a competitive compensation package to our named executive officers. We do not currently, and we did not during 2024, provide material perquisites to any of our named executive officers.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 Tax Gross-Ups</w:t>
      </w:r>
    </w:p>
    <w:p>
      <w:pPr>
        <w:spacing w:after="0" w:line="119" w:lineRule="exact"/>
        <w:rPr>
          <w:sz w:val="20"/>
          <w:szCs w:val="20"/>
          <w:color w:val="auto"/>
        </w:rPr>
      </w:pPr>
    </w:p>
    <w:p>
      <w:pPr>
        <w:ind w:left="120" w:right="920" w:firstLine="440"/>
        <w:spacing w:after="0" w:line="282" w:lineRule="auto"/>
        <w:rPr>
          <w:sz w:val="20"/>
          <w:szCs w:val="20"/>
          <w:color w:val="auto"/>
        </w:rPr>
      </w:pPr>
      <w:r>
        <w:rPr>
          <w:rFonts w:ascii="Times New Roman" w:cs="Times New Roman" w:eastAsia="Times New Roman" w:hAnsi="Times New Roman"/>
          <w:sz w:val="18"/>
          <w:szCs w:val="18"/>
          <w:color w:val="auto"/>
        </w:rPr>
        <w:t>Blaize does not make gross-up payments to cover our named executive officers’ personal income taxes that may pertain to any of the compensation or perquisites paid or provided by our company.</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60"/>
          </w:cols>
          <w:pgMar w:left="320" w:top="455" w:right="5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number of shares of common stock underlying outstanding equity incentive plan awards for each named executive officer as of December 31, 2024. The share numbers and exercise prices below are those in effect as of December 31, 2024 and have not been adjusted to reflect the adjustments to our equity awards that occurred upon the closing of the Business Combination.</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center"/>
              <w:ind w:right="33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13"/>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180" w:type="dxa"/>
            <w:vAlign w:val="bottom"/>
            <w:gridSpan w:val="2"/>
          </w:tcPr>
          <w:p>
            <w:pPr>
              <w:jc w:val="right"/>
              <w:ind w:right="373"/>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80" w:type="dxa"/>
            <w:vAlign w:val="bottom"/>
            <w:gridSpan w:val="2"/>
          </w:tcPr>
          <w:p>
            <w:pPr>
              <w:jc w:val="center"/>
              <w:ind w:right="333"/>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00" w:type="dxa"/>
            <w:vAlign w:val="bottom"/>
            <w:gridSpan w:val="2"/>
            <w:vMerge w:val="continue"/>
          </w:tcPr>
          <w:p>
            <w:pPr>
              <w:spacing w:after="0"/>
              <w:rPr>
                <w:sz w:val="12"/>
                <w:szCs w:val="12"/>
                <w:color w:val="auto"/>
              </w:rPr>
            </w:pPr>
          </w:p>
        </w:tc>
        <w:tc>
          <w:tcPr>
            <w:tcW w:w="10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56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1180" w:type="dxa"/>
            <w:vAlign w:val="bottom"/>
            <w:gridSpan w:val="2"/>
          </w:tcPr>
          <w:p>
            <w:pPr>
              <w:jc w:val="right"/>
              <w:ind w:right="373"/>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60" w:type="dxa"/>
            <w:vAlign w:val="bottom"/>
            <w:vMerge w:val="continue"/>
          </w:tcPr>
          <w:p>
            <w:pPr>
              <w:spacing w:after="0"/>
              <w:rPr>
                <w:sz w:val="13"/>
                <w:szCs w:val="13"/>
                <w:color w:val="auto"/>
              </w:rPr>
            </w:pPr>
          </w:p>
        </w:tc>
        <w:tc>
          <w:tcPr>
            <w:tcW w:w="25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110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180" w:type="dxa"/>
            <w:vAlign w:val="bottom"/>
            <w:gridSpan w:val="2"/>
          </w:tcPr>
          <w:p>
            <w:pPr>
              <w:jc w:val="right"/>
              <w:ind w:right="373"/>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26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11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c>
          <w:tcPr>
            <w:tcW w:w="10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Dinakar Munagala</w:t>
            </w:r>
          </w:p>
        </w:tc>
        <w:tc>
          <w:tcPr>
            <w:tcW w:w="1280" w:type="dxa"/>
            <w:vAlign w:val="bottom"/>
            <w:gridSpan w:val="4"/>
            <w:shd w:val="clear" w:color="auto" w:fill="CCEEFF"/>
          </w:tcPr>
          <w:p>
            <w:pPr>
              <w:jc w:val="right"/>
              <w:ind w:right="240"/>
              <w:spacing w:after="0" w:line="203" w:lineRule="exact"/>
              <w:rPr>
                <w:sz w:val="20"/>
                <w:szCs w:val="20"/>
                <w:color w:val="auto"/>
              </w:rPr>
            </w:pPr>
            <w:r>
              <w:rPr>
                <w:rFonts w:ascii="Times New Roman" w:cs="Times New Roman" w:eastAsia="Times New Roman" w:hAnsi="Times New Roman"/>
                <w:sz w:val="18"/>
                <w:szCs w:val="18"/>
                <w:color w:val="auto"/>
              </w:rPr>
              <w:t>3/15/2017</w:t>
            </w:r>
          </w:p>
        </w:tc>
        <w:tc>
          <w:tcPr>
            <w:tcW w:w="10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1/1/2017</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147,000</w:t>
            </w:r>
          </w:p>
        </w:tc>
        <w:tc>
          <w:tcPr>
            <w:tcW w:w="40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w w:val="92"/>
              </w:rPr>
              <w:t>(1)</w:t>
            </w: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3/14/2027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11/12/2018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9/1/2018</w:t>
            </w:r>
          </w:p>
        </w:tc>
        <w:tc>
          <w:tcPr>
            <w:tcW w:w="1180" w:type="dxa"/>
            <w:vAlign w:val="bottom"/>
            <w:gridSpan w:val="2"/>
            <w:shd w:val="clear" w:color="auto" w:fill="CCEEFF"/>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226,305</w:t>
            </w:r>
            <w:r>
              <w:rPr>
                <w:rFonts w:ascii="Times New Roman" w:cs="Times New Roman" w:eastAsia="Times New Roman" w:hAnsi="Times New Roman"/>
                <w:sz w:val="25"/>
                <w:szCs w:val="25"/>
                <w:color w:val="auto"/>
                <w:vertAlign w:val="superscript"/>
              </w:rPr>
              <w:t>(1)</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11.40</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11/11/2028</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9/19/2023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9/19/2023</w:t>
            </w:r>
          </w:p>
        </w:tc>
        <w:tc>
          <w:tcPr>
            <w:tcW w:w="1180" w:type="dxa"/>
            <w:vAlign w:val="bottom"/>
            <w:gridSpan w:val="2"/>
            <w:shd w:val="clear" w:color="auto" w:fill="CCEEFF"/>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2,197,372</w:t>
            </w:r>
            <w:r>
              <w:rPr>
                <w:rFonts w:ascii="Times New Roman" w:cs="Times New Roman" w:eastAsia="Times New Roman" w:hAnsi="Times New Roman"/>
                <w:sz w:val="25"/>
                <w:szCs w:val="25"/>
                <w:color w:val="auto"/>
                <w:vertAlign w:val="superscript"/>
              </w:rPr>
              <w:t>(2)</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3,124,027</w:t>
            </w: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0.44</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9/18/2033</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10/24/2024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7/1/2024</w:t>
            </w:r>
          </w:p>
        </w:tc>
        <w:tc>
          <w:tcPr>
            <w:tcW w:w="1180" w:type="dxa"/>
            <w:vAlign w:val="bottom"/>
            <w:gridSpan w:val="2"/>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jc w:val="right"/>
              <w:ind w:right="240"/>
              <w:spacing w:after="0" w:line="216" w:lineRule="exact"/>
              <w:rPr>
                <w:sz w:val="20"/>
                <w:szCs w:val="20"/>
                <w:color w:val="auto"/>
              </w:rPr>
            </w:pPr>
            <w:r>
              <w:rPr>
                <w:rFonts w:ascii="Times New Roman" w:cs="Times New Roman" w:eastAsia="Times New Roman" w:hAnsi="Times New Roman"/>
                <w:sz w:val="17"/>
                <w:szCs w:val="17"/>
                <w:color w:val="auto"/>
              </w:rPr>
              <w:t>7,379,065</w:t>
            </w:r>
            <w:r>
              <w:rPr>
                <w:rFonts w:ascii="Times New Roman" w:cs="Times New Roman" w:eastAsia="Times New Roman" w:hAnsi="Times New Roman"/>
                <w:sz w:val="25"/>
                <w:szCs w:val="25"/>
                <w:color w:val="auto"/>
                <w:vertAlign w:val="superscript"/>
              </w:rPr>
              <w:t>(3)</w:t>
            </w: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0.92</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10/23/2034</w:t>
            </w:r>
          </w:p>
        </w:tc>
        <w:tc>
          <w:tcPr>
            <w:tcW w:w="0" w:type="dxa"/>
            <w:vAlign w:val="bottom"/>
          </w:tcPr>
          <w:p>
            <w:pPr>
              <w:spacing w:after="0"/>
              <w:rPr>
                <w:sz w:val="1"/>
                <w:szCs w:val="1"/>
                <w:color w:val="auto"/>
              </w:rPr>
            </w:pPr>
          </w:p>
        </w:tc>
      </w:tr>
      <w:tr>
        <w:trPr>
          <w:trHeight w:val="198"/>
        </w:trPr>
        <w:tc>
          <w:tcPr>
            <w:tcW w:w="2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Val Cook</w:t>
            </w:r>
          </w:p>
        </w:tc>
        <w:tc>
          <w:tcPr>
            <w:tcW w:w="220" w:type="dxa"/>
            <w:vAlign w:val="bottom"/>
          </w:tcPr>
          <w:p>
            <w:pPr>
              <w:spacing w:after="0"/>
              <w:rPr>
                <w:sz w:val="17"/>
                <w:szCs w:val="17"/>
                <w:color w:val="auto"/>
              </w:rPr>
            </w:pPr>
          </w:p>
        </w:tc>
        <w:tc>
          <w:tcPr>
            <w:tcW w:w="1060" w:type="dxa"/>
            <w:vAlign w:val="bottom"/>
            <w:gridSpan w:val="3"/>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3/15/2017</w:t>
            </w:r>
          </w:p>
        </w:tc>
        <w:tc>
          <w:tcPr>
            <w:tcW w:w="110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1/1/2017</w:t>
            </w:r>
          </w:p>
        </w:tc>
        <w:tc>
          <w:tcPr>
            <w:tcW w:w="1180" w:type="dxa"/>
            <w:vAlign w:val="bottom"/>
            <w:gridSpan w:val="2"/>
          </w:tcPr>
          <w:p>
            <w:pPr>
              <w:jc w:val="right"/>
              <w:ind w:right="173"/>
              <w:spacing w:after="0" w:line="198" w:lineRule="exact"/>
              <w:rPr>
                <w:sz w:val="20"/>
                <w:szCs w:val="20"/>
                <w:color w:val="auto"/>
              </w:rPr>
            </w:pPr>
            <w:r>
              <w:rPr>
                <w:rFonts w:ascii="Times New Roman" w:cs="Times New Roman" w:eastAsia="Times New Roman" w:hAnsi="Times New Roman"/>
                <w:sz w:val="16"/>
                <w:szCs w:val="16"/>
                <w:color w:val="auto"/>
              </w:rPr>
              <w:t>40,038</w:t>
            </w:r>
            <w:r>
              <w:rPr>
                <w:rFonts w:ascii="Times New Roman" w:cs="Times New Roman" w:eastAsia="Times New Roman" w:hAnsi="Times New Roman"/>
                <w:sz w:val="22"/>
                <w:szCs w:val="22"/>
                <w:color w:val="auto"/>
                <w:vertAlign w:val="superscript"/>
              </w:rPr>
              <w:t>(1)</w:t>
            </w:r>
          </w:p>
        </w:tc>
        <w:tc>
          <w:tcPr>
            <w:tcW w:w="1260" w:type="dxa"/>
            <w:vAlign w:val="bottom"/>
            <w:gridSpan w:val="2"/>
          </w:tcPr>
          <w:p>
            <w:pPr>
              <w:jc w:val="right"/>
              <w:ind w:right="44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ind w:left="62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3/14/2027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11/12/2018</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9/1/2018</w:t>
            </w:r>
          </w:p>
        </w:tc>
        <w:tc>
          <w:tcPr>
            <w:tcW w:w="1180" w:type="dxa"/>
            <w:vAlign w:val="bottom"/>
            <w:gridSpan w:val="2"/>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113,152</w:t>
            </w:r>
            <w:r>
              <w:rPr>
                <w:rFonts w:ascii="Times New Roman" w:cs="Times New Roman" w:eastAsia="Times New Roman" w:hAnsi="Times New Roman"/>
                <w:sz w:val="25"/>
                <w:szCs w:val="25"/>
                <w:color w:val="auto"/>
                <w:vertAlign w:val="superscript"/>
              </w:rPr>
              <w:t>(1)</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11.40</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11/11/2028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9/19/2023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9/19/2023</w:t>
            </w:r>
          </w:p>
        </w:tc>
        <w:tc>
          <w:tcPr>
            <w:tcW w:w="1180" w:type="dxa"/>
            <w:vAlign w:val="bottom"/>
            <w:gridSpan w:val="2"/>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794,866</w:t>
            </w:r>
            <w:r>
              <w:rPr>
                <w:rFonts w:ascii="Times New Roman" w:cs="Times New Roman" w:eastAsia="Times New Roman" w:hAnsi="Times New Roman"/>
                <w:sz w:val="25"/>
                <w:szCs w:val="25"/>
                <w:color w:val="auto"/>
                <w:vertAlign w:val="superscript"/>
              </w:rPr>
              <w:t>(2)</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1,112,814</w:t>
            </w:r>
          </w:p>
        </w:tc>
        <w:tc>
          <w:tcPr>
            <w:tcW w:w="1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0.44</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9/18/2033</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10/24/2024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7/1/2024</w:t>
            </w:r>
          </w:p>
        </w:tc>
        <w:tc>
          <w:tcPr>
            <w:tcW w:w="1180" w:type="dxa"/>
            <w:vAlign w:val="bottom"/>
            <w:gridSpan w:val="2"/>
          </w:tcPr>
          <w:p>
            <w:pPr>
              <w:jc w:val="right"/>
              <w:ind w:right="373"/>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jc w:val="right"/>
              <w:ind w:right="240"/>
              <w:spacing w:after="0" w:line="235" w:lineRule="exact"/>
              <w:rPr>
                <w:sz w:val="20"/>
                <w:szCs w:val="20"/>
                <w:color w:val="auto"/>
              </w:rPr>
            </w:pPr>
            <w:r>
              <w:rPr>
                <w:rFonts w:ascii="Times New Roman" w:cs="Times New Roman" w:eastAsia="Times New Roman" w:hAnsi="Times New Roman"/>
                <w:sz w:val="18"/>
                <w:szCs w:val="18"/>
                <w:color w:val="auto"/>
              </w:rPr>
              <w:t>1,517,044</w:t>
            </w:r>
            <w:r>
              <w:rPr>
                <w:rFonts w:ascii="Times New Roman" w:cs="Times New Roman" w:eastAsia="Times New Roman" w:hAnsi="Times New Roman"/>
                <w:sz w:val="26"/>
                <w:szCs w:val="26"/>
                <w:color w:val="auto"/>
                <w:vertAlign w:val="superscript"/>
              </w:rPr>
              <w:t>(3)</w:t>
            </w:r>
          </w:p>
        </w:tc>
        <w:tc>
          <w:tcPr>
            <w:tcW w:w="1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0.92</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10/23/2034</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Santiago Fernandez-Gomez</w:t>
            </w:r>
          </w:p>
        </w:tc>
        <w:tc>
          <w:tcPr>
            <w:tcW w:w="12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1/2/2017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7/8/2015</w:t>
            </w:r>
          </w:p>
        </w:tc>
        <w:tc>
          <w:tcPr>
            <w:tcW w:w="1180" w:type="dxa"/>
            <w:vAlign w:val="bottom"/>
            <w:gridSpan w:val="2"/>
            <w:shd w:val="clear" w:color="auto" w:fill="CCEEFF"/>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5,000</w:t>
            </w:r>
            <w:r>
              <w:rPr>
                <w:rFonts w:ascii="Times New Roman" w:cs="Times New Roman" w:eastAsia="Times New Roman" w:hAnsi="Times New Roman"/>
                <w:sz w:val="25"/>
                <w:szCs w:val="25"/>
                <w:color w:val="auto"/>
                <w:vertAlign w:val="superscript"/>
              </w:rPr>
              <w:t>(2)</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1/1/2027</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8/27/2018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7/9/2018</w:t>
            </w:r>
          </w:p>
        </w:tc>
        <w:tc>
          <w:tcPr>
            <w:tcW w:w="1180" w:type="dxa"/>
            <w:vAlign w:val="bottom"/>
            <w:gridSpan w:val="2"/>
            <w:shd w:val="clear" w:color="auto" w:fill="CCEEFF"/>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67,935</w:t>
            </w:r>
            <w:r>
              <w:rPr>
                <w:rFonts w:ascii="Times New Roman" w:cs="Times New Roman" w:eastAsia="Times New Roman" w:hAnsi="Times New Roman"/>
                <w:sz w:val="25"/>
                <w:szCs w:val="25"/>
                <w:color w:val="auto"/>
                <w:vertAlign w:val="superscript"/>
              </w:rPr>
              <w:t>(4)</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11.40</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8/26/2028</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11/17/2021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1/1/2021</w:t>
            </w:r>
          </w:p>
        </w:tc>
        <w:tc>
          <w:tcPr>
            <w:tcW w:w="1180" w:type="dxa"/>
            <w:vAlign w:val="bottom"/>
            <w:gridSpan w:val="2"/>
            <w:shd w:val="clear" w:color="auto" w:fill="CCEEFF"/>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4,896</w:t>
            </w:r>
            <w:r>
              <w:rPr>
                <w:rFonts w:ascii="Times New Roman" w:cs="Times New Roman" w:eastAsia="Times New Roman" w:hAnsi="Times New Roman"/>
                <w:sz w:val="25"/>
                <w:szCs w:val="25"/>
                <w:color w:val="auto"/>
                <w:vertAlign w:val="superscript"/>
              </w:rPr>
              <w:t>(1)</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104</w:t>
            </w: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20.70</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11/16/2031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9/19/2023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9/19/2023</w:t>
            </w:r>
          </w:p>
        </w:tc>
        <w:tc>
          <w:tcPr>
            <w:tcW w:w="1180" w:type="dxa"/>
            <w:vAlign w:val="bottom"/>
            <w:gridSpan w:val="2"/>
            <w:shd w:val="clear" w:color="auto" w:fill="CCEEFF"/>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654,484</w:t>
            </w:r>
            <w:r>
              <w:rPr>
                <w:rFonts w:ascii="Times New Roman" w:cs="Times New Roman" w:eastAsia="Times New Roman" w:hAnsi="Times New Roman"/>
                <w:sz w:val="25"/>
                <w:szCs w:val="25"/>
                <w:color w:val="auto"/>
                <w:vertAlign w:val="superscript"/>
              </w:rPr>
              <w:t>(2)</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916,278</w:t>
            </w: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0.44</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9/18/2033</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10/24/2024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7/1/2024</w:t>
            </w:r>
          </w:p>
        </w:tc>
        <w:tc>
          <w:tcPr>
            <w:tcW w:w="1180" w:type="dxa"/>
            <w:vAlign w:val="bottom"/>
            <w:gridSpan w:val="2"/>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jc w:val="right"/>
              <w:ind w:right="240"/>
              <w:spacing w:after="0" w:line="216" w:lineRule="exact"/>
              <w:rPr>
                <w:sz w:val="20"/>
                <w:szCs w:val="20"/>
                <w:color w:val="auto"/>
              </w:rPr>
            </w:pPr>
            <w:r>
              <w:rPr>
                <w:rFonts w:ascii="Times New Roman" w:cs="Times New Roman" w:eastAsia="Times New Roman" w:hAnsi="Times New Roman"/>
                <w:sz w:val="17"/>
                <w:szCs w:val="17"/>
                <w:color w:val="auto"/>
              </w:rPr>
              <w:t>1,418,448</w:t>
            </w:r>
            <w:r>
              <w:rPr>
                <w:rFonts w:ascii="Times New Roman" w:cs="Times New Roman" w:eastAsia="Times New Roman" w:hAnsi="Times New Roman"/>
                <w:sz w:val="25"/>
                <w:szCs w:val="25"/>
                <w:color w:val="auto"/>
                <w:vertAlign w:val="superscript"/>
              </w:rPr>
              <w:t>(3)</w:t>
            </w: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0.92</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10/23/2034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which vested with respect to one-forty-eighth (1/48th) of the shares subject to the option on each of the first forty-eight</w:t>
      </w:r>
    </w:p>
    <w:p>
      <w:pPr>
        <w:spacing w:after="0" w:line="27" w:lineRule="exact"/>
        <w:rPr>
          <w:rFonts w:ascii="Times New Roman" w:cs="Times New Roman" w:eastAsia="Times New Roman" w:hAnsi="Times New Roman"/>
          <w:sz w:val="18"/>
          <w:szCs w:val="18"/>
          <w:color w:val="auto"/>
        </w:rPr>
      </w:pPr>
    </w:p>
    <w:p>
      <w:pPr>
        <w:ind w:left="540" w:right="4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 monthly anniversaries of the vesting commencement date, subject to the applicable executive’s continued service through the applicable vesting date.</w:t>
      </w:r>
    </w:p>
    <w:p>
      <w:pPr>
        <w:ind w:left="540" w:hanging="424"/>
        <w:spacing w:after="0" w:line="250"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which vested or vests, as applicable, with respect to one-thirty-sixth (1/36th) of the shares subject to the option on each of the first thirty-six (36) monthly anniversaries of the vesting commencement date, subject to the applicable executive’s continued service through the applicable vesting date.</w:t>
      </w:r>
    </w:p>
    <w:p>
      <w:pPr>
        <w:spacing w:after="0" w:line="1" w:lineRule="exact"/>
        <w:rPr>
          <w:rFonts w:ascii="Times New Roman" w:cs="Times New Roman" w:eastAsia="Times New Roman" w:hAnsi="Times New Roman"/>
          <w:sz w:val="18"/>
          <w:szCs w:val="18"/>
          <w:color w:val="auto"/>
        </w:rPr>
      </w:pPr>
    </w:p>
    <w:p>
      <w:pPr>
        <w:ind w:left="540" w:right="300" w:hanging="424"/>
        <w:spacing w:after="0" w:line="250"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which vests with respect to one-third (1/3rd) of the shares subject to the option on the first anniversary of the vesting commencement date and with respect to one-thirty-sixth (1/36th) of the shares subject to the option on each monthly anniversary of the vesting commencement date thereafter, subject to the applicable executive’s continued service through the applicable vesting date.</w:t>
      </w:r>
    </w:p>
    <w:p>
      <w:pPr>
        <w:spacing w:after="0" w:line="1" w:lineRule="exact"/>
        <w:rPr>
          <w:rFonts w:ascii="Times New Roman" w:cs="Times New Roman" w:eastAsia="Times New Roman" w:hAnsi="Times New Roman"/>
          <w:sz w:val="18"/>
          <w:szCs w:val="18"/>
          <w:color w:val="auto"/>
        </w:rPr>
      </w:pPr>
    </w:p>
    <w:p>
      <w:pPr>
        <w:ind w:left="540" w:right="40" w:hanging="424"/>
        <w:spacing w:after="0" w:line="253"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which vested or vests, as applicable, with respect to twenty-five percent (25%) of the shares subject to the option on the first anniversary of the vesting commencement date and with respect to one-forty-eighth (1/48th) of the shares subject to the option on each monthly anniversary of the applicable vesting commencement date thereafter, subject to the applicable executive’s continued service through the applicable vesting date.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Offer Letters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Offer Letter for Mr. Munagala</w:t>
      </w:r>
    </w:p>
    <w:p>
      <w:pPr>
        <w:spacing w:after="0" w:line="119" w:lineRule="exact"/>
        <w:rPr>
          <w:sz w:val="20"/>
          <w:szCs w:val="20"/>
          <w:color w:val="auto"/>
        </w:rPr>
      </w:pPr>
    </w:p>
    <w:p>
      <w:pPr>
        <w:ind w:left="120" w:right="940" w:firstLine="440"/>
        <w:spacing w:after="0" w:line="282" w:lineRule="auto"/>
        <w:rPr>
          <w:sz w:val="20"/>
          <w:szCs w:val="20"/>
          <w:color w:val="auto"/>
        </w:rPr>
      </w:pPr>
      <w:r>
        <w:rPr>
          <w:rFonts w:ascii="Times New Roman" w:cs="Times New Roman" w:eastAsia="Times New Roman" w:hAnsi="Times New Roman"/>
          <w:sz w:val="18"/>
          <w:szCs w:val="18"/>
          <w:color w:val="auto"/>
        </w:rPr>
        <w:t>We are party to an offer letter, dated June 18, 2018 (as amended, the “Munagala Offer Letter”) with Mr. Munagala, pursuant to which, Mr. Munagala serves as our Chief Executive Officer. Pursuant to the Munagala</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40"/>
          </w:cols>
          <w:pgMar w:left="320" w:top="455" w:right="4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Offer Letter, Mr. Munagala is entitled to receive a base salary which, as of January 1, 2024, was $600,000 and is eligible to be considered for annual incentive bonuses. The Munagala Offer Letter provides that Mr. Munagala is eligible to participate in Blaize-sponsored benefit plans and for paid vacation in accordance with Blaize policy.</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pursuant to the Munagala Offer Letter, if Mr. Munagala’s employment is terminated by us without “cause” or Mr. Munagala resigns with “good reason” (each as defined in the Munagala Offer Letter), then Mr. Munagala will be eligible to receive the following severance payments and benefits: (i) a lump-sum cash payment in an amount equal to 3 months of his base salary, (ii) salary continuation payments at 75% of his base salary for 12 months following termination, and (iii) COBRA continuation coverage for up to 12 months following termination, and (iv) accelerated vesting of any outstanding and unvested options held by him.</w:t>
      </w:r>
    </w:p>
    <w:p>
      <w:pPr>
        <w:spacing w:after="0" w:line="183"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If Mr. Munagala’s employment is terminated by us without “cause” or he resigns for “good reason,” in either case, within one year after a change in control of Blaize (as defined in the Munagala Offer Letter), then Mr. Munagala will instead be entitled to receive the following severance payments and benefits (in lieu of the amounts described above): (i) a lump-sum cash payment in an amount equal to 12 months of his base salary, (ii) COBRA continuation coverage for up to 12 months following termination, and (iii) accelerated vesting of any outstanding and unvested options held by him.</w:t>
      </w:r>
    </w:p>
    <w:p>
      <w:pPr>
        <w:spacing w:after="0" w:line="164"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Mr. Munagala’s receipt of any severance payments and benefits is subject to his execution and non-revocation of a general release in favor of Blaize.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Offer Letter for Mr. Cook</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party to an offer letter, dated June 20, 2018 (as amended, the “Cook Offer Letter”) with Mr. Cook, pursuant to which, Mr. Cook serves 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Chief Software Architect. Pursuant to the Cook Offer Letter, Mr. Cook is entitled to receive a base salary which, as of January 1, 2024, was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$400,000 and is eligible to be considered for annual incentive bonuses. The Cook Offer Letter provides that Mr. Cook is also eligible to participate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Blaize-sponsored benefit plans and for paid vacation in accordance with Blaize policy.</w:t>
      </w:r>
    </w:p>
    <w:p>
      <w:pPr>
        <w:spacing w:after="0" w:line="207"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In addition, pursuant to the Cook Offer Letter, if Mr. Cook’s employment is terminated by us without “cause” or Mr. Cook resigns with “good reason” (each as defined in the Cook Offer Letter), then Mr. Cook will be eligible to receive the following severance payments and benefits: (i) a lump-sum cash payment in an amount equal to 3 months of his base salary, (ii) salary continuation payments at 75% of his base salary for 12 months following termination, and (iii) COBRA continuation coverage for up to 12 months following termination.</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if Mr. Cook’s employment is terminated by us without “cause” or he resigns for “good reason,” in either case, within one year after a change in control of Blaize (as defined in the Cook Offer Letter), then Mr. Cook will instead be entitled to receive the following severance payments and benefits (in lieu of the amounts described above): (i) a lump-sum cash payment in an amount equal to 12 months of his base salary, and (ii) COBRA continuation coverage for up to 12 months following termination, and (iii) accelerated vesting of any outstanding and unvested options held by him.</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Cook’s receipt of any severance payments and benefits is subject to his execution and non-revocation of a general release in favor of Blaize.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Offer Letter for Mr. Fernandez-Gomez</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are party to an offer letter, dated July 4, 2018 (as amended, the “Fernandez-Gomez Offer Letter”) with Mr. Fernandez-Gomez, pursuant to which, Mr. Fernandez-Gomez serves as our Vice President of Platform Engineering. Pursuant to the Fernandez-Gomez Offer Letter, Mr. Fernandez-Gomez is entitled to receive a base salary which, as of January 1, 2024, was $450,000 and is eligible to be considered for annual incentive bonuses. The Fernandez-Gomez Offer Letter provides that Mr. Fernandez-Gomez is also eligible to participate in Blaize-sponsored benefit plans and for paid vacation in accordance with Blaize policy.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BLAIZE’S DIRECTOR COMPENSATION</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Prior to the Business Combination, Blaize did not maintain a formal non-employee director compensation program, but previously made cash payments and granted equity awards to certain of its non-employee directors as it deemed appropriate. During 2024, each of Messrs. Frank, Cannestra, Hambrecht and Bess were granted equity awards for their services on Blaize’s board of directors. None of the Company’s other non-employee directors received compensation from Blaize for their service on the board of directors in 2024.</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Director Compensation 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Blaize’s non-employee directors for the year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820" w:type="dxa"/>
            <w:vAlign w:val="bottom"/>
            <w:vMerge w:val="restart"/>
          </w:tcPr>
          <w:p>
            <w:pPr>
              <w:spacing w:after="0"/>
              <w:rPr>
                <w:sz w:val="13"/>
                <w:szCs w:val="13"/>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9"/>
              </w:rPr>
              <w:t>Option Awards</w:t>
            </w: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820" w:type="dxa"/>
            <w:vAlign w:val="bottom"/>
            <w:vMerge w:val="continue"/>
          </w:tcPr>
          <w:p>
            <w:pPr>
              <w:spacing w:after="0"/>
              <w:rPr>
                <w:sz w:val="15"/>
                <w:szCs w:val="15"/>
                <w:color w:val="auto"/>
              </w:rPr>
            </w:pPr>
          </w:p>
        </w:tc>
        <w:tc>
          <w:tcPr>
            <w:tcW w:w="940" w:type="dxa"/>
            <w:vAlign w:val="bottom"/>
          </w:tcPr>
          <w:p>
            <w:pPr>
              <w:jc w:val="right"/>
              <w:ind w:right="236"/>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5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Edward Frank</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318,472</w:t>
            </w:r>
          </w:p>
        </w:tc>
        <w:tc>
          <w:tcPr>
            <w:tcW w:w="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5"/>
              </w:rPr>
              <w:t>318,472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Tony Cannestra</w:t>
            </w: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318,472</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318,472</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Juergen Hambrecht</w:t>
            </w: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318,472</w:t>
            </w:r>
          </w:p>
        </w:tc>
        <w:tc>
          <w:tcPr>
            <w:tcW w:w="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318,472</w:t>
            </w:r>
          </w:p>
        </w:tc>
        <w:tc>
          <w:tcPr>
            <w:tcW w:w="0" w:type="dxa"/>
            <w:vAlign w:val="bottom"/>
          </w:tcPr>
          <w:p>
            <w:pPr>
              <w:spacing w:after="0"/>
              <w:rPr>
                <w:sz w:val="1"/>
                <w:szCs w:val="1"/>
                <w:color w:val="auto"/>
              </w:rPr>
            </w:pPr>
          </w:p>
        </w:tc>
      </w:tr>
      <w:tr>
        <w:trPr>
          <w:trHeight w:val="234"/>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Lane Bess</w:t>
            </w: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242,571</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242,571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540" w:right="20" w:hanging="424"/>
        <w:spacing w:after="0" w:line="289" w:lineRule="auto"/>
        <w:tabs>
          <w:tab w:leader="none" w:pos="5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reflect the full fair value of stock options granted during 2024 as of the date on which the options were approved by the Board computed in accordance with ASC Topic 718, rather than the amounts paid to or realized by the named individual. Assumptions used to calculate the value of all option awards made to directors are included in Notes 2 and 12 to Blaize’s consolidated financial statements included with this prospectus.</w:t>
      </w:r>
    </w:p>
    <w:p>
      <w:pPr>
        <w:spacing w:after="0" w:line="158"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The table below shows the aggregate numbers of option awards (exercisable and unexercisable) held as of December 31, 2024 by each non-employee director who served during 2024.</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at Fiscal Year</w:t>
            </w:r>
          </w:p>
        </w:tc>
        <w:tc>
          <w:tcPr>
            <w:tcW w:w="0" w:type="dxa"/>
            <w:vAlign w:val="bottom"/>
          </w:tcPr>
          <w:p>
            <w:pPr>
              <w:spacing w:after="0"/>
              <w:rPr>
                <w:sz w:val="1"/>
                <w:szCs w:val="1"/>
                <w:color w:val="auto"/>
              </w:rPr>
            </w:pPr>
          </w:p>
        </w:tc>
      </w:tr>
      <w:tr>
        <w:trPr>
          <w:trHeight w:val="160"/>
        </w:trPr>
        <w:tc>
          <w:tcPr>
            <w:tcW w:w="6600" w:type="dxa"/>
            <w:vAlign w:val="bottom"/>
            <w:gridSpan w:val="2"/>
            <w:vMerge w:val="continue"/>
          </w:tcPr>
          <w:p>
            <w:pPr>
              <w:spacing w:after="0"/>
              <w:rPr>
                <w:sz w:val="13"/>
                <w:szCs w:val="13"/>
                <w:color w:val="auto"/>
              </w:rPr>
            </w:pPr>
          </w:p>
        </w:tc>
        <w:tc>
          <w:tcPr>
            <w:tcW w:w="88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End (#)</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Edward Frank</w:t>
            </w:r>
          </w:p>
        </w:tc>
        <w:tc>
          <w:tcPr>
            <w:tcW w:w="820" w:type="dxa"/>
            <w:vAlign w:val="bottom"/>
            <w:shd w:val="clear" w:color="auto" w:fill="CCEEFF"/>
          </w:tcPr>
          <w:p>
            <w:pPr>
              <w:ind w:left="240"/>
              <w:spacing w:after="0" w:line="203" w:lineRule="exact"/>
              <w:rPr>
                <w:sz w:val="20"/>
                <w:szCs w:val="20"/>
                <w:color w:val="auto"/>
              </w:rPr>
            </w:pPr>
            <w:r>
              <w:rPr>
                <w:rFonts w:ascii="Times New Roman" w:cs="Times New Roman" w:eastAsia="Times New Roman" w:hAnsi="Times New Roman"/>
                <w:sz w:val="18"/>
                <w:szCs w:val="18"/>
                <w:color w:val="auto"/>
                <w:w w:val="95"/>
              </w:rPr>
              <w:t>909,535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Tony Cannestra</w:t>
            </w: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920,850</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Juergen Hambrecht</w:t>
            </w:r>
          </w:p>
        </w:tc>
        <w:tc>
          <w:tcPr>
            <w:tcW w:w="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909,535</w:t>
            </w:r>
          </w:p>
        </w:tc>
        <w:tc>
          <w:tcPr>
            <w:tcW w:w="0" w:type="dxa"/>
            <w:vAlign w:val="bottom"/>
          </w:tcPr>
          <w:p>
            <w:pPr>
              <w:spacing w:after="0"/>
              <w:rPr>
                <w:sz w:val="1"/>
                <w:szCs w:val="1"/>
                <w:color w:val="auto"/>
              </w:rPr>
            </w:pP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Lane Bess</w:t>
            </w: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477,750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In connection with the Business Combination, we approved a compensation program for our non-employee directors (the “Director Compensation Program”), effective as of the closing of the Business Combination. The material terms of the Director Compensation Program are summarized below.</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Compensation</w:t>
      </w:r>
    </w:p>
    <w:p>
      <w:pPr>
        <w:spacing w:after="0" w:line="11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Under the Director Compensation Program, non-employee directors serving on the Board are entitled to cash compensation in the following amounts:</w:t>
      </w:r>
    </w:p>
    <w:p>
      <w:pPr>
        <w:spacing w:after="0" w:line="67" w:lineRule="exact"/>
        <w:rPr>
          <w:sz w:val="20"/>
          <w:szCs w:val="20"/>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Retainer: $80,000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Annual Retainer for Non-Executive Chair: $40,000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Committee Chair Retainers: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$24,000</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$20,000</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00"/>
          </w:cols>
          <w:pgMar w:left="320" w:top="455" w:right="4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Non-Chair Committee Member Retainers: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$16,000</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$14,000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Annual cash retainers will be paid in quarterly installments in arrears and will be pro-rated for any partial calendar quarter of service.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117"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Initial Awards. </w:t>
      </w:r>
      <w:r>
        <w:rPr>
          <w:rFonts w:ascii="Times New Roman" w:cs="Times New Roman" w:eastAsia="Times New Roman" w:hAnsi="Times New Roman"/>
          <w:sz w:val="18"/>
          <w:szCs w:val="18"/>
          <w:color w:val="auto"/>
        </w:rPr>
        <w:t>Under the Director Compensation Program, each non-employee director who is initially elected or appointed to serve on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closing of the Business Combination will be granted an award of restricted stock units at the time of the election or appointment with a grant-date value of approximately $600,000, which will vest with respect to one-third (1/3rd) of the restricted stock units subject thereto on each of the first three anniversaries of the applicable grant date, subject to the director’s continued service on the Board through the applicable vesting date. If a member of the Board is an employee of Blaize or a subsidiary thereof who subsequently terminates employment with Blaize but remains on the Board as a non-employee director, such individual will not be eligible to receive an Initial Award.</w:t>
      </w:r>
    </w:p>
    <w:p>
      <w:pPr>
        <w:spacing w:after="0" w:line="182"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Annual Awards. </w:t>
      </w:r>
      <w:r>
        <w:rPr>
          <w:rFonts w:ascii="Times New Roman" w:cs="Times New Roman" w:eastAsia="Times New Roman" w:hAnsi="Times New Roman"/>
          <w:sz w:val="17"/>
          <w:szCs w:val="17"/>
          <w:color w:val="auto"/>
        </w:rPr>
        <w:t>Under the Director Compensation Program, each non-employee director who is serving on the Board as of the date of each annual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meeting of the company’s stockholders following the closing of the Business Combination will be granted, on such annual meeting date, an award of restricted stock units with a grant-date value of approximately $200,000 (each an “Annual Award”), which will vest in full on the earlier to occur of</w:t>
      </w:r>
    </w:p>
    <w:p>
      <w:pPr>
        <w:spacing w:after="0" w:line="1" w:lineRule="exact"/>
        <w:rPr>
          <w:sz w:val="20"/>
          <w:szCs w:val="20"/>
          <w:color w:val="auto"/>
        </w:rPr>
      </w:pPr>
    </w:p>
    <w:p>
      <w:pPr>
        <w:ind w:left="120" w:right="320" w:hanging="4"/>
        <w:spacing w:after="0" w:line="260" w:lineRule="auto"/>
        <w:tabs>
          <w:tab w:leader="none" w:pos="33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one-year anniversary of the applicable grant date and (ii) the date of the next annual meeting following the grant date, subject to the director’s continued service on the Board through the applicable vesting date.</w:t>
      </w:r>
    </w:p>
    <w:p>
      <w:pPr>
        <w:spacing w:after="0" w:line="18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addition, each equity award granted under the Director Compensation Program will vest in full upon a change in control of the Company (as defined in the Incentive Award Plan, or any similar term as defined in the then-applicable plan) if the non-employee director will not become a member of the Board or the board of directors of the Company’s successor (or any parent thereof) following such change in control.</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Compensation under the Director Compensation Program is subject to the annual limits on non-employee director compensation set forth in the Incentive Award Plan (or any successor plan).</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7" w:lineRule="exact"/>
        <w:rPr>
          <w:sz w:val="20"/>
          <w:szCs w:val="20"/>
          <w:color w:val="auto"/>
        </w:rPr>
      </w:pPr>
    </w:p>
    <w:p>
      <w:pPr>
        <w:jc w:val="both"/>
        <w:ind w:left="120" w:right="1080" w:firstLine="440"/>
        <w:spacing w:after="0" w:line="315" w:lineRule="auto"/>
        <w:rPr>
          <w:sz w:val="20"/>
          <w:szCs w:val="20"/>
          <w:color w:val="auto"/>
        </w:rPr>
      </w:pPr>
      <w:r>
        <w:rPr>
          <w:rFonts w:ascii="Times New Roman" w:cs="Times New Roman" w:eastAsia="Times New Roman" w:hAnsi="Times New Roman"/>
          <w:sz w:val="17"/>
          <w:szCs w:val="17"/>
          <w:color w:val="auto"/>
        </w:rPr>
        <w:t>In addition to the compensation arrangements with directors and executive officers described under “</w:t>
      </w:r>
      <w:r>
        <w:rPr>
          <w:rFonts w:ascii="Times New Roman" w:cs="Times New Roman" w:eastAsia="Times New Roman" w:hAnsi="Times New Roman"/>
          <w:sz w:val="17"/>
          <w:szCs w:val="17"/>
          <w:i w:val="1"/>
          <w:iCs w:val="1"/>
          <w:color w:val="auto"/>
        </w:rPr>
        <w:t>Executive Compensation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Management</w:t>
      </w:r>
      <w:r>
        <w:rPr>
          <w:rFonts w:ascii="Times New Roman" w:cs="Times New Roman" w:eastAsia="Times New Roman" w:hAnsi="Times New Roman"/>
          <w:sz w:val="17"/>
          <w:szCs w:val="17"/>
          <w:color w:val="auto"/>
        </w:rPr>
        <w:t>”, the following is a description of each transaction since January 1, 2022 and each currently proposed transaction in which:</w:t>
      </w:r>
    </w:p>
    <w:p>
      <w:pPr>
        <w:spacing w:after="0" w:line="42" w:lineRule="exact"/>
        <w:rPr>
          <w:sz w:val="20"/>
          <w:szCs w:val="20"/>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exceeds or will exceed $120,000;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beneficial holders of more than 5% of our capital stock, or any immediate family member of, or person sharing the household with, any of these individuals (other than tenants or employees), had or will have a direct or indirect material interest.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execution of the Merger Agreement, we and certain stockholders of Legacy Blaize, the Sponsor and BurTech entered into a registration rights agreement (the “Registration Rights Agreement”),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pursuant to which we agreed to file a shelf registration statement with respect to the registrable securities under the Registration Rights Agreement within thirty (30) calendar days of the closing of the Business Combination. Certain Legacy Blaize stockholders and BurTech stockholders may each request to sell all or any portion of their registrable securities in an underwritten offering up to two times total and up to twice in any 12-month period, so long as the total offering price is reasonably expected to exceed $50.0 million. We also agreed to provide customary “piggyback” registration rights. The Registration Rights Agreement also provides that we will pay certain expenses relating to such registrations and indemnify the stockholders against certain liabilities.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 Registration Rights Agreement</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Merger Agreement, we and certain stockholders of Legacy Blaize, entered into a registration rights agreement (the “Ava Registration Rights Agreement”), pursuant to which we agreed to file a shelf registration statement with respect to the registrable securities under the Registration Rights Agreement within four (4) business days of the closing of the Business Combination. Certain Legacy Blaize stockholders may each request to sell all or any portion of their registrable securities in an underwritten offering up to two times total and up to twice in any 12-month period, so long as the total offering price is reasonably expected to exceed $25.0 million. We also agreed to provide customary “piggyback” registration rights. The Ava Registration Rights Agreement also provides that we will pay certain expenses relating to such registrations and indemnify the stockholders against certain liabilities.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Bess Ventures Secured Promissory Notes and Related Transactions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Bess Ventures and Advisory, LLC (“Bess Ventures”), which held within Legacy Blaize’s last fiscal year more than 5% of Legacy Blaize’s outstanding capital stock and is affiliated with a member of the Blaize board of directors, Lane Bess, is a party to the Promissory Note Agreement, dated as of January 19, 2024 (the “Bess 2024 Note”), pursuant to which the Sponsor, which currently holds more than 5% of the Company’s outstanding capital stock, has borrowed an aggregate principal amount of $13,000,000 from Bess Ventures in exchange for 500,000 shares of Class A Stock to be transferred upon the later of the consummation of the Business Combination or expiration or waiver of the post-closing lock up restrictions to permit such transfer. The Bess 2024 Note bore simple interest at a rate of ten percent (10%) and was payable on the earlier of (i) March 31, 2024 or (ii) the first business day following the date upon which the Sponsor has received from and after January 1, 2024 aggregate net proceeds from its investors in an amount of $25,000,000. Following the due date of March 31, 2024, interest at the default rate of fifteen percent (15%) began to accrue on the principal and unpaid interest obligations, and an additional 500,000 shares of Class A Stock are to be transferred to Bess Ventures. As of January 13, 2025, the aggregate amount outstanding under the Bess 2024 Note is approximately $14.8 million, and no payments or interest or principal on the loan have been paid. The obligations due under the Bess 2024 Note are secured by the Security Agreement, dated as of January 19, 2024 (the “Bess Security Agreement”), pursuant to which the Sponsor has granted a security interest in all of Sponsor’s right, title and interest in and to the personal property and assets, whether now owned or hereafter acquired, set forth in Exhibit A thereto, including (i) Sponsor’s interest in Legacy Blaize’s Pay-to-Play Convertible Notes (the “P2P Notes”), pursuant to that certain Amended and Restated Note Purchase Agreement dated April 22, 2024, among Legacy Blaize and certain investors (as amended and/or restated from time to time, the “Note Purchase Agreement”), in an aggregate principal amount up to $13.0 million, (ii) any securities issued upon the conversion thereof, (iii) all of Sponsor’s rights, title and interests under the Note Purchase Agreement and all other financing statements, agreements, instruments and documents granting, perfecting or protecting a security interest in Legacy Blaize’s assets to secure the P2P Notes and (iv) all proceeds of each of the foregoing.</w:t>
      </w:r>
    </w:p>
    <w:p>
      <w:pPr>
        <w:spacing w:after="0" w:line="19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Bess Security Agreement, pursuant to which the Sponsor’s obligations due under the Bess 2024 Note (with an aggregate principal amount of $13.0 million) are secured by all of the Sponsor’s right, title and interest in and to the personal property and assets, whether now owned or hereafter acquired, set forth in Exhibit A thereto, the Sponsor, Bess Ventures and Legacy Blaize entered into a Letter Agreement, dated as of February 15, 2024 (the “Bess Letter Agreement”), pursuant to which Legacy Blaize acknowledged and agreed to</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00"/>
          </w:cols>
          <w:pgMar w:left="320" w:top="455" w:right="4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the grant of security and the obligations set forth in the Bess Security Agreement and other related loan documents, and further agreed to comply with certain instructions and procedures as set forth therein. As of April 1, 2024, Sponsor was in default of the repayment terms in connection with the Bess 2024 Note, the Bess Security Agreement and the Bess Letter Agreement as a result of its failure to make a timely repayment of the outstanding balance that was due on March 31, 2024.</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September 16, 2024, Bess Ventures and the Sponsor entered into a forbearance agreement, in connection with which Bess Ventures agreed to forbear from the exercise of its remedies under the Bess 2024 Note, the Bess Security Agreement and the related loan documents until the earlier of (i) January 6, 2025 or (ii) the date that is 45 days following the consummation of the Business Combination.</w:t>
      </w:r>
    </w:p>
    <w:p>
      <w:pPr>
        <w:spacing w:after="0" w:line="176"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On January 2, 2025, Bess Ventures and the Sponsor entered into several related transactions including (i) a second forbearance agreement (the “Second Forbearance Agreement”), in connection with which Bess Ventures agreed to extend the forbearance period with respect to the Bess 2024 Note to February 5, 2025 in exchange for certain additional collateral including the pledge by the Sponsor of 3.0 million Class A Stock (representing the</w:t>
      </w:r>
    </w:p>
    <w:p>
      <w:pPr>
        <w:spacing w:after="0" w:line="2" w:lineRule="exact"/>
        <w:rPr>
          <w:sz w:val="20"/>
          <w:szCs w:val="20"/>
          <w:color w:val="auto"/>
        </w:rPr>
      </w:pPr>
    </w:p>
    <w:p>
      <w:pPr>
        <w:ind w:left="120" w:right="40"/>
        <w:spacing w:after="0" w:line="251" w:lineRule="auto"/>
        <w:rPr>
          <w:sz w:val="20"/>
          <w:szCs w:val="20"/>
          <w:color w:val="auto"/>
        </w:rPr>
      </w:pPr>
      <w:r>
        <w:rPr>
          <w:rFonts w:ascii="Times New Roman" w:cs="Times New Roman" w:eastAsia="Times New Roman" w:hAnsi="Times New Roman"/>
          <w:sz w:val="18"/>
          <w:szCs w:val="18"/>
          <w:color w:val="auto"/>
        </w:rPr>
        <w:t>1.0 million shares required to be transferred to Bess Ventures under the Bess 2024 Note and 2.0 million other shares pledged as collateral under the Security Agreement (as defined below)), and (ii) that certain Promissory Note, pursuant to which Bess Ventures loaned $12.0 million to the Sponsor which loan is interest free prior to its maturity on February 20, 2025 and includes the obligation to transfer 500,000 shares of Class A Stock to Bess Ventures (the “Bess 2025 Note”). The obligations due under the Bess 2025 Note are secured by the Security Agreement, dated as of January 2, 2025, pursuant to which the Sponsor has granted a security interest in all of Sponsor’s right, title and interest in and to the personal property and assets, whether now owned or hereafter acquired, set forth in Exhibit A thereto, including 2.5 million shares in Class A Stock (representing the 500,000 shares required to be transferred to Bess Ventures under the Bess 2025 Note and 2 million other shares pledged as collateral) and all proceeds thereof. As consideration for the Second Forbearance Agreement and the Bess 2025 Note, pursuant to that certain Guaranty, Pledge and Repayment Agreement, dated as of January 2, 2025, Burkhan LLC has further guaranteed the Sponsor’s obligations with respect to the Bess 2024 Note and Bess 2025 Note and pledged as security for such obligations, 2.0 million shares of Class A Stock. As of the date of this prospectus, the forbearance period under the Second Forbearance Agreement has expired and the Sponsor is under default under the Bess 2025 Note.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Secured Promissory Note and Pledge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Sponsor issued a secured promissory note and pledge agreement (the “Sponsor Note”) to BurTech (the “Holder”) in the principal amount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$8,753,744.21, bearing an interest rate of 7% with annual compounding, compounded on December 31 each year the Sponsor Note remains outstanding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remaining principal amount of the Sponsor Note as at the maturity date, until such remaining principal amount is paid. Pursuant to the Sponsor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the Sponsor agreed to pay certain of the Acquiror Transaction Expenses (as defined in the Merger Agreement) set forth in the Sponsor Note. 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consideration for entry into the Sponsor Note, the Company issued 750,000 shares of Class A Stock (“Sponsor Note Shares”) to the Sponsor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accordance with the terms of the Sponsor Note (the “Sponsor Note Issuance” and together with the PIPE Investment, the “Private Placements”).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of Class A Stock issued in consideration for the Sponsor Note were offered in a private placement under the Securities Act, pursuant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Sponsor Note. The Sponsor is obligated to pay the Acquiror Transaction Expenses set forth in the Sponsor Note within ninety days after the date that the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Sponsor Note Shares have been registered for resale under the Securities Act. The Sponsor granted a first priority security interest in, and pledged,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2,000,000 shares of Class A Stock and all additions, accessions and substitutions to the Holder to secure the satisfaction by the Sponsor of all its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obligations to the Holder under this Sponsor Note. Additionally, in the event that the Company is required to pay any of the Acquiror Transaction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Expenses subject to the Sponsor Note, the Sponsor is obligated to reimburse the Company for such payments within 90 days of such payment by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00"/>
          </w:cols>
          <w:pgMar w:left="320" w:top="455" w:right="4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Procedures with Respect to Review and Approval of Related Person Transactions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board of directors recognizes the fact that transactions with related persons present a heightened risk of conflicts of interests (or the perception of such conflicts of interest). We have adopted a written policy on transactions with related persons that is in conformity with the requirements for issuers having publicly held common stock that is listed on Nasdaq. Under the policy, our legal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If the head of our legal department determines that a transaction or relationship is a related person transaction requiring compliance with the policy, the head of our legal department will be required to present to the audit committee all relevant facts and circumstances relating to the related person transaction. The audit committee will be required to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transaction,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Our management will update the audit committee as to any material changes to any approved or ratified related person transaction and will provide a status report at least annually of all then-current related person transactions. No director will be permitted to participate in approval of a related person transaction for which he or she is a related person.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and Officer Indemnification</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our bylaws provide for indemnification and advancement of expenses for our directors and officers to the fullest extent permitted by the DGCL, subject to certain limited exceptions. We have entered into indemnification agreements with each member of our board of directors and several of our officers.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known to us regarding the beneficial ownership of our Common Stock as of July 14, 2025 by:</w:t>
      </w:r>
    </w:p>
    <w:p>
      <w:pPr>
        <w:spacing w:after="0" w:line="131" w:lineRule="exact"/>
        <w:rPr>
          <w:sz w:val="20"/>
          <w:szCs w:val="20"/>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the beneficial owner of more than 5% of the outstanding shares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above has sole voting and investment power with respect to such shares. Unless otherwise noted, the address of each beneficial owner is c/o Blaize Holdings, Inc., 4659 Golden Foothill Parkway, Suite 206, El Dorado Hills, CA 95762.</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beneficial ownership of our Common Stock is based on 101,682,422 shares of Common Stock issued and outstanding as of July 14, 2025.</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20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Percentage of Outstanding</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200" w:type="dxa"/>
            <w:vAlign w:val="bottom"/>
            <w:gridSpan w:val="2"/>
          </w:tcPr>
          <w:p>
            <w:pPr>
              <w:jc w:val="right"/>
              <w:ind w:right="10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220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8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96"/>
        </w:trPr>
        <w:tc>
          <w:tcPr>
            <w:tcW w:w="4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5% Stockholders:</w:t>
            </w:r>
          </w:p>
        </w:tc>
        <w:tc>
          <w:tcPr>
            <w:tcW w:w="1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Bess Ventures and Advisory, LLC</w:t>
            </w:r>
            <w:r>
              <w:rPr>
                <w:rFonts w:ascii="Times New Roman" w:cs="Times New Roman" w:eastAsia="Times New Roman" w:hAnsi="Times New Roman"/>
                <w:sz w:val="25"/>
                <w:szCs w:val="25"/>
                <w:color w:val="auto"/>
                <w:vertAlign w:val="superscript"/>
              </w:rPr>
              <w:t>(1)</w:t>
            </w:r>
          </w:p>
        </w:tc>
        <w:tc>
          <w:tcPr>
            <w:tcW w:w="22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9,521,985</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8"/>
        </w:trPr>
        <w:tc>
          <w:tcPr>
            <w:tcW w:w="4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Funds affiliated with Rizvi Traverse CI</w:t>
            </w:r>
          </w:p>
        </w:tc>
        <w:tc>
          <w:tcPr>
            <w:tcW w:w="1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Manager, LLC</w:t>
            </w:r>
            <w:r>
              <w:rPr>
                <w:rFonts w:ascii="Times New Roman" w:cs="Times New Roman" w:eastAsia="Times New Roman" w:hAnsi="Times New Roman"/>
                <w:sz w:val="26"/>
                <w:szCs w:val="26"/>
                <w:color w:val="auto"/>
                <w:vertAlign w:val="superscript"/>
              </w:rPr>
              <w:t>(2)</w:t>
            </w:r>
          </w:p>
        </w:tc>
        <w:tc>
          <w:tcPr>
            <w:tcW w:w="22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7,439,433</w:t>
            </w: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Ava Investors SA</w:t>
            </w:r>
            <w:r>
              <w:rPr>
                <w:rFonts w:ascii="Times New Roman" w:cs="Times New Roman" w:eastAsia="Times New Roman" w:hAnsi="Times New Roman"/>
                <w:sz w:val="25"/>
                <w:szCs w:val="25"/>
                <w:color w:val="auto"/>
                <w:vertAlign w:val="superscript"/>
              </w:rPr>
              <w:t>(3)</w:t>
            </w:r>
          </w:p>
        </w:tc>
        <w:tc>
          <w:tcPr>
            <w:tcW w:w="22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17,716,892</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Sponsor and related parties</w:t>
            </w:r>
            <w:r>
              <w:rPr>
                <w:rFonts w:ascii="Times New Roman" w:cs="Times New Roman" w:eastAsia="Times New Roman" w:hAnsi="Times New Roman"/>
                <w:sz w:val="25"/>
                <w:szCs w:val="25"/>
                <w:color w:val="auto"/>
                <w:vertAlign w:val="superscript"/>
              </w:rPr>
              <w:t>(4)</w:t>
            </w:r>
          </w:p>
        </w:tc>
        <w:tc>
          <w:tcPr>
            <w:tcW w:w="22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9,913,874</w:t>
            </w: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Funds affiliated with DENSO</w:t>
            </w:r>
            <w:r>
              <w:rPr>
                <w:rFonts w:ascii="Times New Roman" w:cs="Times New Roman" w:eastAsia="Times New Roman" w:hAnsi="Times New Roman"/>
                <w:sz w:val="25"/>
                <w:szCs w:val="25"/>
                <w:color w:val="auto"/>
                <w:vertAlign w:val="superscript"/>
              </w:rPr>
              <w:t>(5)</w:t>
            </w:r>
          </w:p>
        </w:tc>
        <w:tc>
          <w:tcPr>
            <w:tcW w:w="22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9,195,111</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Anderson Investments Pte. Ltd.</w:t>
            </w:r>
            <w:r>
              <w:rPr>
                <w:rFonts w:ascii="Times New Roman" w:cs="Times New Roman" w:eastAsia="Times New Roman" w:hAnsi="Times New Roman"/>
                <w:sz w:val="25"/>
                <w:szCs w:val="25"/>
                <w:color w:val="auto"/>
                <w:vertAlign w:val="superscript"/>
              </w:rPr>
              <w:t>(6)</w:t>
            </w:r>
          </w:p>
        </w:tc>
        <w:tc>
          <w:tcPr>
            <w:tcW w:w="22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6,353,023</w:t>
            </w: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Lane M. Bess</w:t>
            </w:r>
            <w:r>
              <w:rPr>
                <w:rFonts w:ascii="Times New Roman" w:cs="Times New Roman" w:eastAsia="Times New Roman" w:hAnsi="Times New Roman"/>
                <w:sz w:val="25"/>
                <w:szCs w:val="25"/>
                <w:color w:val="auto"/>
                <w:vertAlign w:val="superscript"/>
              </w:rPr>
              <w:t>(1)</w:t>
            </w:r>
          </w:p>
        </w:tc>
        <w:tc>
          <w:tcPr>
            <w:tcW w:w="22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9,521,985</w:t>
            </w: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Tony Cannestra</w:t>
            </w:r>
            <w:r>
              <w:rPr>
                <w:rFonts w:ascii="Times New Roman" w:cs="Times New Roman" w:eastAsia="Times New Roman" w:hAnsi="Times New Roman"/>
                <w:sz w:val="25"/>
                <w:szCs w:val="25"/>
                <w:color w:val="auto"/>
                <w:vertAlign w:val="superscript"/>
              </w:rPr>
              <w:t>(7)</w:t>
            </w:r>
          </w:p>
        </w:tc>
        <w:tc>
          <w:tcPr>
            <w:tcW w:w="22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571,963</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Edward Frank</w:t>
            </w:r>
            <w:r>
              <w:rPr>
                <w:rFonts w:ascii="Times New Roman" w:cs="Times New Roman" w:eastAsia="Times New Roman" w:hAnsi="Times New Roman"/>
                <w:sz w:val="25"/>
                <w:szCs w:val="25"/>
                <w:color w:val="auto"/>
                <w:vertAlign w:val="superscript"/>
              </w:rPr>
              <w:t>(8)</w:t>
            </w:r>
          </w:p>
        </w:tc>
        <w:tc>
          <w:tcPr>
            <w:tcW w:w="22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563,139</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Juergen Hambrecht</w:t>
            </w:r>
            <w:r>
              <w:rPr>
                <w:rFonts w:ascii="Times New Roman" w:cs="Times New Roman" w:eastAsia="Times New Roman" w:hAnsi="Times New Roman"/>
                <w:sz w:val="25"/>
                <w:szCs w:val="25"/>
                <w:color w:val="auto"/>
                <w:vertAlign w:val="superscript"/>
              </w:rPr>
              <w:t>(9)</w:t>
            </w:r>
          </w:p>
        </w:tc>
        <w:tc>
          <w:tcPr>
            <w:tcW w:w="22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563,139</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Dinakar Munagala</w:t>
            </w:r>
            <w:r>
              <w:rPr>
                <w:rFonts w:ascii="Times New Roman" w:cs="Times New Roman" w:eastAsia="Times New Roman" w:hAnsi="Times New Roman"/>
                <w:sz w:val="25"/>
                <w:szCs w:val="25"/>
                <w:color w:val="auto"/>
                <w:vertAlign w:val="superscript"/>
              </w:rPr>
              <w:t>(10)</w:t>
            </w:r>
          </w:p>
        </w:tc>
        <w:tc>
          <w:tcPr>
            <w:tcW w:w="22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3,136,518</w:t>
            </w: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Harminder Sehmi</w:t>
            </w:r>
            <w:r>
              <w:rPr>
                <w:rFonts w:ascii="Times New Roman" w:cs="Times New Roman" w:eastAsia="Times New Roman" w:hAnsi="Times New Roman"/>
                <w:sz w:val="25"/>
                <w:szCs w:val="25"/>
                <w:color w:val="auto"/>
                <w:vertAlign w:val="superscript"/>
              </w:rPr>
              <w:t>(11)</w:t>
            </w:r>
          </w:p>
        </w:tc>
        <w:tc>
          <w:tcPr>
            <w:tcW w:w="22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459,572</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de Urioste</w:t>
            </w:r>
          </w:p>
        </w:tc>
        <w:tc>
          <w:tcPr>
            <w:tcW w:w="220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Yoshiaki Fujimori</w:t>
            </w:r>
          </w:p>
        </w:tc>
        <w:tc>
          <w:tcPr>
            <w:tcW w:w="220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194"/>
        </w:trPr>
        <w:tc>
          <w:tcPr>
            <w:tcW w:w="43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Directors and named executive officers as a</w:t>
            </w:r>
          </w:p>
        </w:tc>
        <w:tc>
          <w:tcPr>
            <w:tcW w:w="1280" w:type="dxa"/>
            <w:vAlign w:val="bottom"/>
            <w:tcBorders>
              <w:top w:val="single" w:sz="8" w:color="auto"/>
            </w:tcBorders>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group (8 individuals)</w:t>
            </w:r>
          </w:p>
        </w:tc>
        <w:tc>
          <w:tcPr>
            <w:tcW w:w="22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14,816,316</w:t>
            </w: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540" w:right="20" w:hanging="424"/>
        <w:spacing w:after="0" w:line="250" w:lineRule="auto"/>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8,946,783 shares of Common Stock held by Bess Ventures, (b) 389,968 shares of Common Stock held by the Trust and (c) 185,234 shares of Common Stock underlying options exercisable within 60 days of March 31, 2025. Lane M. Bess is the (i) managing member and owner of Bess Ventures and (ii) the Investment Fiduciary of the Trust. Lane M. Bess may be deemed to be the beneficial owner of the shares of Blaize capital stock beneficially owned by Bess Ventures and the Trust. The address of Bess Ventures is c/o</w:t>
      </w:r>
    </w:p>
    <w:p>
      <w:pPr>
        <w:spacing w:after="0" w:line="1" w:lineRule="exact"/>
        <w:rPr>
          <w:rFonts w:ascii="Times New Roman" w:cs="Times New Roman" w:eastAsia="Times New Roman" w:hAnsi="Times New Roman"/>
          <w:sz w:val="18"/>
          <w:szCs w:val="18"/>
          <w:color w:val="auto"/>
        </w:rPr>
      </w:pPr>
    </w:p>
    <w:p>
      <w:pPr>
        <w:ind w:left="540"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Lane M. Bess, 1928 Sunset Harbor Drive, Miami Beach, FL 33139. The address of the Trust is 255 Alhambra Circle, Ste 333, Coral Gables, FL 33134.</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60" w:hanging="424"/>
        <w:spacing w:after="0" w:line="253"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1,211,952 shares of Common Stock held by RT-AI II, LLC, (b) 842,890 shares of Common Stock held by RT-AI III, LLC, (c) 2,548,556 shares of Common Stock held by RT-AI IV LLC, (d) 836,035 shares of Common Stock held by RT-AI V LLC (collectively, the “RT Funds”) and (e) 2,000,000 shares of Common Stock held by Rizvi Master LLC (“Rizvi Master”). Rizvi Traverse CI Manager, LLC (“RTCIM”) is the manager of each of the RT Funds. Mr. Suhail Rizvi is the manager of RTCIM and Rizvi Master. Mr. Rizvi may be deemed to be the beneficial owner of the shares of Common Stock beneficially owned by the RT Funds and Rizvi Master, but disclaims beneficial ownership of such shares, except to the extent of any pecuniary interest therein. The address of the RT Funds and Rizvi Master is c/o Rizvi Traverse CI Manager, LLC, 801 Northpoint Parkway, Suite 129, West Palm Beach, FL 33407.</w:t>
      </w:r>
    </w:p>
    <w:p>
      <w:pPr>
        <w:spacing w:after="0" w:line="2"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17,716,892 shares of Common Stock held by Ava Private Markets Sarl (“Ava Private Markets”) and affiliates. Ava Investors SA is the investment manager of Ava Private Markets and exercises investment power with respect to the securities held by Ava Private Markets. Barthelemy Debray, Raphaëlle Mahieu and Benjamin Hazan may be deemed to exercise investment power with respect to the securities. Each of the persons above disclaims any beneficial ownership of the securities, except to the extent of any pecuniary interest therein. The address of each of the persons above is c/o Ava Investors SA, Rue du Rhône 78, 1204 Geneva, Switzerland.</w:t>
      </w:r>
    </w:p>
    <w:p>
      <w:pPr>
        <w:spacing w:after="0" w:line="1"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9,913,874 shares of Common Stock held by BurTech LP LLC and its affiliates (“BurTech LP”). BurTech LP LLC Shahal Khan, Patrick Orlando and Roman Livson are the managing members of our sponsor. By virtue of this relationship, Messrs. Khan, Orlando and Livson may be deemed to share beneficial ownership of the securities held of record by BurTech LP. Messrs. Khan, Orlando and Livson disclaim any beneficial ownership except to the extent of their pecuniary interest in such securities. The address of BurTech LP is 1300 Pennsylvania Ave NW, Suite 700, Washington, DC 20004.</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4,673,746 shares of Common Stock held by DENSO Corporation and (b) 4,521,365 shares of Common Stock held by DENSO International America, Inc. DENSO International America Inc. is a direct wholly owned subsidiary of DENSO Corporation, and therefore, investment or voting power regarding shares held by DENSO International America Inc. is made by DENSO Corporation. In such capacity, DENSO Corporation may be deemed to have voting and investment power over the shares held by DENSO International America Inc. as well as shares held directly by DENSO Corporation. Investment and voting decisions regarding such shares are made by the board of directors of DENSO Corporation upon a recommendation by management, acting by majority vote and, as a result, no individual member of the board of directors acting alone has the ability to exercise investment or voting power regarding such shares. The membership of the board of directors is subject to change from time to time. The board of directors currently consists of Koji Arima, Shinnosuke Hayashi, Yasushi Matsui, Yasuhiko Yamazaki, Akio Toyoda, Shigeki Kushida, Yuko Mitsuya and Joseph P. Schmelzeis Jr. Each of the members of the board of directors of DENSO Corporation disclaims beneficial ownership of such shares. The address of each of DENSO International America, Inc. and DENSO Corporation is 24777 Denso Dr, Southfield, MI 48033 and 1Chome-1 Showacho, Kariya, Aichi 448-0029, Japan, respectively.</w:t>
      </w:r>
    </w:p>
    <w:p>
      <w:pPr>
        <w:spacing w:after="0" w:line="4" w:lineRule="exact"/>
        <w:rPr>
          <w:rFonts w:ascii="Times New Roman" w:cs="Times New Roman" w:eastAsia="Times New Roman" w:hAnsi="Times New Roman"/>
          <w:sz w:val="18"/>
          <w:szCs w:val="18"/>
          <w:color w:val="auto"/>
        </w:rPr>
      </w:pPr>
    </w:p>
    <w:p>
      <w:pPr>
        <w:ind w:left="540" w:right="40" w:hanging="424"/>
        <w:spacing w:after="0" w:line="251"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6,353,023 shares of Common Stock held by Anderson Investments Pte. Ltd. (“Anderson”). Anderson is a direct wholly owned subsidiary of Thomson Capital Pte. Ltd. (“Thomson”), which in turn is a direct wholly owned subsidiary of Tembusu Capital Pte. Ltd. (“Tembusu”), which in turn is a direct wholly owned subsidiary of Temasek Holdings (Private) Limited (“Temasek”) and may be deemed to share voting and investment power over the shares held by Anderson Investments Pte. Ltd. In such capacities, each of Temasek, Tembusu and Thomson may be deemed to share voting and investment power over the shares held by Anderson. Investment and voting decisions regarding such shares are made by an investment committee of Temasek, acting by majority vote and, as a result, no individual investment committee member acting alone has the ability to exercise investment or voting power regarding such shares. The membership of the investment committee is subject to change from time to time. The investment committee currently consists of Dilhan Pillay, Chia Song Hwee, Nagi Hamiyeh, Ravi Lambah, Rohit Sipahimalani, Uwe Krueger, Wu Yibing, Png Chin Yee, John Marren, Alpin Mehta, Suranjan Mukherjee, Martin Fichtner and Anuj Maheshwari. Each of the members of the investment committee disclaims beneficial ownership of such shares. The address for Anderson, Thomson, Tembusu and Temasek is 60B Orchard Road, #06-18, The Atrium@Orchard, Singapore 238891.</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00"/>
          </w:cols>
          <w:pgMar w:left="320" w:top="455" w:right="4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571,963 shares of Common Stock underlying options exercisable within 60 days of July 14, 2025.</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563,139 shares of Common Stock underlying options exercisable within 60 days of July 14, 2025.</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563,139 shares of Common Stock underlying options exercisable within 60 days of July 14, 2025.</w:t>
      </w:r>
    </w:p>
    <w:p>
      <w:pPr>
        <w:spacing w:after="0" w:line="9"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551,422 shares of Common Stock held directly by Dinakar Munagala and (b) 2,585,096 shares of Common Stock underlying options exercisable within 60 days of July 14, 2025.</w:t>
      </w:r>
    </w:p>
    <w:p>
      <w:pPr>
        <w:ind w:left="540" w:hanging="424"/>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459,572 shares of Common Stock underlying options exercisable within 60 days of July 14, 2025.</w:t>
      </w:r>
    </w:p>
    <w:p>
      <w:pPr>
        <w:spacing w:after="0" w:line="13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0660"/>
          </w:cols>
          <w:pgMar w:left="320" w:top="455" w:right="9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This prospectus relates to the offer and sale by B. Riley Principal Capital II of up to 20,326,158 BRPC Shares that have been and may be issued by us to B. Riley Principal Capital II under the Purchase Agreement. For additional information regarding BRPC Shares included in this prospectus, see the section titled “</w:t>
      </w:r>
      <w:r>
        <w:rPr>
          <w:rFonts w:ascii="Times New Roman" w:cs="Times New Roman" w:eastAsia="Times New Roman" w:hAnsi="Times New Roman"/>
          <w:sz w:val="18"/>
          <w:szCs w:val="18"/>
          <w:i w:val="1"/>
          <w:iCs w:val="1"/>
          <w:color w:val="auto"/>
        </w:rPr>
        <w:t>The Committed Equity Facility</w:t>
      </w:r>
      <w:r>
        <w:rPr>
          <w:rFonts w:ascii="Times New Roman" w:cs="Times New Roman" w:eastAsia="Times New Roman" w:hAnsi="Times New Roman"/>
          <w:sz w:val="18"/>
          <w:szCs w:val="18"/>
          <w:color w:val="auto"/>
        </w:rPr>
        <w:t>” above. We are registering the shares of our Common Stock included in this prospectus pursuant to the provisions of the Registration Rights Agreement we entered into with B. Riley Principal Capital II on July 14, 2025 in order to permit the Selling Stockholder to offer BRPC Shares included in this prospectus for resale from time to time. Except for the transactions contemplated by the Purchase Agreement and the Registration Rights Agreement and as set forth in the section titled “</w:t>
      </w:r>
      <w:r>
        <w:rPr>
          <w:rFonts w:ascii="Times New Roman" w:cs="Times New Roman" w:eastAsia="Times New Roman" w:hAnsi="Times New Roman"/>
          <w:sz w:val="18"/>
          <w:szCs w:val="18"/>
          <w:i w:val="1"/>
          <w:iCs w:val="1"/>
          <w:color w:val="auto"/>
        </w:rPr>
        <w:t>Plan of Distribution (Conflict of Interest) – Offer and Resale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 by the Selling Stockholder</w:t>
      </w:r>
      <w:r>
        <w:rPr>
          <w:rFonts w:ascii="Times New Roman" w:cs="Times New Roman" w:eastAsia="Times New Roman" w:hAnsi="Times New Roman"/>
          <w:sz w:val="18"/>
          <w:szCs w:val="18"/>
          <w:color w:val="auto"/>
        </w:rPr>
        <w:t>” in this prospectus, B. Riley Principal Capital II has not had any material relationship with us within the past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years. As used in this prospectus, the term “Selling Stockholder” means B. Riley Principal Capital II, LLC.</w:t>
      </w:r>
    </w:p>
    <w:p>
      <w:pPr>
        <w:spacing w:after="0" w:line="192"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The table below presents information regarding the Selling Stockholder and BRPC Shares that may be resold by the Selling Stockholder from time to time under this prospectus. This table is prepared based on information supplied to us by the Selling Stockholder, and reflects holdings as of July 14, 2025. The number of shares in the column “Maximum Number of Shares of Common Stock to be Offered Pursuant to this Prospectus” represents all of BRPC Shares being offered for resale by the Selling Stockholder under this prospectus. The Selling Stockholder may sell some, all or none of BRPC Shares being offered for resale in this offering. We do not know how long the Selling Stockholder will hold the shares before selling them and, except as set forth in the section titled “</w:t>
      </w:r>
      <w:r>
        <w:rPr>
          <w:rFonts w:ascii="Times New Roman" w:cs="Times New Roman" w:eastAsia="Times New Roman" w:hAnsi="Times New Roman"/>
          <w:sz w:val="18"/>
          <w:szCs w:val="18"/>
          <w:i w:val="1"/>
          <w:iCs w:val="1"/>
          <w:color w:val="auto"/>
        </w:rPr>
        <w:t>Plan of Distribution (Conflict of Interest) – Offer and Resale of Common Stock by the 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w:t>
      </w:r>
      <w:r>
        <w:rPr>
          <w:rFonts w:ascii="Times New Roman" w:cs="Times New Roman" w:eastAsia="Times New Roman" w:hAnsi="Times New Roman"/>
          <w:sz w:val="18"/>
          <w:szCs w:val="18"/>
          <w:color w:val="auto"/>
        </w:rPr>
        <w:t>” in this prospectus, we are not aware of any existing arrangements between the Selling Stockholder and any other stockholder, broker,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dealer, underwriter or agent relating to the sale or distribution of BRPC Shares being offered for resale by this prospectus.</w:t>
      </w:r>
    </w:p>
    <w:p>
      <w:pPr>
        <w:spacing w:after="0" w:line="19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13d-3(d) promulgated by the SEC under the Exchange Act, and includes shares of our Common Stock with respect to which the Selling Stockholder has sole or shared voting and investment power. The percentage of shares of our Common Stock beneficially owned by the Selling Stockholder prior to the offering shown in the table below is based on an aggregate of 101,682,422 shares of our Common Stock outstanding on July 14, 2025. Because the purchase price to be paid by the Selling Stockholder for shares of our Common Stock, if any, that we may elect to sell to the Selling Stockholder in one or more Market Open Purchases and/or one or more Intraday Purchases from time to time under the Purchase Agreement will be determined on the applicable Purchase Dates therefor, the actual number of shares of our Common Stock that we may sell to the Selling Stockholder under the Purchase Agreement may be fewer than the number of shares being offered for resale under this prospectus. The fourth column assumes the resale by the Selling Stockholder of all of BRPC Shares being offered for resale pursuant to this prospectus.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240" w:type="dxa"/>
            <w:vAlign w:val="bottom"/>
            <w:gridSpan w:val="4"/>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8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166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240" w:type="dxa"/>
            <w:vAlign w:val="bottom"/>
            <w:gridSpan w:val="4"/>
            <w:vMerge w:val="continue"/>
          </w:tcPr>
          <w:p>
            <w:pPr>
              <w:spacing w:after="0"/>
              <w:rPr>
                <w:sz w:val="12"/>
                <w:szCs w:val="12"/>
                <w:color w:val="auto"/>
              </w:rPr>
            </w:pPr>
          </w:p>
        </w:tc>
        <w:tc>
          <w:tcPr>
            <w:tcW w:w="18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Shares of Common</w:t>
            </w:r>
          </w:p>
        </w:tc>
        <w:tc>
          <w:tcPr>
            <w:tcW w:w="16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240" w:type="dxa"/>
            <w:vAlign w:val="bottom"/>
            <w:gridSpan w:val="4"/>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8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Stock to be Offered</w:t>
            </w:r>
          </w:p>
        </w:tc>
        <w:tc>
          <w:tcPr>
            <w:tcW w:w="166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9"/>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2240" w:type="dxa"/>
            <w:vAlign w:val="bottom"/>
            <w:gridSpan w:val="4"/>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8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Pursuant to this</w:t>
            </w:r>
          </w:p>
        </w:tc>
        <w:tc>
          <w:tcPr>
            <w:tcW w:w="166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67"/>
        </w:trPr>
        <w:tc>
          <w:tcPr>
            <w:tcW w:w="5280" w:type="dxa"/>
            <w:vAlign w:val="bottom"/>
            <w:gridSpan w:val="2"/>
            <w:vMerge w:val="continue"/>
          </w:tcPr>
          <w:p>
            <w:pPr>
              <w:spacing w:after="0"/>
              <w:rPr>
                <w:sz w:val="14"/>
                <w:szCs w:val="14"/>
                <w:color w:val="auto"/>
              </w:rPr>
            </w:pPr>
          </w:p>
        </w:tc>
        <w:tc>
          <w:tcPr>
            <w:tcW w:w="2240" w:type="dxa"/>
            <w:vAlign w:val="bottom"/>
            <w:gridSpan w:val="4"/>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Prior to Offering</w:t>
            </w:r>
          </w:p>
        </w:tc>
        <w:tc>
          <w:tcPr>
            <w:tcW w:w="184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Prospectus</w:t>
            </w:r>
          </w:p>
        </w:tc>
        <w:tc>
          <w:tcPr>
            <w:tcW w:w="1660" w:type="dxa"/>
            <w:vAlign w:val="bottom"/>
            <w:gridSpan w:val="4"/>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After Offering</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48"/>
        </w:trPr>
        <w:tc>
          <w:tcPr>
            <w:tcW w:w="1760" w:type="dxa"/>
            <w:vAlign w:val="bottom"/>
            <w:tcBorders>
              <w:top w:val="single" w:sz="8" w:color="auto"/>
            </w:tcBorders>
          </w:tcPr>
          <w:p>
            <w:pPr>
              <w:spacing w:after="0"/>
              <w:rPr>
                <w:sz w:val="12"/>
                <w:szCs w:val="12"/>
                <w:color w:val="auto"/>
              </w:rPr>
            </w:pPr>
          </w:p>
        </w:tc>
        <w:tc>
          <w:tcPr>
            <w:tcW w:w="352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r>
              <w:rPr>
                <w:rFonts w:ascii="Times New Roman" w:cs="Times New Roman" w:eastAsia="Times New Roman" w:hAnsi="Times New Roman"/>
                <w:sz w:val="10"/>
                <w:szCs w:val="10"/>
                <w:b w:val="1"/>
                <w:bCs w:val="1"/>
                <w:color w:val="auto"/>
              </w:rPr>
              <w:t>(1)</w:t>
            </w:r>
          </w:p>
        </w:tc>
        <w:tc>
          <w:tcPr>
            <w:tcW w:w="60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r>
              <w:rPr>
                <w:rFonts w:ascii="Times New Roman" w:cs="Times New Roman" w:eastAsia="Times New Roman" w:hAnsi="Times New Roman"/>
                <w:sz w:val="10"/>
                <w:szCs w:val="10"/>
                <w:b w:val="1"/>
                <w:bCs w:val="1"/>
                <w:color w:val="auto"/>
              </w:rPr>
              <w:t>(2)</w:t>
            </w:r>
          </w:p>
        </w:tc>
        <w:tc>
          <w:tcPr>
            <w:tcW w:w="50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Borders>
              <w:top w:val="single" w:sz="8" w:color="auto"/>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B. Riley Principal Capital II, LLC</w:t>
            </w:r>
            <w:r>
              <w:rPr>
                <w:rFonts w:ascii="Times New Roman" w:cs="Times New Roman" w:eastAsia="Times New Roman" w:hAnsi="Times New Roman"/>
                <w:sz w:val="24"/>
                <w:szCs w:val="24"/>
                <w:color w:val="auto"/>
                <w:vertAlign w:val="superscript"/>
              </w:rPr>
              <w:t>(4)</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83,353</w:t>
            </w: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20,326,158</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1.0% of the outstanding shares of our Common Stock.</w:t>
      </w:r>
    </w:p>
    <w:p>
      <w:pPr>
        <w:spacing w:after="0" w:line="27" w:lineRule="exact"/>
        <w:rPr>
          <w:sz w:val="20"/>
          <w:szCs w:val="20"/>
          <w:color w:val="auto"/>
        </w:rPr>
      </w:pPr>
    </w:p>
    <w:p>
      <w:pPr>
        <w:ind w:left="540" w:right="320" w:hanging="424"/>
        <w:spacing w:after="0" w:line="253"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83,353 shares of our Common Stock we issued to B. Riley Principal Capital II on July 15, 2025 as Commitment Shares in consideration for entering into the Purchase Agreement with us. In accordance with Rule 13d-3(d) under the Exchange Act, we have excluded from the number of shares beneficially owned prior to the offering all of the shares of Common Stock that B. Riley Principal Capital II may be required to purchase under the Purchase Agreement, because the issuance of such shares is solely at</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40"/>
          </w:cols>
          <w:pgMar w:left="320" w:top="455" w:right="4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52" w:lineRule="auto"/>
        <w:rPr>
          <w:sz w:val="20"/>
          <w:szCs w:val="20"/>
          <w:color w:val="auto"/>
        </w:rPr>
      </w:pPr>
      <w:r>
        <w:rPr>
          <w:rFonts w:ascii="Times New Roman" w:cs="Times New Roman" w:eastAsia="Times New Roman" w:hAnsi="Times New Roman"/>
          <w:sz w:val="18"/>
          <w:szCs w:val="18"/>
          <w:color w:val="auto"/>
        </w:rPr>
        <w:t>our discretion and is subject to conditions contained in the Purchase Agreement, the satisfaction of which are entirely outside of B. Riley Principal Capital II’s control, including the registration statement that includes this prospectus becoming and remaining effective. Furthermore, the Market Open Purchases and the Intraday Purchases of our Common Stock under the Purchase Agreement are subject to certain agreed upon maximum amount limitations set forth in the Purchase Agreement. Also, the Purchase Agreement prohibits us from issuing and selling any shares of our Common Stock to B. Riley Principal Capital II to the extent such shares, when aggregated with all other shares of our Common Stock then beneficially owned by B. Riley Principal Capital II, would cause B. Riley Principal Capital II’s beneficial ownership of our Common Stock to exceed the 4.99% Beneficial Ownership Limitation. The Purchase Agreement also prohibits us from issuing or selling shares of our Common Stock under the Purchase Agreement in excess of the 19.99% Exchange Cap, unless we obtain stockholder approval to do so, or unless the average price for all shares of our Common Stock purchased by B. Riley Principal Capital II under the Purchase Agreement equals or exceeds $2.91 per share, such that the Exchange Cap limitation would not apply under applicable Nasdaq rules. Neither the Beneficial Ownership Limitation nor the Exchange Cap (to the extent applicable under Nasdaq) may be amended or waived under the Purchase Agreement.</w:t>
      </w:r>
    </w:p>
    <w:p>
      <w:pPr>
        <w:spacing w:after="0" w:line="4" w:lineRule="exact"/>
        <w:rPr>
          <w:sz w:val="20"/>
          <w:szCs w:val="20"/>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101,682,422 shares of our Common Stock outstanding as of July 14, 2025.</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BRPC Shares being offered for resale pursuant to this prospectus.</w:t>
      </w:r>
    </w:p>
    <w:p>
      <w:pPr>
        <w:spacing w:after="0" w:line="9" w:lineRule="exact"/>
        <w:rPr>
          <w:rFonts w:ascii="Times New Roman" w:cs="Times New Roman" w:eastAsia="Times New Roman" w:hAnsi="Times New Roman"/>
          <w:sz w:val="18"/>
          <w:szCs w:val="18"/>
          <w:color w:val="auto"/>
        </w:rPr>
      </w:pPr>
    </w:p>
    <w:p>
      <w:pPr>
        <w:ind w:left="540" w:right="80" w:hanging="424"/>
        <w:spacing w:after="0" w:line="251"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B. Riley Principal Capital II, LLC (“BRPC II”) is 11100 Santa Monica Blvd., Suite 800, Los Angeles, California 90025. BRPC II’s principal business is that of a private investor. BRPC II is a wholly owned subsidiary of B. Riley Securities Holdings, LLC (“BRSH”). As a result, BRSH may be deemed to indirectly beneficially own securities held of record by BRPC II. BRSH expressly disclaims beneficial ownership of securities held of record by BRPC II, except to the extent of its pecuniary interest therein. All voting and investment decisions with respect to securities held of record by BRPC II are made by majority vote of an investment policy committee of BRPC II composed of three individuals, each of whom is not involved in the management of BRSH and at least two of whom are not affiliates or associated persons of B. Riley Securities, Inc. (“BRS”), a registered broker-dealer and member of the Financial Industry Regulatory Authority, Inc. (“FINRA”), and a wholly owned subsidiary of BRSH. We have been advised that neither BRSH nor BRPC II is a FINRA member or an independent broker-dealer. Because each of BRPC II and BRS is a wholly owned subsidiary of BRSH, BRPC II is deemed to be an affiliate of BRS. BRS will act as an executing broker that will effectuate resales of BRPC Shares that may be acquired by BRPC II from us pursuant to the Purchase Agreement to the public in this offering. See “</w:t>
      </w:r>
      <w:r>
        <w:rPr>
          <w:rFonts w:ascii="Times New Roman" w:cs="Times New Roman" w:eastAsia="Times New Roman" w:hAnsi="Times New Roman"/>
          <w:sz w:val="18"/>
          <w:szCs w:val="18"/>
          <w:i w:val="1"/>
          <w:iCs w:val="1"/>
          <w:color w:val="auto"/>
        </w:rPr>
        <w:t>Plan of Distribution (Conflict of Interest)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Offer and Resale of Common Stock by the Selling Stockholder</w:t>
      </w:r>
      <w:r>
        <w:rPr>
          <w:rFonts w:ascii="Times New Roman" w:cs="Times New Roman" w:eastAsia="Times New Roman" w:hAnsi="Times New Roman"/>
          <w:sz w:val="18"/>
          <w:szCs w:val="18"/>
          <w:color w:val="auto"/>
        </w:rPr>
        <w:t>” for more information about the relationship between BRPC II and BRS.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Cantor</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This prospectus also relates in part to the offer and sale by Cantor of an aggregate of up to 769,231 shares of our Common Stock. We are registering the shares of our Common Stock included in this prospectus pursuant to the provisions of the Engagement Letter in order to permit Cantor to offer the shares included in this prospectus for resale from time to time. Except for the transactions contemplated by the Engagement Letter and as set forth in this section and in the section titled “</w:t>
      </w:r>
      <w:r>
        <w:rPr>
          <w:rFonts w:ascii="Times New Roman" w:cs="Times New Roman" w:eastAsia="Times New Roman" w:hAnsi="Times New Roman"/>
          <w:sz w:val="18"/>
          <w:szCs w:val="18"/>
          <w:i w:val="1"/>
          <w:iCs w:val="1"/>
          <w:color w:val="auto"/>
        </w:rPr>
        <w:t>Plan of Distribution (Conflict of Interest) – Offer and Resale of Common Stock by Cantor</w:t>
      </w:r>
      <w:r>
        <w:rPr>
          <w:rFonts w:ascii="Times New Roman" w:cs="Times New Roman" w:eastAsia="Times New Roman" w:hAnsi="Times New Roman"/>
          <w:sz w:val="18"/>
          <w:szCs w:val="18"/>
          <w:color w:val="auto"/>
        </w:rPr>
        <w:t>” in this prospectus, Cantor has not had any material relationship with us within the past three years.</w:t>
      </w:r>
    </w:p>
    <w:p>
      <w:pPr>
        <w:spacing w:after="0" w:line="183"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Cantor may from time to time offer and sell any or all of the Common Stock set forth below pursuant to this prospectus. In this prospectus, the term “Cantor” includes (i) the entity identified in the table below (as such table may be amended from time to time by means of an amendment to the registration statement of which this prospectus forms a part or by a supplement to this prospectus) and (ii) any donees, pledgees, transferees or other successors-in-interest (as a gift, pledge, partnership distribution or other non-sale related transfer) that acquire any of the securities covered by this prospectus after the date of this prospectus from Cantor.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40"/>
          </w:cols>
          <w:pgMar w:left="320" w:top="455" w:right="4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table below sets forth, as of the date of this prospectus, Cantor’s name for which we are registering Common Stock for resale to the public, and the aggregate principal amount that Cantor may offer pursuant to this prospectus. In accordance with SEC rules, the entity below is shown as having beneficial ownership over the securities it owns or has the right to acquire within 60 days, as well as securities for which it has the right to vote or dispose of such securities. Also in accordance with SEC rules, for purposes of calculating percentages of beneficial ownership, Common Stock, which a person has the right to acquire within 60 days of the date of this prospectus, are included both in that person’s beneficial ownership as well as in the total number of Common Stock issued used to calculate that person’s percentage ownership but not for purposes of calculating the percentage for other persons.</w:t>
      </w:r>
    </w:p>
    <w:p>
      <w:pPr>
        <w:spacing w:after="0" w:line="189"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Subject to certain exceptions, the Engagement Letter provides that Cantor shall not transfer (A) 384,616 shares of Common Stock issued to Cantor until the earlier of (i) April 11, 2026, (ii) the date on which the VWAP of the Common Stock equals or exceeds $7.00 per share for any 20 trading days within a 30-trading day period and (iii) the date upon which the Company completes a liquidation, merger, capital stock exchange, reorganization or other similar transaction that results in all of the Company’s stockholders having the right to exchange their shares of Common Stock for cash, securities or other property and (B) 384,615 shares of Common Stock issued to Cantor until the earlier of (i) April 11, 2026, (ii) the date on which the VWAP of the Common Stock equals or exceeds $10.00 per share for any 20 trading days within a 30-trading day period and (iii) the date upon which the Company completes a liquidation, merger, capital stock exchange, reorganization or other similar transaction that results in all of the Company’s stockholders having the right to exchange their shares of Common Stock for cash, securities or other property (collectively, the “Lock-Up Period”).</w:t>
      </w:r>
    </w:p>
    <w:p>
      <w:pPr>
        <w:spacing w:after="0" w:line="17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cannot advise you as to whether Cantor will in fact sell any or all of such securities. In addition, following expiration of the Lock-Up Period, Cantor may sell, transfer or otherwise dispose of, at any time and from time to time, the Common Stock in transactions exempt from the registration requirements of the Securities Act after the date of this prospectus, subject to applicable law.</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Cantor is not a party to, and has no involvement in, the committed equity facility entered into between the Company and B. Riley Principal Capital II. The 769,231 shares of Common Stock being registered for resale by Cantor under this registration statement are entirely unrelated to the committed equity facility with B. Riley Principal Capital II and were acquired independently of that arrangement. No proceeds from the equity facility will be used in connection with Cantor and Cantor has no rights or obligations under the Purchase Agreement or Registration Rights Agreement with B. Riley.</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Cantor’s information for each additional Cantor successor-in-interest, if any, will be set forth by prospectus supplement to the extent required prior to the time of any offer or sale of such Cantor successor-in-interest’s securities pursuant to this prospectus. Any prospectus supplement may add, update, substitute, or change the information contained in this prospectus, including the identity of each Cantor successor-in-interest and the number of securities registered on its behalf. Cantor may sell all, some or none of such securities in this offering. See “</w:t>
      </w:r>
      <w:r>
        <w:rPr>
          <w:rFonts w:ascii="Times New Roman" w:cs="Times New Roman" w:eastAsia="Times New Roman" w:hAnsi="Times New Roman"/>
          <w:sz w:val="18"/>
          <w:szCs w:val="18"/>
          <w:i w:val="1"/>
          <w:iCs w:val="1"/>
          <w:color w:val="auto"/>
        </w:rPr>
        <w:t>Plan of Distribution (Conflict of Interest)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 and Sale of Class A Common Stock by Cantor.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information in the table below is based upon information provided by Cantor.</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360" w:type="dxa"/>
            <w:vAlign w:val="bottom"/>
            <w:gridSpan w:val="4"/>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9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174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360" w:type="dxa"/>
            <w:vAlign w:val="bottom"/>
            <w:gridSpan w:val="4"/>
            <w:vMerge w:val="continue"/>
          </w:tcPr>
          <w:p>
            <w:pPr>
              <w:spacing w:after="0"/>
              <w:rPr>
                <w:sz w:val="12"/>
                <w:szCs w:val="12"/>
                <w:color w:val="auto"/>
              </w:rPr>
            </w:pPr>
          </w:p>
        </w:tc>
        <w:tc>
          <w:tcPr>
            <w:tcW w:w="19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Shares of Common</w:t>
            </w:r>
          </w:p>
        </w:tc>
        <w:tc>
          <w:tcPr>
            <w:tcW w:w="17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360" w:type="dxa"/>
            <w:vAlign w:val="bottom"/>
            <w:gridSpan w:val="4"/>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9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Stock to be Offered</w:t>
            </w:r>
          </w:p>
        </w:tc>
        <w:tc>
          <w:tcPr>
            <w:tcW w:w="174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1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3100" w:type="dxa"/>
            <w:vAlign w:val="bottom"/>
          </w:tcPr>
          <w:p>
            <w:pPr>
              <w:spacing w:after="0"/>
              <w:rPr>
                <w:sz w:val="12"/>
                <w:szCs w:val="12"/>
                <w:color w:val="auto"/>
              </w:rPr>
            </w:pPr>
          </w:p>
        </w:tc>
        <w:tc>
          <w:tcPr>
            <w:tcW w:w="2360" w:type="dxa"/>
            <w:vAlign w:val="bottom"/>
            <w:gridSpan w:val="4"/>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9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Pursuant to this</w:t>
            </w:r>
          </w:p>
        </w:tc>
        <w:tc>
          <w:tcPr>
            <w:tcW w:w="174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67"/>
        </w:trPr>
        <w:tc>
          <w:tcPr>
            <w:tcW w:w="1920" w:type="dxa"/>
            <w:vAlign w:val="bottom"/>
            <w:vMerge w:val="continue"/>
          </w:tcPr>
          <w:p>
            <w:pPr>
              <w:spacing w:after="0"/>
              <w:rPr>
                <w:sz w:val="14"/>
                <w:szCs w:val="14"/>
                <w:color w:val="auto"/>
              </w:rPr>
            </w:pPr>
          </w:p>
        </w:tc>
        <w:tc>
          <w:tcPr>
            <w:tcW w:w="3100" w:type="dxa"/>
            <w:vAlign w:val="bottom"/>
          </w:tcPr>
          <w:p>
            <w:pPr>
              <w:spacing w:after="0"/>
              <w:rPr>
                <w:sz w:val="14"/>
                <w:szCs w:val="14"/>
                <w:color w:val="auto"/>
              </w:rPr>
            </w:pPr>
          </w:p>
        </w:tc>
        <w:tc>
          <w:tcPr>
            <w:tcW w:w="2360" w:type="dxa"/>
            <w:vAlign w:val="bottom"/>
            <w:gridSpan w:val="4"/>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Prior to Offering</w:t>
            </w:r>
          </w:p>
        </w:tc>
        <w:tc>
          <w:tcPr>
            <w:tcW w:w="1900" w:type="dxa"/>
            <w:vAlign w:val="bottom"/>
            <w:gridSpan w:val="2"/>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Prospectus</w:t>
            </w:r>
          </w:p>
        </w:tc>
        <w:tc>
          <w:tcPr>
            <w:tcW w:w="1740" w:type="dxa"/>
            <w:vAlign w:val="bottom"/>
            <w:gridSpan w:val="4"/>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After Offering</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49"/>
        </w:trPr>
        <w:tc>
          <w:tcPr>
            <w:tcW w:w="1920" w:type="dxa"/>
            <w:vAlign w:val="bottom"/>
            <w:tcBorders>
              <w:top w:val="single" w:sz="8" w:color="auto"/>
            </w:tcBorders>
          </w:tcPr>
          <w:p>
            <w:pPr>
              <w:spacing w:after="0"/>
              <w:rPr>
                <w:sz w:val="12"/>
                <w:szCs w:val="12"/>
                <w:color w:val="auto"/>
              </w:rPr>
            </w:pPr>
          </w:p>
        </w:tc>
        <w:tc>
          <w:tcPr>
            <w:tcW w:w="3100" w:type="dxa"/>
            <w:vAlign w:val="bottom"/>
          </w:tcPr>
          <w:p>
            <w:pPr>
              <w:spacing w:after="0"/>
              <w:rPr>
                <w:sz w:val="12"/>
                <w:szCs w:val="12"/>
                <w:color w:val="auto"/>
              </w:rPr>
            </w:pPr>
          </w:p>
        </w:tc>
        <w:tc>
          <w:tcPr>
            <w:tcW w:w="1200" w:type="dxa"/>
            <w:vAlign w:val="bottom"/>
            <w:tcBorders>
              <w:top w:val="single" w:sz="8" w:color="auto"/>
            </w:tcBorders>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r>
              <w:rPr>
                <w:rFonts w:ascii="Times New Roman" w:cs="Times New Roman" w:eastAsia="Times New Roman" w:hAnsi="Times New Roman"/>
                <w:sz w:val="10"/>
                <w:szCs w:val="10"/>
                <w:b w:val="1"/>
                <w:bCs w:val="1"/>
                <w:color w:val="auto"/>
              </w:rPr>
              <w:t>(1)</w:t>
            </w:r>
          </w:p>
        </w:tc>
        <w:tc>
          <w:tcPr>
            <w:tcW w:w="60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r>
              <w:rPr>
                <w:rFonts w:ascii="Times New Roman" w:cs="Times New Roman" w:eastAsia="Times New Roman" w:hAnsi="Times New Roman"/>
                <w:sz w:val="10"/>
                <w:szCs w:val="10"/>
                <w:b w:val="1"/>
                <w:bCs w:val="1"/>
                <w:color w:val="auto"/>
              </w:rPr>
              <w:t>(2)</w:t>
            </w:r>
          </w:p>
        </w:tc>
        <w:tc>
          <w:tcPr>
            <w:tcW w:w="56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Borders>
              <w:top w:val="single" w:sz="8" w:color="auto"/>
            </w:tcBorders>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92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Cantor Fitzgerald &amp; Co.</w:t>
            </w:r>
            <w:r>
              <w:rPr>
                <w:rFonts w:ascii="Times New Roman" w:cs="Times New Roman" w:eastAsia="Times New Roman" w:hAnsi="Times New Roman"/>
                <w:sz w:val="24"/>
                <w:szCs w:val="24"/>
                <w:color w:val="auto"/>
                <w:vertAlign w:val="superscript"/>
              </w:rPr>
              <w:t>(4)</w:t>
            </w:r>
          </w:p>
        </w:tc>
        <w:tc>
          <w:tcPr>
            <w:tcW w:w="3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769,231</w:t>
            </w:r>
          </w:p>
        </w:tc>
        <w:tc>
          <w:tcPr>
            <w:tcW w:w="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769,231</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1.0% of the outstanding shares of our Common Stock.</w:t>
      </w:r>
    </w:p>
    <w:p>
      <w:pPr>
        <w:spacing w:after="0" w:line="27" w:lineRule="exact"/>
        <w:rPr>
          <w:sz w:val="20"/>
          <w:szCs w:val="20"/>
          <w:color w:val="auto"/>
        </w:rPr>
      </w:pPr>
    </w:p>
    <w:p>
      <w:pPr>
        <w:ind w:left="540" w:right="300" w:hanging="424"/>
        <w:spacing w:after="0" w:line="260"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769,231 shares of our Common Stock we issued to Cantor on July 15, 2025 as in consideration for acting as our capital markets advisor pursuant to the Engagement Letter.</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40"/>
          </w:cols>
          <w:pgMar w:left="320" w:top="455" w:right="4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101,682,422 shares of our Common Stock outstanding as of July 14, 2025.</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769,231 shares of our Common Stock held by Cantor being offered for resale pursuant to this prospectus.</w:t>
      </w:r>
    </w:p>
    <w:p>
      <w:pPr>
        <w:spacing w:after="0" w:line="9" w:lineRule="exact"/>
        <w:rPr>
          <w:rFonts w:ascii="Times New Roman" w:cs="Times New Roman" w:eastAsia="Times New Roman" w:hAnsi="Times New Roman"/>
          <w:sz w:val="18"/>
          <w:szCs w:val="18"/>
          <w:color w:val="auto"/>
        </w:rPr>
      </w:pPr>
    </w:p>
    <w:p>
      <w:pPr>
        <w:ind w:left="540" w:hanging="424"/>
        <w:spacing w:after="0" w:line="251"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Cantor is the record owner of the securities reported herein. The business address of Cantor is 110 East 59th Street, New York, NY 10022. Cantor Fitzgerald Securities (“CFS”) controls the managing general partner of Cantor. Cantor Fitzgerald, L.P. (“CFLP”) indirectly controls each of CFS and Cantor. CFLP is controlled by CF Group Management, Inc. (“CFGM”), its managing general partner. Mr. Howard W. Lutnick is the trustee of the sole stockholder of CFGM and therefore controls CFGM. As such, each of CFS, CFLP, CFGM and Mr. Lutnick may be deemed to have beneficial ownership of the securities directly held by Cantor. Each such entity or person disclaims any beneficial ownership of the reported shares other than to the extent of any pecuniary interest they may have therein, directly or indirectly. On May 16, 2025, Howard W. Lutnick, in his capacity as trustee of a trust, entered into agreements to sell to trusts controlled by Brandon G. Lutnick all of the voting shares of CFGM. Following the closing of the transactions contemplated by such agreements, Brandon G. Lutnick will be deemed to have voting or dispositive power over the shares reported herein, and Howard W. Lutnick will no longer have voting or dispositive power over such shares.</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some of the terms of our certificate of incorporation and bylaws and the DGCL. This description is summarized from, and qualified in its entirety by reference to, our certificate of incorporation and bylaws, each of which has been publicly filed with the SEC, as well as the relevant provisions of the DGCL.</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purpose is to engage in any lawful act or activity for which corporations may now or hereafter be organized under the DGCL. Our authorized capital stock consists of 600,000,000 shares of Common Stock, par value $0.0001 per share, and 20,000,000 shares of preferred stock, par value $0.0001 per share. No shares of preferred stock are issued or outstanding. Unless our board of directors determines otherwise, we will issue all shares of our capital stock in uncertificated form.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Power</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Except as otherwise required by law, as otherwise provided in our certificate of incorporation (as may be amended from time to time) or as otherwise provided in any certificate of designation for any series of preferred stock, the holders of shares of our Common Stock possess all voting power for the election of directors and all other matters requiring stockholder action. Holders of shares of our Common Stock are entitled to one vote for each share held on all matters to be voted on by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Subject to applicable law, the rights and preferences of the holders of our preferred stock and any other provisions of our certificate of incorporation, as it may be amended from time to time, holders of our Common Stock are entitled to receive such dividends and other distributions in cash, stock or property of Blaize when, as and if declared thereon by our Board, in its discretion, from time to time out of assets or funds of Blaize legally available therefor.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Subject to the rights of holders of our preferred stock, in the event of any liquidation, dissolution or winding up of our affairs, whether voluntary or involuntary, after payment or provision for payment of our debts and any other payments required by law and amounts payable upon shares of our preferred stock ranking senior to the shares of our Common Stock upon such dissolution, liquidation or winding up, if any, our remaining net assets will be distributed to the holders of our Common Stock and the holders of any other class or series of capital stock ranking equally with our Common Stock upon such dissolution, liquidation or winding up, equally on a per share basis.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stockholders have no preemptive or other subscription rights. No sinking fund provisions are applicable to our Common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liquidation preference and the number of shares constituting any series or the designation of any series, all to the fullest extent now or hereafter permitted by the DGCL. The issuance of our preferred stock could have the effect of decreasing the trading price of our Common Stock, restricting dividends on the capital stock of Blaize, diluting the voting power of our Common Stock, impairing the liquidation rights of the capital stock of Blaize, or delaying or preventing a change in control of Blaize.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consummation of the Business Combination and as contemplated by the Merger Agreement, we and certain stockholders of Legacy Blaize entered into that certain Registration Rights Agreement (the “Registration Rights Agreement”), pursuant to which we agreed to register for resale, pursuant to the Securities Act, certain shares of our Common Stock and other equity securities of Blaize that are held by the parties thereto from time to time on the terms and subject to the conditions set forth therein.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Election of Directors and Vacancies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Subject to the rights of the holders of any one or more series of preferred stock to elect additional directors under specified circumstances and the terms, the number of directors of our Board is fixed solely and exclusively by our Board, but it initially consists of seven (7) directors.</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Under the Proposed Bylaws and except as otherwise provided by the Proposed Charter, at all meetings of stockholders called for the election of directors at which a quorum is present, a plurality of the votes properly cast is sufficient to elect such directors to the Board.</w:t>
      </w:r>
    </w:p>
    <w:p>
      <w:pPr>
        <w:spacing w:after="0" w:line="16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Except as the DGCL may otherwise require and subject to the rights, if any, of the holders of any one or more series of our preferred stock, newly created directorships and any vacancies on our Board, including unfilled vacancies resulting from the removal of directors, may be filled only by the affirmative vote of a majority of the remaining directors then in office, although less than a quorum, or by the sole remaining director (other than any directors elected by the separate vote of one or more outstanding series of preferred stock), and shall not be filled by the stockholders. All directors will hold office until the expiration of their respective terms of office and until their successors will have been elected and qualified or until their earlier death, resignation, disqualification or removal. A director elected or appointed to fill a vacancy resulting from the death, resignation or removal of a director or a newly created directorship will serve for a term expiring at the next annual meeting of the stockholders of Blaize and until his or her successor will have been elected and qualified or until such director’s earlier death, resignation, disqualification or removal.</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Subject to the rights, if any, of the holders of any one or more series of our preferred stock, any director may be removed from office only for cause and only by the affirmative vote of the holders of not less than sixty-six and two-thirds percent (662/3%) of the outstanding capital stock of Blaize then entitled to vote generally in the election of directors.</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powers and authorities hereinbefore or by statute expressly conferred upon them, the directors are hereby empowered to exercise all such powers and do all such acts and things as may be exercised or done by Blaize, subject, nevertheless, to the provisions of the DGCL, our certificate of incorporation and our bylaws; provided, however, that no bylaw so adopted will invalidate any prior act of the directors which would have been valid if such bylaw had not been adopted.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 Voting</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of the voting power of the capital stock issued and outstanding and entitled to vote thereat, present in person, or by remote communication, if applicable, or represented by proxy, constitutes a quorum at all meetings of the stockholders for the transaction of business except as otherwise required by law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provided by our certificate of incorporation and bylaws. If, however, such quorum will not be present or represented at any meeting of the stockholders, the person presiding over the meeting or holders of a majority of the voting power present in person, or by remote communication, if applicable, or represented by proxy, has the power to recess or adjourn the meeting from time to time, without notice other than announcement at the meeting or in any other manner permitted by the DGCL, until a quorum will be present or represented. At such recessed or adjourned meeting at which a quorum will be present or represented, any business may be transacted which might have been transacted at the meeting as originally noticed. If the adjournment is for more than thirty (30) days, a notice of the adjourned meeting will be given to each stockholder of record entitled to vote at such adjourned meeting. If after the adjournment a new record date for determination of stockholders entitled to vote is fixed for the adjourned meeting, our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The stockholders present at a duly called or convened meeting, at which a quorum is present, may continue to transact business until adjournment, notwithstanding the withdrawal of enough stockholders to leave less than a quorum.</w:t>
      </w:r>
    </w:p>
    <w:p>
      <w:pPr>
        <w:spacing w:after="0" w:line="192" w:lineRule="exact"/>
        <w:rPr>
          <w:sz w:val="20"/>
          <w:szCs w:val="20"/>
          <w:color w:val="auto"/>
        </w:rPr>
      </w:pPr>
    </w:p>
    <w:p>
      <w:pPr>
        <w:jc w:val="both"/>
        <w:ind w:left="120" w:right="220" w:firstLine="440"/>
        <w:spacing w:after="0" w:line="270" w:lineRule="auto"/>
        <w:rPr>
          <w:sz w:val="20"/>
          <w:szCs w:val="20"/>
          <w:color w:val="auto"/>
        </w:rPr>
      </w:pPr>
      <w:r>
        <w:rPr>
          <w:rFonts w:ascii="Times New Roman" w:cs="Times New Roman" w:eastAsia="Times New Roman" w:hAnsi="Times New Roman"/>
          <w:sz w:val="17"/>
          <w:szCs w:val="17"/>
          <w:color w:val="auto"/>
        </w:rPr>
        <w:t>Unless a different or minimum vote is required by statute or by the applicable stock exchange rules, or by our certificate of incorporation or our bylaws, in which case such different or minimum vote shall be the applicable vote on the matter, in all matters other than the election of directors, the affirmative vote of a majority of the voting power of the shares present in person, by remote communication, if applicable, or represented by proxy at the meeting and voting affirmatively or negatively (excluding abstentions and broker non-votes) on such matter shall be the act of the stockholders.</w:t>
      </w:r>
    </w:p>
    <w:p>
      <w:pPr>
        <w:spacing w:after="0" w:line="3"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Except as otherwise provided by statute, our certificate of incorporation or our bylaws, directors shall be elected by a plurality of the votes of the shares present in person, by remote communication, if applicable, or represented by proxy at the meeting and entitled to vote in the election of directors. Where a separate vote by a class or classes or series is required, except where otherwise provided by statute or by our certificate of incorporation or our bylaws or any applicable stock exchange rules, the holders of a majority of the voting power of the outstanding shares of such class or classes or series, present in person, by remote communication, if applicable, or represented by proxy, shall constitute a quorum entitled to take action with respect to that vote on that matter. Except where otherwise provided by statute or by our certificate of incorporation or our bylaws or any applicable stock exchange rules, the affirmative vote of the holders of a majority (plurality, in the case of the election of directors) of the voting power of the shares of such class or classes or series present in person, by remote communication, if applicable, or represented by proxy at the meeting and voting affirmatively or negatively (excluding abstention and broker non-votes) on such matter shall be the act of such class or classes or series.</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the Proposed Charter and the Proposed Bylaws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or our bylaws contain provisions that may delay, defer or discourage another party from acquiring control of us. We expect that these provisions, which are summarized above, will discourage coercive takeover practices or inadequate takeover bids. These provisions are also designed to encourage persons seeking to acquire control of us to first negotiate with our Board, which we believe may result in an improvement of the terms of any such acquisition in favor of our stockholders. However, they also give our Board the power to discourage acquisitions that some stockholders may favor.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the Nasdaq, which would apply if and so long as our Common Stock (or units or Warrants) remains listed on the Nasdaq, require stockholder approval of certain issuances equal to or exceeding 20% of the then outstanding voting power or then outstanding number of shares of our Common Stock.</w:t>
      </w:r>
    </w:p>
    <w:p>
      <w:pPr>
        <w:spacing w:after="0" w:line="176"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Additional shares that may be issued in the future may be used for a variety of corporate purposes, including future public offerings, to raise additional capital or to facilitate acquisitions.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may be to enable our Board to issue shares to persons friendly to current management, which issuance could render more difficult or discourage an attempt to obtain control of Blaize by means of a merger, tender offer, proxy contest or otherwise and thereby protect the continuity of management and possibly deprive stockholders of opportunities to sell their shares of our Common Stock at prices higher than prevailing market prices.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Meeting, Action by Written Consent and Advance Notice Requirements for Stockholder Proposals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required by law, and subject to the rights, if any, of the holders of any one or more series of our preferred stock, special meetings of the stockholders of Blaize, for any purpose or purposes, may be called only by (a) the Chairperson of our Board, (b) the Chief Executive Officer, (c) our Board or (d) the President.</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Unless otherwise required by law, written notice of a special meeting of stockholders, stating the place, date and time of the meeting, the means of remote communication by which stockholders and proxy holders may be deemed to be present in person and vote at such meeting, and purpose or purposes thereof, shall be given to each stockholder entitled to vote at such meeting, not less than ten (10) or more than sixty (60) days before the date fixed for the meeting. Business transacted at any special meeting of stockholders will be limited to the purposes stated in the notice.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bylaws also provide that unless otherwise restricted by our certificate of incorporation or our bylaws, any action required or permitted to be taken at any meeting of our Board or of any committee thereof may be taken without a meeting, if all members of our Board or of such committee, as the case may be, consent thereto in writing or by electronic transmission, and the writing or writings or electronic transmission or transmissions are filed with the minutes of proceedings of our Board or committee.</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our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the Chairperson of our Board or our Board, or by a stockholder of record on the record date for the meeting, who is entitled to vote at the meeting and who has delivered a timely written notice in proper form to our secretary, of the stockholder’s intention to bring such business before the meeting.</w:t>
      </w:r>
    </w:p>
    <w:p>
      <w:pPr>
        <w:spacing w:after="0" w:line="183"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These provisions could have the effect of delaying until the next stockholder meeting any stockholder actions, even if they are favored by the holders of a majority of our outstanding voting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to Certificate of Incorporation and Bylaws</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however, in addition to the votes required by law, that the following provisions therein may be amended, altered, repealed or rescinded only by the affirmative vote of the holders of at least sixty-six and two-thirds percent (662/3%) of the voting power of all of the then-outstanding shares of capital stock of Blaize entitled to thereon, voting together as a single class:</w:t>
      </w:r>
    </w:p>
    <w:p>
      <w:pPr>
        <w:spacing w:after="0" w:line="81" w:lineRule="exact"/>
        <w:rPr>
          <w:sz w:val="20"/>
          <w:szCs w:val="20"/>
          <w:color w:val="auto"/>
        </w:rPr>
      </w:pPr>
    </w:p>
    <w:p>
      <w:pPr>
        <w:ind w:left="1080" w:right="48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two classes of capital stock of Blaize and the designations and the powers, privileges and rights, and the qualifications, limitations or restrictions thereof in respect of each class of capital stock;</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management of Blaize, the size of our Board, the election and removal of directors to our Board, the filling of vacancies, preferred stockholder election rights, and bylaw amendments;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00"/>
          </w:cols>
          <w:pgMar w:left="320" w:top="455" w:right="4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58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actions of stockholders of Blaize, advance notice of business to be brought by stockholders and special meetings of stockholders;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limited liability of directors or officers of Blaize;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indemnification of the current and former officers, directors, employees and agents of Blaize;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exclusive forums for certain actions;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amending our certificate of incorporation.</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Subject to our certificate of incorporation, our Board is expressly empowered to adopt, amend or repeal our bylaws. The stockholders also shall have power to adopt, amend or repeal our bylaws; provided, however, that, in addition to any vote of the holders of any class or series of stock of Blaize required by applicable law or by our certificate of incorporation (including any certificate of designation relating to any series of preferred stock), such action by stockholders shall require the affirmative vote of the holders of sixty-six and two-thirds percent (662/3%) of the voting power of all of the then-outstanding shares of the capital stock of Blaize entitled to vote thereon, voting together as a single class.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21"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limits the liability of the directors and officers of Blaize to the fullest extent permitted by law, and our bylaws provide that we will indemnify them to the fullest extent permitted by such law. We have entered and expect to continue to enter into agreements to indemnify our directors, executive officers and other employees as determined by our Board.</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terms of such indemnification agreements, we are required to, among other things, indemnify each of our directors and officers for certain expenses, including attorneys’ fees, judgments, fines, ERISA excise taxes or penalties and settlement amounts, to the fullest extent permitted by applicable law, if the basis of the indemnitee’s involvement was by reason of the fact that the indemnitee, or a person for whom he or she is the legal representative, is or was a director or officer of Blaize or any of its subsidiaries or is or was serving at our request as a director, officer, employee or agent for another entity. The indemnification agreements also require us, to the fullest extent not prohibited by law and if so requested, to advance within thirty (30) days of such request all expenses that any of the indemnitees incurred, provided that such indemnitee will return any such advance if it is ultimately determined that such indemnitee is not entitled to indemnification by us. Any claims for indemnification by our directors and officers may reduce our available funds to satisfy successful third-party claims against us and may reduce the amount of money available to us.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Exclusive Forum of Certain Actions</w:t>
      </w:r>
    </w:p>
    <w:p>
      <w:pPr>
        <w:spacing w:after="0" w:line="121" w:lineRule="exact"/>
        <w:rPr>
          <w:sz w:val="20"/>
          <w:szCs w:val="20"/>
          <w:color w:val="auto"/>
        </w:rPr>
      </w:pPr>
    </w:p>
    <w:p>
      <w:pPr>
        <w:ind w:left="120" w:right="40" w:firstLine="440"/>
        <w:spacing w:after="0" w:line="269" w:lineRule="auto"/>
        <w:rPr>
          <w:sz w:val="20"/>
          <w:szCs w:val="20"/>
          <w:color w:val="auto"/>
        </w:rPr>
      </w:pPr>
      <w:r>
        <w:rPr>
          <w:rFonts w:ascii="Times New Roman" w:cs="Times New Roman" w:eastAsia="Times New Roman" w:hAnsi="Times New Roman"/>
          <w:sz w:val="17"/>
          <w:szCs w:val="17"/>
          <w:color w:val="auto"/>
        </w:rPr>
        <w:t>Under our certificate of incorporation, unless we consent in writing to the selection of an alternative forum, the Court of Chancery of the State of Delaware (or, in the event that the Court of Chancery of the State of Delaware does not have jurisdiction, the federal district court for the District of Delaware or other state courts of the State of Delaware) and any appellate court therefrom shall be the sole and exclusive forum for the following claims or causes of action under Delaware statutory or common law: (A) any derivative action, suit or proceeding brought on behalf of Blaize; (B) any action, suit or proceeding asserting a claim of breach of a fiduciary duty owed by any director, officer or stockholder of Blaize, to Blaize or its stockholders;</w:t>
      </w:r>
    </w:p>
    <w:p>
      <w:pPr>
        <w:spacing w:after="0" w:line="3" w:lineRule="exact"/>
        <w:rPr>
          <w:sz w:val="20"/>
          <w:szCs w:val="20"/>
          <w:color w:val="auto"/>
        </w:rPr>
      </w:pPr>
    </w:p>
    <w:p>
      <w:pPr>
        <w:ind w:left="120" w:right="240" w:hanging="4"/>
        <w:spacing w:after="0" w:line="253" w:lineRule="auto"/>
        <w:tabs>
          <w:tab w:leader="none" w:pos="40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suit or proceeding arising out of or pursuant to any provision of the DGCL, our certificate of incorporation or our bylaws; and (D) any action, suit or proceeding asserting a claim against Blaize governed by the internal affairs doctrine, in all cases to the fullest extent permitted by law. Unless we consent in writing to the selection of an alternative forum, to the fullest extent permitted by applicable law, the federal district courts of the United States of America shall be the exclusive forum for the resolution of any complaint asserting a cause of action arising under the Securities Act, including all causes of action asserted against any defendant named in such complaint.</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40"/>
          </w:cols>
          <w:pgMar w:left="320" w:top="455" w:right="4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addition, Section 27 of the Exchange Act creates exclusive federal jurisdiction over all suits brought to enforce any duty or liability created by the Exchange Act or the rules and regulations thereunder. As a result, this provision will not apply to claims or suits brought to enforce any duty or liability created by the Exchange Act or any other claim for which the federal courts have exclusive jurisdiction. Any person or entity holding, owning or otherwise acquiring any interest in any security of Blaize shall be deemed to have notice of and consented to the provisions of our certificate of incorporation.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Each whole Public Warrant entitles the registered holder to purchase one share of Common Stock at a price of $11.50 per share, subject to adjustment as discussed below, at any time commencing 30 days after Closing. Pursuant to the warrant agreement, a Public Warrant holder may exercise its Public Warrants only for a whole number of shares of Common Stock. This means that only a whole Public Warrant may be exercised at any given time by a Public Warrant holder. No fractional Public Warrants will be issued upon separation of the BurTech Units and only whole Public Warrants will trade. The Public Warrants will expire five years after the Closing, at 5:00 p.m., New York City time, or earlier upon redemption or liquidation.</w:t>
      </w:r>
    </w:p>
    <w:p>
      <w:pPr>
        <w:spacing w:after="0" w:line="16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shares of Common Stock pursuant to the exercise of a Public Warrant and will have no obligation to settle such Public Warrant exercise unless a registration statement under the Securities Act with respect to the shares of Common Stock underlying the Public Warrants is then effective and a prospectus relating thereto is current, subject to us satisfying our obligations described below with respect to registration. No Public Warrant will be exercisable and we will not be obligated to issue shares of Common Stock upon exercise of a Public Warrant unless Common Stock issuable upon such Public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we be required to net cash settle any warrant. In the event that a registration statement is not effective for the exercised Public Warrants, the purchaser of a BurTech Unit containing such Public Warrant will have paid the full purchase price for the BurTech Unit solely for the share of Common Stock underlying such BurTech Unit.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of Public Warrants when the price per share of Common Stock equals or exceeds $18.00</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call the Public Warrants for redemption for cash:</w:t>
      </w:r>
    </w:p>
    <w:p>
      <w:pPr>
        <w:spacing w:after="0" w:line="131" w:lineRule="exact"/>
        <w:rPr>
          <w:sz w:val="20"/>
          <w:szCs w:val="20"/>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given after the Public Warrants become exercisable (the “30-day redemption period”) to each Public Warrant holder;</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Common Stock equals or exceeds $18.00 per share (as adjusted for stock splits, stock capitalizations, reorganizations, recapitalizations and the like) for any 20 trading days within a 30-trading day period commencing once the Public Warrants become exercisable and ending three business days before we send the notice of redemption to the Public Warrant holders;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We have established the last of the redemption criteria discussed above to prevent a redemption call unless there is at the time of the call a significant premium to the Public Warrant exercise price. If the foregoing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conditions are satisfied and we issue a notice of redemption of the Public Warrants, each Public Warrant holder will be entitled to exercise its Public Warrant prior to the scheduled redemption date. However, the price of Common Stock may fall below the $18.00 redemption trigger price (as adjusted for stock splits, stock dividends, reorganizations, recapitalizations and the like) as well as the $11.50 (for whole shares) warrant exercise price after the redemption notice is issued.</w:t>
      </w:r>
    </w:p>
    <w:p>
      <w:pPr>
        <w:spacing w:after="0" w:line="180"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we will have the option to require any holder that wishes to exercise its Public Warrant to do so on a “cashless basis.” In determining whether to require all holders to exercise their Public Warrants on a “cashless basis,” we will consider, among other factors, our cash position, the number of Public Warrants that are outstanding and the dilutive effect on our stockholders of issuing the maximum number of shares of Common Stock issuable upon the exercise of the Public Warrants. If we take advantage of this option, all holders of Public Warrants would pay the exercise price by surrendering their Public Warrants for that number of shares of Common Stock equal to the quotient obtained by dividing (x) the product of the number of shares of Common Stock underlying the Public Warrants, multiplied by the difference between exercise price of the Price Warrants and the “fair market value” of Common Stock (defined below) by (y) the fair market value. The “fair market value” means the average reported last sale price of Common Stock for the 5 trading days ending on the third trading day prior to the date on which the notice of redemption is sent to the holders of Public Warrants. If we take advantage of this option, the notice of redemption will contain the information necessary to calculate the number of shares of Common Stock to be received upon exercise of the Public Warrants, including the “fair market value” in such case. Requiring a cashless exercise in this manner will reduce the number of shares to be issued and thereby lessen the dilutive effect of a Public Warrant redemption.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Procedures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of Common Stock outstanding immediately after giving effect to such exercise.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Common Stock is increased by a capitalization or share dividend payable in Common Stock, or by a split-up of shares of Common Stock or other similar event, then, on the effective date of such stock dividend, split-up or similar event, the number of shares of Common Stock issuable on exercise of each whole Public Warrant will be increased in proportion to such increase in the outstanding ordinary stock.</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shares of Common Stock on account of such shares (or other securities into which the Public Warrants are convertible), other than (a) as described above, (b) certain ordinary cash dividends, (c) to satisfy the redemption rights of the holders of shares of Common Stock in connection with the Business Combination, (d) to satisfy the redemption rights of the holders of Common Stock in connection with a stockholder vote to amend our certificate of incorporation to modify the substance or timing of BurTech’s obligation to redeem 100% of its Common Stock if BurTech does not complete an initial business combination within 24 months from the closing of its initial public offering or to provide for redemption in connection with the Closing or (e) in connection with the redemption of Common Stock upon BurTech’s failure to complete an initial business combination, then the warrant exercise price will be decreased, effective immediately after the effective date of such event, by the amount of cash and the fair market value of any securities or other assets paid on each share of Common Stock in respect of such event.</w:t>
      </w:r>
    </w:p>
    <w:p>
      <w:pPr>
        <w:spacing w:after="0" w:line="188"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If the number of outstanding shares of Common Stock is decreased by a consolidation, combination, reverse stock split or reclassification of shares of Common Stock or other similar event, then, on the effective date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such consolidation, combination, reverse stock split, reclassification or similar event, the number of shares of Common Stock issuable on exercise of each Public Warrant will be decreased in proportion to such decrease in outstanding shares of Common Stock.</w:t>
      </w:r>
    </w:p>
    <w:p>
      <w:pPr>
        <w:spacing w:after="0" w:line="162" w:lineRule="exact"/>
        <w:rPr>
          <w:sz w:val="20"/>
          <w:szCs w:val="20"/>
          <w:color w:val="auto"/>
        </w:rPr>
      </w:pPr>
    </w:p>
    <w:p>
      <w:pPr>
        <w:ind w:left="120" w:right="480" w:firstLine="440"/>
        <w:spacing w:after="0" w:line="276" w:lineRule="auto"/>
        <w:rPr>
          <w:sz w:val="20"/>
          <w:szCs w:val="20"/>
          <w:color w:val="auto"/>
        </w:rPr>
      </w:pPr>
      <w:r>
        <w:rPr>
          <w:rFonts w:ascii="Times New Roman" w:cs="Times New Roman" w:eastAsia="Times New Roman" w:hAnsi="Times New Roman"/>
          <w:sz w:val="17"/>
          <w:szCs w:val="17"/>
          <w:color w:val="auto"/>
        </w:rPr>
        <w:t>Whenever the number of shares of Common Stock purchasable upon the exercise of the Public Warrants is adjusted, as described above, the Public Warrant exercise price will be adjusted by multiplying the Public Warrant exercise price immediately prior to such adjustment by a fraction</w:t>
      </w:r>
    </w:p>
    <w:p>
      <w:pPr>
        <w:spacing w:after="0" w:line="1" w:lineRule="exact"/>
        <w:rPr>
          <w:sz w:val="20"/>
          <w:szCs w:val="20"/>
          <w:color w:val="auto"/>
        </w:rPr>
      </w:pPr>
    </w:p>
    <w:p>
      <w:pPr>
        <w:ind w:left="120" w:right="220" w:hanging="4"/>
        <w:spacing w:after="0" w:line="260" w:lineRule="auto"/>
        <w:tabs>
          <w:tab w:leader="none" w:pos="37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will be the number of shares of Common Stock purchasable upon the exercise of the Public Warrants immediately prior to such adjustment, and (y) the denominator of which will be the number of shares of Common Stock so purchasable immediately thereafter.</w:t>
      </w:r>
    </w:p>
    <w:p>
      <w:pPr>
        <w:spacing w:after="0" w:line="18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In case of any reclassification or reorganization of the outstanding shares of Common Stock (other than those described above or that solely affects the par value of such shares of Common Stock), or in the case of any merger or consolidation of Blaize with or into another corporation (other than a consolidation or merger in which Blaize is the continuing corporation and that does not result in any reclassification or reorganization of the outstanding shares of Common Stock), or in the case of any sale or conveyance to another corporation or entity of the assets or other property of Blaize as an entirety or substantially as an entirety in connection with which Blaize is dissolved, the holders of the Public Warrants will thereafter have the right to purchase and receive, upon the basis and upon the terms and conditions specified in the Public Warrants and in lieu of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Terms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Public Warrants are issued in registered form under a warrant agreement between Continental Stock Transfer &amp; Trust Company, as warrant agent, and BurTech. The warrant agreement provides that the terms of the Public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if (x) BurTech issues additional shares of Common Stock or equity-linked securities for capital raising purposes in connection with the Closing at an issue price or effective issue price of less than $9.20 per share (with such issue price or effective issue price to be determined in good faith by the BurTech Board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Business Combination on the Closing Date (net of redemptions), and (z) the volume weighted average trading price of Common Stock during the 20 trading day period starting on the trading day prior to the Closing Date (such price, the “Market Value”) is below $9.20 per share, the exercise price of the Public Warrants will be adjusted (to the nearest cent) to be equal to 115% of the higher of the Market Value and the Newly Issued Price, the $18.00 per share redemption trigger price described above under “Redemption of Public Warrants when the price per share of Common Stock equals or exceeds $18.00” will be adjusted (to the nearest cent) to be equal to 180% of the higher of the Market Value and the Newly Issued Price.</w:t>
      </w:r>
    </w:p>
    <w:p>
      <w:pPr>
        <w:spacing w:after="0" w:line="194"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Blaize, for the number of Public Warrants being exercised. The Public Warrant holders do not have the rights or privileges of holders of Common Stock and any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voting rights until they exercise their Public Warrants and receive Common Stock. After the issuance of Common Stock upon exercise of the Public Warrants, each holder will be entitled to one vote for each share held of record on all matters to be voted on by stockholders.</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Public Warrants. If, upon exercise of the Public Warrants, a holder would be entitled to receive a fractional interest in a share, we will, upon exercise, round up to the nearest whole number of shares of Common Stock to be issued to the warrant holder.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Private Placement Warrants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Except as described below, the Private Placement Warrants have terms and provisions that are identical to those of the Public Warrants. The Private Placement Warrants (including Common Stock issuable upon exercise of the Private Placement Warrants) will not be transferable, assignable or salable until 30 days after the Closing (except pursuant to limited exceptions to BurTech’s officers and directors and other persons or entities affiliated with the initial purchasers of the Private Placement Warrants). In addition, holders of our Private Placement Warrants are entitled to certain registration rights, which rights are described above under “</w:t>
      </w:r>
      <w:r>
        <w:rPr>
          <w:rFonts w:ascii="Times New Roman" w:cs="Times New Roman" w:eastAsia="Times New Roman" w:hAnsi="Times New Roman"/>
          <w:sz w:val="18"/>
          <w:szCs w:val="18"/>
          <w:i w:val="1"/>
          <w:iCs w:val="1"/>
          <w:color w:val="auto"/>
        </w:rPr>
        <w:t>Registration Rights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order to fund working capital deficiencies or finance transaction costs in connection with an intended initial business combination, the Sponsor or an affiliate of the Sponsor or certain of BurTech’s officers and directors may, but are not obligated to, loan us funds as may be required on a non-interest basis. Up to $1,500,000 of such loans may be convertible into units of the post business combination entity at a price of $10.00 per unit at the option of the lender. Such units would be identical to the Private Placement Units.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Warrant Agent</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transfer agent for our Common Stock and warrant agent for the Public Warrants and Private Placement Warrants is Continental Stock Transfer &amp; Trust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Trading Symbols and Market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and Warrants are listed on the Nasdaq Global Market under the symbol “BZAI” and “BZAIW,” respectively.</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40"/>
          </w:cols>
          <w:pgMar w:left="320" w:top="455" w:right="5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ACT RESTRICTIONS ON RESALE OF OUR SECURITIES</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Pursuant to Rule 144 under the Securities Act (“Rule 144”), a person who has beneficially owned restricted shares of our Common Stock or Warrants for at least six months would be entitled to sell their securities provided that (i) such person is not deemed to have been an affiliate of Blaize at the time of, or at any time during the three months preceding, a sale and (ii) Blaize is subject to the Exchange Act periodic reporting requirements for at least three months before the sale and have filed all required reports under Section 13 or 15(d) of the Exchange Act during the 12 months (or such shorter period as Blaize was required to file reports) preceding the sale.</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shares of Common Stock or Warrants for at least six months but who are affiliates of Blaize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81" w:lineRule="exact"/>
        <w:rPr>
          <w:sz w:val="20"/>
          <w:szCs w:val="20"/>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shares of Common Stock then outstanding; or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our Common Stock during the four calendar weeks preceding the filing of a notice on Form 144 with respect to the sale.</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Sales by affiliates of Blaize under Rule 144 are also limited by manner of sale provisions and notice requirements and to the availability of current public information about Blaize.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1" w:lineRule="exact"/>
        <w:rPr>
          <w:sz w:val="20"/>
          <w:szCs w:val="20"/>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consummation of the Business Combination, we are no longer a shell company, and so, once the conditions set forth in the exceptions listed above are satisfied, Rule 144 will become available for the resale of the above noted restricted securities.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00"/>
          </w:cols>
          <w:pgMar w:left="320" w:top="455" w:right="47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PLAN OF DISTRIBUTION (CONFLICT OF INTEREST)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Offer and Resale of Common Stock by the Selling Stockholder</w:t>
      </w:r>
    </w:p>
    <w:p>
      <w:pPr>
        <w:spacing w:after="0" w:line="121"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BRPC Shares offered by this prospectus are being offered by the Selling Stockholder, B. Riley Principal Capital II, LLC. The shares may be sold or distributed from time to time by the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shares of BRPC Shares offered by this prospectus could be effected in one or more of the following methods:</w:t>
      </w:r>
    </w:p>
    <w:p>
      <w:pPr>
        <w:spacing w:after="0" w:line="70" w:lineRule="exact"/>
        <w:rPr>
          <w:sz w:val="20"/>
          <w:szCs w:val="20"/>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brokers’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cross or block trades;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dealers, or underwriters who may act solely as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into an existing market for our Common Stock;</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ways not involving market makers or established business markets, including direct sales to purchasers or sales effected through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25"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 Riley Principal Capital II is an “underwriter” within the meaning of Section 2(a)(11) of the Securities Act.</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B. Riley Principal Capital II has informed us that it presently anticipates using, but is not required to use, B. Riley Securities, Inc. (“BRS”), a registered broker-dealer and FINRA member and an affiliate of B. Riley Principal Capital II, as a broker to effectuate resales, if any, of BRPC Shares that it may acquire from us pursuant to the Purchase Agreement, and that it may also engage one or more other registered broker-dealers to effectuate resales, if any, of BRPC Shares that it may acquire from us. Such resales will be made at prices and at terms then prevailing or at prices related to the then current market price. Each such registered broker-dealer will be an underwriter within the meaning of Section 2(a)(11) of the Securities Act. B. Riley Principal Capital II has informed us that each such broker-dealer it engages to effectuate resales of BRPC Shares on its behalf, excluding BRS, may receive commissions from B. Riley Principal Capital II for executing such resales for B. Riley Principal Capital II and, if so, such commissions will not exceed customary brokerage commissions.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 Riley Principal Capital II is an affiliate of BRS, a registered broker-dealer and FINRA member, which will act as an executing broker that will effectuate resales of BRPC Shares that may be acquired by B. Riley Principal Capital II from us pursuant to the Purchase Agreement to the public in this offering. Because B. Riley Principal Capital II will receive all the net proceeds from such resales of BRPC Shares made to the public through BRS, BRS is deemed to have a “conflict of interest” within the meaning of FINRA Rule 5121. Consequently, this offering will be conducted in compliance with the provisions of FINRA Rule 5121. In accordance with FINRA Rule 5121, BRS is not permitted to sell shares of BRPC Shares in this offering to an account over which it exercises discretionary authority without the prior specific written approval of the account holder.</w:t>
      </w:r>
    </w:p>
    <w:p>
      <w:pPr>
        <w:spacing w:after="0" w:line="187"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Except as set forth above, we know of no existing arrangements between the Selling Stockholder and any other stockholder, broker, dealer, underwriter or agent relating to the sale or distribution of BRPC Shares offered by this prospectus.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Brokers, dealers, underwriters or agents participating in the distribution of the shares of our Common Stock offered by this prospectus may receive compensation in the form of commissions, discounts, or concessions from the purchasers, for whom the broker-dealers may act as agent, of BRPC Shares sold by the Selling Stockholder through this prospectus. The compensation paid to any such particular broker-dealer by any such purchasers of BRPC Shares sold by the Selling Stockholder may be less than or in excess of customary commissions. Neither we nor the Selling Stockholder can presently estimate the amount of compensation that any agent will receive from any purchasers of BRPC Shares sold by the Selling Stockholder.</w:t>
      </w:r>
    </w:p>
    <w:p>
      <w:pPr>
        <w:spacing w:after="0" w:line="16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the Selling Stockholder, including with respect to any compensation paid or payable by the Selling Stockholder to any brokers, dealers, underwriters or agents that participate in the distribution of such shares by the Selling Stockholder, and any other related information required to be disclosed under the Securities Act.</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will pay the expenses incident to the registration under the Securities Act of the offer and sale of BRPC Shares covered by this prospectus by the Selling Stockholder.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consideration for its irrevocable commitment to purchase our Common Stock at our direction under the Purchase Agreement, we agreed to</w:t>
      </w:r>
    </w:p>
    <w:p>
      <w:pPr>
        <w:spacing w:after="0" w:line="27" w:lineRule="exact"/>
        <w:rPr>
          <w:sz w:val="20"/>
          <w:szCs w:val="20"/>
          <w:color w:val="auto"/>
        </w:rPr>
      </w:pPr>
    </w:p>
    <w:p>
      <w:pPr>
        <w:ind w:left="120" w:right="80" w:hanging="4"/>
        <w:spacing w:after="0" w:line="251" w:lineRule="auto"/>
        <w:tabs>
          <w:tab w:leader="none" w:pos="33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B. Riley Principal Capital II the Cash Commitment Fee of $200,000, which is equal to 0.4% of B. Riley Principal Capital II’s $50,000,000 total aggregate dollar amount purchase commitment under the Purchase Agreement, and (ii) issue to B. Riley Principal Capital II 83,353 shares of our Common Stock as Commitment Shares, which Commitment Shares have a total aggregate dollar value equal to $250,000, or 0.5% of B. Riley Principal Capital II’s $50,000,000 total aggregate dollar amount purchase commitment under the Purchase Agreement (assuming a purchase price of $2.9993 per Commitment Share, representing the VWAP for the five consecutive days immediately prior to signing of the Purchase Agreement, rounded to the nearest whole, in each case upon our execution of the Purchase Agreement and the Registration Rights Agreement. In accordance with FINRA Rule 5110, the Cash Commitment Fee we paid to B. Riley Principal Capital II and the 83,353 Commitment Shares we issued to B. Riley Principal Capital II upon our execution of the Purchase Agreement are deemed to be underwriting compensation in connection with sales of BRPC Shares by B. Riley Principal Capital II to the public.</w:t>
      </w:r>
    </w:p>
    <w:p>
      <w:pPr>
        <w:spacing w:after="0" w:line="19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we have agreed to reimburse B. Riley Principal Capital II the Initial Legal Fee Reimbursement Amount of $125,000 upon our execution of the Purchase Agreement and Registration Rights Agreement and the Additional Investor Legal Fee Reimbursement Amount of up to $5,000 per fiscal quarter, in each case in connection with the transactions contemplated by the Purchase Agreement and the Registration Rights Agreement. In accordance with FINRA Rule 5110, these reimbursed fees and expenses are deemed to be underwriting compensation in connection with sales of BRPC Shares by B. Riley Principal Capital II to the public. Moreover, in accordance with FINRA Rule 5110, the 3.0% fixed discount to current market prices of our Common Stock reflected in the purchase prices payable by B. Riley Principal Capital II for our Common Stock that we may require it to purchase from us from time to time in one or more Market Open Purchases and/or one or more Intraday Purchases under the Purchase Agreement is deemed to be underwriting compensation in connection with sales of BRPC Shares by B. Riley Principal Capital II to the public.</w:t>
      </w:r>
    </w:p>
    <w:p>
      <w:pPr>
        <w:spacing w:after="0" w:line="19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also have agreed to indemnify B. Riley Principal Capital II and certain other persons against certain liabilities in connection with the offering of BRPC Shares offered hereby, including liabilities arising under the Securities Act or, if such indemnity is unavailable, to contribute amounts required to be paid in respect of such liabilities. B. Riley Principal Capital II has agreed to indemnify us against liabilities under the Securities Act that may arise from certain written information furnished to us by B. Riley Principal Capital II specifically for use in this prospectus or, if such indemnity is unavailable, to contribute amounts required to be paid in respect of such liabilities. Insofar as indemnification for liabilities arising under the Securities Act may be permitted to our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40"/>
          </w:cols>
          <w:pgMar w:left="320" w:top="455" w:right="4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directors, officers, and controlling persons, we have been advised that in the opinion of the SEC this indemnification is against public policy as expressed in the Securities Act and is therefore, unenforceable.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estimate that the total expenses for the offering will be approximately $650,000.</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 Riley Principal Capital II has represented to us that at no time prior to the date of the Purchase Agreement has B. Riley Principal Capital II, any of its officers, or any entity managed or controlled by B. Riley Principal Capital II, engaged in or effected, in any manner whatsoever, directly or indirectly, for B. Riley Principal Capital II’s own principal account or for the principal account of any such entity managed or controlled by B. Riley Principal Capital II, any short sale (as such term is defined in Rule 200 of Regulation SHO of the Exchange Act) of our Common Stock or any hedging transaction, which establishes a net short position with respect to our Common Stock that remained in effect as of the date of the Purchase Agreement. B. Riley Principal Capital II has agreed that during the term of the Purchase Agreement, none of B. Riley Principal Capital II, any of its officers, or any entity managed or controlled by B. Riley Principal Capital II, will enter into or effect, directly or indirectly, any of the foregoing transactions either for B. Riley Principal Capital II’s own principal account or for the principal account of any such entity managed or controlled by B. Riley Principal Capital II.</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 that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offering will terminate on the date that all BRPC Shares offered by this prospectus have been sold by the Selling Stockholder.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currently listed on Nasdaq under the symbol “BZAI”.</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 Riley Principal Capital II and/or one or more of its affiliates, including BRS, has provided, currently provides and/or from time to time in the future may provide various investment banking and other financial services for us and/or one or more of our affiliates that are unrelated to the transactions contemplated by the Purchase Agreement and the offering of BRPC Shares for resale by B. Riley Principal Capital II to which this prospectus relates, for which investment banking and other financial services they have received and may continue to receive customary fees, commissions and other compensation from us, aside from any discounts, fees and other compensation that B. Riley Principal Capital II has received and may receive in connection with the transactions contemplated by the Purchase Agreement, including (i) the $200,000 Cash Commitment Fee we paid to B. Riley Principal Capital II and the 83,353 Commitment Shares we issued to B. Riley Principal Capital II as consideration for its irrevocable commitment to purchase shares of our Common Stock from us at our direction under the Purchase Agreement, (ii) the 3.0% fixed discount to current market prices of our Common Stock reflected in the purchase prices payable by B. Riley Principal Capital II for our Common Stock that we may require it to purchase from us from time to time in one or more Open Market Purchases and/or one or more Intraday Purchases under the Purchase Agreement, and (iii) our reimbursement of B. Riley Principal Capital II’s legal fees up to $185,000 in the aggregate ($125,000 upon execution of the Purchase Agreement and $5,000 per fiscal quarter for the maximum three year term of the Purchase Agreement) in connection with the transactions contemplated by the Purchase Agreement and the Registration Rights Agreement.</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total underwriting compensation to be received by all participating FINRA members, in the aggregate, in connection with this offering, as determined under FINRA Rule 5110, will not exceed 8.0% of the maximum aggregate offering price of all BRPC Shares that may be resold by B. Riley Principal Capital II to the public through this prospectus. Accordingly, the total amount of any specific item of underwriting compensation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00"/>
          </w:cols>
          <w:pgMar w:left="320" w:top="455" w:right="4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described herein that may be received by any participating FINRA member in connection with this offering shall, in each case, be subject to the limitation on the total underwriting compensation to be received by all participating FINRA members, in the aggregate, in connection with this offering, as determined under FINRA Rule 5110, described in the immediately preceding sentence.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Offer and Resale of Common Stock by Cantor</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This prospectus also related in part to the offer and sale of up to 769,231 shares of our Common Stock by Cantor (including its donees, pledgees, transferees and other successors-in-interest) named in this prospectus.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any sale by Cantor of the Common Stock being registered for sale hereunder. We will bear all costs, expenses and fees in connection with the registration of the Common Stock offered by this prospectus, including, without limitation, all registration and filing fees, fees and expenses of our counsel and fees and expenses of our independent registered public accountants. Cantor will bear all incremental selling expenses, including commissions, brokerage fees and other similar selling expenses.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Subject to certain exceptions, the Engagement Letter provides that Cantor shall not transfer (A) 384,616 shares of Common Stock issued to Cantor until the earlier of (i) April 11, 2026, (ii) the date on which the VWAP of the Common Stock equals or exceeds $7.00 per share for any 20 trading days within a 30-trading day period and (iii) the date upon which the Company completes a liquidation, merger, capital stock exchange, reorganization or other similar transaction that results in all of the Company’s stockholders having the right to exchange their shares of Common Stock for cash, securities or other property and (B) 384,615 shares of Common Stock issued to Cantor until the earlier of (i) April 11, 2026, (ii) the date on which the VWAP of the Common Stock equals or exceeds $10.00 per share for any 20 trading days within a 30-trading day period and (iii) the date upon which the Company completes a liquidation, merger, capital stock exchange, reorganization or other similar transaction that results in all of the Company’s stockholders having the right to exchange their shares of Common Stock for cash, securities or other property.</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Following expiration of the Lock-Up Period, Cantor may offer and sell, from time to time, some or all of the Common Stock to which this prospectus relates in part. As used herein, “Cantor” includes donees, pledgees, transferees or other successors-in-interest (as a gift, pledge, partnership distribution or other non-sale related transfer) selling shares of Common Stock received after the date of this prospectus from Cantor. We have registered the shares of Common Stock to which this prospectus relates in part for offer and sale so that those shares may be freely sold to the public by Cantor. Registration of the shares of Common Stock to which this prospectus relates in part does not mean, however, that those shares necessarily will be offered or resold by Cantor.</w:t>
      </w:r>
    </w:p>
    <w:p>
      <w:pPr>
        <w:spacing w:after="0" w:line="18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Sales of the Common Stock offered hereby may be effected by Cantor from time to time in one or more types of transactions (which may include block transactions), including but not limited to, in negotiated transactions, through put or call options transactions relating to the securities offered hereby, through short sales of the securities offered hereby, or a combination of such methods of sale. Such transactions may or may not involve brokers or dealers. In effecting sales, brokers or dealers engaged by Cantor may arrange for other brokers or dealers to participate. Broker-dealer transactions may include purchases of the securities by a broker-dealer as principal and resales of the securities by the broker-dealer for its account pursuant to this prospectus, ordinary brokerage transactions or transactions in which the broker-dealer solicits purchasers. Such broker-dealers may receive compensation in the form of discounts, concessions or commissions from Cantor and/or the purchasers of the securities offered hereby for whom such broker-dealers may act as agents or to whom they sell as principal, or both (which compensation as to a particular broker-dealer might be in excess of customary commissions). Any broker-dealers participating in the distribution of the securities covered by this prospectus may be deemed to be “underwriters” within the meaning of the Securities Act, and any commissions received by any of those broker-dealers may be deemed to be underwriting commissions under the Securities Act. Cantor has not advised us that they have entered into any agreements, understandings or arrangements with any broker-dealers regarding the sale of the Common Stock to which this prospectus relates in part.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addition, Cantor may elect to make a pro rata in-kind distribution of Common Stock to its members, partners or shareholders pursuant to the registration statement of which this prospectus is a part by delivering a prospectus with a plan of distribution. Such members, partners or shareholders would thereby receive freely tradeable shares of Common Stock pursuant to the distribution through a registration statement. To the extent a distributee is an affiliate of ours (or to the extent otherwise required by law), we may file a prospectus supplement in order to permit the distributees to use the prospectus to resell the shares of Common Stock acquired in the distribution.</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There can be no assurance that Cantor will sell all or any of the Common Stock offered by this prospectus. In addition, any shares that qualify for sale pursuant to Rule 144 may be sold under Rule 144 of the Securities Act, if available, or in other transactions exempt from registration, rather than pursuant to this prospectus.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Cantor may enter into hedging transactions with broker-dealers or other financial institutions. In connection with such transactions, broker-dealers or other financial institutions may engage in short sales of shares of Common Stock offered hereby in the course of hedging positions they assume with Cantor. Cantor may also enter into options or other transactions with broker-dealers or other financial institutions which require the delivery to such broker-dealers or other financial institutions of the shares offered by this prospectus, which shares such broker-dealer or other financial institution may resell pursuant to this prospectus (as amended or supplemented to reflect such transaction).</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Cantor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Cantor or borrowed from Cantor or others to settle those sales or to close out any related open borrowings of stock, and may use securities received from Cantor in settlement of those derivatives to close out any related open borrowings of securities. The third party in such sale transactions will be an underwriter and will be identified in the applicable prospectus supplement (or a post-effective amendment). In addition, Cantor may otherwise loan or pledge the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88"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Cantor is not a party to, and has no involvement in, the committed equity facility entered into between the Company and B. Riley Principal Capital II. The 769,231 shares of Common Stock being registered for resale by Cantor under this registration statement are entirely unrelated to the committed equity facility with B. Riley Principal Capital II and were acquired independently of that arrangement. No proceeds from the equity facility will be used in connection with Cantor and Cantor has no rights or obligations under the Purchase Agreement or Registration Rights Agreement with B. Riley.</w:t>
      </w:r>
    </w:p>
    <w:p>
      <w:pPr>
        <w:spacing w:after="0" w:line="183"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To the extent required, we will use our best efforts to file one or more supplements to this prospectus to describe any material information with respect to the plan of distribution not previously disclosed in this prospectus or any material change to such information.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40"/>
          </w:cols>
          <w:pgMar w:left="320" w:top="455" w:right="4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validity of the shares of Common Stock offered hereby will be passed upon for us by Latham &amp; Watkins LLP, Houston, Texas.</w:t>
      </w:r>
    </w:p>
    <w:p>
      <w:pPr>
        <w:spacing w:after="0" w:line="16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0139"/>
          </w:cols>
          <w:pgMar w:left="320" w:top="455" w:right="14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Blaize, Inc. and Subsidiaries as of December 31, 2024 and 2023, and for each of the years in the two-year period ended December 31, 2024 included in this prospectus have been audited by UHY LLP, an independent registered public accounting firm, as set forth in their report thereon (which contains an explanatory paragraph relating to Blaize’s ability to continue as a going concern), appearing elsewhere in this prospectus, and are included in reliance on the report of such firm given upon their authority as experts in accounting and auditing.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We have also filed a registration statement on Form S-1, including exhibits, under the Securities Act with respect to the shares of Common Stock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w:t>
      </w:r>
      <w:r>
        <w:rPr>
          <w:rFonts w:ascii="Times New Roman" w:cs="Times New Roman" w:eastAsia="Times New Roman" w:hAnsi="Times New Roman"/>
          <w:sz w:val="18"/>
          <w:szCs w:val="18"/>
          <w:i w:val="1"/>
          <w:iCs w:val="1"/>
          <w:color w:val="auto"/>
        </w:rPr>
        <w:t>http:// www.sec.gov</w:t>
      </w:r>
      <w:r>
        <w:rPr>
          <w:rFonts w:ascii="Times New Roman" w:cs="Times New Roman" w:eastAsia="Times New Roman" w:hAnsi="Times New Roman"/>
          <w:sz w:val="18"/>
          <w:szCs w:val="18"/>
          <w:color w:val="auto"/>
        </w:rPr>
        <w:t>. Those filings are also available to the public on, or accessible through, our website under the heading “Investors Relations” at www.blaize.com. The information on our web site, however, is not, and should not be deemed to be, a part of this prospectus.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60"/>
          </w:cols>
          <w:pgMar w:left="320" w:top="455" w:right="5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56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b w:val="1"/>
                <w:bCs w:val="1"/>
                <w:color w:val="auto"/>
              </w:rPr>
              <w:t>BLAIZE HOLDINGS, INC. FINANCIAL STATEMENTS</w:t>
            </w:r>
          </w:p>
        </w:tc>
        <w:tc>
          <w:tcPr>
            <w:tcW w:w="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0560" w:type="dxa"/>
            <w:vAlign w:val="bottom"/>
            <w:gridSpan w:val="14"/>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056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Unaudited Financial Statements of Blaize Holdings, Inc.:</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7200" w:type="dxa"/>
            <w:vAlign w:val="bottom"/>
            <w:tcBorders>
              <w:bottom w:val="single" w:sz="8" w:color="0000EE"/>
            </w:tcBorders>
            <w:gridSpan w:val="9"/>
          </w:tcPr>
          <w:p>
            <w:pPr>
              <w:spacing w:after="0" w:line="194"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2025 and December 31, 2024 (unaudited)</w:t>
            </w:r>
          </w:p>
        </w:tc>
        <w:tc>
          <w:tcPr>
            <w:tcW w:w="3360" w:type="dxa"/>
            <w:vAlign w:val="bottom"/>
            <w:gridSpan w:val="5"/>
          </w:tcPr>
          <w:p>
            <w:pPr>
              <w:spacing w:after="0"/>
              <w:rPr>
                <w:sz w:val="16"/>
                <w:szCs w:val="16"/>
                <w:color w:val="auto"/>
              </w:rPr>
            </w:pPr>
          </w:p>
        </w:tc>
        <w:tc>
          <w:tcPr>
            <w:tcW w:w="40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196"/>
        </w:trPr>
        <w:tc>
          <w:tcPr>
            <w:tcW w:w="85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Months Ended March 31, 2025 and 2024 (unaudited)</w:t>
            </w:r>
          </w:p>
        </w:tc>
        <w:tc>
          <w:tcPr>
            <w:tcW w:w="2040" w:type="dxa"/>
            <w:vAlign w:val="bottom"/>
            <w:gridSpan w:val="4"/>
          </w:tcPr>
          <w:p>
            <w:pPr>
              <w:spacing w:after="0"/>
              <w:rPr>
                <w:sz w:val="17"/>
                <w:szCs w:val="17"/>
                <w:color w:val="auto"/>
              </w:rPr>
            </w:pPr>
          </w:p>
        </w:tc>
        <w:tc>
          <w:tcPr>
            <w:tcW w:w="4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5"/>
              </w:rPr>
              <w:t>F-3</w:t>
            </w:r>
          </w:p>
        </w:tc>
        <w:tc>
          <w:tcPr>
            <w:tcW w:w="0" w:type="dxa"/>
            <w:vAlign w:val="bottom"/>
          </w:tcPr>
          <w:p>
            <w:pPr>
              <w:spacing w:after="0"/>
              <w:rPr>
                <w:sz w:val="1"/>
                <w:szCs w:val="1"/>
                <w:color w:val="auto"/>
              </w:rPr>
            </w:pPr>
          </w:p>
        </w:tc>
      </w:tr>
      <w:tr>
        <w:trPr>
          <w:trHeight w:val="196"/>
        </w:trPr>
        <w:tc>
          <w:tcPr>
            <w:tcW w:w="98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Equity (Deficit) for the Three Months ended March 31, 2025 and 2024 (unaudited)</w:t>
            </w:r>
          </w:p>
        </w:tc>
        <w:tc>
          <w:tcPr>
            <w:tcW w:w="680" w:type="dxa"/>
            <w:vAlign w:val="bottom"/>
            <w:gridSpan w:val="2"/>
          </w:tcPr>
          <w:p>
            <w:pPr>
              <w:spacing w:after="0"/>
              <w:rPr>
                <w:sz w:val="17"/>
                <w:szCs w:val="17"/>
                <w:color w:val="auto"/>
              </w:rPr>
            </w:pPr>
          </w:p>
        </w:tc>
        <w:tc>
          <w:tcPr>
            <w:tcW w:w="4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196"/>
        </w:trPr>
        <w:tc>
          <w:tcPr>
            <w:tcW w:w="10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2025 and 2024 (unaudited)</w:t>
            </w:r>
          </w:p>
        </w:tc>
        <w:tc>
          <w:tcPr>
            <w:tcW w:w="4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196"/>
        </w:trPr>
        <w:tc>
          <w:tcPr>
            <w:tcW w:w="85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 (unaudited)</w:t>
            </w:r>
          </w:p>
        </w:tc>
        <w:tc>
          <w:tcPr>
            <w:tcW w:w="2000" w:type="dxa"/>
            <w:vAlign w:val="bottom"/>
            <w:gridSpan w:val="3"/>
          </w:tcPr>
          <w:p>
            <w:pPr>
              <w:spacing w:after="0"/>
              <w:rPr>
                <w:sz w:val="17"/>
                <w:szCs w:val="17"/>
                <w:color w:val="auto"/>
              </w:rPr>
            </w:pPr>
          </w:p>
        </w:tc>
        <w:tc>
          <w:tcPr>
            <w:tcW w:w="4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430"/>
        </w:trPr>
        <w:tc>
          <w:tcPr>
            <w:tcW w:w="51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BLAIZE, INC. FINANCIAL STATEMENTS</w:t>
            </w:r>
          </w:p>
        </w:tc>
        <w:tc>
          <w:tcPr>
            <w:tcW w:w="5440" w:type="dxa"/>
            <w:vAlign w:val="bottom"/>
            <w:gridSpan w:val="8"/>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56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Blaize, Inc. and Subsidiaries:</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220" w:type="dxa"/>
            <w:vAlign w:val="bottom"/>
            <w:tcBorders>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6340" w:type="dxa"/>
            <w:vAlign w:val="bottom"/>
            <w:gridSpan w:val="10"/>
          </w:tcPr>
          <w:p>
            <w:pPr>
              <w:spacing w:after="0"/>
              <w:rPr>
                <w:sz w:val="16"/>
                <w:szCs w:val="16"/>
                <w:color w:val="auto"/>
              </w:rPr>
            </w:pPr>
          </w:p>
        </w:tc>
        <w:tc>
          <w:tcPr>
            <w:tcW w:w="40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color w:val="auto"/>
                <w:w w:val="99"/>
              </w:rPr>
              <w:t>F-38</w:t>
            </w:r>
          </w:p>
        </w:tc>
        <w:tc>
          <w:tcPr>
            <w:tcW w:w="0" w:type="dxa"/>
            <w:vAlign w:val="bottom"/>
          </w:tcPr>
          <w:p>
            <w:pPr>
              <w:spacing w:after="0"/>
              <w:rPr>
                <w:sz w:val="1"/>
                <w:szCs w:val="1"/>
                <w:color w:val="auto"/>
              </w:rPr>
            </w:pPr>
          </w:p>
        </w:tc>
      </w:tr>
      <w:tr>
        <w:trPr>
          <w:trHeight w:val="196"/>
        </w:trPr>
        <w:tc>
          <w:tcPr>
            <w:tcW w:w="10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as of December 31, 2024, and 2023</w:t>
            </w:r>
          </w:p>
        </w:tc>
        <w:tc>
          <w:tcPr>
            <w:tcW w:w="4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w w:val="99"/>
              </w:rPr>
              <w:t>F-39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2024, and 2023</w:t>
            </w:r>
          </w:p>
        </w:tc>
        <w:tc>
          <w:tcPr>
            <w:tcW w:w="4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w w:val="99"/>
              </w:rPr>
              <w:t>F-40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33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Redeemable Convertible Preferred Stock and Stockholders’ Deficit for the Years Ended December 31, 2024, and</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260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w w:val="99"/>
              </w:rPr>
              <w:t>F-41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2024 and 2023</w:t>
            </w:r>
          </w:p>
        </w:tc>
        <w:tc>
          <w:tcPr>
            <w:tcW w:w="4040" w:type="dxa"/>
            <w:vAlign w:val="bottom"/>
            <w:gridSpan w:val="6"/>
          </w:tcPr>
          <w:p>
            <w:pPr>
              <w:spacing w:after="0"/>
              <w:rPr>
                <w:sz w:val="17"/>
                <w:szCs w:val="17"/>
                <w:color w:val="auto"/>
              </w:rPr>
            </w:pPr>
          </w:p>
        </w:tc>
        <w:tc>
          <w:tcPr>
            <w:tcW w:w="4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w w:val="99"/>
              </w:rPr>
              <w:t>F-42</w:t>
            </w:r>
          </w:p>
        </w:tc>
        <w:tc>
          <w:tcPr>
            <w:tcW w:w="0" w:type="dxa"/>
            <w:vAlign w:val="bottom"/>
          </w:tcPr>
          <w:p>
            <w:pPr>
              <w:spacing w:after="0"/>
              <w:rPr>
                <w:sz w:val="1"/>
                <w:szCs w:val="1"/>
                <w:color w:val="auto"/>
              </w:rPr>
            </w:pPr>
          </w:p>
        </w:tc>
      </w:tr>
      <w:tr>
        <w:trPr>
          <w:trHeight w:val="196"/>
        </w:trPr>
        <w:tc>
          <w:tcPr>
            <w:tcW w:w="10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4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w w:val="99"/>
              </w:rPr>
              <w:t>F-43</w:t>
            </w:r>
          </w:p>
        </w:tc>
        <w:tc>
          <w:tcPr>
            <w:tcW w:w="0" w:type="dxa"/>
            <w:vAlign w:val="bottom"/>
          </w:tcPr>
          <w:p>
            <w:pPr>
              <w:spacing w:after="0"/>
              <w:rPr>
                <w:sz w:val="1"/>
                <w:szCs w:val="1"/>
                <w:color w:val="auto"/>
              </w:rPr>
            </w:pPr>
          </w:p>
        </w:tc>
      </w:tr>
      <w:tr>
        <w:trPr>
          <w:trHeight w:val="385"/>
        </w:trPr>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60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40" w:type="dxa"/>
            <w:vAlign w:val="bottom"/>
            <w:gridSpan w:val="8"/>
          </w:tcPr>
          <w:p>
            <w:pPr>
              <w:ind w:left="260"/>
              <w:spacing w:after="0"/>
              <w:rPr>
                <w:sz w:val="20"/>
                <w:szCs w:val="20"/>
                <w:color w:val="auto"/>
              </w:rPr>
            </w:pPr>
            <w:r>
              <w:rPr>
                <w:rFonts w:ascii="Times New Roman" w:cs="Times New Roman" w:eastAsia="Times New Roman" w:hAnsi="Times New Roman"/>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8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 except shares and per share amounts)</w:t>
            </w:r>
          </w:p>
        </w:tc>
        <w:tc>
          <w:tcPr>
            <w:tcW w:w="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94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9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44,967</w:t>
            </w:r>
          </w:p>
        </w:tc>
        <w:tc>
          <w:tcPr>
            <w:tcW w:w="40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50,237</w:t>
            </w:r>
          </w:p>
        </w:tc>
        <w:tc>
          <w:tcPr>
            <w:tcW w:w="0" w:type="dxa"/>
            <w:vAlign w:val="bottom"/>
          </w:tcPr>
          <w:p>
            <w:pPr>
              <w:spacing w:after="0"/>
              <w:rPr>
                <w:sz w:val="1"/>
                <w:szCs w:val="1"/>
                <w:color w:val="auto"/>
              </w:rPr>
            </w:pPr>
          </w:p>
        </w:tc>
      </w:tr>
      <w:tr>
        <w:trPr>
          <w:trHeight w:val="148"/>
        </w:trPr>
        <w:tc>
          <w:tcPr>
            <w:tcW w:w="8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Funds held in escrow</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33,350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1,008</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48"/>
        </w:trPr>
        <w:tc>
          <w:tcPr>
            <w:tcW w:w="8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8,383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8,561</w:t>
            </w:r>
          </w:p>
        </w:tc>
        <w:tc>
          <w:tcPr>
            <w:tcW w:w="0" w:type="dxa"/>
            <w:vAlign w:val="bottom"/>
          </w:tcPr>
          <w:p>
            <w:pPr>
              <w:spacing w:after="0"/>
              <w:rPr>
                <w:sz w:val="1"/>
                <w:szCs w:val="1"/>
                <w:color w:val="auto"/>
              </w:rPr>
            </w:pPr>
          </w:p>
        </w:tc>
      </w:tr>
      <w:tr>
        <w:trPr>
          <w:trHeight w:val="149"/>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5,836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14,837</w:t>
            </w:r>
          </w:p>
        </w:tc>
        <w:tc>
          <w:tcPr>
            <w:tcW w:w="0" w:type="dxa"/>
            <w:vAlign w:val="bottom"/>
          </w:tcPr>
          <w:p>
            <w:pPr>
              <w:spacing w:after="0"/>
              <w:rPr>
                <w:sz w:val="1"/>
                <w:szCs w:val="1"/>
                <w:color w:val="auto"/>
              </w:rPr>
            </w:pPr>
          </w:p>
        </w:tc>
      </w:tr>
      <w:tr>
        <w:trPr>
          <w:trHeight w:val="155"/>
        </w:trPr>
        <w:tc>
          <w:tcPr>
            <w:tcW w:w="89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current assets</w:t>
            </w: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93,544</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73,690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2,054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2,081</w:t>
            </w:r>
          </w:p>
        </w:tc>
        <w:tc>
          <w:tcPr>
            <w:tcW w:w="0" w:type="dxa"/>
            <w:vAlign w:val="bottom"/>
          </w:tcPr>
          <w:p>
            <w:pPr>
              <w:spacing w:after="0"/>
              <w:rPr>
                <w:sz w:val="1"/>
                <w:szCs w:val="1"/>
                <w:color w:val="auto"/>
              </w:rPr>
            </w:pPr>
          </w:p>
        </w:tc>
      </w:tr>
      <w:tr>
        <w:trPr>
          <w:trHeight w:val="148"/>
        </w:trPr>
        <w:tc>
          <w:tcPr>
            <w:tcW w:w="8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income tax assets</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2,167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2,157</w:t>
            </w:r>
          </w:p>
        </w:tc>
        <w:tc>
          <w:tcPr>
            <w:tcW w:w="0" w:type="dxa"/>
            <w:vAlign w:val="bottom"/>
          </w:tcPr>
          <w:p>
            <w:pPr>
              <w:spacing w:after="0"/>
              <w:rPr>
                <w:sz w:val="1"/>
                <w:szCs w:val="1"/>
                <w:color w:val="auto"/>
              </w:rPr>
            </w:pPr>
          </w:p>
        </w:tc>
      </w:tr>
      <w:tr>
        <w:trPr>
          <w:trHeight w:val="149"/>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1,623</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1,773</w:t>
            </w:r>
          </w:p>
        </w:tc>
        <w:tc>
          <w:tcPr>
            <w:tcW w:w="0" w:type="dxa"/>
            <w:vAlign w:val="bottom"/>
          </w:tcPr>
          <w:p>
            <w:pPr>
              <w:spacing w:after="0"/>
              <w:rPr>
                <w:sz w:val="1"/>
                <w:szCs w:val="1"/>
                <w:color w:val="auto"/>
              </w:rPr>
            </w:pPr>
          </w:p>
        </w:tc>
      </w:tr>
      <w:tr>
        <w:trPr>
          <w:trHeight w:val="148"/>
        </w:trPr>
        <w:tc>
          <w:tcPr>
            <w:tcW w:w="8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815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815</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100,203</w:t>
            </w:r>
          </w:p>
        </w:tc>
        <w:tc>
          <w:tcPr>
            <w:tcW w:w="40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80,516</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common stock subject to possible redemption, and stockholders’ equity (deficit)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17,115</w:t>
            </w:r>
          </w:p>
        </w:tc>
        <w:tc>
          <w:tcPr>
            <w:tcW w:w="40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7,904</w:t>
            </w:r>
          </w:p>
        </w:tc>
        <w:tc>
          <w:tcPr>
            <w:tcW w:w="0" w:type="dxa"/>
            <w:vAlign w:val="bottom"/>
          </w:tcPr>
          <w:p>
            <w:pPr>
              <w:spacing w:after="0"/>
              <w:rPr>
                <w:sz w:val="1"/>
                <w:szCs w:val="1"/>
                <w:color w:val="auto"/>
              </w:rPr>
            </w:pPr>
          </w:p>
        </w:tc>
      </w:tr>
      <w:tr>
        <w:trPr>
          <w:trHeight w:val="148"/>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11,524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11,996</w:t>
            </w:r>
          </w:p>
        </w:tc>
        <w:tc>
          <w:tcPr>
            <w:tcW w:w="0" w:type="dxa"/>
            <w:vAlign w:val="bottom"/>
          </w:tcPr>
          <w:p>
            <w:pPr>
              <w:spacing w:after="0"/>
              <w:rPr>
                <w:sz w:val="1"/>
                <w:szCs w:val="1"/>
                <w:color w:val="auto"/>
              </w:rPr>
            </w:pPr>
          </w:p>
        </w:tc>
      </w:tr>
      <w:tr>
        <w:trPr>
          <w:trHeight w:val="148"/>
        </w:trPr>
        <w:tc>
          <w:tcPr>
            <w:tcW w:w="8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loss on purchase commitments</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601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603</w:t>
            </w:r>
          </w:p>
        </w:tc>
        <w:tc>
          <w:tcPr>
            <w:tcW w:w="0" w:type="dxa"/>
            <w:vAlign w:val="bottom"/>
          </w:tcPr>
          <w:p>
            <w:pPr>
              <w:spacing w:after="0"/>
              <w:rPr>
                <w:sz w:val="1"/>
                <w:szCs w:val="1"/>
                <w:color w:val="auto"/>
              </w:rPr>
            </w:pPr>
          </w:p>
        </w:tc>
      </w:tr>
      <w:tr>
        <w:trPr>
          <w:trHeight w:val="148"/>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compensation</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1,763</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1,613</w:t>
            </w:r>
          </w:p>
        </w:tc>
        <w:tc>
          <w:tcPr>
            <w:tcW w:w="0" w:type="dxa"/>
            <w:vAlign w:val="bottom"/>
          </w:tcPr>
          <w:p>
            <w:pPr>
              <w:spacing w:after="0"/>
              <w:rPr>
                <w:sz w:val="1"/>
                <w:szCs w:val="1"/>
                <w:color w:val="auto"/>
              </w:rPr>
            </w:pPr>
          </w:p>
        </w:tc>
      </w:tr>
      <w:tr>
        <w:trPr>
          <w:trHeight w:val="149"/>
        </w:trPr>
        <w:tc>
          <w:tcPr>
            <w:tcW w:w="8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Income tax payable</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2,537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2,109</w:t>
            </w:r>
          </w:p>
        </w:tc>
        <w:tc>
          <w:tcPr>
            <w:tcW w:w="0" w:type="dxa"/>
            <w:vAlign w:val="bottom"/>
          </w:tcPr>
          <w:p>
            <w:pPr>
              <w:spacing w:after="0"/>
              <w:rPr>
                <w:sz w:val="1"/>
                <w:szCs w:val="1"/>
                <w:color w:val="auto"/>
              </w:rPr>
            </w:pPr>
          </w:p>
        </w:tc>
      </w:tr>
      <w:tr>
        <w:trPr>
          <w:trHeight w:val="148"/>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Operating lease liabilities, current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542</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578</w:t>
            </w:r>
          </w:p>
        </w:tc>
        <w:tc>
          <w:tcPr>
            <w:tcW w:w="0" w:type="dxa"/>
            <w:vAlign w:val="bottom"/>
          </w:tcPr>
          <w:p>
            <w:pPr>
              <w:spacing w:after="0"/>
              <w:rPr>
                <w:sz w:val="1"/>
                <w:szCs w:val="1"/>
                <w:color w:val="auto"/>
              </w:rPr>
            </w:pPr>
          </w:p>
        </w:tc>
      </w:tr>
      <w:tr>
        <w:trPr>
          <w:trHeight w:val="148"/>
        </w:trPr>
        <w:tc>
          <w:tcPr>
            <w:tcW w:w="8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Working capital loan (Note 8)</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1,500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Advances from related party (Note 8)</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2,857</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8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Warrant liabilities, current</w:t>
            </w:r>
          </w:p>
        </w:tc>
        <w:tc>
          <w:tcPr>
            <w:tcW w:w="8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14,711</w:t>
            </w:r>
          </w:p>
        </w:tc>
        <w:tc>
          <w:tcPr>
            <w:tcW w:w="0" w:type="dxa"/>
            <w:vAlign w:val="bottom"/>
          </w:tcPr>
          <w:p>
            <w:pPr>
              <w:spacing w:after="0"/>
              <w:rPr>
                <w:sz w:val="1"/>
                <w:szCs w:val="1"/>
                <w:color w:val="auto"/>
              </w:rPr>
            </w:pPr>
          </w:p>
        </w:tc>
      </w:tr>
      <w:tr>
        <w:trPr>
          <w:trHeight w:val="148"/>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Convertible notes, current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148,629</w:t>
            </w:r>
          </w:p>
        </w:tc>
        <w:tc>
          <w:tcPr>
            <w:tcW w:w="0" w:type="dxa"/>
            <w:vAlign w:val="bottom"/>
          </w:tcPr>
          <w:p>
            <w:pPr>
              <w:spacing w:after="0"/>
              <w:rPr>
                <w:sz w:val="1"/>
                <w:szCs w:val="1"/>
                <w:color w:val="auto"/>
              </w:rPr>
            </w:pPr>
          </w:p>
        </w:tc>
      </w:tr>
      <w:tr>
        <w:trPr>
          <w:trHeight w:val="156"/>
        </w:trPr>
        <w:tc>
          <w:tcPr>
            <w:tcW w:w="89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current liabilities</w:t>
            </w: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38,439</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188,143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1,050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1,166</w:t>
            </w:r>
          </w:p>
        </w:tc>
        <w:tc>
          <w:tcPr>
            <w:tcW w:w="0" w:type="dxa"/>
            <w:vAlign w:val="bottom"/>
          </w:tcPr>
          <w:p>
            <w:pPr>
              <w:spacing w:after="0"/>
              <w:rPr>
                <w:sz w:val="1"/>
                <w:szCs w:val="1"/>
                <w:color w:val="auto"/>
              </w:rPr>
            </w:pPr>
          </w:p>
        </w:tc>
      </w:tr>
      <w:tr>
        <w:trPr>
          <w:trHeight w:val="149"/>
        </w:trPr>
        <w:tc>
          <w:tcPr>
            <w:tcW w:w="8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Earnout share liabilities</w:t>
            </w: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9,507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1,436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1,670</w:t>
            </w:r>
          </w:p>
        </w:tc>
        <w:tc>
          <w:tcPr>
            <w:tcW w:w="0" w:type="dxa"/>
            <w:vAlign w:val="bottom"/>
          </w:tcPr>
          <w:p>
            <w:pPr>
              <w:spacing w:after="0"/>
              <w:rPr>
                <w:sz w:val="1"/>
                <w:szCs w:val="1"/>
                <w:color w:val="auto"/>
              </w:rPr>
            </w:pPr>
          </w:p>
        </w:tc>
      </w:tr>
      <w:tr>
        <w:trPr>
          <w:trHeight w:val="155"/>
        </w:trPr>
        <w:tc>
          <w:tcPr>
            <w:tcW w:w="89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50,432</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190,979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Commitments and contingencies (Note 14)</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94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Common stock subject to possible redemption, 2,854,242 and zero outstanding at a redemption value of approximately $33,061 and $0 as of</w:t>
            </w:r>
          </w:p>
        </w:tc>
        <w:tc>
          <w:tcPr>
            <w:tcW w:w="80" w:type="dxa"/>
            <w:vAlign w:val="bottom"/>
          </w:tcPr>
          <w:p>
            <w:pPr>
              <w:spacing w:after="0"/>
              <w:rPr>
                <w:sz w:val="10"/>
                <w:szCs w:val="10"/>
                <w:color w:val="auto"/>
              </w:rPr>
            </w:pPr>
          </w:p>
        </w:tc>
        <w:tc>
          <w:tcPr>
            <w:tcW w:w="8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33,061</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89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March 31, 2025 and December 31, 2024, respectively</w:t>
            </w: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equity (deficit):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94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Common stock - $0.0001 par value; 600,000,000 and 136,562,809 shares authorized as of March 31, 2025 and December 31, 2024,</w:t>
            </w:r>
          </w:p>
        </w:tc>
        <w:tc>
          <w:tcPr>
            <w:tcW w:w="80" w:type="dxa"/>
            <w:vAlign w:val="bottom"/>
          </w:tcPr>
          <w:p>
            <w:pPr>
              <w:spacing w:after="0"/>
              <w:rPr>
                <w:sz w:val="10"/>
                <w:szCs w:val="10"/>
                <w:color w:val="auto"/>
              </w:rPr>
            </w:pPr>
          </w:p>
        </w:tc>
        <w:tc>
          <w:tcPr>
            <w:tcW w:w="8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89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respectively; 98,818,874 and 48,376,052 shares issued and outstanding as of March 31, 2025 and December 31, 2024, respectively</w:t>
            </w: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602,266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318,783</w:t>
            </w:r>
          </w:p>
        </w:tc>
        <w:tc>
          <w:tcPr>
            <w:tcW w:w="0" w:type="dxa"/>
            <w:vAlign w:val="bottom"/>
          </w:tcPr>
          <w:p>
            <w:pPr>
              <w:spacing w:after="0"/>
              <w:rPr>
                <w:sz w:val="1"/>
                <w:szCs w:val="1"/>
                <w:color w:val="auto"/>
              </w:rPr>
            </w:pPr>
          </w:p>
        </w:tc>
      </w:tr>
      <w:tr>
        <w:trPr>
          <w:trHeight w:val="148"/>
        </w:trPr>
        <w:tc>
          <w:tcPr>
            <w:tcW w:w="8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Shareholder note receivable</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(8,554)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8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(577,012)</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(429,251)</w:t>
            </w:r>
          </w:p>
        </w:tc>
        <w:tc>
          <w:tcPr>
            <w:tcW w:w="0" w:type="dxa"/>
            <w:vAlign w:val="bottom"/>
          </w:tcPr>
          <w:p>
            <w:pPr>
              <w:spacing w:after="0"/>
              <w:rPr>
                <w:sz w:val="1"/>
                <w:szCs w:val="1"/>
                <w:color w:val="auto"/>
              </w:rPr>
            </w:pPr>
          </w:p>
        </w:tc>
      </w:tr>
      <w:tr>
        <w:trPr>
          <w:trHeight w:val="163"/>
        </w:trPr>
        <w:tc>
          <w:tcPr>
            <w:tcW w:w="89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stockholders’ equity (deficit)</w:t>
            </w:r>
          </w:p>
        </w:tc>
        <w:tc>
          <w:tcPr>
            <w:tcW w:w="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16,710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(110,463)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 common stock subject to redemption, and stockholders’ equity (deficit)</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100,203</w:t>
            </w:r>
          </w:p>
        </w:tc>
        <w:tc>
          <w:tcPr>
            <w:tcW w:w="40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80,516</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40"/>
          </w:cols>
          <w:pgMar w:left="320" w:top="455" w:right="4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 except shares and per share amounts)</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7"/>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700" w:type="dxa"/>
            <w:vAlign w:val="bottom"/>
            <w:tcBorders>
              <w:bottom w:val="single" w:sz="8" w:color="CCEEFF"/>
            </w:tcBorders>
            <w:vMerge w:val="continue"/>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Hardware revenue</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Engineering services revenue - related party (Note 15)</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23"/>
        </w:trPr>
        <w:tc>
          <w:tcPr>
            <w:tcW w:w="6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1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4,094</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13,357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3,988</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Transaction costs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8,686</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(38,021)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foreign exchange transactions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(165,703)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(60,345)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earnout share liabilities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116,518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(109,578)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(147,599)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(147,761</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(16,743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basic and diluted</w:t>
            </w: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91,747,685</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13,613,270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8"/>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00" w:type="dxa"/>
            <w:vAlign w:val="bottom"/>
          </w:tcPr>
          <w:p>
            <w:pPr>
              <w:spacing w:after="0"/>
              <w:rPr>
                <w:sz w:val="15"/>
                <w:szCs w:val="15"/>
                <w:color w:val="auto"/>
              </w:rPr>
            </w:pPr>
          </w:p>
        </w:tc>
        <w:tc>
          <w:tcPr>
            <w:tcW w:w="126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12"/>
          </w:tcPr>
          <w:p>
            <w:pPr>
              <w:ind w:left="60"/>
              <w:spacing w:after="0"/>
              <w:rPr>
                <w:sz w:val="20"/>
                <w:szCs w:val="20"/>
                <w:color w:val="auto"/>
              </w:rPr>
            </w:pPr>
            <w:r>
              <w:rPr>
                <w:rFonts w:ascii="Times New Roman" w:cs="Times New Roman" w:eastAsia="Times New Roman" w:hAnsi="Times New Roman"/>
                <w:sz w:val="14"/>
                <w:szCs w:val="14"/>
                <w:b w:val="1"/>
                <w:bCs w:val="1"/>
                <w:color w:val="auto"/>
              </w:rPr>
              <w:t>Stockholder’s Equity/(Deficit)</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1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gridSpan w:val="8"/>
            <w:vMerge w:val="continue"/>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6"/>
            <w:vMerge w:val="continue"/>
          </w:tcPr>
          <w:p>
            <w:pPr>
              <w:spacing w:after="0"/>
              <w:rPr>
                <w:sz w:val="9"/>
                <w:szCs w:val="9"/>
                <w:color w:val="auto"/>
              </w:rPr>
            </w:pPr>
          </w:p>
        </w:tc>
        <w:tc>
          <w:tcPr>
            <w:tcW w:w="7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8"/>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360" w:type="dxa"/>
            <w:vAlign w:val="bottom"/>
            <w:gridSpan w:val="7"/>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Possible</w:t>
            </w:r>
          </w:p>
        </w:tc>
        <w:tc>
          <w:tcPr>
            <w:tcW w:w="7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5"/>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tcPr>
          <w:p>
            <w:pPr>
              <w:spacing w:after="0"/>
              <w:rPr>
                <w:sz w:val="12"/>
                <w:szCs w:val="12"/>
                <w:color w:val="auto"/>
              </w:rPr>
            </w:pPr>
          </w:p>
        </w:tc>
        <w:tc>
          <w:tcPr>
            <w:tcW w:w="78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2"/>
                <w:szCs w:val="12"/>
                <w:color w:val="auto"/>
              </w:rPr>
            </w:pPr>
          </w:p>
        </w:tc>
        <w:tc>
          <w:tcPr>
            <w:tcW w:w="8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8"/>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Pr>
          <w:p>
            <w:pPr>
              <w:spacing w:after="0"/>
              <w:rPr>
                <w:sz w:val="12"/>
                <w:szCs w:val="12"/>
                <w:color w:val="auto"/>
              </w:rPr>
            </w:pPr>
          </w:p>
        </w:tc>
        <w:tc>
          <w:tcPr>
            <w:tcW w:w="1260" w:type="dxa"/>
            <w:vAlign w:val="bottom"/>
            <w:gridSpan w:val="6"/>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1320" w:type="dxa"/>
            <w:vAlign w:val="bottom"/>
            <w:gridSpan w:val="8"/>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2"/>
                <w:szCs w:val="12"/>
                <w:color w:val="auto"/>
              </w:rPr>
            </w:pPr>
          </w:p>
        </w:tc>
        <w:tc>
          <w:tcPr>
            <w:tcW w:w="108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18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(Amounts in thousands, except</w:t>
            </w: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700" w:type="dxa"/>
            <w:vAlign w:val="bottom"/>
            <w:gridSpan w:val="4"/>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Note</w:t>
            </w:r>
          </w:p>
        </w:tc>
        <w:tc>
          <w:tcPr>
            <w:tcW w:w="40" w:type="dxa"/>
            <w:vAlign w:val="bottom"/>
          </w:tcPr>
          <w:p>
            <w:pPr>
              <w:spacing w:after="0"/>
              <w:rPr>
                <w:sz w:val="2"/>
                <w:szCs w:val="2"/>
                <w:color w:val="auto"/>
              </w:rPr>
            </w:pPr>
          </w:p>
        </w:tc>
        <w:tc>
          <w:tcPr>
            <w:tcW w:w="9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
                <w:szCs w:val="2"/>
                <w:color w:val="auto"/>
              </w:rPr>
            </w:pPr>
          </w:p>
        </w:tc>
        <w:tc>
          <w:tcPr>
            <w:tcW w:w="80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04"/>
        </w:trPr>
        <w:tc>
          <w:tcPr>
            <w:tcW w:w="1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gridSpan w:val="2"/>
            <w:vMerge w:val="restart"/>
          </w:tcPr>
          <w:p>
            <w:pPr>
              <w:spacing w:after="0"/>
              <w:rPr>
                <w:sz w:val="9"/>
                <w:szCs w:val="9"/>
                <w:color w:val="auto"/>
              </w:rPr>
            </w:pPr>
          </w:p>
        </w:tc>
        <w:tc>
          <w:tcPr>
            <w:tcW w:w="6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gridSpan w:val="2"/>
            <w:vMerge w:val="restart"/>
          </w:tcPr>
          <w:p>
            <w:pPr>
              <w:spacing w:after="0"/>
              <w:rPr>
                <w:sz w:val="9"/>
                <w:szCs w:val="9"/>
                <w:color w:val="auto"/>
              </w:rPr>
            </w:pPr>
          </w:p>
        </w:tc>
        <w:tc>
          <w:tcPr>
            <w:tcW w:w="56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60" w:type="dxa"/>
            <w:vAlign w:val="bottom"/>
            <w:vMerge w:val="restart"/>
          </w:tcPr>
          <w:p>
            <w:pPr>
              <w:spacing w:after="0"/>
              <w:rPr>
                <w:sz w:val="9"/>
                <w:szCs w:val="9"/>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gridSpan w:val="2"/>
            <w:vMerge w:val="restart"/>
          </w:tcPr>
          <w:p>
            <w:pPr>
              <w:spacing w:after="0"/>
              <w:rPr>
                <w:sz w:val="9"/>
                <w:szCs w:val="9"/>
                <w:color w:val="auto"/>
              </w:rPr>
            </w:pPr>
          </w:p>
        </w:tc>
        <w:tc>
          <w:tcPr>
            <w:tcW w:w="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gridSpan w:val="2"/>
            <w:vMerge w:val="restart"/>
          </w:tcPr>
          <w:p>
            <w:pPr>
              <w:spacing w:after="0"/>
              <w:rPr>
                <w:sz w:val="9"/>
                <w:szCs w:val="9"/>
                <w:color w:val="auto"/>
              </w:rPr>
            </w:pP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vMerge w:val="restart"/>
          </w:tcPr>
          <w:p>
            <w:pPr>
              <w:spacing w:after="0"/>
              <w:rPr>
                <w:sz w:val="9"/>
                <w:szCs w:val="9"/>
                <w:color w:val="auto"/>
              </w:rPr>
            </w:pPr>
          </w:p>
        </w:tc>
        <w:tc>
          <w:tcPr>
            <w:tcW w:w="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70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1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shares)</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gridSpan w:val="2"/>
            <w:vMerge w:val="continue"/>
          </w:tcPr>
          <w:p>
            <w:pPr>
              <w:spacing w:after="0"/>
              <w:rPr>
                <w:sz w:val="15"/>
                <w:szCs w:val="15"/>
                <w:color w:val="auto"/>
              </w:rPr>
            </w:pPr>
          </w:p>
        </w:tc>
        <w:tc>
          <w:tcPr>
            <w:tcW w:w="600" w:type="dxa"/>
            <w:vAlign w:val="bottom"/>
            <w:tcBorders>
              <w:bottom w:val="single" w:sz="8" w:color="auto"/>
            </w:tcBorders>
            <w:gridSpan w:val="3"/>
            <w:vMerge w:val="continue"/>
          </w:tcPr>
          <w:p>
            <w:pPr>
              <w:spacing w:after="0"/>
              <w:rPr>
                <w:sz w:val="15"/>
                <w:szCs w:val="15"/>
                <w:color w:val="auto"/>
              </w:rPr>
            </w:pPr>
          </w:p>
        </w:tc>
        <w:tc>
          <w:tcPr>
            <w:tcW w:w="180" w:type="dxa"/>
            <w:vAlign w:val="bottom"/>
            <w:tcBorders>
              <w:bottom w:val="single" w:sz="8" w:color="CCEEFF"/>
            </w:tcBorders>
            <w:gridSpan w:val="2"/>
            <w:vMerge w:val="continue"/>
          </w:tcPr>
          <w:p>
            <w:pPr>
              <w:spacing w:after="0"/>
              <w:rPr>
                <w:sz w:val="15"/>
                <w:szCs w:val="15"/>
                <w:color w:val="auto"/>
              </w:rPr>
            </w:pPr>
          </w:p>
        </w:tc>
        <w:tc>
          <w:tcPr>
            <w:tcW w:w="560" w:type="dxa"/>
            <w:vAlign w:val="bottom"/>
            <w:tcBorders>
              <w:bottom w:val="single" w:sz="8" w:color="auto"/>
            </w:tcBorders>
            <w:gridSpan w:val="2"/>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gridSpan w:val="2"/>
            <w:vMerge w:val="continue"/>
          </w:tcPr>
          <w:p>
            <w:pPr>
              <w:spacing w:after="0"/>
              <w:rPr>
                <w:sz w:val="15"/>
                <w:szCs w:val="15"/>
                <w:color w:val="auto"/>
              </w:rPr>
            </w:pPr>
          </w:p>
        </w:tc>
        <w:tc>
          <w:tcPr>
            <w:tcW w:w="520" w:type="dxa"/>
            <w:vAlign w:val="bottom"/>
            <w:tcBorders>
              <w:bottom w:val="single" w:sz="8" w:color="auto"/>
            </w:tcBorders>
            <w:gridSpan w:val="3"/>
            <w:vMerge w:val="continue"/>
          </w:tcPr>
          <w:p>
            <w:pPr>
              <w:spacing w:after="0"/>
              <w:rPr>
                <w:sz w:val="15"/>
                <w:szCs w:val="15"/>
                <w:color w:val="auto"/>
              </w:rPr>
            </w:pPr>
          </w:p>
        </w:tc>
        <w:tc>
          <w:tcPr>
            <w:tcW w:w="80" w:type="dxa"/>
            <w:vAlign w:val="bottom"/>
            <w:tcBorders>
              <w:bottom w:val="single" w:sz="8" w:color="CCEEFF"/>
            </w:tcBorders>
            <w:gridSpan w:val="2"/>
            <w:vMerge w:val="continue"/>
          </w:tcPr>
          <w:p>
            <w:pPr>
              <w:spacing w:after="0"/>
              <w:rPr>
                <w:sz w:val="15"/>
                <w:szCs w:val="15"/>
                <w:color w:val="auto"/>
              </w:rPr>
            </w:pPr>
          </w:p>
        </w:tc>
        <w:tc>
          <w:tcPr>
            <w:tcW w:w="50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520" w:type="dxa"/>
            <w:vAlign w:val="bottom"/>
            <w:tcBorders>
              <w:bottom w:val="single" w:sz="8" w:color="auto"/>
            </w:tcBorders>
            <w:gridSpan w:val="3"/>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Borders>
              <w:bottom w:val="single" w:sz="8" w:color="CCEEFF"/>
            </w:tcBorders>
            <w:gridSpan w:val="2"/>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180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 as of December 31,</w:t>
            </w:r>
          </w:p>
        </w:tc>
        <w:tc>
          <w:tcPr>
            <w:tcW w:w="860" w:type="dxa"/>
            <w:vAlign w:val="bottom"/>
            <w:tcBorders>
              <w:left w:val="single" w:sz="8" w:color="CCEEFF"/>
            </w:tcBorders>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34,712,525</w:t>
            </w:r>
          </w:p>
        </w:tc>
        <w:tc>
          <w:tcPr>
            <w:tcW w:w="40" w:type="dxa"/>
            <w:vAlign w:val="bottom"/>
            <w:shd w:val="clear" w:color="auto" w:fill="CCEEFF"/>
          </w:tcPr>
          <w:p>
            <w:pPr>
              <w:spacing w:after="0"/>
              <w:rPr>
                <w:sz w:val="9"/>
                <w:szCs w:val="9"/>
                <w:color w:val="auto"/>
              </w:rPr>
            </w:pPr>
          </w:p>
        </w:tc>
        <w:tc>
          <w:tcPr>
            <w:tcW w:w="720" w:type="dxa"/>
            <w:vAlign w:val="bottom"/>
            <w:gridSpan w:val="4"/>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$ 173,347</w:t>
            </w:r>
          </w:p>
        </w:tc>
        <w:tc>
          <w:tcPr>
            <w:tcW w:w="6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5"/>
              </w:rPr>
              <w:t>13,663,527</w:t>
            </w:r>
          </w:p>
        </w:tc>
        <w:tc>
          <w:tcPr>
            <w:tcW w:w="20" w:type="dxa"/>
            <w:vAlign w:val="bottom"/>
            <w:shd w:val="clear" w:color="auto" w:fill="CCEEFF"/>
          </w:tcPr>
          <w:p>
            <w:pPr>
              <w:spacing w:after="0"/>
              <w:rPr>
                <w:sz w:val="9"/>
                <w:szCs w:val="9"/>
                <w:color w:val="auto"/>
              </w:rPr>
            </w:pPr>
          </w:p>
        </w:tc>
        <w:tc>
          <w:tcPr>
            <w:tcW w:w="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96,887</w:t>
            </w:r>
          </w:p>
        </w:tc>
        <w:tc>
          <w:tcPr>
            <w:tcW w:w="140" w:type="dxa"/>
            <w:vAlign w:val="bottom"/>
            <w:tcBorders>
              <w:left w:val="single" w:sz="8" w:color="CCEEFF"/>
            </w:tcBorders>
            <w:shd w:val="clear" w:color="auto" w:fill="CCEEFF"/>
          </w:tcPr>
          <w:p>
            <w:pPr>
              <w:spacing w:after="0"/>
              <w:rPr>
                <w:sz w:val="9"/>
                <w:szCs w:val="9"/>
                <w:color w:val="auto"/>
              </w:rPr>
            </w:pPr>
          </w:p>
        </w:tc>
        <w:tc>
          <w:tcPr>
            <w:tcW w:w="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40" w:type="dxa"/>
            <w:vAlign w:val="bottom"/>
            <w:tcBorders>
              <w:left w:val="single" w:sz="8" w:color="CCEEFF"/>
            </w:tcBorders>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145,441</w:t>
            </w:r>
          </w:p>
        </w:tc>
        <w:tc>
          <w:tcPr>
            <w:tcW w:w="40" w:type="dxa"/>
            <w:vAlign w:val="bottom"/>
            <w:shd w:val="clear" w:color="auto" w:fill="CCEEFF"/>
          </w:tcPr>
          <w:p>
            <w:pPr>
              <w:spacing w:after="0"/>
              <w:rPr>
                <w:sz w:val="9"/>
                <w:szCs w:val="9"/>
                <w:color w:val="auto"/>
              </w:rPr>
            </w:pPr>
          </w:p>
        </w:tc>
        <w:tc>
          <w:tcPr>
            <w:tcW w:w="200" w:type="dxa"/>
            <w:vAlign w:val="bottom"/>
            <w:gridSpan w:val="2"/>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right w:val="single" w:sz="8" w:color="CCEEFF"/>
            </w:tcBorders>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(429,251)</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(283,810)</w:t>
            </w:r>
          </w:p>
        </w:tc>
        <w:tc>
          <w:tcPr>
            <w:tcW w:w="0" w:type="dxa"/>
            <w:vAlign w:val="bottom"/>
          </w:tcPr>
          <w:p>
            <w:pPr>
              <w:spacing w:after="0"/>
              <w:rPr>
                <w:sz w:val="1"/>
                <w:szCs w:val="1"/>
                <w:color w:val="auto"/>
              </w:rPr>
            </w:pPr>
          </w:p>
        </w:tc>
      </w:tr>
      <w:tr>
        <w:trPr>
          <w:trHeight w:val="173"/>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left w:val="single" w:sz="8" w:color="CCEEFF"/>
            </w:tcBorders>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gridSpan w:val="4"/>
            <w:vMerge w:val="continue"/>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160" w:type="dxa"/>
            <w:vAlign w:val="bottom"/>
            <w:gridSpan w:val="2"/>
            <w:vMerge w:val="continue"/>
            <w:shd w:val="clear" w:color="auto" w:fill="CCEEFF"/>
          </w:tcPr>
          <w:p>
            <w:pPr>
              <w:spacing w:after="0"/>
              <w:rPr>
                <w:sz w:val="15"/>
                <w:szCs w:val="15"/>
                <w:color w:val="auto"/>
              </w:rPr>
            </w:pPr>
          </w:p>
        </w:tc>
        <w:tc>
          <w:tcPr>
            <w:tcW w:w="580" w:type="dxa"/>
            <w:vAlign w:val="bottom"/>
            <w:tcBorders>
              <w:right w:val="single" w:sz="8" w:color="CCEEFF"/>
            </w:tcBorders>
            <w:gridSpan w:val="2"/>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380" w:type="dxa"/>
            <w:vAlign w:val="bottom"/>
            <w:gridSpan w:val="3"/>
            <w:vMerge w:val="continue"/>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140" w:type="dxa"/>
            <w:vAlign w:val="bottom"/>
            <w:tcBorders>
              <w:left w:val="single" w:sz="8" w:color="CCEEFF"/>
            </w:tcBorders>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240" w:type="dxa"/>
            <w:vAlign w:val="bottom"/>
            <w:tcBorders>
              <w:left w:val="single" w:sz="8" w:color="CCEEFF"/>
            </w:tcBorders>
            <w:gridSpan w:val="3"/>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60" w:type="dxa"/>
            <w:vAlign w:val="bottom"/>
            <w:gridSpan w:val="2"/>
            <w:vMerge w:val="continue"/>
            <w:shd w:val="clear" w:color="auto" w:fill="CCEEFF"/>
          </w:tcPr>
          <w:p>
            <w:pPr>
              <w:spacing w:after="0"/>
              <w:rPr>
                <w:sz w:val="15"/>
                <w:szCs w:val="15"/>
                <w:color w:val="auto"/>
              </w:rPr>
            </w:pPr>
          </w:p>
        </w:tc>
        <w:tc>
          <w:tcPr>
            <w:tcW w:w="840" w:type="dxa"/>
            <w:vAlign w:val="bottom"/>
            <w:tcBorders>
              <w:right w:val="single" w:sz="8" w:color="CCEEFF"/>
            </w:tcBorders>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8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Retroactive application of</w:t>
            </w:r>
          </w:p>
        </w:tc>
        <w:tc>
          <w:tcPr>
            <w:tcW w:w="8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(34,712,525)</w:t>
            </w:r>
          </w:p>
        </w:tc>
        <w:tc>
          <w:tcPr>
            <w:tcW w:w="40" w:type="dxa"/>
            <w:vAlign w:val="bottom"/>
          </w:tcPr>
          <w:p>
            <w:pPr>
              <w:spacing w:after="0"/>
              <w:rPr>
                <w:sz w:val="10"/>
                <w:szCs w:val="10"/>
                <w:color w:val="auto"/>
              </w:rPr>
            </w:pPr>
          </w:p>
        </w:tc>
        <w:tc>
          <w:tcPr>
            <w:tcW w:w="72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(173,347)</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w w:val="95"/>
              </w:rPr>
              <w:t>34,712,525</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0"/>
                <w:szCs w:val="10"/>
                <w:color w:val="auto"/>
              </w:rPr>
            </w:pP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(96,887)</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173,342</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173,347</w:t>
            </w:r>
          </w:p>
        </w:tc>
        <w:tc>
          <w:tcPr>
            <w:tcW w:w="0" w:type="dxa"/>
            <w:vAlign w:val="bottom"/>
          </w:tcPr>
          <w:p>
            <w:pPr>
              <w:spacing w:after="0"/>
              <w:rPr>
                <w:sz w:val="1"/>
                <w:szCs w:val="1"/>
                <w:color w:val="auto"/>
              </w:rPr>
            </w:pPr>
          </w:p>
        </w:tc>
      </w:tr>
      <w:tr>
        <w:trPr>
          <w:trHeight w:val="171"/>
        </w:trPr>
        <w:tc>
          <w:tcPr>
            <w:tcW w:w="1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recapitalization</w:t>
            </w:r>
          </w:p>
        </w:tc>
        <w:tc>
          <w:tcPr>
            <w:tcW w:w="8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8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Adjusted balance - beginning</w:t>
            </w:r>
          </w:p>
        </w:tc>
        <w:tc>
          <w:tcPr>
            <w:tcW w:w="120" w:type="dxa"/>
            <w:vAlign w:val="bottom"/>
            <w:tcBorders>
              <w:left w:val="single" w:sz="8" w:color="CCEEFF"/>
            </w:tcBorders>
            <w:shd w:val="clear" w:color="auto" w:fill="CCEEFF"/>
          </w:tcPr>
          <w:p>
            <w:pPr>
              <w:spacing w:after="0"/>
              <w:rPr>
                <w:sz w:val="10"/>
                <w:szCs w:val="10"/>
                <w:color w:val="auto"/>
              </w:rPr>
            </w:pPr>
          </w:p>
        </w:tc>
        <w:tc>
          <w:tcPr>
            <w:tcW w:w="62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gridSpan w:val="2"/>
            <w:vMerge w:val="restart"/>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Borders>
              <w:right w:val="single" w:sz="8" w:color="CCEEFF"/>
            </w:tcBorders>
            <w:gridSpan w:val="2"/>
            <w:vMerge w:val="restart"/>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71"/>
              </w:rPr>
              <w:t>— </w:t>
            </w:r>
          </w:p>
        </w:tc>
        <w:tc>
          <w:tcPr>
            <w:tcW w:w="60" w:type="dxa"/>
            <w:vAlign w:val="bottom"/>
            <w:tcBorders>
              <w:left w:val="single" w:sz="8" w:color="CCEEFF"/>
            </w:tcBorders>
            <w:vMerge w:val="restart"/>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left w:val="single" w:sz="8" w:color="CCEEFF"/>
              <w:right w:val="single" w:sz="8" w:color="CCEEFF"/>
            </w:tcBorders>
            <w:vMerge w:val="restart"/>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5"/>
              </w:rPr>
              <w:t>48,376,052</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318,783</w:t>
            </w:r>
          </w:p>
        </w:tc>
        <w:tc>
          <w:tcPr>
            <w:tcW w:w="40" w:type="dxa"/>
            <w:vAlign w:val="bottom"/>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(429,251)</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(110,463)</w:t>
            </w:r>
          </w:p>
        </w:tc>
        <w:tc>
          <w:tcPr>
            <w:tcW w:w="0" w:type="dxa"/>
            <w:vAlign w:val="bottom"/>
          </w:tcPr>
          <w:p>
            <w:pPr>
              <w:spacing w:after="0"/>
              <w:rPr>
                <w:sz w:val="1"/>
                <w:szCs w:val="1"/>
                <w:color w:val="auto"/>
              </w:rPr>
            </w:pPr>
          </w:p>
        </w:tc>
      </w:tr>
      <w:tr>
        <w:trPr>
          <w:trHeight w:val="171"/>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of period</w:t>
            </w:r>
          </w:p>
        </w:tc>
        <w:tc>
          <w:tcPr>
            <w:tcW w:w="120" w:type="dxa"/>
            <w:vAlign w:val="bottom"/>
            <w:tcBorders>
              <w:left w:val="single" w:sz="8" w:color="CCEEFF"/>
            </w:tcBorders>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18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0" w:type="dxa"/>
            <w:vAlign w:val="bottom"/>
            <w:tcBorders>
              <w:left w:val="single" w:sz="8" w:color="CCEEFF"/>
            </w:tcBorders>
            <w:vMerge w:val="continue"/>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60" w:type="dxa"/>
            <w:vAlign w:val="bottom"/>
            <w:tcBorders>
              <w:left w:val="single" w:sz="8" w:color="CCEEFF"/>
              <w:right w:val="single" w:sz="8" w:color="CCEEFF"/>
            </w:tcBorders>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Conversion of convertible</w:t>
            </w:r>
          </w:p>
        </w:tc>
        <w:tc>
          <w:tcPr>
            <w:tcW w:w="120" w:type="dxa"/>
            <w:vAlign w:val="bottom"/>
          </w:tcPr>
          <w:p>
            <w:pPr>
              <w:spacing w:after="0"/>
              <w:rPr>
                <w:sz w:val="10"/>
                <w:szCs w:val="10"/>
                <w:color w:val="auto"/>
              </w:rPr>
            </w:pPr>
          </w:p>
        </w:tc>
        <w:tc>
          <w:tcPr>
            <w:tcW w:w="78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0"/>
                <w:szCs w:val="10"/>
                <w:color w:val="auto"/>
              </w:rPr>
            </w:pPr>
          </w:p>
        </w:tc>
        <w:tc>
          <w:tcPr>
            <w:tcW w:w="5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w w:val="95"/>
              </w:rPr>
              <w:t>31,433,259</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314,331</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314,334</w:t>
            </w:r>
          </w:p>
        </w:tc>
        <w:tc>
          <w:tcPr>
            <w:tcW w:w="0" w:type="dxa"/>
            <w:vAlign w:val="bottom"/>
          </w:tcPr>
          <w:p>
            <w:pPr>
              <w:spacing w:after="0"/>
              <w:rPr>
                <w:sz w:val="1"/>
                <w:szCs w:val="1"/>
                <w:color w:val="auto"/>
              </w:rPr>
            </w:pPr>
          </w:p>
        </w:tc>
      </w:tr>
      <w:tr>
        <w:trPr>
          <w:trHeight w:val="171"/>
        </w:trPr>
        <w:tc>
          <w:tcPr>
            <w:tcW w:w="1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notes</w:t>
            </w:r>
          </w:p>
        </w:tc>
        <w:tc>
          <w:tcPr>
            <w:tcW w:w="1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exercise of warrants</w:t>
            </w:r>
          </w:p>
        </w:tc>
        <w:tc>
          <w:tcPr>
            <w:tcW w:w="120" w:type="dxa"/>
            <w:vAlign w:val="bottom"/>
            <w:tcBorders>
              <w:left w:val="single" w:sz="8" w:color="CCEEFF"/>
            </w:tcBorders>
            <w:shd w:val="clear" w:color="auto" w:fill="CCEEFF"/>
          </w:tcPr>
          <w:p>
            <w:pPr>
              <w:spacing w:after="0"/>
              <w:rPr>
                <w:sz w:val="12"/>
                <w:szCs w:val="12"/>
                <w:color w:val="auto"/>
              </w:rPr>
            </w:pPr>
          </w:p>
        </w:tc>
        <w:tc>
          <w:tcPr>
            <w:tcW w:w="780" w:type="dxa"/>
            <w:vAlign w:val="bottom"/>
            <w:gridSpan w:val="3"/>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7,505,657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75,056</w:t>
            </w:r>
          </w:p>
        </w:tc>
        <w:tc>
          <w:tcPr>
            <w:tcW w:w="4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75,057</w:t>
            </w:r>
          </w:p>
        </w:tc>
        <w:tc>
          <w:tcPr>
            <w:tcW w:w="0" w:type="dxa"/>
            <w:vAlign w:val="bottom"/>
          </w:tcPr>
          <w:p>
            <w:pPr>
              <w:spacing w:after="0"/>
              <w:rPr>
                <w:sz w:val="1"/>
                <w:szCs w:val="1"/>
                <w:color w:val="auto"/>
              </w:rPr>
            </w:pPr>
          </w:p>
        </w:tc>
      </w:tr>
      <w:tr>
        <w:trPr>
          <w:trHeight w:val="148"/>
        </w:trPr>
        <w:tc>
          <w:tcPr>
            <w:tcW w:w="1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Merger and PIPE financing</w:t>
            </w:r>
          </w:p>
        </w:tc>
        <w:tc>
          <w:tcPr>
            <w:tcW w:w="120" w:type="dxa"/>
            <w:vAlign w:val="bottom"/>
          </w:tcPr>
          <w:p>
            <w:pPr>
              <w:spacing w:after="0"/>
              <w:rPr>
                <w:sz w:val="12"/>
                <w:szCs w:val="12"/>
                <w:color w:val="auto"/>
              </w:rPr>
            </w:pPr>
          </w:p>
        </w:tc>
        <w:tc>
          <w:tcPr>
            <w:tcW w:w="780" w:type="dxa"/>
            <w:vAlign w:val="bottom"/>
            <w:gridSpan w:val="3"/>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2,854,242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33,061</w:t>
            </w:r>
          </w:p>
        </w:tc>
        <w:tc>
          <w:tcPr>
            <w:tcW w:w="16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w w:val="95"/>
              </w:rPr>
              <w:t>11,408,957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w w:val="98"/>
              </w:rPr>
              <w:t>(117,411)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(8,754)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(126,164)</w:t>
            </w:r>
          </w:p>
        </w:tc>
        <w:tc>
          <w:tcPr>
            <w:tcW w:w="0" w:type="dxa"/>
            <w:vAlign w:val="bottom"/>
          </w:tcPr>
          <w:p>
            <w:pPr>
              <w:spacing w:after="0"/>
              <w:rPr>
                <w:sz w:val="1"/>
                <w:szCs w:val="1"/>
                <w:color w:val="auto"/>
              </w:rPr>
            </w:pPr>
          </w:p>
        </w:tc>
      </w:tr>
      <w:tr>
        <w:trPr>
          <w:trHeight w:val="126"/>
        </w:trPr>
        <w:tc>
          <w:tcPr>
            <w:tcW w:w="18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Payment of Shareholder note</w:t>
            </w:r>
          </w:p>
        </w:tc>
        <w:tc>
          <w:tcPr>
            <w:tcW w:w="120" w:type="dxa"/>
            <w:vAlign w:val="bottom"/>
            <w:tcBorders>
              <w:left w:val="single" w:sz="8" w:color="CCEEFF"/>
            </w:tcBorders>
            <w:shd w:val="clear" w:color="auto" w:fill="CCEEFF"/>
          </w:tcPr>
          <w:p>
            <w:pPr>
              <w:spacing w:after="0"/>
              <w:rPr>
                <w:sz w:val="10"/>
                <w:szCs w:val="10"/>
                <w:color w:val="auto"/>
              </w:rPr>
            </w:pPr>
          </w:p>
        </w:tc>
        <w:tc>
          <w:tcPr>
            <w:tcW w:w="780" w:type="dxa"/>
            <w:vAlign w:val="bottom"/>
            <w:gridSpan w:val="3"/>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tcBorders>
              <w:right w:val="single" w:sz="8" w:color="CCEEFF"/>
            </w:tcBorders>
            <w:gridSpan w:val="3"/>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w w:val="75"/>
              </w:rPr>
              <w:t>200</w:t>
            </w:r>
          </w:p>
        </w:tc>
        <w:tc>
          <w:tcPr>
            <w:tcW w:w="12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71"/>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receivable</w:t>
            </w:r>
          </w:p>
        </w:tc>
        <w:tc>
          <w:tcPr>
            <w:tcW w:w="120" w:type="dxa"/>
            <w:vAlign w:val="bottom"/>
            <w:tcBorders>
              <w:left w:val="single" w:sz="8" w:color="CCEEFF"/>
            </w:tcBorders>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CCEEFF"/>
            </w:tcBorders>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tcBorders>
              <w:right w:val="single" w:sz="8" w:color="CCEEFF"/>
            </w:tcBorders>
            <w:gridSpan w:val="2"/>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3"/>
            <w:vMerge w:val="continue"/>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to</w:t>
            </w:r>
          </w:p>
        </w:tc>
        <w:tc>
          <w:tcPr>
            <w:tcW w:w="120" w:type="dxa"/>
            <w:vAlign w:val="bottom"/>
          </w:tcPr>
          <w:p>
            <w:pPr>
              <w:spacing w:after="0"/>
              <w:rPr>
                <w:sz w:val="10"/>
                <w:szCs w:val="10"/>
                <w:color w:val="auto"/>
              </w:rPr>
            </w:pPr>
          </w:p>
        </w:tc>
        <w:tc>
          <w:tcPr>
            <w:tcW w:w="78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0"/>
                <w:szCs w:val="10"/>
                <w:color w:val="auto"/>
              </w:rPr>
            </w:pPr>
          </w:p>
        </w:tc>
        <w:tc>
          <w:tcPr>
            <w:tcW w:w="5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94,949</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300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71"/>
        </w:trPr>
        <w:tc>
          <w:tcPr>
            <w:tcW w:w="1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advisors</w:t>
            </w:r>
          </w:p>
        </w:tc>
        <w:tc>
          <w:tcPr>
            <w:tcW w:w="1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120" w:type="dxa"/>
            <w:vAlign w:val="bottom"/>
            <w:tcBorders>
              <w:left w:val="single" w:sz="8" w:color="CCEEFF"/>
            </w:tcBorders>
            <w:shd w:val="clear" w:color="auto" w:fill="CCEEFF"/>
          </w:tcPr>
          <w:p>
            <w:pPr>
              <w:spacing w:after="0"/>
              <w:rPr>
                <w:sz w:val="10"/>
                <w:szCs w:val="10"/>
                <w:color w:val="auto"/>
              </w:rPr>
            </w:pPr>
          </w:p>
        </w:tc>
        <w:tc>
          <w:tcPr>
            <w:tcW w:w="780" w:type="dxa"/>
            <w:vAlign w:val="bottom"/>
            <w:gridSpan w:val="3"/>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tcBorders>
              <w:right w:val="single" w:sz="8" w:color="CCEEFF"/>
            </w:tcBorders>
            <w:gridSpan w:val="3"/>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167</w:t>
            </w:r>
          </w:p>
        </w:tc>
        <w:tc>
          <w:tcPr>
            <w:tcW w:w="40" w:type="dxa"/>
            <w:vAlign w:val="bottom"/>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71"/>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120" w:type="dxa"/>
            <w:vAlign w:val="bottom"/>
            <w:tcBorders>
              <w:left w:val="single" w:sz="8" w:color="CCEEFF"/>
            </w:tcBorders>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CCEEFF"/>
            </w:tcBorders>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tcBorders>
              <w:right w:val="single" w:sz="8" w:color="CCEEFF"/>
            </w:tcBorders>
            <w:gridSpan w:val="2"/>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tcPr>
          <w:p>
            <w:pPr>
              <w:spacing w:after="0"/>
              <w:rPr>
                <w:sz w:val="12"/>
                <w:szCs w:val="12"/>
                <w:color w:val="auto"/>
              </w:rPr>
            </w:pPr>
          </w:p>
        </w:tc>
        <w:tc>
          <w:tcPr>
            <w:tcW w:w="780" w:type="dxa"/>
            <w:vAlign w:val="bottom"/>
            <w:gridSpan w:val="3"/>
          </w:tcPr>
          <w:p>
            <w:pPr>
              <w:ind w:left="4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5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11,040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11,040</w:t>
            </w:r>
          </w:p>
        </w:tc>
        <w:tc>
          <w:tcPr>
            <w:tcW w:w="0" w:type="dxa"/>
            <w:vAlign w:val="bottom"/>
          </w:tcPr>
          <w:p>
            <w:pPr>
              <w:spacing w:after="0"/>
              <w:rPr>
                <w:sz w:val="1"/>
                <w:szCs w:val="1"/>
                <w:color w:val="auto"/>
              </w:rPr>
            </w:pPr>
          </w:p>
        </w:tc>
      </w:tr>
      <w:tr>
        <w:trPr>
          <w:trHeight w:val="149"/>
        </w:trPr>
        <w:tc>
          <w:tcPr>
            <w:tcW w:w="1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Borders>
              <w:left w:val="single" w:sz="8" w:color="CCEEFF"/>
            </w:tcBorders>
            <w:shd w:val="clear" w:color="auto" w:fill="CCEEFF"/>
          </w:tcPr>
          <w:p>
            <w:pPr>
              <w:spacing w:after="0"/>
              <w:rPr>
                <w:sz w:val="12"/>
                <w:szCs w:val="12"/>
                <w:color w:val="auto"/>
              </w:rPr>
            </w:pPr>
          </w:p>
        </w:tc>
        <w:tc>
          <w:tcPr>
            <w:tcW w:w="6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gridSpan w:val="2"/>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Borders>
              <w:right w:val="single" w:sz="8" w:color="CCEEFF"/>
            </w:tcBorders>
            <w:gridSpan w:val="2"/>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71"/>
              </w:rPr>
              <w:t>— </w:t>
            </w:r>
          </w:p>
        </w:tc>
        <w:tc>
          <w:tcPr>
            <w:tcW w:w="60" w:type="dxa"/>
            <w:vAlign w:val="bottom"/>
            <w:tcBorders>
              <w:left w:val="single" w:sz="8" w:color="CCEEFF"/>
            </w:tcBorders>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left w:val="single" w:sz="8" w:color="CCEEFF"/>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gridSpan w:val="2"/>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gridSpan w:val="2"/>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gridSpan w:val="2"/>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w w:val="75"/>
              </w:rPr>
              <w:t>— </w:t>
            </w:r>
          </w:p>
        </w:tc>
        <w:tc>
          <w:tcPr>
            <w:tcW w:w="12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(147,761)</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(147,761)</w:t>
            </w:r>
          </w:p>
        </w:tc>
        <w:tc>
          <w:tcPr>
            <w:tcW w:w="0" w:type="dxa"/>
            <w:vAlign w:val="bottom"/>
          </w:tcPr>
          <w:p>
            <w:pPr>
              <w:spacing w:after="0"/>
              <w:rPr>
                <w:sz w:val="1"/>
                <w:szCs w:val="1"/>
                <w:color w:val="auto"/>
              </w:rPr>
            </w:pPr>
          </w:p>
        </w:tc>
      </w:tr>
      <w:tr>
        <w:trPr>
          <w:trHeight w:val="20"/>
        </w:trPr>
        <w:tc>
          <w:tcPr>
            <w:tcW w:w="1800" w:type="dxa"/>
            <w:vAlign w:val="bottom"/>
            <w:vMerge w:val="restart"/>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Balance as of March 31,</w:t>
            </w: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w w:val="85"/>
              </w:rPr>
              <w:t>— </w:t>
            </w:r>
          </w:p>
        </w:tc>
        <w:tc>
          <w:tcPr>
            <w:tcW w:w="160" w:type="dxa"/>
            <w:vAlign w:val="bottom"/>
            <w:gridSpan w:val="2"/>
            <w:vMerge w:val="restart"/>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tcPr>
          <w:p>
            <w:pPr>
              <w:spacing w:after="0"/>
              <w:rPr>
                <w:sz w:val="11"/>
                <w:szCs w:val="11"/>
                <w:color w:val="auto"/>
              </w:rPr>
            </w:pPr>
          </w:p>
        </w:tc>
        <w:tc>
          <w:tcPr>
            <w:tcW w:w="4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w w:val="95"/>
              </w:rPr>
              <w:t>— </w:t>
            </w:r>
          </w:p>
        </w:tc>
        <w:tc>
          <w:tcPr>
            <w:tcW w:w="180" w:type="dxa"/>
            <w:vAlign w:val="bottom"/>
            <w:gridSpan w:val="2"/>
            <w:vMerge w:val="restart"/>
          </w:tcPr>
          <w:p>
            <w:pPr>
              <w:spacing w:after="0"/>
              <w:rPr>
                <w:sz w:val="11"/>
                <w:szCs w:val="11"/>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2,854,242</w:t>
            </w:r>
          </w:p>
        </w:tc>
        <w:tc>
          <w:tcPr>
            <w:tcW w:w="6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$ 33,061</w:t>
            </w:r>
          </w:p>
        </w:tc>
        <w:tc>
          <w:tcPr>
            <w:tcW w:w="160" w:type="dxa"/>
            <w:vAlign w:val="bottom"/>
          </w:tcPr>
          <w:p>
            <w:pPr>
              <w:spacing w:after="0"/>
              <w:rPr>
                <w:sz w:val="11"/>
                <w:szCs w:val="11"/>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5"/>
              </w:rPr>
              <w:t>98,818,874</w:t>
            </w:r>
          </w:p>
        </w:tc>
        <w:tc>
          <w:tcPr>
            <w:tcW w:w="20" w:type="dxa"/>
            <w:vAlign w:val="bottom"/>
          </w:tcPr>
          <w:p>
            <w:pPr>
              <w:spacing w:after="0"/>
              <w:rPr>
                <w:sz w:val="11"/>
                <w:szCs w:val="11"/>
                <w:color w:val="auto"/>
              </w:rPr>
            </w:pP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602,266</w:t>
            </w:r>
          </w:p>
        </w:tc>
        <w:tc>
          <w:tcPr>
            <w:tcW w:w="40" w:type="dxa"/>
            <w:vAlign w:val="bottom"/>
          </w:tcPr>
          <w:p>
            <w:pPr>
              <w:spacing w:after="0"/>
              <w:rPr>
                <w:sz w:val="11"/>
                <w:szCs w:val="11"/>
                <w:color w:val="auto"/>
              </w:rPr>
            </w:pPr>
          </w:p>
        </w:tc>
        <w:tc>
          <w:tcPr>
            <w:tcW w:w="200" w:type="dxa"/>
            <w:vAlign w:val="bottom"/>
            <w:gridSpan w:val="2"/>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(8,554)</w:t>
            </w: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(577,012)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16,710</w:t>
            </w:r>
          </w:p>
        </w:tc>
        <w:tc>
          <w:tcPr>
            <w:tcW w:w="0" w:type="dxa"/>
            <w:vAlign w:val="bottom"/>
          </w:tcPr>
          <w:p>
            <w:pPr>
              <w:spacing w:after="0"/>
              <w:rPr>
                <w:sz w:val="1"/>
                <w:szCs w:val="1"/>
                <w:color w:val="auto"/>
              </w:rPr>
            </w:pPr>
          </w:p>
        </w:tc>
      </w:tr>
      <w:tr>
        <w:trPr>
          <w:trHeight w:val="173"/>
        </w:trPr>
        <w:tc>
          <w:tcPr>
            <w:tcW w:w="18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240" w:type="dxa"/>
            <w:vAlign w:val="bottom"/>
            <w:gridSpan w:val="3"/>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8"/>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00" w:type="dxa"/>
            <w:vAlign w:val="bottom"/>
          </w:tcPr>
          <w:p>
            <w:pPr>
              <w:spacing w:after="0"/>
              <w:rPr>
                <w:sz w:val="24"/>
                <w:szCs w:val="24"/>
                <w:color w:val="auto"/>
              </w:rPr>
            </w:pPr>
          </w:p>
        </w:tc>
        <w:tc>
          <w:tcPr>
            <w:tcW w:w="1260" w:type="dxa"/>
            <w:vAlign w:val="bottom"/>
            <w:gridSpan w:val="6"/>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11"/>
          </w:tcPr>
          <w:p>
            <w:pPr>
              <w:ind w:left="220"/>
              <w:spacing w:after="0"/>
              <w:rPr>
                <w:sz w:val="20"/>
                <w:szCs w:val="20"/>
                <w:color w:val="auto"/>
              </w:rPr>
            </w:pPr>
            <w:r>
              <w:rPr>
                <w:rFonts w:ascii="Times New Roman" w:cs="Times New Roman" w:eastAsia="Times New Roman" w:hAnsi="Times New Roman"/>
                <w:sz w:val="14"/>
                <w:szCs w:val="14"/>
                <w:b w:val="1"/>
                <w:bCs w:val="1"/>
                <w:color w:val="auto"/>
              </w:rPr>
              <w:t>Stockholder’s Deficit</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gridSpan w:val="8"/>
            <w:vMerge w:val="continue"/>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8"/>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00" w:type="dxa"/>
            <w:vAlign w:val="bottom"/>
          </w:tcPr>
          <w:p>
            <w:pPr>
              <w:spacing w:after="0"/>
              <w:rPr>
                <w:sz w:val="12"/>
                <w:szCs w:val="12"/>
                <w:color w:val="auto"/>
              </w:rPr>
            </w:pPr>
          </w:p>
        </w:tc>
        <w:tc>
          <w:tcPr>
            <w:tcW w:w="1260" w:type="dxa"/>
            <w:vAlign w:val="bottom"/>
            <w:gridSpan w:val="6"/>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Possible</w:t>
            </w:r>
          </w:p>
        </w:tc>
        <w:tc>
          <w:tcPr>
            <w:tcW w:w="1320" w:type="dxa"/>
            <w:vAlign w:val="bottom"/>
            <w:gridSpan w:val="8"/>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2"/>
                <w:szCs w:val="12"/>
                <w:color w:val="auto"/>
              </w:rPr>
            </w:pPr>
          </w:p>
        </w:tc>
        <w:tc>
          <w:tcPr>
            <w:tcW w:w="10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2"/>
                <w:szCs w:val="12"/>
                <w:color w:val="auto"/>
              </w:rPr>
            </w:pPr>
          </w:p>
        </w:tc>
        <w:tc>
          <w:tcPr>
            <w:tcW w:w="8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8"/>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Pr>
          <w:p>
            <w:pPr>
              <w:spacing w:after="0"/>
              <w:rPr>
                <w:sz w:val="12"/>
                <w:szCs w:val="12"/>
                <w:color w:val="auto"/>
              </w:rPr>
            </w:pPr>
          </w:p>
        </w:tc>
        <w:tc>
          <w:tcPr>
            <w:tcW w:w="1260" w:type="dxa"/>
            <w:vAlign w:val="bottom"/>
            <w:gridSpan w:val="6"/>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1320" w:type="dxa"/>
            <w:vAlign w:val="bottom"/>
            <w:gridSpan w:val="8"/>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18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(Amounts in thousands, except</w:t>
            </w: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3"/>
            <w:vMerge w:val="restart"/>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Note</w:t>
            </w:r>
          </w:p>
        </w:tc>
        <w:tc>
          <w:tcPr>
            <w:tcW w:w="1000" w:type="dxa"/>
            <w:vAlign w:val="bottom"/>
            <w:gridSpan w:val="4"/>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gridSpan w:val="3"/>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104"/>
        </w:trPr>
        <w:tc>
          <w:tcPr>
            <w:tcW w:w="1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89"/>
              </w:rPr>
              <w:t>Amount</w:t>
            </w:r>
          </w:p>
        </w:tc>
        <w:tc>
          <w:tcPr>
            <w:tcW w:w="160" w:type="dxa"/>
            <w:vAlign w:val="bottom"/>
            <w:vMerge w:val="restart"/>
          </w:tcPr>
          <w:p>
            <w:pPr>
              <w:spacing w:after="0"/>
              <w:rPr>
                <w:sz w:val="9"/>
                <w:szCs w:val="9"/>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81"/>
              </w:rPr>
              <w:t>Amount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1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shares)</w:t>
            </w: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gridSpan w:val="3"/>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CCEEFF"/>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gridSpan w:val="3"/>
            <w:vMerge w:val="continue"/>
          </w:tcPr>
          <w:p>
            <w:pPr>
              <w:spacing w:after="0"/>
              <w:rPr>
                <w:sz w:val="15"/>
                <w:szCs w:val="15"/>
                <w:color w:val="auto"/>
              </w:rPr>
            </w:pPr>
          </w:p>
        </w:tc>
        <w:tc>
          <w:tcPr>
            <w:tcW w:w="2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180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 as of December 31,</w:t>
            </w:r>
          </w:p>
        </w:tc>
        <w:tc>
          <w:tcPr>
            <w:tcW w:w="900" w:type="dxa"/>
            <w:vAlign w:val="bottom"/>
            <w:tcBorders>
              <w:left w:val="single" w:sz="8" w:color="CCEEFF"/>
            </w:tcBorders>
            <w:gridSpan w:val="4"/>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34,712,525</w:t>
            </w:r>
          </w:p>
        </w:tc>
        <w:tc>
          <w:tcPr>
            <w:tcW w:w="780" w:type="dxa"/>
            <w:vAlign w:val="bottom"/>
            <w:tcBorders>
              <w:right w:val="single" w:sz="8" w:color="CCEEFF"/>
            </w:tcBorders>
            <w:gridSpan w:val="5"/>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$ 173,347</w:t>
            </w:r>
          </w:p>
        </w:tc>
        <w:tc>
          <w:tcPr>
            <w:tcW w:w="10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13,613,269</w:t>
            </w:r>
          </w:p>
        </w:tc>
        <w:tc>
          <w:tcPr>
            <w:tcW w:w="22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96,887</w:t>
            </w:r>
          </w:p>
        </w:tc>
        <w:tc>
          <w:tcPr>
            <w:tcW w:w="2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Borders>
              <w:left w:val="single" w:sz="8" w:color="CCEEFF"/>
            </w:tcBorders>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141,496</w:t>
            </w:r>
          </w:p>
        </w:tc>
        <w:tc>
          <w:tcPr>
            <w:tcW w:w="200" w:type="dxa"/>
            <w:vAlign w:val="bottom"/>
            <w:gridSpan w:val="2"/>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CCEEFF"/>
            </w:tcBorders>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(368,056)</w:t>
            </w:r>
          </w:p>
        </w:tc>
        <w:tc>
          <w:tcPr>
            <w:tcW w:w="12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(226,560)</w:t>
            </w:r>
          </w:p>
        </w:tc>
        <w:tc>
          <w:tcPr>
            <w:tcW w:w="0" w:type="dxa"/>
            <w:vAlign w:val="bottom"/>
          </w:tcPr>
          <w:p>
            <w:pPr>
              <w:spacing w:after="0"/>
              <w:rPr>
                <w:sz w:val="1"/>
                <w:szCs w:val="1"/>
                <w:color w:val="auto"/>
              </w:rPr>
            </w:pPr>
          </w:p>
        </w:tc>
      </w:tr>
      <w:tr>
        <w:trPr>
          <w:trHeight w:val="173"/>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Borders>
              <w:left w:val="single" w:sz="8" w:color="CCEEFF"/>
            </w:tcBorders>
            <w:gridSpan w:val="4"/>
            <w:vMerge w:val="continue"/>
            <w:shd w:val="clear" w:color="auto" w:fill="CCEEFF"/>
          </w:tcPr>
          <w:p>
            <w:pPr>
              <w:spacing w:after="0"/>
              <w:rPr>
                <w:sz w:val="15"/>
                <w:szCs w:val="15"/>
                <w:color w:val="auto"/>
              </w:rPr>
            </w:pPr>
          </w:p>
        </w:tc>
        <w:tc>
          <w:tcPr>
            <w:tcW w:w="780" w:type="dxa"/>
            <w:vAlign w:val="bottom"/>
            <w:tcBorders>
              <w:right w:val="single" w:sz="8" w:color="CCEEFF"/>
            </w:tcBorders>
            <w:gridSpan w:val="5"/>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160" w:type="dxa"/>
            <w:vAlign w:val="bottom"/>
            <w:gridSpan w:val="2"/>
            <w:vMerge w:val="continue"/>
            <w:shd w:val="clear" w:color="auto" w:fill="CCEEFF"/>
          </w:tcPr>
          <w:p>
            <w:pPr>
              <w:spacing w:after="0"/>
              <w:rPr>
                <w:sz w:val="15"/>
                <w:szCs w:val="15"/>
                <w:color w:val="auto"/>
              </w:rPr>
            </w:pPr>
          </w:p>
        </w:tc>
        <w:tc>
          <w:tcPr>
            <w:tcW w:w="580" w:type="dxa"/>
            <w:vAlign w:val="bottom"/>
            <w:tcBorders>
              <w:right w:val="single" w:sz="8" w:color="CCEEFF"/>
            </w:tcBorders>
            <w:gridSpan w:val="2"/>
            <w:vMerge w:val="continue"/>
            <w:shd w:val="clear" w:color="auto" w:fill="CCEEFF"/>
          </w:tcPr>
          <w:p>
            <w:pPr>
              <w:spacing w:after="0"/>
              <w:rPr>
                <w:sz w:val="15"/>
                <w:szCs w:val="15"/>
                <w:color w:val="auto"/>
              </w:rPr>
            </w:pPr>
          </w:p>
        </w:tc>
        <w:tc>
          <w:tcPr>
            <w:tcW w:w="720" w:type="dxa"/>
            <w:vAlign w:val="bottom"/>
            <w:gridSpan w:val="3"/>
            <w:vMerge w:val="continue"/>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380" w:type="dxa"/>
            <w:vAlign w:val="bottom"/>
            <w:gridSpan w:val="3"/>
            <w:vMerge w:val="continue"/>
            <w:shd w:val="clear" w:color="auto" w:fill="CCEEFF"/>
          </w:tcPr>
          <w:p>
            <w:pPr>
              <w:spacing w:after="0"/>
              <w:rPr>
                <w:sz w:val="15"/>
                <w:szCs w:val="15"/>
                <w:color w:val="auto"/>
              </w:rPr>
            </w:pPr>
          </w:p>
        </w:tc>
        <w:tc>
          <w:tcPr>
            <w:tcW w:w="640" w:type="dxa"/>
            <w:vAlign w:val="bottom"/>
            <w:gridSpan w:val="3"/>
            <w:vMerge w:val="continue"/>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240" w:type="dxa"/>
            <w:vAlign w:val="bottom"/>
            <w:tcBorders>
              <w:left w:val="single" w:sz="8" w:color="CCEEFF"/>
            </w:tcBorders>
            <w:gridSpan w:val="3"/>
            <w:vMerge w:val="continue"/>
            <w:shd w:val="clear" w:color="auto" w:fill="CCEEFF"/>
          </w:tcPr>
          <w:p>
            <w:pPr>
              <w:spacing w:after="0"/>
              <w:rPr>
                <w:sz w:val="15"/>
                <w:szCs w:val="15"/>
                <w:color w:val="auto"/>
              </w:rPr>
            </w:pPr>
          </w:p>
        </w:tc>
        <w:tc>
          <w:tcPr>
            <w:tcW w:w="620" w:type="dxa"/>
            <w:vAlign w:val="bottom"/>
            <w:gridSpan w:val="3"/>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60" w:type="dxa"/>
            <w:vAlign w:val="bottom"/>
            <w:gridSpan w:val="2"/>
            <w:vMerge w:val="continue"/>
            <w:shd w:val="clear" w:color="auto" w:fill="CCEEFF"/>
          </w:tcPr>
          <w:p>
            <w:pPr>
              <w:spacing w:after="0"/>
              <w:rPr>
                <w:sz w:val="15"/>
                <w:szCs w:val="15"/>
                <w:color w:val="auto"/>
              </w:rPr>
            </w:pPr>
          </w:p>
        </w:tc>
        <w:tc>
          <w:tcPr>
            <w:tcW w:w="840" w:type="dxa"/>
            <w:vAlign w:val="bottom"/>
            <w:tcBorders>
              <w:right w:val="single" w:sz="8" w:color="CCEEFF"/>
            </w:tcBorders>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8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Retroactive application of</w:t>
            </w:r>
          </w:p>
        </w:tc>
        <w:tc>
          <w:tcPr>
            <w:tcW w:w="120" w:type="dxa"/>
            <w:vAlign w:val="bottom"/>
            <w:vMerge w:val="restart"/>
          </w:tcPr>
          <w:p>
            <w:pPr>
              <w:spacing w:after="0"/>
              <w:rPr>
                <w:sz w:val="10"/>
                <w:szCs w:val="10"/>
                <w:color w:val="auto"/>
              </w:rPr>
            </w:pPr>
          </w:p>
        </w:tc>
        <w:tc>
          <w:tcPr>
            <w:tcW w:w="900" w:type="dxa"/>
            <w:vAlign w:val="bottom"/>
            <w:gridSpan w:val="4"/>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(34,712,525)</w:t>
            </w:r>
          </w:p>
        </w:tc>
        <w:tc>
          <w:tcPr>
            <w:tcW w:w="80" w:type="dxa"/>
            <w:vAlign w:val="bottom"/>
          </w:tcPr>
          <w:p>
            <w:pPr>
              <w:spacing w:after="0"/>
              <w:rPr>
                <w:sz w:val="10"/>
                <w:szCs w:val="10"/>
                <w:color w:val="auto"/>
              </w:rPr>
            </w:pPr>
          </w:p>
        </w:tc>
        <w:tc>
          <w:tcPr>
            <w:tcW w:w="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(173,347)</w:t>
            </w:r>
          </w:p>
        </w:tc>
        <w:tc>
          <w:tcPr>
            <w:tcW w:w="100" w:type="dxa"/>
            <w:vAlign w:val="bottom"/>
          </w:tcPr>
          <w:p>
            <w:pPr>
              <w:spacing w:after="0"/>
              <w:rPr>
                <w:sz w:val="10"/>
                <w:szCs w:val="10"/>
                <w:color w:val="auto"/>
              </w:rPr>
            </w:pPr>
          </w:p>
        </w:tc>
        <w:tc>
          <w:tcPr>
            <w:tcW w:w="5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34,712,525</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5</w:t>
            </w:r>
          </w:p>
        </w:tc>
        <w:tc>
          <w:tcPr>
            <w:tcW w:w="6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(96,887)</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173,342</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173,347</w:t>
            </w:r>
          </w:p>
        </w:tc>
        <w:tc>
          <w:tcPr>
            <w:tcW w:w="0" w:type="dxa"/>
            <w:vAlign w:val="bottom"/>
          </w:tcPr>
          <w:p>
            <w:pPr>
              <w:spacing w:after="0"/>
              <w:rPr>
                <w:sz w:val="1"/>
                <w:szCs w:val="1"/>
                <w:color w:val="auto"/>
              </w:rPr>
            </w:pPr>
          </w:p>
        </w:tc>
      </w:tr>
      <w:tr>
        <w:trPr>
          <w:trHeight w:val="171"/>
        </w:trPr>
        <w:tc>
          <w:tcPr>
            <w:tcW w:w="1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recapitalization</w:t>
            </w:r>
          </w:p>
        </w:tc>
        <w:tc>
          <w:tcPr>
            <w:tcW w:w="120" w:type="dxa"/>
            <w:vAlign w:val="bottom"/>
            <w:vMerge w:val="continue"/>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8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w w:val="97"/>
              </w:rPr>
              <w:t>Adjusted balance - beginning of</w:t>
            </w:r>
          </w:p>
        </w:tc>
        <w:tc>
          <w:tcPr>
            <w:tcW w:w="120" w:type="dxa"/>
            <w:vAlign w:val="bottom"/>
            <w:tcBorders>
              <w:left w:val="single" w:sz="8" w:color="CCEEFF"/>
            </w:tcBorders>
            <w:shd w:val="clear" w:color="auto" w:fill="CCEEFF"/>
          </w:tcPr>
          <w:p>
            <w:pPr>
              <w:spacing w:after="0"/>
              <w:rPr>
                <w:sz w:val="10"/>
                <w:szCs w:val="10"/>
                <w:color w:val="auto"/>
              </w:rPr>
            </w:pPr>
          </w:p>
        </w:tc>
        <w:tc>
          <w:tcPr>
            <w:tcW w:w="740" w:type="dxa"/>
            <w:vAlign w:val="bottom"/>
            <w:gridSpan w:val="2"/>
            <w:vMerge w:val="restart"/>
            <w:shd w:val="clear" w:color="auto" w:fill="CCEEFF"/>
          </w:tcPr>
          <w:p>
            <w:pPr>
              <w:jc w:val="center"/>
              <w:ind w:left="448"/>
              <w:spacing w:after="0"/>
              <w:rPr>
                <w:sz w:val="20"/>
                <w:szCs w:val="20"/>
                <w:color w:val="auto"/>
              </w:rPr>
            </w:pPr>
            <w:r>
              <w:rPr>
                <w:rFonts w:ascii="Times New Roman" w:cs="Times New Roman" w:eastAsia="Times New Roman" w:hAnsi="Times New Roman"/>
                <w:sz w:val="14"/>
                <w:szCs w:val="14"/>
                <w:color w:val="auto"/>
                <w:w w:val="85"/>
              </w:rPr>
              <w:t>— </w:t>
            </w:r>
          </w:p>
        </w:tc>
        <w:tc>
          <w:tcPr>
            <w:tcW w:w="40" w:type="dxa"/>
            <w:vAlign w:val="bottom"/>
            <w:vMerge w:val="restart"/>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95"/>
              </w:rPr>
              <w:t>— </w:t>
            </w:r>
          </w:p>
        </w:tc>
        <w:tc>
          <w:tcPr>
            <w:tcW w:w="60" w:type="dxa"/>
            <w:vAlign w:val="bottom"/>
            <w:tcBorders>
              <w:right w:val="single" w:sz="8" w:color="CCEEFF"/>
            </w:tcBorders>
            <w:vMerge w:val="restart"/>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Borders>
              <w:left w:val="single" w:sz="8" w:color="CCEEFF"/>
            </w:tcBorders>
            <w:vMerge w:val="restart"/>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9"/>
                <w:szCs w:val="9"/>
                <w:color w:val="auto"/>
                <w:w w:val="73"/>
              </w:rPr>
              <w:t>— </w:t>
            </w:r>
          </w:p>
        </w:tc>
        <w:tc>
          <w:tcPr>
            <w:tcW w:w="160" w:type="dxa"/>
            <w:vAlign w:val="bottom"/>
            <w:tcBorders>
              <w:left w:val="single" w:sz="8" w:color="CCEEFF"/>
              <w:right w:val="single" w:sz="8" w:color="CCEEFF"/>
            </w:tcBorders>
            <w:vMerge w:val="restart"/>
            <w:shd w:val="clear" w:color="auto" w:fill="CCEEFF"/>
          </w:tcPr>
          <w:p>
            <w:pPr>
              <w:spacing w:after="0"/>
              <w:rPr>
                <w:sz w:val="10"/>
                <w:szCs w:val="10"/>
                <w:color w:val="auto"/>
              </w:rPr>
            </w:pPr>
          </w:p>
        </w:tc>
        <w:tc>
          <w:tcPr>
            <w:tcW w:w="7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48,325,794</w:t>
            </w:r>
          </w:p>
        </w:tc>
        <w:tc>
          <w:tcPr>
            <w:tcW w:w="20" w:type="dxa"/>
            <w:vAlign w:val="bottom"/>
            <w:vMerge w:val="restart"/>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vMerge w:val="restart"/>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Borders>
              <w:left w:val="single" w:sz="8" w:color="CCEEFF"/>
            </w:tcBorders>
            <w:vMerge w:val="restart"/>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314,838</w:t>
            </w:r>
          </w:p>
        </w:tc>
        <w:tc>
          <w:tcPr>
            <w:tcW w:w="40" w:type="dxa"/>
            <w:vAlign w:val="bottom"/>
            <w:vMerge w:val="restart"/>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w w:val="75"/>
              </w:rPr>
              <w:t>— </w:t>
            </w:r>
          </w:p>
        </w:tc>
        <w:tc>
          <w:tcPr>
            <w:tcW w:w="120" w:type="dxa"/>
            <w:vAlign w:val="bottom"/>
            <w:tcBorders>
              <w:left w:val="single" w:sz="8" w:color="CCEEFF"/>
            </w:tcBorders>
            <w:vMerge w:val="restart"/>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(368,056)</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(53,213)</w:t>
            </w:r>
          </w:p>
        </w:tc>
        <w:tc>
          <w:tcPr>
            <w:tcW w:w="0" w:type="dxa"/>
            <w:vAlign w:val="bottom"/>
          </w:tcPr>
          <w:p>
            <w:pPr>
              <w:spacing w:after="0"/>
              <w:rPr>
                <w:sz w:val="1"/>
                <w:szCs w:val="1"/>
                <w:color w:val="auto"/>
              </w:rPr>
            </w:pPr>
          </w:p>
        </w:tc>
      </w:tr>
      <w:tr>
        <w:trPr>
          <w:trHeight w:val="171"/>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period</w:t>
            </w:r>
          </w:p>
        </w:tc>
        <w:tc>
          <w:tcPr>
            <w:tcW w:w="120" w:type="dxa"/>
            <w:vAlign w:val="bottom"/>
            <w:tcBorders>
              <w:left w:val="single" w:sz="8" w:color="CCEEFF"/>
            </w:tcBorders>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6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0" w:type="dxa"/>
            <w:vAlign w:val="bottom"/>
            <w:tcBorders>
              <w:left w:val="single" w:sz="8" w:color="CCEEFF"/>
            </w:tcBorders>
            <w:vMerge w:val="continue"/>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60" w:type="dxa"/>
            <w:vAlign w:val="bottom"/>
            <w:tcBorders>
              <w:left w:val="single" w:sz="8" w:color="CCEEFF"/>
              <w:right w:val="single" w:sz="8" w:color="CCEEFF"/>
            </w:tcBorders>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40" w:type="dxa"/>
            <w:vAlign w:val="bottom"/>
            <w:tcBorders>
              <w:left w:val="single" w:sz="8" w:color="CCEEFF"/>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40" w:type="dxa"/>
            <w:vAlign w:val="bottom"/>
            <w:vMerge w:val="continue"/>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20" w:type="dxa"/>
            <w:vAlign w:val="bottom"/>
            <w:tcBorders>
              <w:left w:val="single" w:sz="8" w:color="CCEEFF"/>
            </w:tcBorders>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tcPr>
          <w:p>
            <w:pPr>
              <w:spacing w:after="0"/>
              <w:rPr>
                <w:sz w:val="12"/>
                <w:szCs w:val="12"/>
                <w:color w:val="auto"/>
              </w:rPr>
            </w:pPr>
          </w:p>
        </w:tc>
        <w:tc>
          <w:tcPr>
            <w:tcW w:w="780" w:type="dxa"/>
            <w:vAlign w:val="bottom"/>
            <w:gridSpan w:val="3"/>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149"/>
        </w:trPr>
        <w:tc>
          <w:tcPr>
            <w:tcW w:w="1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Borders>
              <w:left w:val="single" w:sz="8" w:color="CCEEFF"/>
            </w:tcBorders>
            <w:shd w:val="clear" w:color="auto" w:fill="CCEEFF"/>
          </w:tcPr>
          <w:p>
            <w:pPr>
              <w:spacing w:after="0"/>
              <w:rPr>
                <w:sz w:val="12"/>
                <w:szCs w:val="12"/>
                <w:color w:val="auto"/>
              </w:rPr>
            </w:pPr>
          </w:p>
        </w:tc>
        <w:tc>
          <w:tcPr>
            <w:tcW w:w="780" w:type="dxa"/>
            <w:vAlign w:val="bottom"/>
            <w:gridSpan w:val="3"/>
            <w:shd w:val="clear" w:color="auto" w:fill="CCEEFF"/>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3"/>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gridSpan w:val="3"/>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3"/>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(16,743)</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(16,743)</w:t>
            </w:r>
          </w:p>
        </w:tc>
        <w:tc>
          <w:tcPr>
            <w:tcW w:w="0" w:type="dxa"/>
            <w:vAlign w:val="bottom"/>
          </w:tcPr>
          <w:p>
            <w:pPr>
              <w:spacing w:after="0"/>
              <w:rPr>
                <w:sz w:val="1"/>
                <w:szCs w:val="1"/>
                <w:color w:val="auto"/>
              </w:rPr>
            </w:pPr>
          </w:p>
        </w:tc>
      </w:tr>
      <w:tr>
        <w:trPr>
          <w:trHeight w:val="155"/>
        </w:trPr>
        <w:tc>
          <w:tcPr>
            <w:tcW w:w="18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120" w:type="dxa"/>
            <w:vAlign w:val="bottom"/>
          </w:tcPr>
          <w:p>
            <w:pPr>
              <w:spacing w:after="0"/>
              <w:rPr>
                <w:sz w:val="13"/>
                <w:szCs w:val="13"/>
                <w:color w:val="auto"/>
              </w:rPr>
            </w:pPr>
          </w:p>
        </w:tc>
        <w:tc>
          <w:tcPr>
            <w:tcW w:w="740" w:type="dxa"/>
            <w:vAlign w:val="bottom"/>
            <w:tcBorders>
              <w:top w:val="single" w:sz="8" w:color="auto"/>
              <w:bottom w:val="single" w:sz="8" w:color="auto"/>
            </w:tcBorders>
            <w:gridSpan w:val="2"/>
          </w:tcPr>
          <w:p>
            <w:pPr>
              <w:jc w:val="center"/>
              <w:ind w:left="448"/>
              <w:spacing w:after="0" w:line="155"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bottom w:val="single" w:sz="8" w:color="auto"/>
            </w:tcBorders>
            <w:gridSpan w:val="2"/>
          </w:tcPr>
          <w:p>
            <w:pPr>
              <w:ind w:left="300"/>
              <w:spacing w:after="0" w:line="155" w:lineRule="exact"/>
              <w:rPr>
                <w:sz w:val="20"/>
                <w:szCs w:val="20"/>
                <w:color w:val="auto"/>
              </w:rPr>
            </w:pPr>
            <w:r>
              <w:rPr>
                <w:rFonts w:ascii="Times New Roman" w:cs="Times New Roman" w:eastAsia="Times New Roman" w:hAnsi="Times New Roman"/>
                <w:sz w:val="14"/>
                <w:szCs w:val="14"/>
                <w:b w:val="1"/>
                <w:bCs w:val="1"/>
                <w:color w:val="auto"/>
                <w:w w:val="95"/>
              </w:rPr>
              <w:t>— </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9"/>
                <w:szCs w:val="9"/>
                <w:b w:val="1"/>
                <w:bCs w:val="1"/>
                <w:color w:val="auto"/>
                <w:w w:val="73"/>
              </w:rPr>
              <w:t>— </w:t>
            </w:r>
          </w:p>
        </w:tc>
        <w:tc>
          <w:tcPr>
            <w:tcW w:w="160" w:type="dxa"/>
            <w:vAlign w:val="bottom"/>
          </w:tcPr>
          <w:p>
            <w:pPr>
              <w:spacing w:after="0"/>
              <w:rPr>
                <w:sz w:val="13"/>
                <w:szCs w:val="13"/>
                <w:color w:val="auto"/>
              </w:rPr>
            </w:pPr>
          </w:p>
        </w:tc>
        <w:tc>
          <w:tcPr>
            <w:tcW w:w="700" w:type="dxa"/>
            <w:vAlign w:val="bottom"/>
            <w:tcBorders>
              <w:top w:val="single" w:sz="8" w:color="auto"/>
              <w:bottom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48,325,794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60" w:type="dxa"/>
            <w:vAlign w:val="bottom"/>
            <w:gridSpan w:val="2"/>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315,175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tcPr>
          <w:p>
            <w:pPr>
              <w:ind w:left="400"/>
              <w:spacing w:after="0" w:line="155" w:lineRule="exact"/>
              <w:rPr>
                <w:sz w:val="20"/>
                <w:szCs w:val="20"/>
                <w:color w:val="auto"/>
              </w:rPr>
            </w:pPr>
            <w:r>
              <w:rPr>
                <w:rFonts w:ascii="Times New Roman" w:cs="Times New Roman" w:eastAsia="Times New Roman" w:hAnsi="Times New Roman"/>
                <w:sz w:val="14"/>
                <w:szCs w:val="14"/>
                <w:b w:val="1"/>
                <w:bCs w:val="1"/>
                <w:color w:val="auto"/>
                <w:w w:val="75"/>
              </w:rPr>
              <w:t>— </w:t>
            </w: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(384,799</w:t>
            </w:r>
          </w:p>
        </w:tc>
        <w:tc>
          <w:tcPr>
            <w:tcW w:w="180" w:type="dxa"/>
            <w:vAlign w:val="bottom"/>
          </w:tcPr>
          <w:p>
            <w:pPr>
              <w:jc w:val="right"/>
              <w:ind w:right="9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(69,619)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5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2500" w:type="dxa"/>
            <w:vAlign w:val="bottom"/>
          </w:tcPr>
          <w:p>
            <w:pPr>
              <w:spacing w:after="0"/>
              <w:rPr>
                <w:sz w:val="15"/>
                <w:szCs w:val="15"/>
                <w:color w:val="auto"/>
              </w:rPr>
            </w:pPr>
          </w:p>
        </w:tc>
        <w:tc>
          <w:tcPr>
            <w:tcW w:w="156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960" w:type="dxa"/>
            <w:vAlign w:val="bottom"/>
            <w:tcBorders>
              <w:bottom w:val="single" w:sz="8" w:color="CCEEFF"/>
            </w:tcBorders>
            <w:vMerge w:val="continue"/>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9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33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(147,761)</w:t>
            </w: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 (16,743)</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33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191</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33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49"/>
        </w:trPr>
        <w:tc>
          <w:tcPr>
            <w:tcW w:w="69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33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11,040</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Credit loss expense</w:t>
            </w:r>
          </w:p>
        </w:tc>
        <w:tc>
          <w:tcPr>
            <w:tcW w:w="2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148"/>
        </w:trPr>
        <w:tc>
          <w:tcPr>
            <w:tcW w:w="69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33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Change in fair value of earnout share liabilities</w:t>
            </w:r>
          </w:p>
        </w:tc>
        <w:tc>
          <w:tcPr>
            <w:tcW w:w="334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(116,518)</w:t>
            </w: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69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Change in fair value of convertible notes</w:t>
            </w:r>
          </w:p>
        </w:tc>
        <w:tc>
          <w:tcPr>
            <w:tcW w:w="33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165,703</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4,651</w:t>
            </w:r>
          </w:p>
        </w:tc>
        <w:tc>
          <w:tcPr>
            <w:tcW w:w="0" w:type="dxa"/>
            <w:vAlign w:val="bottom"/>
          </w:tcPr>
          <w:p>
            <w:pPr>
              <w:spacing w:after="0"/>
              <w:rPr>
                <w:sz w:val="1"/>
                <w:szCs w:val="1"/>
                <w:color w:val="auto"/>
              </w:rPr>
            </w:pPr>
          </w:p>
        </w:tc>
      </w:tr>
      <w:tr>
        <w:trPr>
          <w:trHeight w:val="149"/>
        </w:trPr>
        <w:tc>
          <w:tcPr>
            <w:tcW w:w="69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33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60,345</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3,515</w:t>
            </w:r>
          </w:p>
        </w:tc>
        <w:tc>
          <w:tcPr>
            <w:tcW w:w="0" w:type="dxa"/>
            <w:vAlign w:val="bottom"/>
          </w:tcPr>
          <w:p>
            <w:pPr>
              <w:spacing w:after="0"/>
              <w:rPr>
                <w:sz w:val="1"/>
                <w:szCs w:val="1"/>
                <w:color w:val="auto"/>
              </w:rPr>
            </w:pPr>
          </w:p>
        </w:tc>
      </w:tr>
      <w:tr>
        <w:trPr>
          <w:trHeight w:val="148"/>
        </w:trPr>
        <w:tc>
          <w:tcPr>
            <w:tcW w:w="69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33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33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(953)</w:t>
            </w: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(2,138)</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Accounts receivable - related party</w:t>
            </w:r>
          </w:p>
        </w:tc>
        <w:tc>
          <w:tcPr>
            <w:tcW w:w="2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49"/>
        </w:trPr>
        <w:tc>
          <w:tcPr>
            <w:tcW w:w="69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33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(1,767)</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33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8,504</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48"/>
        </w:trPr>
        <w:tc>
          <w:tcPr>
            <w:tcW w:w="69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33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Accounts payable and accrued liabilities</w:t>
            </w:r>
          </w:p>
        </w:tc>
        <w:tc>
          <w:tcPr>
            <w:tcW w:w="33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3,583</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5,286</w:t>
            </w:r>
          </w:p>
        </w:tc>
        <w:tc>
          <w:tcPr>
            <w:tcW w:w="0" w:type="dxa"/>
            <w:vAlign w:val="bottom"/>
          </w:tcPr>
          <w:p>
            <w:pPr>
              <w:spacing w:after="0"/>
              <w:rPr>
                <w:sz w:val="1"/>
                <w:szCs w:val="1"/>
                <w:color w:val="auto"/>
              </w:rPr>
            </w:pPr>
          </w:p>
        </w:tc>
      </w:tr>
      <w:tr>
        <w:trPr>
          <w:trHeight w:val="148"/>
        </w:trPr>
        <w:tc>
          <w:tcPr>
            <w:tcW w:w="69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Advances from related party</w:t>
            </w:r>
          </w:p>
        </w:tc>
        <w:tc>
          <w:tcPr>
            <w:tcW w:w="33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334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49"/>
        </w:trPr>
        <w:tc>
          <w:tcPr>
            <w:tcW w:w="69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Income taxes payable</w:t>
            </w:r>
          </w:p>
        </w:tc>
        <w:tc>
          <w:tcPr>
            <w:tcW w:w="33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Accrued loss on purchase commitments</w:t>
            </w:r>
          </w:p>
        </w:tc>
        <w:tc>
          <w:tcPr>
            <w:tcW w:w="334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(1,581)</w:t>
            </w:r>
          </w:p>
        </w:tc>
        <w:tc>
          <w:tcPr>
            <w:tcW w:w="0" w:type="dxa"/>
            <w:vAlign w:val="bottom"/>
          </w:tcPr>
          <w:p>
            <w:pPr>
              <w:spacing w:after="0"/>
              <w:rPr>
                <w:sz w:val="1"/>
                <w:szCs w:val="1"/>
                <w:color w:val="auto"/>
              </w:rPr>
            </w:pPr>
          </w:p>
        </w:tc>
      </w:tr>
      <w:tr>
        <w:trPr>
          <w:trHeight w:val="148"/>
        </w:trPr>
        <w:tc>
          <w:tcPr>
            <w:tcW w:w="69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Accrued compensation</w:t>
            </w:r>
          </w:p>
        </w:tc>
        <w:tc>
          <w:tcPr>
            <w:tcW w:w="33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(15,944)</w:t>
            </w:r>
          </w:p>
        </w:tc>
        <w:tc>
          <w:tcPr>
            <w:tcW w:w="1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(7,363)</w:t>
            </w: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(661)</w:t>
            </w: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(661)</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(177)</w:t>
            </w:r>
          </w:p>
        </w:tc>
        <w:tc>
          <w:tcPr>
            <w:tcW w:w="0" w:type="dxa"/>
            <w:vAlign w:val="bottom"/>
          </w:tcPr>
          <w:p>
            <w:pPr>
              <w:spacing w:after="0"/>
              <w:rPr>
                <w:sz w:val="1"/>
                <w:szCs w:val="1"/>
                <w:color w:val="auto"/>
              </w:rPr>
            </w:pPr>
          </w:p>
        </w:tc>
      </w:tr>
      <w:tr>
        <w:trPr>
          <w:trHeight w:val="149"/>
        </w:trPr>
        <w:tc>
          <w:tcPr>
            <w:tcW w:w="83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Merger and PIPE financing, net of transaction costs</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15,874</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83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Payment of deferred offering costs</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(4,531)</w:t>
            </w:r>
          </w:p>
        </w:tc>
        <w:tc>
          <w:tcPr>
            <w:tcW w:w="14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Proceeds from convertible notes</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11,500</w:t>
            </w:r>
          </w:p>
        </w:tc>
        <w:tc>
          <w:tcPr>
            <w:tcW w:w="0" w:type="dxa"/>
            <w:vAlign w:val="bottom"/>
          </w:tcPr>
          <w:p>
            <w:pPr>
              <w:spacing w:after="0"/>
              <w:rPr>
                <w:sz w:val="1"/>
                <w:szCs w:val="1"/>
                <w:color w:val="auto"/>
              </w:rPr>
            </w:pPr>
          </w:p>
        </w:tc>
      </w:tr>
      <w:tr>
        <w:trPr>
          <w:trHeight w:val="155"/>
        </w:trPr>
        <w:tc>
          <w:tcPr>
            <w:tcW w:w="83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1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11,343</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11,372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change in cash, cash equivalents and restricted cash</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(5,262)</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3,832</w:t>
            </w:r>
          </w:p>
        </w:tc>
        <w:tc>
          <w:tcPr>
            <w:tcW w:w="0" w:type="dxa"/>
            <w:vAlign w:val="bottom"/>
          </w:tcPr>
          <w:p>
            <w:pPr>
              <w:spacing w:after="0"/>
              <w:rPr>
                <w:sz w:val="1"/>
                <w:szCs w:val="1"/>
                <w:color w:val="auto"/>
              </w:rPr>
            </w:pPr>
          </w:p>
        </w:tc>
      </w:tr>
      <w:tr>
        <w:trPr>
          <w:trHeight w:val="149"/>
        </w:trPr>
        <w:tc>
          <w:tcPr>
            <w:tcW w:w="8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50,488</w:t>
            </w:r>
          </w:p>
        </w:tc>
        <w:tc>
          <w:tcPr>
            <w:tcW w:w="14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3,213</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12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45,226</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7,045</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Components of cash, cash equivalents and restricted cash:</w:t>
            </w: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30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2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44,967</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7,045</w:t>
            </w:r>
          </w:p>
        </w:tc>
        <w:tc>
          <w:tcPr>
            <w:tcW w:w="0" w:type="dxa"/>
            <w:vAlign w:val="bottom"/>
          </w:tcPr>
          <w:p>
            <w:pPr>
              <w:spacing w:after="0"/>
              <w:rPr>
                <w:sz w:val="1"/>
                <w:szCs w:val="1"/>
                <w:color w:val="auto"/>
              </w:rPr>
            </w:pPr>
          </w:p>
        </w:tc>
      </w:tr>
      <w:tr>
        <w:trPr>
          <w:trHeight w:val="149"/>
        </w:trPr>
        <w:tc>
          <w:tcPr>
            <w:tcW w:w="83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Restricted cash (included within other assets)</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14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12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45,226</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7,045</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cash flow disclosures:</w:t>
            </w: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30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Cash paid for income taxes</w:t>
            </w:r>
          </w:p>
        </w:tc>
        <w:tc>
          <w:tcPr>
            <w:tcW w:w="12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49"/>
        </w:trPr>
        <w:tc>
          <w:tcPr>
            <w:tcW w:w="83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non-cash disclosures:</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Property and equipment acquired in accounts payable and accrued expenses and other current liabilities</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497</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48"/>
        </w:trPr>
        <w:tc>
          <w:tcPr>
            <w:tcW w:w="83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Capitalized deferred offering costs included in accounts payable and accrued expenses and other current liabilities</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49"/>
        </w:trPr>
        <w:tc>
          <w:tcPr>
            <w:tcW w:w="83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Issuance of warrants with convertible notes</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909</w:t>
            </w:r>
          </w:p>
        </w:tc>
        <w:tc>
          <w:tcPr>
            <w:tcW w:w="0" w:type="dxa"/>
            <w:vAlign w:val="bottom"/>
          </w:tcPr>
          <w:p>
            <w:pPr>
              <w:spacing w:after="0"/>
              <w:rPr>
                <w:sz w:val="1"/>
                <w:szCs w:val="1"/>
                <w:color w:val="auto"/>
              </w:rPr>
            </w:pPr>
          </w:p>
        </w:tc>
      </w:tr>
      <w:tr>
        <w:trPr>
          <w:trHeight w:val="148"/>
        </w:trPr>
        <w:tc>
          <w:tcPr>
            <w:tcW w:w="83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Conversion of convertible notes to common stock</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314,334</w:t>
            </w:r>
          </w:p>
        </w:tc>
        <w:tc>
          <w:tcPr>
            <w:tcW w:w="14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Net exercise of warrants for common stock</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75,056</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83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Issuance of warrants for professional services</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14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Issuance of common stock for shareholder note receivable</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8,754</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Blaize Holdings, Inc. (together with its subsidiaries, the “Company,” “Blaize,” “we,” “our,” “us,” or the “registrant,”) is headquartered in El Dorado Hills, California, and consists of four separate operating entities: Blaize, Inc. (United States of America), Blaize New Computing Technologies India Private Limited (India), Blaize Technologies Philippines, Inc. (Philippines) and Blaize U.K. LTD (England).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Blaize designs and develops low-power, high-efficiency, programmable artificial intelligence (“AI”) edge computing hardware and software. The Company leads a new generation of computing, which unleashes the potential of AI in order to enable significant increases in the value that technology delivers to improve the way people work and live. Blaize offers transformative edge computing solutions for AI data collection and processing, with a focus on smart vision and other AI applications for the automotive, retail, security and industrial markets.</w:t>
      </w:r>
    </w:p>
    <w:p>
      <w:pPr>
        <w:spacing w:after="0" w:line="180"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In November 2023, Blaize entered into a Memorandum of Understanding with a United Arab Emirates (“UAE”) based third-party investment entity to establish a cooperative framework for both entities to discuss and explore commercial and technical collaboration in the UAE. The collaboration is intended to be operationalized through a newly created entity, Blaize Artificial Intelligence Middle East, LLC, in which the Company has a 35% ownership in the entity. As of March 31, 2025, there has not been an operating agreement executed between the Company and the holder of the 65% interest that would make us the primary beneficiary of this new legal entity. The newly established entity has incurred insignificant expenses since its incorporation.</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first quarter of 2025, the U.S. government announced a series of new tariff policies affecting imports from several countries, including China. While these actions impact a range of global trade flows, the new tariffs targeting imports from China are the most significant for our business. While the ultimate implications of the tariffs remain unclear, they could materially increase the Company’s import costs and potentially lead to higher prices that reduce consumer demand. The Company is monitoring the situation closely and is proactively evaluating strategies to mitigate the impact on its supply chain and margins. These efforts include exploring alternative sourcing outside of China, working with our suppliers to manage cost increases, and implementing price increases. These actions that we take may not fully offset the impact of tariffs and, as a result, our revenues, gross margins and overall financial performance may be materially impacted.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and Reverse Recapitalization</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On January 13, 2025 (the “Closing Date”), the Company consummated the transactions (the “Merger”) contemplated by the Agreement and Plan of Merger (the “Merger Agreement”), dated as of December 22, 2023 (as amended on April 22, 2024, October 24, 2024 and November 21, 2024), with BurTech Acquisition Corp. (“BurTech”), BurTech Merger Sub, Inc. (“Merger Sub”), Blaize, Inc. (“Legacy Blaize”), and for the limited purposes set forth therein, Burkhan Capital LLC (“Burkhan”), a Delaware limited liability company and an affiliate of BurTech. On the Closing Date, Merger Sub merged with and into Legacy Blaize, with Legacy Blaize, surviving the Merger as a wholly owned subsidiary of the Company.</w:t>
      </w:r>
    </w:p>
    <w:p>
      <w:pPr>
        <w:spacing w:after="0" w:line="183"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Concurrent with the Merger, BurTech was renamed Blaize Holdings, Inc. Beginning on January 14, 2025, Blaize’s common stock and warrants trade on Nasdaq under the ticker symbols “BZAI” and “BZAIW”, respectively (see Note 3).</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Merger</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Merger is accounted for as a reverse recapitalization, with BurTech being treated as the acquired company and Legacy Blaize was treated as the acquirer for financial reporting purposes. This accounting treatment is equivalent to Legacy Blaize issuing stock for the net assets of BurTech, accompanied by a recapitalization whereby no goodwill or other intangible assets are recorded. Operations prior to the Merger are those of Legacy Blaize. For periods prior to the Merger, the reported share and per share amounts have been retroactively converted (“Retroactive Conversion”) by applying the Exchange Ratio. Legacy Blaize shareholders were issued 87,314,968 shares of common stock.</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Prior to the Merger, BurTech LP, LLC was the sponsor (the “Sponsor”, “BurTech LP”) of BurTech and with the close of the Merger, BurTech LP and its affiliated entities, have remained a significant shareholder in Blaize.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left="120" w:right="100" w:firstLine="991"/>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(“JOBS Act”). The Company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Company’s condensed consolidated financial statements have been prepared on a going concern basis, which assumes that it will be able to meet its obligations and continue its operations during the twelve months following the issuance of these condensed consolidated financial statements. These condensed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spacing w:after="0" w:line="164"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Since the inception of the Company and through March 31, 2025, the Company has funded its operations primarily with cash flows from contributions from founders or other investors and other financing activities. The Company has incurred recurring losses and negative cash flows since its inception, including net losses of $147.8 million and $16.7 million for the three months ended March 31, 2025 and 2024, respectively. As of March 31, 2025, the Company had cash and cash equivalents of approximately $45.0 million, and an accumulated deficit of $577.0 million.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Company’s ability to continue to meet its obligations, to achieve its business objectives and continue as a going concern is dependent upon several factors, including its revenue growth rate,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issuances of additional debt and equity. If additional financing is required from outside sources, the Company may not be able to raise it on terms acceptable to it or at all. If the Company is unable to raise additional capital when desired, its business, results of operations and financial condition would be materially and adversely affected.</w:t>
      </w:r>
    </w:p>
    <w:p>
      <w:pPr>
        <w:spacing w:after="0" w:line="187"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As a result of the above, in connection with its assessment of going concern considerations in accordance with Financial Accounting Standard Board’s (“FASB”) Accounting Standards Update (“ASU”) 2014-15, </w:t>
      </w:r>
      <w:r>
        <w:rPr>
          <w:rFonts w:ascii="Times New Roman" w:cs="Times New Roman" w:eastAsia="Times New Roman" w:hAnsi="Times New Roman"/>
          <w:sz w:val="18"/>
          <w:szCs w:val="18"/>
          <w:i w:val="1"/>
          <w:iCs w:val="1"/>
          <w:color w:val="auto"/>
        </w:rPr>
        <w:t>Disclosures of Uncertainties about an Entity’s Ability to Continue as a Going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Concern</w:t>
      </w:r>
      <w:r>
        <w:rPr>
          <w:rFonts w:ascii="Times New Roman" w:cs="Times New Roman" w:eastAsia="Times New Roman" w:hAnsi="Times New Roman"/>
          <w:sz w:val="18"/>
          <w:szCs w:val="18"/>
          <w:color w:val="auto"/>
        </w:rPr>
        <w:t>, management has determined that the Company’s liquidity condition raises substantial doubt about its ability to continue as a going concern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one year from the date that these condensed consolidated financial statements are issued.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These condensed consolidated financial statements have been prepared in accordance with generally accepted accounting principles in the United States (“U.S. GAAP”) for interim financial information and with the instructions to Form 10-Q and Rule 10-01 of Regulation S-X. Accordingly, they do not include all the information and footnotes required by U.S. GAAP for complete financial statements. The accompanying unaudited interim condensed consolidated financial statements reflect all adjustments which are, in the opinion of management, necessary for a fair statement of the results for the interim periods presented. The results of operations of any interim period are not necessarily indicative of the results of operations to be expected for the full fiscal year. The unaudited interim condensed consolidated financial statements should be read in conjunction with Blaize, Inc.’s consolidated financial statements and accompanying footnotes included in the Company’s Form 8-K/A filed with the U.S. Securities and Exchange Commission (“SEC”) on April 15, 2025, which provides a more complete discussion of the Company’s accounting policies and certain other information.</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accordance with U.S. GAAP requires the Company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presented. Such estimates and assumptions include, but are not limited to, those related to revenue recognition, the allowance for credit losses, the net realizable value of inventory, the useful lives of long-lived assets, the incremental borrowing rate used in calculating operating lease right of use assets, the accounting for income taxes, the estimates used to evaluate the recoverability of long-lived assets, amortization method and periods for capitalized software, and the estimated fair values of convertible notes, warrant liabilities, earnout share liabilities, and common stock, and stock-based compensation expense. Management evaluates its estimates and assumptions on an ongoing basis using historical experience and other factors, including the current economic environment, and adjusts such estimates and assumptions when facts and circumstances dictate. As future events and their effects cannot be determined with precision, actual results could differ significantly from these estimates.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The Company considers all highly liquid investments with an original maturity of 90 days or less to be cash equivalents in the condensed consolidated financial statements. The Company’s cash equivalents are primarily comprised of U.S. Government treasury securities, mutual funds, and money market funds. The Company has cash deposits in a financial institution that, at times, may be in excess of Federal Deposit Insurance Corporation insurance limits. The Company has not experienced losses in such accounts and periodically evaluates the creditworthiness of its financial institutions.</w:t>
      </w:r>
    </w:p>
    <w:p>
      <w:pPr>
        <w:spacing w:after="0" w:line="16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 Company had cash and cash equivalents balances, inclusive of funds held in escrow, in excess of domestic and international insurance limits of approximately $71.9 million and $49.3 million, respectively.</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held $30.9 million in U.S. Government treasury securities, $5.3 million in U.S. Government money market funds, and $5.1 million in mutual funds, while as of December 31, 2024, the Company held $30.6 million in U.S. Government treasury securities, $9.2 million in U.S. Government money market funds, and $5.1 million in mutual funds (see Note 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120" w:right="920" w:firstLine="440"/>
        <w:spacing w:after="0" w:line="282" w:lineRule="auto"/>
        <w:rPr>
          <w:sz w:val="20"/>
          <w:szCs w:val="20"/>
          <w:color w:val="auto"/>
        </w:rPr>
      </w:pPr>
      <w:r>
        <w:rPr>
          <w:rFonts w:ascii="Times New Roman" w:cs="Times New Roman" w:eastAsia="Times New Roman" w:hAnsi="Times New Roman"/>
          <w:sz w:val="18"/>
          <w:szCs w:val="18"/>
          <w:color w:val="auto"/>
        </w:rPr>
        <w:t>Restricted cash represents cash balances held as security deposits related to international payment services. As of March 31, 2025 and December 31, 2024, restricted cash of $0.3 million was included within other assets on the condensed consolidated balance sheets.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Funds Held in Escrow</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March 31, 2025, the Company held $33.4 million of cash in an interest-earning escrow account pursuant to certain non-redemption agreements entered into with several unaffiliated stockholders of the Company, whereby amounts are required to be held in a separate account at the Closing of the Merger and held until such time that certain non-redeemed shares are either sold in the open market and/or put to the Company. The funds in escrow approximate $11.57 per non-redeemed share (see Note 3).</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Accounts receivable, net is recorded at the invoiced amount and does not accrue interest. The allowance for credit losses is the Company’s estimate of the amount of probable credit losses in the Company’s existing accounts receivable. The Company determines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the product or service rendered. Account balances are charged off against the allowance after all means of collection have been exhausted and the potential for recovery is considered remote. The allowance for credit losses was $0.4 million as of March 31, 2025 and December 31, 2024.</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Inventories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condensed consolidated statements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Deferred offering costs consist of direct incremental legal, consulting and banking fees primarily relating to the Merger (see Note 3). The capitalized costs were fully expensed upon the consummation of the Merger within transaction costs on the condensed consolidated statement of operations during the three months ended March 31, 2025. As of December 31, 2024, there were $11.1 million of capitalized deferred offering costs included in prepaid expenses and other current assets on the condensed consolidated balance sheets.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Whenever events or changes in circumstances indicate that the carrying amount of long-lived assets may not be recoverable, the Company estimates the expected undiscounted future cash flows from the use of those assets and their eventual disposition (without any allocated debt financing charges). If the sum of the expected undiscounted future cash flows is less than the carrying amount of those assets, the Company recognizes an impairment loss based on the excess of the carrying amount over the fair value of the assets. For the three months ended March 31, 2025 and 2024, the Company did not recognize any impairment expense related to its long-lived assets.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Evaluation</w:t>
      </w:r>
    </w:p>
    <w:p>
      <w:pPr>
        <w:spacing w:after="0" w:line="121"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The Company evaluates the terms of its debt instruments to determine if any identified embedded features, including embedded conversion options or redemption features, are required to be bifurcated and accounted for separately as a derivative financial instrument. In circumstances where a host instrument contains more than one embedded derivative instrument, including a conversion option, that is required to be bifurcated, the bifurcated derivative instruments would be accounted for as a single, compound derivative instrument. Any identified and bifurcated embedded derivatives are initially recorded at fair value and are revalued at each reporting date with changes in the fair value reported as non-operating income or expense.</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Legacy Blaize Convertible Notes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Prior to the consummation of the Merger, the Company accounted for its convertible notes, some of which contained predominantly fixed rate conversion features under ASU 2020-06 </w:t>
      </w:r>
      <w:r>
        <w:rPr>
          <w:rFonts w:ascii="Times New Roman" w:cs="Times New Roman" w:eastAsia="Times New Roman" w:hAnsi="Times New Roman"/>
          <w:sz w:val="18"/>
          <w:szCs w:val="18"/>
          <w:i w:val="1"/>
          <w:iCs w:val="1"/>
          <w:color w:val="auto"/>
        </w:rPr>
        <w:t>Debt—Debt with Conversion and Other Options (Subtopic 470-20), Derivatives and Hedging—Contracts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Entity’s Own Equity (Subtopic 815-40)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Accounting for Convertible Instruments and Contracts in an Entity’s Own Equity</w:t>
      </w:r>
      <w:r>
        <w:rPr>
          <w:rFonts w:ascii="Times New Roman" w:cs="Times New Roman" w:eastAsia="Times New Roman" w:hAnsi="Times New Roman"/>
          <w:sz w:val="18"/>
          <w:szCs w:val="18"/>
          <w:color w:val="auto"/>
        </w:rPr>
        <w:t>. The Company elected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account for its convertible notes at fair value at each period end pursuant to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wherein changes in the fair value were recorded as change in fair value of convertible notes in the condensed consolidated statements of operations. The convertible notes were remeasured just prior to the date of the Merger and upon the closing of the Merger, the convertible notes were fully converted into shares of common stock (see Note 3 and Note 5).</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00"/>
          </w:cols>
          <w:pgMar w:left="320" w:top="455" w:right="47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Legacy Blaize Warrant Liabilities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Prior to the consummation of the Merger, the Company had issued freestanding warrants in connection with certain of its convertible debt agreements and preferred stock issuances which were recorded as current liabilities on the condensed consolidated balance sheets at their estimated fair value. At initial recognition, the warrants were recorded at their estimated fair value calculated using the Black-Scholes-Merton (“Black-Scholes”) option pricing model (see Note 9). The liability associated with these warrants were subject to fair value remeasurement at each balance sheet date, with changes in fair value recorded as change in the fair value of warrant liabilities on the condensed consolidated statements of operations. The warrants were remeasured just prior to the date of the Merger and, upon the consummation of the Merger, the warrant liabilities were fully converted into shares of common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Merger, Legacy Blaize shareholders and outstanding equity award holders (including stock options and RSUs) are entitled to receive up to 15,000,000 shares of the Company’s Class A common stock (the “Earnout Shares”) (see Note 3). Earnout Shares issued to eligible Legacy Blaize equity holders (including holders of stock options and restricted stock units (“RSUs”)) are considered a compensatory award and are accounted for under ASC 718,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Further these awards have been determined to be equity classified and accordingly will not be remeasured at each reporting date.</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Earnout Shares issued to Burkhan and all other equity holders not within the scope of ASC 718 in connection with consummation of the Merger, were evaluated by management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(see Note 3). The Company determined that the Earnout Shares are freestanding and not liability classified under ASC 480. Subsequently, management evaluated whether the Earnout Shares represented a derivative instrument pursuant to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Company concluded that the Earnout Shares under the arrangement resulted in liability classification pursuant to ASC 815-40. The liability for such Earnout Shares will be remeasured at each reporting date with changes in the fair value recorded to earnings on the condensed consolidated statements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Legacy Blaize Redeemable Convertible Preferred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Prior to the consummation of the Merger, the Company had (i) Series Seed Shadow Preferred Stock, (ii) Series A Shadow Preferred Stock,</w:t>
      </w:r>
    </w:p>
    <w:p>
      <w:pPr>
        <w:spacing w:after="0" w:line="27" w:lineRule="exact"/>
        <w:rPr>
          <w:sz w:val="20"/>
          <w:szCs w:val="20"/>
          <w:color w:val="auto"/>
        </w:rPr>
      </w:pPr>
    </w:p>
    <w:p>
      <w:pPr>
        <w:ind w:left="120" w:hanging="4"/>
        <w:spacing w:after="0" w:line="252" w:lineRule="auto"/>
        <w:tabs>
          <w:tab w:leader="none" w:pos="43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Shadow B Shadow Preferred Stock, (iv) Series C Shadow Preferred Stock, (v) Series D Shadow Preferred Stock, (vi) Series D Exchange Shadow Preferred Stock, (vii) Series D-1 Shadow Preferred Stock, (viii) Series D-1 Exchange Shadow Preferred Stock, and (ix) Series D-2 Shadow Preferred Stock, all outstanding. The Company’s redeemable convertible preferred stock had been classified outside of stockholders’ equity (deficit), as mezzanine equity, due to the redemption option of the preferred stock shareholders. The Company recorded redeemable convertible preferred stock at fair value on the dates of issuance, net of issuance costs. The Company adjusted the carrying values of the redeemable convertible preferred stock, subsequent to the initial issuance date, to the redemption value of such shares because it was probable that the convertible preferred stock would become redeemable.</w:t>
      </w:r>
    </w:p>
    <w:p>
      <w:pPr>
        <w:spacing w:after="0" w:line="18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Upon the consummation of the Merger, all shares of redeemable convertible preferred stock outstanding were converted into shares of common stock (see Note 3). All shares of redeemable convertible preferred stock which were converted into shares of common stock were retroactively adjusted using the exchange ratio and reclassified into permanent equity as a result of the Merger.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00"/>
          </w:cols>
          <w:pgMar w:left="320" w:top="455" w:right="47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common stock subject to possible redemption in accordance with the guidance in ASC Topic 480 </w:t>
      </w:r>
      <w:r>
        <w:rPr>
          <w:rFonts w:ascii="Times New Roman" w:cs="Times New Roman" w:eastAsia="Times New Roman" w:hAnsi="Times New Roman"/>
          <w:sz w:val="18"/>
          <w:szCs w:val="18"/>
          <w:i w:val="1"/>
          <w:iCs w:val="1"/>
          <w:color w:val="auto"/>
        </w:rPr>
        <w:t>Distinguishing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Liabilities from Equity</w:t>
      </w:r>
      <w:r>
        <w:rPr>
          <w:rFonts w:ascii="Times New Roman" w:cs="Times New Roman" w:eastAsia="Times New Roman" w:hAnsi="Times New Roman"/>
          <w:sz w:val="18"/>
          <w:szCs w:val="18"/>
          <w:color w:val="auto"/>
        </w:rPr>
        <w:t>. Certain common stock is held in escrow pursuant to Non-Redemption Agreements and feature certain redemption rights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to be outside of the Company’s control and within the control of the holders (see Note 3). Accordingly, as of March 31, 2025, 2,854,242 shares of common stock are subject to possible redemption, and have been presented at redemption value as temporary equity, outside of the stockholders’ equity (deficit) section of the condensed consolidated balance sheet.</w:t>
      </w:r>
    </w:p>
    <w:p>
      <w:pPr>
        <w:spacing w:after="0" w:line="185"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as they occur by adjusting the carrying value of common stock subject to possible redemption to equal the redemption value as of the end of each reporting period. Changes in the carrying amount of redeemable common stock are affected by charges against additional paid-in capital and accumulated deficit.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ASC 480 and ASC 815, Derivatives and Hedging. The assessment considers whether the warrants are freestanding financial instruments pursuant to ASC 480, meet the definition of a liability pursuant to ASC 480, and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as well as each subsequent reporting period while the warrants are outstanding.</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 analyzed the warrants issued in BurTech’s Initial Public Offering (“Public Warrants”),warrants included in the Private Placement Units (the “Private Warrants”) and warrants issued to advisor for services (the “Common Stock Warrants”) and determined they are considered to be freestanding instruments and do not exhibit any of the characteristics in ASC 480 and therefore are not classified as liabilities under ASC 480. As of March 31, 2025, the Company’s outstanding public warrants and private warrants met all the requirements for equity classification under ASC 815 and therefore were classified as equity. As of December 31, 2024, Legacy Blaize warrants were classified as liabilities, as described above.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Company derives revenue from product sales, license and development arrangements, joint marketing arrangements and cloud services. The Company recognizes revenue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in which it determines revenue recognition through the following steps: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1: Identify the contract with the customer.</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80"/>
          </w:cols>
          <w:pgMar w:left="320" w:top="455" w:right="4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2: Identify the performance obligations in the contract.</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3: Determine the transaction price.</w:t>
      </w:r>
    </w:p>
    <w:p>
      <w:pPr>
        <w:spacing w:after="0" w:line="11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4: Allocate the transaction price to the performance obligations in the contract.</w:t>
      </w:r>
    </w:p>
    <w:p>
      <w:pPr>
        <w:spacing w:after="0" w:line="11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Contracts that contain multiple performance obligations require an allocation of the transaction price to each performance obligation based on each performance obligation’s relative standalone selling price (“SSP”).</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5: Recognize revenue when the company satisfies a performance obligation.</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the Company provides services over period of time. Hardware revenue is recognized at a point in time when the product is shipped. The Company generates all its revenue from contracts with customers.</w:t>
      </w:r>
    </w:p>
    <w:p>
      <w:pPr>
        <w:spacing w:after="0" w:line="180"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Revenue from hardware sales is recognized upon transfer of control of products to customers in an amount that reflects the consideration the Company expects to receive in exchange for the hardware. The Company offers unspecified upgrades and support on certain products, however, the related revenue has historically not been material.</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Company’s license and development arrangements entail revenue from the licensing of its intellectual property (“IP”) and also include nonrecurring engineering development services to configure the Company’s IP and hardware to a customer’s needs. For each contract, the Company considers the promise to deliver a license that grants the customer the right to use the IP, as well as any professional services provided under the contract, as distinct performance obligations. The Company recognizes licensing revenue from such arrangements over the term of the arrangements and recognizes professional services over time as the services are provided. The Company measures progress to completion based on actual costs incurred to date as a percentage of the estimated total cost required to complete the project.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 The following table is a rollforward of contract liabilities, which are included in accrued expenses and other current liabilities and other liabilities:</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2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vMerge w:val="continue"/>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— </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to deferred revenue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 recognized</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defers incremental costs of obtaining a customer contract and amortizes the deferred costs over the period that the related revenue is recognized. The Company had no material incremental costs to obtain customer contracts in any period presented.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elected to account for shipping and handling fees as fulfillment activities and not separate performance obligations.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Accordingly, these fees are reflected in revenue and the related fulfillment costs are accrued as cost of revenue as the related fulfillment costs incurred.</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offers a standard assurance-type warranty to customers for hardware sales.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U.S. and various foreign jurisdictions. The Company uses the asset-and-liability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is subject to tax audits in various jurisdictions. The Company regularly assess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The Company includes interest expense and penalties related to its uncertain tax positions in the provision for income taxes.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recognizes the cost of employee, non-employee consultants and non-employee directors’ services received in exchange for awards of stock options based on the fair value of those awards at the date of grant over the requisite service period. The fair value of stock options granted is determined using the Black-</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Scholes option-pricing model using various inputs, including Company estimates of expected stock price volatility, term, risk-free rate and future dividends. The Company has elected the simplified method to determine the expected term of the option grants.</w:t>
      </w:r>
    </w:p>
    <w:p>
      <w:pPr>
        <w:spacing w:after="0" w:line="162"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The Company also grants RSUs to employees and non-employee consultants, which vest upon the satisfaction of both a service-based condition and a liquidity event condition, as defined. The fair value of RSUs is determined based on the Company’s estimated fair value of common stock at the date of grant. Due to the Merger that occurred during the three months ended March 31, 2025, the Company recorded cumulative stock-based compensation using the accelerated attribution method for those RSUs for which the service condition has been satisfied prior to the Merger, and will record the remaining unrecognized stock-based compensation over the remainder of the requisite service period (see Note 13). The Company did not record any stock-based compensation expense associated with the RSUs during the three months ended March 31, 2024, as a liquidity event had not occurred during that period.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Forfeitures are recognized as they occur.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120" w:right="340" w:firstLine="440"/>
        <w:spacing w:after="0" w:line="256" w:lineRule="auto"/>
        <w:rPr>
          <w:sz w:val="20"/>
          <w:szCs w:val="20"/>
          <w:color w:val="auto"/>
        </w:rPr>
      </w:pPr>
      <w:r>
        <w:rPr>
          <w:rFonts w:ascii="Times New Roman" w:cs="Times New Roman" w:eastAsia="Times New Roman" w:hAnsi="Times New Roman"/>
          <w:sz w:val="18"/>
          <w:szCs w:val="18"/>
          <w:color w:val="auto"/>
        </w:rPr>
        <w:t>The Company determines fair value measurements used in its condensed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 (ii) an entity’s own assumptions about market participant assumptions developed based on the best information available in the circumstances (unobservable inputs). ASC 820, Fair Value Measurements, requires fair value measurements be classified and disclosed in one of the following pricing categories:</w:t>
      </w:r>
    </w:p>
    <w:p>
      <w:pPr>
        <w:sectPr>
          <w:pgSz w:w="11900" w:h="16838" w:orient="portrait"/>
          <w:cols w:equalWidth="0" w:num="1">
            <w:col w:w="11140"/>
          </w:cols>
          <w:pgMar w:left="320" w:top="455" w:right="439" w:bottom="1440" w:gutter="0" w:footer="0" w:header="0"/>
        </w:sectPr>
      </w:pP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i w:val="1"/>
          <w:iCs w:val="1"/>
          <w:color w:val="auto"/>
        </w:rPr>
        <w:t>Level</w:t>
      </w:r>
      <w:r>
        <w:rPr>
          <w:rFonts w:ascii="Times New Roman" w:cs="Times New Roman" w:eastAsia="Times New Roman" w:hAnsi="Times New Roman"/>
          <w:sz w:val="17"/>
          <w:szCs w:val="17"/>
          <w:color w:val="auto"/>
        </w:rPr>
        <w:t> 1:</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level consists of unadjusted quoted prices in active markets for identical assets or liabilities that the reporting entity can access at the measurement date.</w:t>
      </w:r>
    </w:p>
    <w:p>
      <w:pPr>
        <w:spacing w:after="0" w:line="52" w:lineRule="exact"/>
        <w:rPr>
          <w:sz w:val="20"/>
          <w:szCs w:val="20"/>
          <w:color w:val="auto"/>
        </w:rPr>
      </w:pPr>
    </w:p>
    <w:p>
      <w:pPr>
        <w:sectPr>
          <w:pgSz w:w="11900" w:h="16838" w:orient="portrait"/>
          <w:cols w:equalWidth="0" w:num="2">
            <w:col w:w="680" w:space="320"/>
            <w:col w:w="10140"/>
          </w:cols>
          <w:pgMar w:left="320" w:top="455"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i w:val="1"/>
          <w:iCs w:val="1"/>
          <w:color w:val="auto"/>
        </w:rPr>
        <w:t>Level 2:</w:t>
      </w:r>
    </w:p>
    <w:p>
      <w:pPr>
        <w:spacing w:after="0" w:line="20" w:lineRule="exact"/>
        <w:rPr>
          <w:sz w:val="20"/>
          <w:szCs w:val="20"/>
          <w:color w:val="auto"/>
        </w:rPr>
      </w:pPr>
      <w:r>
        <w:rPr>
          <w:sz w:val="20"/>
          <w:szCs w:val="20"/>
          <w:color w:val="auto"/>
        </w:rPr>
        <w:br w:type="column"/>
      </w:r>
    </w:p>
    <w:p>
      <w:pPr>
        <w:ind w:right="140"/>
        <w:spacing w:after="0" w:line="266" w:lineRule="auto"/>
        <w:rPr>
          <w:sz w:val="20"/>
          <w:szCs w:val="20"/>
          <w:color w:val="auto"/>
        </w:rPr>
      </w:pPr>
      <w:r>
        <w:rPr>
          <w:rFonts w:ascii="Times New Roman" w:cs="Times New Roman" w:eastAsia="Times New Roman" w:hAnsi="Times New Roman"/>
          <w:sz w:val="18"/>
          <w:szCs w:val="18"/>
          <w:color w:val="auto"/>
        </w:rPr>
        <w:t>This level consists of observable inputs other than the quoted prices included within Level 1, such as quoted prices for similar assets or liabilities in markets that are not active or for which all significant inputs are observable or can be corroborated by observable market data, either directly or indirectly, for substantially the full term of the asset or liability.</w:t>
      </w:r>
    </w:p>
    <w:p>
      <w:pPr>
        <w:spacing w:after="0" w:line="66" w:lineRule="exact"/>
        <w:rPr>
          <w:sz w:val="20"/>
          <w:szCs w:val="20"/>
          <w:color w:val="auto"/>
        </w:rPr>
      </w:pPr>
    </w:p>
    <w:p>
      <w:pPr>
        <w:sectPr>
          <w:pgSz w:w="11900" w:h="16838" w:orient="portrait"/>
          <w:cols w:equalWidth="0" w:num="2">
            <w:col w:w="700" w:space="300"/>
            <w:col w:w="10140"/>
          </w:cols>
          <w:pgMar w:left="320" w:top="455"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i w:val="1"/>
          <w:iCs w:val="1"/>
          <w:color w:val="auto"/>
        </w:rPr>
        <w:t>Level 3:</w:t>
      </w:r>
    </w:p>
    <w:p>
      <w:pPr>
        <w:spacing w:after="0" w:line="20" w:lineRule="exact"/>
        <w:rPr>
          <w:sz w:val="20"/>
          <w:szCs w:val="20"/>
          <w:color w:val="auto"/>
        </w:rPr>
      </w:pPr>
      <w:r>
        <w:rPr>
          <w:sz w:val="20"/>
          <w:szCs w:val="20"/>
          <w:color w:val="auto"/>
        </w:rPr>
        <w:br w:type="column"/>
      </w:r>
    </w:p>
    <w:p>
      <w:pPr>
        <w:ind w:right="60"/>
        <w:spacing w:after="0" w:line="266" w:lineRule="auto"/>
        <w:rPr>
          <w:sz w:val="20"/>
          <w:szCs w:val="20"/>
          <w:color w:val="auto"/>
        </w:rPr>
      </w:pPr>
      <w:r>
        <w:rPr>
          <w:rFonts w:ascii="Times New Roman" w:cs="Times New Roman" w:eastAsia="Times New Roman" w:hAnsi="Times New Roman"/>
          <w:sz w:val="18"/>
          <w:szCs w:val="18"/>
          <w:color w:val="auto"/>
        </w:rPr>
        <w:t>This level consists of unobservable inputs for the asset or liability to the extent that observable inputs are not available, thereby allowing for situations in which there is little or no market data for the asset or liability at the measurement date. This requires the reporting entity to develop its own assumptions that market participants would use in pricing the asset or liability.</w:t>
      </w:r>
    </w:p>
    <w:p>
      <w:pPr>
        <w:spacing w:after="0" w:line="176" w:lineRule="exact"/>
        <w:rPr>
          <w:sz w:val="20"/>
          <w:szCs w:val="20"/>
          <w:color w:val="auto"/>
        </w:rPr>
      </w:pPr>
    </w:p>
    <w:p>
      <w:pPr>
        <w:sectPr>
          <w:pgSz w:w="11900" w:h="16838" w:orient="portrait"/>
          <w:cols w:equalWidth="0" w:num="2">
            <w:col w:w="700" w:space="300"/>
            <w:col w:w="10140"/>
          </w:cols>
          <w:pgMar w:left="320" w:top="455" w:right="439" w:bottom="1440" w:gutter="0" w:footer="0" w:header="0"/>
          <w:type w:val="continuous"/>
        </w:sect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carrying amounts of cash, funds held in escrow, accounts receivable, prepaid expenses and other current assets, accounts payable, accrued loss on purchase commitments, working capital loans, and accrued expenses and other liabilities approximate their fair values due to their short-term maturities.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The Company’s reporting and functional currency is the United Stated dollar (“USD”). The local currencies of its foreign subsidiaries are the Indian rupee, British pound, or Philippine peso, however, the functional currency of its foreign subsidiaries is also the USD. Monetary assets and liabilities denominated in currencies other than USD are remeasured into USD at current exchange rates and nonmonetary assets and liabilities are measured at historical exchange rates. Revenues, cost of revenues, and operating expenses are remeasured at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40"/>
          </w:cols>
          <w:pgMar w:left="320" w:top="455" w:right="439" w:bottom="1440" w:gutter="0" w:footer="0" w:header="0"/>
          <w:type w:val="continuous"/>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average exchange rates in effect during each reporting period. The resulting transaction gains or losses are recognized in other income (expense), net, in the condensed consolidated statements of operations. During the three months ended March 31, 2025 and 2024, foreign currency transaction gains and losses were immaterial.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Company’s cash and cash equivalents are primarily on deposit at high-credit quality financial institutions or invested in U.S. Government treasury securities, mutual funds, and money market funds. The Company’s cash accounts in a financial institution may at times exceed the Federal Depository Insurance coverage of $250,000. Investments in money markets are not insured or guaranteed by the Federal Deposit Insurance Corporation or any other government agency.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is exposed to credit risk in the event of nonpayment by customers up to the amounts recorded on the consolidated balance sheets.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manages its accounts receivable credit risk through ongoing credit evaluation of its customers’ financial conditions.</w:t>
      </w:r>
    </w:p>
    <w:p>
      <w:pPr>
        <w:spacing w:after="0" w:line="20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2025, one customer accounted for approximately 95% of the Company’s accounts receivable. As of December 31, 2024, one customer accounted for approximately 98% of the Company’s accounts receivable.</w:t>
      </w:r>
    </w:p>
    <w:p>
      <w:pPr>
        <w:spacing w:after="0" w:line="162"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Historically, a relatively small number of customers have accounted for a significant portion of the Company’s revenue. For the three months ended March 31, 2025, one customer accounted for approximately 95% of the Company’s revenue. For the three months ended March 31, 2024, two customers, both related parties, accounted for approximately 61% and 39% of the Company’s revenue (see Note 15).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presented in conformity with the two-class method required for participating securities. The two-class method determines net income (loss) per share for each class of common and participating securities according to dividends declared or accumulated and participation rights in undistributed earnings. The two class method requires income (loss) available to common stockholders for the period to be allocated between common and participating securities based upon their respective rights to shares in undistributed earnings as if all income (loss) for the period had been distributed.</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 average number of common stock outstanding during the period, without consideration of potentially dilutive securities. Diluted net loss per share is computed by dividing the net loss attributable to common stockholders by the weighted average number of common stock and potentially dilutive securities outstanding for the period. For purposes of this calculation, stock options and warrants have been excluded from the calculation of diluted net loss per share attributable to common stockholders as their effect is anti-dilutive for all periods presented.</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the Merger has been accounted for as a reverse recapitalization, net loss per share was also retroactively adjusted for periods ended prior to the Merger.</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080"/>
          </w:cols>
          <w:pgMar w:left="320" w:top="455" w:right="4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Company operates in one reporting segment. Operating segments are defined as components of an enterprise about which separate financial information is evaluated regularly by the chief operating decision maker (“CODM”) in deciding how to allocate resources and assessing performance. The Company’s Chief Executive Officer is the CODM, who reviews financial information presented on a consolidated basis for the purposes of making operating decisions, allocating resources and evaluating financial performance.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Sale Restrictions</w:t>
      </w:r>
      <w:r>
        <w:rPr>
          <w:rFonts w:ascii="Times New Roman" w:cs="Times New Roman" w:eastAsia="Times New Roman" w:hAnsi="Times New Roman"/>
          <w:sz w:val="18"/>
          <w:szCs w:val="18"/>
          <w:color w:val="auto"/>
        </w:rPr>
        <w:t>. This ASU clarifies guidance in Topic 820 and introduces new disclosure requirements for equity securities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sale restrictions that are measured at fair value in accordance with Topic 820. The Company adopted this standard on January 1, 2025. The adoption of this standard did not have an impact on the condensed consolidated financial statements.</w:t>
      </w:r>
    </w:p>
    <w:p>
      <w:pPr>
        <w:spacing w:after="0" w:line="180" w:lineRule="exact"/>
        <w:rPr>
          <w:sz w:val="20"/>
          <w:szCs w:val="20"/>
          <w:color w:val="auto"/>
        </w:rPr>
      </w:pPr>
    </w:p>
    <w:p>
      <w:pPr>
        <w:jc w:val="both"/>
        <w:ind w:lef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This ASU enhances the transparency and decision usefulness of income tax disclosures. The Company is currently evaluating the impact that the adoption of this ASU will have on the condensed consolidated financial statements.</w:t>
      </w:r>
    </w:p>
    <w:p>
      <w:pPr>
        <w:spacing w:after="0" w:line="17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 – 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Convertible Debt Instruments. </w:t>
      </w:r>
      <w:r>
        <w:rPr>
          <w:rFonts w:ascii="Times New Roman" w:cs="Times New Roman" w:eastAsia="Times New Roman" w:hAnsi="Times New Roman"/>
          <w:sz w:val="18"/>
          <w:szCs w:val="18"/>
          <w:color w:val="auto"/>
        </w:rPr>
        <w:t>This ASU clarifies guidance on the requirements for determining whether certain settlements of convertible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should be accounted for as an induced conversion or extinguishment. This guidance is effective for Blaize beginning on January 1, 2026, and early adoption is permitted, although the Company does not plan to early adopt. The Company is currently evaluating the impact that the adoption of this ASU will have on the condensed consolidated financial statements.</w:t>
      </w:r>
    </w:p>
    <w:p>
      <w:pPr>
        <w:spacing w:after="0" w:line="183"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This ASU requires disaggregated disclosure of income statement expenses for public business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ASU does not change the expense captions an entity presents on the face of the income statement; rather, it requires disaggregation of certain expense captions into specified categories in disclosures within the notes to the condensed consolidated financial statements. This guidance is effective for Blaize beginning on January 1, 2027, and early adoption is permitted, although the Company does not plan to early adopt. The Company is currently evaluating the impact of the adoption of this standard.</w:t>
      </w:r>
    </w:p>
    <w:p>
      <w:pPr>
        <w:spacing w:after="0" w:line="184"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The Company does not believe that any other recently issued, not yet effective, accounting standards would have a material effect on the accompanying condensed consolidated financial statements, if adopted.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Merger and Reverse Recapitalization</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As discussed above, the Merger was consummated on January 13, 2025, which, for accounting purposes, was treated as the equivalent of Legacy Blaize issuing stock for the net assets of BurTech, accompanied by a recapitalization (see Note 1). Under this method of accounting, BurTech was treated as the acquired company for financial accounting and reporting purposes under U.S. GAAP.</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each share of Legacy Blaize common stock issued and outstanding was canceled and converted into the right to receive approximately 0.78 shares (the “Exchange Ratio”) of common stock of BurTech.</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00"/>
          </w:cols>
          <w:pgMar w:left="320" w:top="455" w:right="4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Legacy Blaize Redeemable Convertible Preferred Stock, Convertible Promissory Notes and Warrants</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of the Merger, all outstanding convertible notes, inclusive of accrued and unpaid interest, each of the issued and outstanding shares of redeemable convertible preferred stock, and all outstanding warrants, net exercised, were automatically converted into shares of common stock.</w:t>
      </w:r>
    </w:p>
    <w:p>
      <w:pPr>
        <w:spacing w:after="0" w:line="176"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Upon the consummation of the Merger, (i) each outstanding stock option to purchase Legacy Blaize common stock was converted into a stock option of the Company, upon substantially the same terms and conditions as in effect with respect to the corresponding Legacy Blaize option, and the right to receive a number of earnout shares. Additionally, each Legacy Blaize RSU was converted into an RSU of the Company, upon substantially the same terms and conditions as in effect with respect to the corresponding Legacy Blaize RSU, and the right to receive a number of earnout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Arrangements entered into at time of Merger or assumed upon the consummation of the Merger:</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Public and Private Placement Warrants</w:t>
      </w:r>
    </w:p>
    <w:p>
      <w:pPr>
        <w:spacing w:after="0" w:line="119" w:lineRule="exact"/>
        <w:rPr>
          <w:sz w:val="20"/>
          <w:szCs w:val="20"/>
          <w:color w:val="auto"/>
        </w:rPr>
      </w:pPr>
    </w:p>
    <w:p>
      <w:pPr>
        <w:jc w:val="both"/>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BurTech’s 28,750,000 public warrants and 898,250 private warrants, both outstanding immediately prior to the consummation of the Merger, became warrants of the Company.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PIPE Shares</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From December 31, 2024 through January 13, 2025, BurTech and certain other subscribers (collectively, the “Subscribers”) entered into subscription agreements under which BurTech agreed to issue and sell to the Subscribers, immediately before the Closing Date, collectively, 1,529,500 shares of Class A Stock (the “PIPE Shares”) at a price per share equal to $10.00. Such shares that were outstanding immediately prior to the Merger became shares of common stock.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Shareholder Note Receivable</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Upon the consummation of the Merger, BurTech LP issued a secured promissory note and pledge agreement (the “Shareholder Note”) to BurTech in the principal amount of $8,753,744 in exchange for 750,000 shares of common stock. The principal of the Shareholder Note will decrease when BurTech LP pays for transaction costs that the Company assumed from BurTech in the Merger. The Shareholder Note bears interest at 7.0%, compounding annually on December 31 of each year and is secured by 2,000,000 shares of the Company’s common stock owned by BurTech LP.</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Non-Redemption Agreements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December 31, 2024 and through January 13, 2025, BurTech, BurTech LP and Legacy Blaize entered into Non-Redemption Agreements with several unaffiliated stockholders of BurTech (each, an “Investor”) who agreed not to redeem (or validly rescind any redemption requests on) their shares of common stock (“Non-Redeemed Shares”). These Non-Redeemed Shares were exchanged for shares of the Company’s common stock and are held in a separate escrow account. In exchange for the foregoing commitments not to redeem the Non-Redeemed Shares, the Company and BurTech LP agreed to guarantee that each Investor receives a return of $1.50 per Non-Redeemed Share above the initial $11.57 per share (for a total redemption value of $13.07 per Non-Redeemed Share) held in the related cash escrow account if the Investor sells the Non-Redeemed Shares in the open market. The funds in the related cash escrow account are sufficient to fulfill the Company’s redemption obligation under the Non-Redemption Agreement. Starting 90 days after the Closing Date through 180 days after</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00"/>
          </w:cols>
          <w:pgMar w:left="320" w:top="455" w:right="47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Closing Date, each Investor has the right to exercise a put option to receive $13.07 per Non-Redeemed Share. The Sponsor, and not the Company, is contractually obligated for the $1.50 per share above the $11.57 held in cash escrow as it relates to the put option. Accordingly, the Company did not recognize a non-redemption liability as of the Closing Date or March 31, 2025.</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elements of the Merger to the condensed consolidated statement of cash flows and the condensed consolidated statement of stockholders’ equity (deficit) for the three months ended March 31, 2025:</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1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Recapitalization</w:t>
            </w:r>
          </w:p>
        </w:tc>
      </w:tr>
      <w:tr>
        <w:trPr>
          <w:trHeight w:val="209"/>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 BurTech trust and cash, net of redemptions</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37,259</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Less: Non-redemption escrow</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(33,061)</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 PIPE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15,295</w:t>
            </w:r>
          </w:p>
        </w:tc>
      </w:tr>
      <w:tr>
        <w:trPr>
          <w:trHeight w:val="223"/>
        </w:trPr>
        <w:tc>
          <w:tcPr>
            <w:tcW w:w="20" w:type="dxa"/>
            <w:vAlign w:val="bottom"/>
          </w:tcPr>
          <w:p>
            <w:pPr>
              <w:spacing w:after="0"/>
              <w:rPr>
                <w:sz w:val="19"/>
                <w:szCs w:val="19"/>
                <w:color w:val="auto"/>
              </w:rPr>
            </w:pPr>
          </w:p>
        </w:tc>
        <w:tc>
          <w:tcPr>
            <w:tcW w:w="6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Less: transaction costs and advisory paid by BurTech</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(3,619)</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proceeds from Merger</w:t>
            </w: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15,874</w:t>
            </w:r>
          </w:p>
        </w:tc>
        <w:tc>
          <w:tcPr>
            <w:tcW w:w="100" w:type="dxa"/>
            <w:vAlign w:val="bottom"/>
            <w:gridSpan w:val="2"/>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Earnout share liabilities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(126,025)</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net liabilities assumed from BurTech</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(16,013)</w:t>
            </w:r>
          </w:p>
        </w:tc>
      </w:tr>
      <w:tr>
        <w:trPr>
          <w:trHeight w:val="223"/>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Merger and PIPE financing</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(126,164</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following the consummation of the Merger:</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BurTech Class A common stock, outstanding prior to the Merger</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10,816,995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Sponsor forfeiture</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BurTech Class A common stock subject to redemption, outstanding prior to</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the Merger</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4,104,543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Shareholder Note receivable</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Redemption of BurTech Class A common stock</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(937,844)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BurTech Class A Shares in non-redemption escrow</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(2,854,242)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of BurTech</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9,879,452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PIPE shares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BurTech Class B common stock, outstanding prior to the Merger</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Merger and PIPE financing shares</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11,408,957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Legacy Blaize shares</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87,314,968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of common stock to advisors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94,949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immediately after the Merger</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98,818,874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vMerge w:val="restart"/>
          </w:tcPr>
          <w:p>
            <w:pPr>
              <w:ind w:left="3560"/>
              <w:spacing w:after="0"/>
              <w:rPr>
                <w:sz w:val="20"/>
                <w:szCs w:val="20"/>
                <w:color w:val="auto"/>
              </w:rPr>
            </w:pPr>
            <w:r>
              <w:rPr>
                <w:rFonts w:ascii="Times New Roman" w:cs="Times New Roman" w:eastAsia="Times New Roman" w:hAnsi="Times New Roman"/>
                <w:sz w:val="18"/>
                <w:szCs w:val="18"/>
                <w:color w:val="auto"/>
              </w:rPr>
              <w:t>F-19</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3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5" w:right="51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number of Legacy Blaize shares was determined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5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Legacy Blaize</w:t>
            </w: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Legacy Blaize</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 After</w:t>
            </w: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15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09"/>
        </w:trPr>
        <w:tc>
          <w:tcPr>
            <w:tcW w:w="56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17,518,791</w:t>
            </w:r>
          </w:p>
        </w:tc>
        <w:tc>
          <w:tcPr>
            <w:tcW w:w="4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13,663,527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Conversion of redeemable convertible preferred stock</w:t>
            </w: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44,506,781</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34,712,525</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Conversion of convertible notes</w:t>
            </w:r>
          </w:p>
        </w:tc>
        <w:tc>
          <w:tcPr>
            <w:tcW w:w="1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40,302,382</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31,433,259</w:t>
            </w: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exercise of warrants</w:t>
            </w: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9,623,432</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7,505,657</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immediately after the Merger</w:t>
            </w:r>
          </w:p>
        </w:tc>
        <w:tc>
          <w:tcPr>
            <w:tcW w:w="1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111,951,386</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87,314,968</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Earnout Arrangement with holders of Legacy Blaize Common Stock and outstanding equity awards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Legacy Blaize shareholders and outstanding equity award holders (including stock options and RSUs) are entitled to Earnout Shares in four tranches upon the occurrence of four separate Triggering Events (defined below) during the Earnout Period, which commences on January 13, 2025 and ends on January 13, 2030. The Triggering Events are driven by whether the Company’s closing share price on 20 trading days out of 30 consecutive trading days equals or exceeds defined per share thresholds in each tranche as follows:</w:t>
      </w:r>
    </w:p>
    <w:p>
      <w:pPr>
        <w:spacing w:after="0" w:line="85" w:lineRule="exact"/>
        <w:rPr>
          <w:sz w:val="20"/>
          <w:szCs w:val="20"/>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common stock price is greater than or equal to $12.50 per share, 3,750,000 Earnout Shares will be issued; and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common stock price is greater than or equal to $15.00 per share, an additional 3,750,000 Earnout Shares will be issued; and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common stock price is greater than or equal to $17.50 per share, an additional 3,750,000 Earnout Shares will be issued;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common stock price is greater than or equal to $20.00 per share, an additional 3,750,000 Earnout Shares will be issued</w:t>
      </w:r>
    </w:p>
    <w:p>
      <w:pPr>
        <w:spacing w:after="0" w:line="11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Company employees entitled to receive Earnout Shares with respect to Blaize options and RSUs, must provide service through the date the target is achieved and if an employee departs, the Earnout Shares are reallocated to the remaining pool of recipients who received the right to the Earnout Shares on the Closing Date.</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estimated fair value of the Earnout Shares subject to ASC 718 was $82.9 million, assuming the service conditions were met and assuming no forfeitures. The vested amounts of $3.5 million for the three months ended March 31, 2025 were recorded as stock-based compensation expense as it was probable the market condition would be met. There were 37,090 shares forfeited during the three months ended March 31, 2025, which have been reallocated to the remaining employees. The reallocated shares are considered a forfeiture of the original award and grant of a new award. The new awards have been remeasured upon grant and have an estimated fair value of $33 thousand. Each Triggering Event, as defined, is considered a market condition. The requisite service condition is the period of time it takes to achieve all four market conditions. As this is not explicitly stated in the earnout arrangement, the service period is implied from the expected period over which the shares are expected to achieve the market condition. Under this guidance, the award is measured at fair value at the grant (or issue) date using the Monte Carlo simulation model and expense is recognized over the derived service period of 5 years.</w:t>
      </w:r>
    </w:p>
    <w:p>
      <w:pPr>
        <w:spacing w:after="0" w:line="188"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Additionally, Burkhan has the right to receive up to an aggregate amount of 2,600,000 shares of Blaize Class A Common Stock, 650,000 following the occurrence of each triggering event stated above (the “Burkhan Earnout Shares”). The fair value of the Burkhan Earnout Shares are also valued using the Monte Carlo simulation model.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00"/>
          </w:cols>
          <w:pgMar w:left="320" w:top="455" w:right="47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Revenue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Company’s revenue information by customer geographical region:</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left="19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72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 Pacific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provides a disaggregation of revenue based on the method of revenue recognition:</w:t>
            </w: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left="19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72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Company’s financial assets and liabilities measured at fair value on a recurring basis aggregated by the level in the fair value hierarchy</w:t>
      </w:r>
      <w:r>
        <w:rPr>
          <w:rFonts w:ascii="Times New Roman" w:cs="Times New Roman" w:eastAsia="Times New Roman" w:hAnsi="Times New Roman"/>
          <w:sz w:val="18"/>
          <w:szCs w:val="18"/>
          <w:b w:val="1"/>
          <w:bCs w:val="1"/>
          <w:color w:val="auto"/>
        </w:rPr>
        <w:t>:</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2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20" w:type="dxa"/>
            <w:vAlign w:val="bottom"/>
            <w:gridSpan w:val="2"/>
            <w:vMerge w:val="continue"/>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4"/>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460" w:type="dxa"/>
            <w:vAlign w:val="bottom"/>
          </w:tcPr>
          <w:p>
            <w:pPr>
              <w:spacing w:after="0"/>
              <w:rPr>
                <w:sz w:val="12"/>
                <w:szCs w:val="12"/>
                <w:color w:val="auto"/>
              </w:rPr>
            </w:pPr>
          </w:p>
        </w:tc>
        <w:tc>
          <w:tcPr>
            <w:tcW w:w="720" w:type="dxa"/>
            <w:vAlign w:val="bottom"/>
            <w:gridSpan w:val="4"/>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3320" w:type="dxa"/>
            <w:vAlign w:val="bottom"/>
            <w:gridSpan w:val="6"/>
          </w:tcPr>
          <w:p>
            <w:pPr>
              <w:ind w:left="2580"/>
              <w:spacing w:after="0"/>
              <w:rPr>
                <w:sz w:val="20"/>
                <w:szCs w:val="20"/>
                <w:color w:val="auto"/>
              </w:rPr>
            </w:pPr>
            <w:r>
              <w:rPr>
                <w:rFonts w:ascii="Times New Roman" w:cs="Times New Roman" w:eastAsia="Times New Roman" w:hAnsi="Times New Roman"/>
                <w:sz w:val="18"/>
                <w:szCs w:val="18"/>
                <w:color w:val="auto"/>
              </w:rPr>
              <w:t>$30,883</w:t>
            </w:r>
          </w:p>
        </w:tc>
        <w:tc>
          <w:tcPr>
            <w:tcW w:w="20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30,883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money market funds</w:t>
            </w:r>
          </w:p>
        </w:tc>
        <w:tc>
          <w:tcPr>
            <w:tcW w:w="2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Mutual funds</w:t>
            </w:r>
          </w:p>
        </w:tc>
        <w:tc>
          <w:tcPr>
            <w:tcW w:w="2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320" w:type="dxa"/>
            <w:vAlign w:val="bottom"/>
            <w:gridSpan w:val="6"/>
            <w:shd w:val="clear" w:color="auto" w:fill="CCEEFF"/>
          </w:tcPr>
          <w:p>
            <w:pPr>
              <w:ind w:left="25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41,339</w:t>
            </w: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 </w:t>
            </w:r>
          </w:p>
        </w:tc>
        <w:tc>
          <w:tcPr>
            <w:tcW w:w="5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xml:space="preserve">—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41,339</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gridSpan w:val="2"/>
            <w:vMerge w:val="continue"/>
          </w:tcPr>
          <w:p>
            <w:pPr>
              <w:spacing w:after="0"/>
              <w:rPr>
                <w:sz w:val="18"/>
                <w:szCs w:val="18"/>
                <w:color w:val="auto"/>
              </w:rPr>
            </w:pP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Earnout share liabilities</w:t>
            </w:r>
          </w:p>
        </w:tc>
        <w:tc>
          <w:tcPr>
            <w:tcW w:w="2720" w:type="dxa"/>
            <w:vAlign w:val="bottom"/>
            <w:gridSpan w:val="3"/>
            <w:shd w:val="clear" w:color="auto" w:fill="CCEEFF"/>
          </w:tcPr>
          <w:p>
            <w:pPr>
              <w:ind w:left="25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 </w:t>
            </w:r>
          </w:p>
        </w:tc>
        <w:tc>
          <w:tcPr>
            <w:tcW w:w="1180" w:type="dxa"/>
            <w:vAlign w:val="bottom"/>
            <w:gridSpan w:val="5"/>
            <w:shd w:val="clear" w:color="auto" w:fill="CCEEFF"/>
          </w:tcPr>
          <w:p>
            <w:pPr>
              <w:ind w:left="4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9,507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9,507</w:t>
            </w: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 </w:t>
            </w:r>
          </w:p>
        </w:tc>
        <w:tc>
          <w:tcPr>
            <w:tcW w:w="460" w:type="dxa"/>
            <w:vAlign w:val="bottom"/>
          </w:tcPr>
          <w:p>
            <w:pPr>
              <w:spacing w:after="0"/>
              <w:rPr>
                <w:sz w:val="19"/>
                <w:szCs w:val="19"/>
                <w:color w:val="auto"/>
              </w:rPr>
            </w:pPr>
          </w:p>
        </w:tc>
        <w:tc>
          <w:tcPr>
            <w:tcW w:w="50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9,507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2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9"/>
          </w:tcPr>
          <w:p>
            <w:pPr>
              <w:ind w:left="1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20" w:type="dxa"/>
            <w:vAlign w:val="bottom"/>
            <w:gridSpan w:val="2"/>
            <w:vMerge w:val="continue"/>
          </w:tcPr>
          <w:p>
            <w:pPr>
              <w:spacing w:after="0"/>
              <w:rPr>
                <w:sz w:val="12"/>
                <w:szCs w:val="12"/>
                <w:color w:val="auto"/>
              </w:rPr>
            </w:pPr>
          </w:p>
        </w:tc>
        <w:tc>
          <w:tcPr>
            <w:tcW w:w="2400" w:type="dxa"/>
            <w:vAlign w:val="bottom"/>
          </w:tcPr>
          <w:p>
            <w:pPr>
              <w:spacing w:after="0"/>
              <w:rPr>
                <w:sz w:val="12"/>
                <w:szCs w:val="12"/>
                <w:color w:val="auto"/>
              </w:rPr>
            </w:pPr>
          </w:p>
        </w:tc>
        <w:tc>
          <w:tcPr>
            <w:tcW w:w="920" w:type="dxa"/>
            <w:vAlign w:val="bottom"/>
            <w:gridSpan w:val="5"/>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54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460" w:type="dxa"/>
            <w:vAlign w:val="bottom"/>
          </w:tcPr>
          <w:p>
            <w:pPr>
              <w:spacing w:after="0"/>
              <w:rPr>
                <w:sz w:val="12"/>
                <w:szCs w:val="12"/>
                <w:color w:val="auto"/>
              </w:rPr>
            </w:pPr>
          </w:p>
        </w:tc>
        <w:tc>
          <w:tcPr>
            <w:tcW w:w="72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3180" w:type="dxa"/>
            <w:vAlign w:val="bottom"/>
            <w:gridSpan w:val="5"/>
          </w:tcPr>
          <w:p>
            <w:pPr>
              <w:jc w:val="center"/>
              <w:ind w:left="2110"/>
              <w:spacing w:after="0"/>
              <w:rPr>
                <w:sz w:val="20"/>
                <w:szCs w:val="20"/>
                <w:color w:val="auto"/>
              </w:rPr>
            </w:pPr>
            <w:r>
              <w:rPr>
                <w:rFonts w:ascii="Times New Roman" w:cs="Times New Roman" w:eastAsia="Times New Roman" w:hAnsi="Times New Roman"/>
                <w:sz w:val="18"/>
                <w:szCs w:val="18"/>
                <w:color w:val="auto"/>
                <w:w w:val="99"/>
              </w:rPr>
              <w:t>$30,580</w:t>
            </w:r>
          </w:p>
        </w:tc>
        <w:tc>
          <w:tcPr>
            <w:tcW w:w="140" w:type="dxa"/>
            <w:vAlign w:val="bottom"/>
          </w:tcPr>
          <w:p>
            <w:pPr>
              <w:spacing w:after="0"/>
              <w:rPr>
                <w:sz w:val="18"/>
                <w:szCs w:val="18"/>
                <w:color w:val="auto"/>
              </w:rPr>
            </w:pPr>
          </w:p>
        </w:tc>
        <w:tc>
          <w:tcPr>
            <w:tcW w:w="7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 — </w:t>
            </w:r>
          </w:p>
        </w:tc>
        <w:tc>
          <w:tcPr>
            <w:tcW w:w="118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 — 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30,580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money market funds</w:t>
            </w:r>
          </w:p>
        </w:tc>
        <w:tc>
          <w:tcPr>
            <w:tcW w:w="3180" w:type="dxa"/>
            <w:vAlign w:val="bottom"/>
            <w:gridSpan w:val="5"/>
            <w:shd w:val="clear" w:color="auto" w:fill="CCEEFF"/>
          </w:tcPr>
          <w:p>
            <w:pPr>
              <w:ind w:left="2580"/>
              <w:spacing w:after="0"/>
              <w:rPr>
                <w:sz w:val="20"/>
                <w:szCs w:val="20"/>
                <w:color w:val="auto"/>
              </w:rPr>
            </w:pPr>
            <w:r>
              <w:rPr>
                <w:rFonts w:ascii="Times New Roman" w:cs="Times New Roman" w:eastAsia="Times New Roman" w:hAnsi="Times New Roman"/>
                <w:sz w:val="18"/>
                <w:szCs w:val="18"/>
                <w:color w:val="auto"/>
              </w:rPr>
              <w:t>9,247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81"/>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Mutual funds</w:t>
            </w:r>
          </w:p>
        </w:tc>
        <w:tc>
          <w:tcPr>
            <w:tcW w:w="2400" w:type="dxa"/>
            <w:vAlign w:val="bottom"/>
          </w:tcPr>
          <w:p>
            <w:pPr>
              <w:spacing w:after="0"/>
              <w:rPr>
                <w:sz w:val="18"/>
                <w:szCs w:val="18"/>
                <w:color w:val="auto"/>
              </w:rPr>
            </w:pPr>
          </w:p>
        </w:tc>
        <w:tc>
          <w:tcPr>
            <w:tcW w:w="7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5,067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w w:val="81"/>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180" w:type="dxa"/>
            <w:vAlign w:val="bottom"/>
            <w:gridSpan w:val="5"/>
            <w:shd w:val="clear" w:color="auto" w:fill="CCEEFF"/>
          </w:tcPr>
          <w:p>
            <w:pPr>
              <w:jc w:val="center"/>
              <w:ind w:left="211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44,894</w:t>
            </w:r>
          </w:p>
        </w:tc>
        <w:tc>
          <w:tcPr>
            <w:tcW w:w="1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 — </w:t>
            </w:r>
          </w:p>
        </w:tc>
        <w:tc>
          <w:tcPr>
            <w:tcW w:w="1180" w:type="dxa"/>
            <w:vAlign w:val="bottom"/>
            <w:gridSpan w:val="5"/>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xml:space="preserve">$ —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44,894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7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F-21</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55" w:right="67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8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20" w:type="dxa"/>
            <w:vAlign w:val="bottom"/>
            <w:gridSpan w:val="2"/>
            <w:vMerge w:val="continue"/>
          </w:tcPr>
          <w:p>
            <w:pPr>
              <w:spacing w:after="0"/>
              <w:rPr>
                <w:sz w:val="12"/>
                <w:szCs w:val="12"/>
                <w:color w:val="auto"/>
              </w:rPr>
            </w:pPr>
          </w:p>
        </w:tc>
        <w:tc>
          <w:tcPr>
            <w:tcW w:w="1840" w:type="dxa"/>
            <w:vAlign w:val="bottom"/>
          </w:tcPr>
          <w:p>
            <w:pPr>
              <w:spacing w:after="0"/>
              <w:rPr>
                <w:sz w:val="12"/>
                <w:szCs w:val="12"/>
                <w:color w:val="auto"/>
              </w:rPr>
            </w:pPr>
          </w:p>
        </w:tc>
        <w:tc>
          <w:tcPr>
            <w:tcW w:w="4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440" w:type="dxa"/>
            <w:vAlign w:val="bottom"/>
          </w:tcPr>
          <w:p>
            <w:pPr>
              <w:spacing w:after="0"/>
              <w:rPr>
                <w:sz w:val="12"/>
                <w:szCs w:val="12"/>
                <w:color w:val="auto"/>
              </w:rPr>
            </w:pPr>
          </w:p>
        </w:tc>
        <w:tc>
          <w:tcPr>
            <w:tcW w:w="4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w:t>
            </w:r>
          </w:p>
        </w:tc>
        <w:tc>
          <w:tcPr>
            <w:tcW w:w="2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3</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Pay-to-Play convertible notes</w:t>
            </w:r>
          </w:p>
        </w:tc>
        <w:tc>
          <w:tcPr>
            <w:tcW w:w="196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15,942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2023 convertible notes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5"/>
              </w:rPr>
              <w:t>132,687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132,687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Warrant liabilities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14,711</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96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5"/>
              </w:rPr>
              <w:t>163,340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163,340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Level 1 instruments consisted of U.S. Government treasury securities, U.S. Government money market funds, and mutual funds because they were valued using quoted prices in active markets and can be redeemed on any business days with an intermediary.</w:t>
      </w:r>
    </w:p>
    <w:p>
      <w:pPr>
        <w:spacing w:after="0" w:line="162"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Level 3 instruments consisted of earnout share liabilities. The Company has elected to apply the fair value option to measure all historical convertible notes and warrant liabilities (see Notes 8 and 9) and current earnout shares due to the nature of their embedded features.</w:t>
      </w:r>
    </w:p>
    <w:p>
      <w:pPr>
        <w:spacing w:after="0" w:line="16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Changes in the fair value measurement of Level 3 liabilities related to unrealized gains (losses) resulting from remeasurement of our outstanding historical convertible notes and warrant liabilities (see Notes 8 and 9) and current earnout shares. The respective changes for remeasurement are reflected in the change in fair value of convertible notes, change in fair value of warrant liabilities and change in fair value of the earnout liabilities in the condensed consolidated statements of operations.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changes in the fair values of the Level 3 liabilities were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Pay-to-Play</w:t>
            </w:r>
          </w:p>
        </w:tc>
        <w:tc>
          <w:tcPr>
            <w:tcW w:w="12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2023 Convertible</w:t>
            </w:r>
          </w:p>
        </w:tc>
        <w:tc>
          <w:tcPr>
            <w:tcW w:w="8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0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Earnout share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640" w:type="dxa"/>
            <w:vAlign w:val="bottom"/>
            <w:vMerge w:val="continue"/>
          </w:tcPr>
          <w:p>
            <w:pPr>
              <w:spacing w:after="0"/>
              <w:rPr>
                <w:sz w:val="15"/>
                <w:szCs w:val="15"/>
                <w:color w:val="auto"/>
              </w:rPr>
            </w:pPr>
          </w:p>
        </w:tc>
        <w:tc>
          <w:tcPr>
            <w:tcW w:w="13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Convertible Notes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6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5"/>
                <w:szCs w:val="15"/>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132,687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$ 14,711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$ 163,340</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earnout share awards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126,025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27,232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138,471</w:t>
            </w: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60,345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(116,518)</w:t>
            </w:r>
          </w:p>
        </w:tc>
        <w:tc>
          <w:tcPr>
            <w:tcW w:w="1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109,530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Conversion to common stock</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(43,174)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(271,158)</w:t>
            </w:r>
          </w:p>
        </w:tc>
        <w:tc>
          <w:tcPr>
            <w:tcW w:w="80" w:type="dxa"/>
            <w:vAlign w:val="bottom"/>
          </w:tcPr>
          <w:p>
            <w:pPr>
              <w:spacing w:after="0"/>
              <w:rPr>
                <w:sz w:val="18"/>
                <w:szCs w:val="18"/>
                <w:color w:val="auto"/>
              </w:rPr>
            </w:pPr>
          </w:p>
        </w:tc>
        <w:tc>
          <w:tcPr>
            <w:tcW w:w="8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(75,056)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(389,388)</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gridSpan w:val="3"/>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Pay-to-Play</w:t>
            </w:r>
          </w:p>
        </w:tc>
        <w:tc>
          <w:tcPr>
            <w:tcW w:w="120" w:type="dxa"/>
            <w:vAlign w:val="bottom"/>
          </w:tcPr>
          <w:p>
            <w:pPr>
              <w:spacing w:after="0"/>
              <w:rPr>
                <w:sz w:val="24"/>
                <w:szCs w:val="24"/>
                <w:color w:val="auto"/>
              </w:rPr>
            </w:pPr>
          </w:p>
        </w:tc>
        <w:tc>
          <w:tcPr>
            <w:tcW w:w="11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2023 Convertible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8"/>
              </w:rPr>
              <w:t>Warrant</w:t>
            </w:r>
          </w:p>
        </w:tc>
        <w:tc>
          <w:tcPr>
            <w:tcW w:w="10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Earnout share</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Convertible Notes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0" w:type="dxa"/>
            <w:vAlign w:val="bottom"/>
          </w:tcPr>
          <w:p>
            <w:pPr>
              <w:spacing w:after="0"/>
              <w:rPr>
                <w:sz w:val="15"/>
                <w:szCs w:val="15"/>
                <w:color w:val="auto"/>
              </w:rPr>
            </w:pPr>
          </w:p>
        </w:tc>
        <w:tc>
          <w:tcPr>
            <w:tcW w:w="7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  3,730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2023 convertible notes and related warrants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10,591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11,500</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8,166</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  33,398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56,101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Company’s convertible notes and related warrants outstanding as of December 31, 2024 were classified within level 3 of the fair value hierarchy because there was no active market for the liabilities or similar instruments.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40"/>
          </w:cols>
          <w:pgMar w:left="320" w:top="455" w:right="4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of the fair value hierarchy during the three months ended March 31, 2025 or 2024.</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all then outstanding convertible notes and warrant liabilities were converted into shares of common stock (see Note 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Inventories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20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508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Work in progress</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761</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2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is subject to United States federal and state taxes as well as other foreign income taxes.</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recorded a provision for income taxes of $0.2 million, which represented an effective tax rate of (0.1)% and (1.4)%, respectively. The effective income tax rates for both the three months ended March 31, 2025 and 2024 are different from the U.S. federal statutory rate of 21.0% due to the valuation allowance.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Convertible Notes and Demand Notes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Pay-to-Play Convertible Notes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December 2022, in connection with the Company’s 2022 Pay-to-Play (“P2P”) transaction (the “P2P Transaction”), the Company entered into a Note Purchase and Exchange Agreement (“2022 P2P NPA”) with a group of lenders (each, a “Lender” and collectively, the “Lenders”). In January and February of 2023, the Company received $9.3 million in proceeds from the issuance of P2P Notes. Amounts received in 2022 and 2023 are referred to collectively as the “P2P Notes” (see Note 15). Pursuant to the 2022 P2P NPA, each Lender will pay the Company an agreed upon amount (“Consideration”) in return for one or more promissory notes. The P2P Notes had an initial 24-month term from the date of the 2022 P2P NPA which is December 9, 2024.</w:t>
      </w:r>
    </w:p>
    <w:p>
      <w:pPr>
        <w:spacing w:after="0" w:line="18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2022 P2P NPA provided that the P2P Notes would be converted upon the consummation of the Merger and that, at such time, all outstanding principal and unpaid accrued interest due on the P2P Notes shall be converted into common stock.</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elected to measure the P2P Notes in their entirety, for the respective period issued, at fair value with changes in fair value reported in a single line in the condensed consolidated statements of operations. The notes were fair valued using a scenario-based method, considering varying levels of participation and four future event scenarios: Next Equity Financing, Maturity Conversion, Corporate Transaction, and Default. The conversion payout was calculated for each assumed event scenario, with probabilities estimated by management. The payout of the P2P Notes under each event scenario were discounted back to the valuation date using a</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discount rate aligned with the Company’s credit rating and the weighted average present value of each scenario used for the fair value of the P2P Notes. Upfront costs and fees related to items for which the fair value option is elected must be recognized immediately. As such issuance costs (warrants) and fees associated with the convertible notes were recognized in current earnings.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terms of the 2022 P2P NPA, any existing investor that purchased any P2P Note, received the right to exchange the common stock held following the November 30, 2022 conversion event, for a number of shares of shadow preferred stock mirroring the respective classes of preferred stock held prior to the conversion (the “Pull-Through Exchange”), however, all Senior Series D shareholders received an automatic pull-through of their converted common stock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purchases P2P Notes representing less than its pro rata portion of the Insider Amount, such investors converted common stock remain as converted common stock for that portion equal to the shortfall in its pro-rata contribution. Additionally, investors in the P2P Notes also received warrants (the “P2P Warrants”) whose total exercise price is determined based on the timing of investment as well as the level of investor participation vis-à-vis each investor’s designated pro-rata portion.</w:t>
      </w:r>
    </w:p>
    <w:p>
      <w:pPr>
        <w:spacing w:after="0" w:line="188"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In November 2023, the Company entered into an Exchange Agreement with eligible common shareholders, as defined, whereby, each participating eligible common shareholder received a P2P Note, subject to the same terms as existing P2P Notes with the exception that the P2P Notes issued to these common shareholders did not include the right to receive P2P Warrants. Proceeds received under the Offering totaled $0.1 million.</w:t>
      </w:r>
    </w:p>
    <w:p>
      <w:pPr>
        <w:spacing w:after="0" w:line="158"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as provided by the terms of the P2P notes, the outstanding P2P Notes were converted, at the discretion of the holders, to shares of common stock (see Note 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2023 Convertible Notes</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From July 2023 through November 2023, the Company raised $12.3 million in convertible notes (the “2023 Convertible Notes”) under the note purchase agreement dated July 3, 2023, as amended on August 1, 2023 to refine the valuation cap definition (the “2023 NPA”). The 2023 Convertible Notes accrued interest at 10.0% per annum.</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Company received $110.7 million in additional proceeds from the issuance of 10% secured convertible notes under the 2023 NPA. The 2023 NPA was amended and restated on April 22, 2024 to accommodate a new group of lenders, the “Final Closing Lenders”, defined as any lender who purchases a related convertible note on or after April 22, 2024. The conversion price upon a SPAC Transaction for a Final Closing Lender is defined as a price per share that would entitle the Final Closing Lender to receive a number of BurTech Class A common stock equal to the outstanding principal and accrued interest divided by five. In addition, the per share exercise price of the related 2023 Convertible Note Warrants upon a SPAC Transaction was amended to $11.50.</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the April 22, 2024 amendment, the convertible notes were subject to automatic conversion upon the consummation of a SPAC Transaction.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Investors in these secured convertible notes also received warrants to purchase equity shares of the Company.</w:t>
      </w:r>
    </w:p>
    <w:p>
      <w:pPr>
        <w:spacing w:after="0" w:line="207"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Of the $110.7 million in proceeds received during the year ended December 31, 2024, $11.5 million was received from BurTech (see Note 1), $2.4 million from miscellaneous parties, and $96.8 million from a separate third-party group of investors (the “RT Parties”) in connection with an agreement to provide convertible note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00"/>
          </w:cols>
          <w:pgMar w:left="320" w:top="455" w:right="47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financing of up to $125.0 million (the “Blaize Note Financing Agreement”). Under this separate agreement, the RT Parties and their transferees or distributes were not required to execute any lock-up or similar agreement restricting transfer or disposition of all shares of common stock of Blaize issuable upon the conversion of the notes, all Company shares issuable upon the exercise of warrants issued to the RT Parties as well as all securities of New Blaize to be issued to the RT Parties upon consummation of the Merger.</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Company elected to measure the 2023 Convertible Notes in their entirety at fair value with changes in fair value reported in a single line in the condensed consolidated statements of operations. The 2023 Convertible Notes were fair valued using a scenario-based method, considering five future event scenarios: Next Equity Financing, Maturity Conversion, SPAC Conversion, Corporate Transaction, and Default. The conversion payout was calculated for each assumed event scenario, with probabilities estimated by management. The payout of the 2023 Convertible Notes under each event scenario were discounted back to the valuation date using a discount rate aligned with the Company’s credit rating and the weighted average present value of each scenario used for the fair value of the 2023 Convertible Notes.</w:t>
      </w:r>
    </w:p>
    <w:p>
      <w:pPr>
        <w:spacing w:after="0" w:line="187"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Upfront costs and fees related to items for which the fair value option is elected must be recognized immediately. As such issuance costs (warrants) and fees associated with the convertible notes were recognized in earnings in the years that they were issued.</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One investor who purchased a 2023 Convertible Note also received an RSU grant for a total of 6,000,000 RSUs (see Note 15) which vested in full in the year ended December 31, 2023.</w:t>
      </w:r>
    </w:p>
    <w:p>
      <w:pPr>
        <w:spacing w:after="0" w:line="162"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Upon the consummation of the Merger, as provided by the terms of the 2023 Convertible Note Agreement, the outstanding 2023 Convertible Notes were converted, at the discretion of the holders, to shares of common stock (see Note 3). The warrants issued in conjunction with the 2023 Convertible Notes were not exercised.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Loan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February 1, 2023, BurTech issued an unsecured convertible promissory note to BurTech LP (the “Working Capital Loan”), pursuant to which it borrowed $1.5 million for general corporate purposes. Such loan may, at BurTech LP’s discretion, be converted into shares of common stock, the number of shares of which will be determined by dividing the sum of the outstanding principal amount by $10.00. The Working Capital Loan will not bear interest and will be repayable, if not converted or repaid on the effective date of the Merger. The maturity date of the Working Capital Loan may be accelerated upon the occurrence of an event of default (as defined under the Working Capital Loan). As of March 31, 2025 and December 31, 2024, the Company had outstanding Working Capital Loans of $1.5 million and zero, respectively.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Advances from Related Party</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As of January 13, 2025, BurTech LP provided working capital and extension deposits on behalf of the BurTech. These amounts are reflected on the condensed consolidated balance sheets as advances from related party. The advances are non-interest bearing and payable on demand. As of March 31, 2025 and December 31, 2024, the Company had outstanding advances from the related party in the amount of $2.9 million and zero,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Warrants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Legacy Blaize Warrant Liabilities</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Company’s various historical debt and equity financing arrangements, the Company issued convertible preferred stock warrants to purchase shares of its various series of convertible preferred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40"/>
          </w:cols>
          <w:pgMar w:left="320" w:top="455" w:right="4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convertible preferred stock warrants were classified as liabilities, with changes in fair value recorded through earnings, as the underlying convertible preferred shares can be redeemed by the holders of these shares upon the occurrence of certain events that are outside of our control. As of December 31, 2024, the Company had outstanding warrant liabilities of $14.7 million.</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Immediately prior to the consummation of the Merger, each issued and outstanding convertible preferred stock warrant to purchase Legacy Blaize convertible preferred stock converted into a warrant to purchase shares of common stock (see Note 3), with each warrant subject to the same terms and conditions as were applicable to the original warrant and having an exercise price and number of shares of common stock purchasable based on the Exchange Ratio and other terms contained in the Merger Agreement (the “Private Warrants Conversion”).</w:t>
      </w:r>
    </w:p>
    <w:p>
      <w:pPr>
        <w:spacing w:after="0" w:line="180"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After the Private Warrants Conversion, the Private Warrants are indexed to the shares of Company’s common stock, and therefore were reclassified from debt classified instruments to equity classified instruments.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Publicly and Privately Traded Warrants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BurTech’s 28,750,000 public warrants and 898,250 private warrants outstanding immediately prior to the Merger became warrants of Blaize.</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Each warrant entitles the holder to purchase one share of common stock at a price of $11.50 per share, subject to adjustments as described herein. The warrants expire at 5:00 p.m., New York City time on the warrant expiration date, which is five years after the completion of the Merger, or earlier upon redemption or liquidation.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may redeem the outstanding warrants:</w:t>
      </w:r>
    </w:p>
    <w:p>
      <w:pPr>
        <w:spacing w:after="0" w:line="131" w:lineRule="exact"/>
        <w:rPr>
          <w:sz w:val="20"/>
          <w:szCs w:val="20"/>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given after the warrants become exercisable (the “30-day redemption period”) to each warrant holder;</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1"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and the like) for any 20 trading days within a 30-trading day period commencing once the warrants become exercisable and ending three business days before the Company sends the notice of redemption to the warrant holders;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as described below, by (y) the fair market value. The “fair market value” shall mean the average reported last sale price of the shares of common stock for the five trading days ending on the third trading day prior to the date on which the notice of redemption is sent to the holders of warrants.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00"/>
          </w:cols>
          <w:pgMar w:left="320" w:top="455" w:right="47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Private Warrants, as well as any warrants underlying additional units we issue to BurTech, officers, directors, initial stockholders or their affiliates in payment of working capital loans made to the Company, will be identical to the warrants underlying the units offered in the initial public offering, except were will not be transferable, assignable or saleable until 30 days after the consummation of the Merger.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In February 2025, the Company issued 50,000 common stock warrants to advisors as compensation for services rendered. The warrants have a five-year term and a strike price of $11.50 per common stock share. The warrants were fair valued as of the date of issuance and recognized as an increase in additional paid-in-capital. The compensation expense recognized during the three months ended March 31, 2025 was approximately $12 thousand.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assumptions used in the Black-Scholes option pricing model to fair value the common stock warrants were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464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200" w:type="dxa"/>
            <w:vAlign w:val="bottom"/>
            <w:tcBorders>
              <w:bottom w:val="single" w:sz="8" w:color="CCEEFF"/>
            </w:tcBorders>
          </w:tcPr>
          <w:p>
            <w:pPr>
              <w:spacing w:after="0"/>
              <w:rPr>
                <w:sz w:val="15"/>
                <w:szCs w:val="15"/>
                <w:color w:val="auto"/>
              </w:rPr>
            </w:pPr>
          </w:p>
        </w:tc>
      </w:tr>
      <w:tr>
        <w:trPr>
          <w:trHeight w:val="21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of common stock</w:t>
            </w:r>
          </w:p>
        </w:tc>
        <w:tc>
          <w:tcPr>
            <w:tcW w:w="188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3.34</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Company’s lease obligations primarily consist of operating leases for its headquarters complex, and domestic and international office facilities, with lease periods expiring between fiscal years 2026 and 2029, some of which include options to extend up to 12 months. The Company does not have any leases that include residual value guarantees.</w:t>
      </w:r>
    </w:p>
    <w:p>
      <w:pPr>
        <w:spacing w:after="0" w:line="176"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Payments under the lease arrangements are primarily fixed, however, certain lease agreements contain variable payments, which are expensed as incurred and not included in the operating lease assets and liabilities. These amounts include variable payments for maintenance services, utilities, and other expenses.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the net lease cost reflected in the Company’s condensed consolidated statements of operations were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4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8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Short-term</w:t>
            </w: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of March 31, 2025, the Company’s operating leases had a weighted average remaining lease term of 3.1 years and a weighted average discount rate related to the Company’s right-of-use (“ROU”) assets and lease liabilities of 10.0%. As of December 31, 2024, the Company’s operating leases had a weighted average remaining lease term of 3.2 years and a weighted average discount rate related to the Company’s right-of-use assets and lease liabilities of 9.9%.</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00"/>
          </w:cols>
          <w:pgMar w:left="320" w:top="455" w:right="47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Supplemental information related to operating leases was as follows:</w:t>
      </w:r>
    </w:p>
    <w:p>
      <w:pPr>
        <w:spacing w:after="0" w:line="246"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65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540" w:type="dxa"/>
            <w:vAlign w:val="bottom"/>
            <w:tcBorders>
              <w:top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0" w:type="dxa"/>
            <w:vAlign w:val="bottom"/>
            <w:tcBorders>
              <w:top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r>
      <w:tr>
        <w:trPr>
          <w:trHeight w:val="209"/>
        </w:trPr>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202</w:t>
            </w:r>
          </w:p>
        </w:tc>
        <w:tc>
          <w:tcPr>
            <w:tcW w:w="6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192</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Future minimum lease payments under the Company’s non-cancelable operating leases are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0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4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As of March 31, 2025</w:t>
            </w:r>
          </w:p>
        </w:tc>
      </w:tr>
      <w:tr>
        <w:trPr>
          <w:trHeight w:val="209"/>
        </w:trPr>
        <w:tc>
          <w:tcPr>
            <w:tcW w:w="60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shd w:val="clear" w:color="auto" w:fill="CCEEFF"/>
          </w:tcPr>
          <w:p>
            <w:pPr>
              <w:spacing w:after="0"/>
              <w:rPr>
                <w:sz w:val="18"/>
                <w:szCs w:val="18"/>
                <w:color w:val="auto"/>
              </w:rPr>
            </w:pPr>
          </w:p>
        </w:tc>
      </w:tr>
      <w:tr>
        <w:trPr>
          <w:trHeight w:val="216"/>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5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Imputed interest</w:t>
            </w:r>
          </w:p>
        </w:tc>
        <w:tc>
          <w:tcPr>
            <w:tcW w:w="5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w:t>
            </w: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net future minimum lease payments</w:t>
            </w:r>
          </w:p>
        </w:tc>
        <w:tc>
          <w:tcPr>
            <w:tcW w:w="5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Operating lease liabilities, current</w:t>
            </w:r>
          </w:p>
        </w:tc>
        <w:tc>
          <w:tcPr>
            <w:tcW w:w="5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(542)</w:t>
            </w: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 non-current</w:t>
            </w: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11. Redeemable Convertible Preferred Stock Prior to the Merger</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Under the terms of the December 12, 2022 Amended and Restated Certificate of Incorporation, the Company introduced “Shadow Preferred” classes of stock. A Shadow Preferred class of stock was created for each series of preferred stock outstanding prior to the conversion. Those shareholders who participated in the Company’s December 2022 P2P Transaction obtained the benefit of a pull-through exchange of their converted common stock which provided for participating shareholders to receive shares of the class(es) of Shadow Preferred Stock identical to the shares of preferred stock that they previously held. Investors who did not participate, retained ownership only in converted common stock.</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the redeemable convertible preferred stock that was outstanding at the time of the Merger was converted into shares of common stock (see Note 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12.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there were 600,000,000 and 136,562,809 shares of common stock authorized, respectively, and 98,818,874 and 48,376,052 shares issued and outstanding, respectively.</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Holders of common stock are entitled to receive dividends whenever funds are legally available and when declared by the Board of Directors, subject to the priority rights of holders of all series of Preferred Stock outstanding. Holders of common stock are entitled to one vote for each share of common stock held at all meetings of stockholders.</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0960"/>
          </w:cols>
          <w:pgMar w:left="320" w:top="455" w:right="61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Common stock reserved for issuance is as follow:</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54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5"/>
                <w:szCs w:val="15"/>
                <w:color w:val="auto"/>
              </w:rPr>
            </w:pPr>
          </w:p>
        </w:tc>
      </w:tr>
      <w:tr>
        <w:trPr>
          <w:trHeight w:val="209"/>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Public warrants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28,750,000</w:t>
            </w: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18"/>
                <w:szCs w:val="18"/>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Private warrants</w:t>
            </w: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898,250</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warrants</w:t>
            </w:r>
          </w:p>
        </w:tc>
        <w:tc>
          <w:tcPr>
            <w:tcW w:w="17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50,000</w:t>
            </w: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Earnout shares</w:t>
            </w: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2,854,242</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Incentive stock options and restricted stock units</w:t>
            </w:r>
          </w:p>
        </w:tc>
        <w:tc>
          <w:tcPr>
            <w:tcW w:w="17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29,192,959</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31,991,752</w:t>
            </w:r>
          </w:p>
        </w:tc>
      </w:tr>
      <w:tr>
        <w:trPr>
          <w:trHeight w:val="223"/>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awards available for future issuance</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23,942</w:t>
            </w:r>
          </w:p>
        </w:tc>
        <w:tc>
          <w:tcPr>
            <w:tcW w:w="7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1,736,686</w:t>
            </w:r>
          </w:p>
        </w:tc>
        <w:tc>
          <w:tcPr>
            <w:tcW w:w="40" w:type="dxa"/>
            <w:vAlign w:val="bottom"/>
          </w:tcPr>
          <w:p>
            <w:pPr>
              <w:spacing w:after="0"/>
              <w:rPr>
                <w:sz w:val="19"/>
                <w:szCs w:val="19"/>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common stock reserved for issuance</w:t>
            </w:r>
          </w:p>
        </w:tc>
        <w:tc>
          <w:tcPr>
            <w:tcW w:w="17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61,769,393</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33,728,438</w:t>
            </w:r>
          </w:p>
        </w:tc>
      </w:tr>
      <w:tr>
        <w:trPr>
          <w:trHeight w:val="20"/>
        </w:trPr>
        <w:tc>
          <w:tcPr>
            <w:tcW w:w="54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periods prior to the Merger, the reported share and per share amounts have been retroactively converted by applying the exchange ratio.</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13. Stock-Based Compensation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recorded stock-based compensation expense for stock options and RSUs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0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5,065</w:t>
            </w:r>
          </w:p>
        </w:tc>
        <w:tc>
          <w:tcPr>
            <w:tcW w:w="14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11,040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Award Plans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January 2025, the Company’s board of directors approved, and the Company adopted the 2025 Incentive Award Plan (the “2025 Incentive Plan”), replacing the historical 2011 Amended Stock Plan. The 2025 Incentive Plan became effective on January 13, 2025. The 2025 Incentive Plan provides for the grant of stock options (both incentive stock options and non-qualified stock options), stock appreciation rights, restricted stock, RSUs and other stock or cash based awards to employees and consultants of the Company and its subsidiaries and members of the board of directors of the Company.</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the 2025 Incentive Plan, stock options, including incentive stock options (“ISOs”), may be granted to employees at exercise prices not lower than the fair value of the stock as of the date of grant. For ISOs granted to a person whom, at the time of the grant, owns stock representing more than 10% of the total combined voting power of all classes of our stock, the per share exercise price must be no less than 110% of the fair value on the date of the grant as determined by the Board.</w:t>
      </w:r>
    </w:p>
    <w:p>
      <w:pPr>
        <w:spacing w:after="0" w:line="180" w:lineRule="exact"/>
        <w:rPr>
          <w:sz w:val="20"/>
          <w:szCs w:val="20"/>
          <w:color w:val="auto"/>
        </w:rPr>
      </w:pPr>
    </w:p>
    <w:p>
      <w:pPr>
        <w:ind w:left="120" w:right="280" w:firstLine="440"/>
        <w:spacing w:after="0" w:line="312" w:lineRule="auto"/>
        <w:rPr>
          <w:sz w:val="20"/>
          <w:szCs w:val="20"/>
          <w:color w:val="auto"/>
        </w:rPr>
      </w:pPr>
      <w:r>
        <w:rPr>
          <w:rFonts w:ascii="Times New Roman" w:cs="Times New Roman" w:eastAsia="Times New Roman" w:hAnsi="Times New Roman"/>
          <w:sz w:val="17"/>
          <w:szCs w:val="17"/>
          <w:color w:val="auto"/>
        </w:rPr>
        <w:t>The Company recognizes compensation expense for service-based options on a straight-line basis over the requisite service period of all employees or non-employees, which is the award’s vesting term, generally over four years. The Company accounts for forfeitures when they occur.</w:t>
      </w:r>
    </w:p>
    <w:p>
      <w:pPr>
        <w:spacing w:after="0" w:line="7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000"/>
          </w:cols>
          <w:pgMar w:left="320" w:top="455" w:right="57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Under the 2025 Incentive Plan, RSUs are unfunded, unsecured rights to receive, on the applicable settlement date, shares of common stock or an amount in cash, or a combination thereof, as determined by the Administrator, subject to vesting conditions, which may include continued employment or service, or the achievement of performance criteria established by the Administrator.</w:t>
      </w:r>
    </w:p>
    <w:p>
      <w:pPr>
        <w:spacing w:after="0" w:line="176" w:lineRule="exact"/>
        <w:rPr>
          <w:sz w:val="20"/>
          <w:szCs w:val="20"/>
          <w:color w:val="auto"/>
        </w:rPr>
      </w:pPr>
    </w:p>
    <w:p>
      <w:pPr>
        <w:jc w:val="both"/>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2025, no equity awards have been granted under the 2025 Incentive Plan and 25,397,242 shares of common stock were reserved for issuance under the plan.</w:t>
      </w:r>
    </w:p>
    <w:p>
      <w:pPr>
        <w:spacing w:after="0" w:line="162"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Following the effectiveness of the 2025 Incentive Plan, the Company ceased making grants under the 2011 Equity Incentive Plan (the “2011Amended Plan”) and all remaining unissued shares were retired. However, the 2011 Amended Plan continues to govern the terms and conditions of the outstanding awards granted under it. Shares of common stock subject to the awards granted under the 2011 Plan that cease to be subject to such awards by forfeiture or otherwise after the termination of the 2011 Amended Plan will be retired and no longer be available for issuance.</w:t>
      </w:r>
    </w:p>
    <w:p>
      <w:pPr>
        <w:spacing w:after="0" w:line="16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 the 2011 Amended Plan, we issued RSUs, which vested upon the satisfaction of both the service-based condition and a liquidity event condition. The liquidity event condition for the RSUs was satisfied upon the occurrence of a qualifying event, defined specifically in the equity documents, and generally refer to the earlier of a specified period of time subsequent to an initial public offering or an acquisition, in all cases prior to the expiration date of the award (see Note 3). Additionally, for all terminated RSU grants, all RSUs which have satisfied a portion or all of the service-based condition of the termination date remain with the stockholder and do not return to the pool of shares available for issuance until the earlier of the satisfaction of the liquidity event (at which time those RSUs vest) or the expiration date of the award. The RSUs expired as defined by the individual RSU grant, generally the earlier of (i) the first anniversary or second anniversary of terminated service, for 2023 and prior grants, respectively, for any reason and (ii) expire date defined as the fifth anniversary of the date of grant. The fair value of RSUs was determined based on the estimated fair value of shares of common stock at the date of grant, as determined by the Board of Directors.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stock option activity under the 2011 Amended Plan is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6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2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life</w:t>
            </w: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20" w:type="dxa"/>
            <w:vAlign w:val="bottom"/>
          </w:tcPr>
          <w:p>
            <w:pPr>
              <w:spacing w:after="0"/>
              <w:rPr>
                <w:sz w:val="15"/>
                <w:szCs w:val="15"/>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28,360,635</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6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9.2</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(318,400)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1.18</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28,042,235</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1.27</w:t>
            </w:r>
          </w:p>
        </w:tc>
        <w:tc>
          <w:tcPr>
            <w:tcW w:w="13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30,225</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as of March 31, 2025</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line="20" w:lineRule="exact"/>
              <w:rPr>
                <w:sz w:val="1"/>
                <w:szCs w:val="1"/>
                <w:color w:val="auto"/>
              </w:rPr>
            </w:pP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30,225</w:t>
            </w:r>
          </w:p>
        </w:tc>
        <w:tc>
          <w:tcPr>
            <w:tcW w:w="0" w:type="dxa"/>
            <w:vAlign w:val="bottom"/>
          </w:tcPr>
          <w:p>
            <w:pPr>
              <w:spacing w:after="0" w:line="20" w:lineRule="exact"/>
              <w:rPr>
                <w:sz w:val="1"/>
                <w:szCs w:val="1"/>
                <w:color w:val="auto"/>
              </w:rPr>
            </w:pPr>
          </w:p>
        </w:tc>
      </w:tr>
      <w:tr>
        <w:trPr>
          <w:trHeight w:val="210"/>
        </w:trPr>
        <w:tc>
          <w:tcPr>
            <w:tcW w:w="4780" w:type="dxa"/>
            <w:vAlign w:val="bottom"/>
            <w:gridSpan w:val="2"/>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28,042,235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6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March 31, 2025</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8,472,388</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1.87</w:t>
            </w:r>
          </w:p>
        </w:tc>
        <w:tc>
          <w:tcPr>
            <w:tcW w:w="13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2025, there was approximately $19.0 million of total unrecognized compensation cost related to unvested stock options, which is expected to be recognized over a weighted average period of 2.3 years.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060"/>
          </w:cols>
          <w:pgMar w:left="320" w:top="455" w:right="51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Company uses the Black-Scholes option-pricing model to determine the grant-date fair value of stock options. The determination of the fair value of stock options on the grant date is affected by the estimated underlying common stock price, as well as assumptions regarding a number of complex and subjective variables. These variables include expected stock price volatility over the term of the awards, actual and projected employee stock option exercise behaviors, risk-free interest rates, and expected dividends. There were no stock options granted during the three months ended March 31, 2025.</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the Company’s RSU activity issued under the 2011 Amended Plan is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740" w:type="dxa"/>
            <w:vAlign w:val="bottom"/>
            <w:gridSpan w:val="3"/>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w w:val="99"/>
              </w:rPr>
              <w:t>RSUs Awarded</w:t>
            </w:r>
          </w:p>
        </w:tc>
        <w:tc>
          <w:tcPr>
            <w:tcW w:w="9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December 31,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3,630,447</w:t>
            </w: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7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(2,464,171)</w:t>
            </w: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7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(15,552)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Nonvested as of March 31, 2025</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1,150,724</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Immediately prior to the consummation of the Merger, the RSUs had both a service-based condition and a liquidity event condition. The liquidity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event condition was only satisfied on the consummation of a liquidity event, such as an IPO, which was not determinable or probable as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2024. Effective with the consummation of the Merger, we recognized $3.9 million in stock-based compensation expense associated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vesting of the outstanding RSUs (see Note 3).</w:t>
      </w:r>
    </w:p>
    <w:p>
      <w:pPr>
        <w:spacing w:after="0" w:line="20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2025, the 2,464,171 common stock shares that are subject to the release of the vested RSU have not been issued holders but have been included in the weighted average shares outstanding calculation for purposes of earning per share (see Note 17).</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2025, there was approximately $1.0 million of total unrecognized compensation cost related to unvested RSUs, which is expected to be recognized over a weighted average period of 0.8 years.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January 2025, the Company’s board of directors adopted the 2025 Employee Stock Purchase Plan (the “2025 ESPP”) that became effective upon the date of the de-SPAC in order to enable eligible employees to purchase shares of common stock with accumulated payroll deductions. The 2025 ESPP is intended to qualify under Section 423 of the Internal Revenue Code, as amended. Under the 2025 ESPP, eligible employees are offered the option to purchase share of common stock at a discount over a series of offering periods. Each offering period may consist of one or more purchase periods. The purchase price for shares of common stock purchased under the 2025 ESPP will be 85% of the lesser of the fair market value of shares of common stock on (i) the first trading day of the applicable offering period or (ii) the last trading day of each purchase period in the applicable offering period.</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2025, 3,047,669 shares of common stock were reserved for issuance pursuant to the 2025 ESPP. As of March 31, 2025, no offers have been made to purchase shares of the Company’s common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20"/>
          </w:cols>
          <w:pgMar w:left="320" w:top="455"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had outstanding purchase orders and contractual obligations totaling $0.3 million to procure inventory. The majority of the Company’s outstanding inventory purchase orders and preauthorized commitments to procure strategic components based on expected demand are placed with its primary third-party contract manufacturer and a semiconductor supplier.</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Company has an obligation to purchase inventories that have been purchased by the contract manufacturer when components have not been consumed within a period defined in the terms of our agreement. During the three months ended March 31, 2025 and 2024, the Company purchased inventories of $0.1 million and $3.3 million, respectively, due to this obligation.</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While the Company expects such purchased components to be used in future production of its finished goods, these components are considered in its reserve estimate for excess and obsolete inventory. Furthermore, the Company accrues for losses on commitments for the future purchase on non-cancelable and non-returnable components from this contract manufacturer at the time that circumstances, such as changes in expected demand, indicate that the value of the components may not be recoverable, the loss is probable and management has the ability to reasonably estimate the amount of the loss. As of March 31, 2025 and December 31, 2024, the liability balance of our accrued losses on purchase commitments equaled $0.6 million on the condensed consolidated balance sheets.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From time to time, the Company may become involved in claims or other legal matters arising in the ordinary course of business. The Company records accruals for outstanding legal proceedings when it is probable a liability will be incurred, and the amount of loss can be reasonably estimated.</w:t>
      </w:r>
    </w:p>
    <w:p>
      <w:pPr>
        <w:spacing w:after="0" w:line="14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On September 9, 2024, BurTech entered into an Advisory Services Engagement Letter with Jefferies to serve as its exclusive capital markets advisor in connection with the contemplated Merger involving Legacy Blaize (the “Jefferies Engagement Letter”), pursuant to which Jefferies would be eligible for a fee of $4,500,000 contingent upon the closing of the Merger and for reimbursement of expenses up to $500,000.</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On April 7, 2025, Jefferies commenced a lawsuit against the Company in the Supreme Court of the State of New York, County of New York, seeking summary judgment in lieu of complaint. The lawsuit alleges that pursuant to the Jefferies Engagement Letter, Jefferies was entitled to receive a fee of $4,500,000 conditional on the Closing of the Merger, with the option for the Company to defer up to $1,000,000 of this fee for up to 12 months post-closing, and $500,000 in reimbursable expenses. Jefferies alleges that as of March 31, 2025, no fees have been paid to Jefferies under the Jefferies Engagement Letter. Jefferies seeks $3,500,000 for its fees, as well as $500,000 in expense reimbursement, as well as pre-and post-judgment interest and attorneys’ fees and legal costs incurred in connection with the lawsuit. The Company has retained counsel and intends to vigorously defend the litigation. Although the outcome of this matter cannot be predicted with certainty, based on the existing facts and circumstances the Company has recorded estimated liabilities of $4,950,000 on the condensed consolidated balance sheets as of March 31, 2025, of which $3,950,000 is included in accounts payable and $1,000,000 is included in accrued expenses and other current liabilities. These estimated liabilities reflect management’s assessment of the Company’s potential exposure from the Jefferies Engagement Letter based on its contracted fees. The resolution of this matter could differ materially from the amount currently recorded. The Company continues to evaluate the matter as it progresses and will adjust the estimated liabilities if and when additional information becomes available that indicates a different outcome is probable and reasonably estimable.</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00"/>
          </w:cols>
          <w:pgMar w:left="320" w:top="455" w:right="4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Advisor Agreements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October through December of 2024, the Company entered into various advisor agreements related to business development and strategy, and for new revenue contracts, in new geographical markets. Compensation for services, pending approval by the Company’s Board of Directors, is in the form of restricted stock units following the filing of a registration statement subsequent to the Merger consummation to register such shares, and subject to the advisors continued service on the applicable grant date.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December 2024, the Company entered into an agreement for capital market services which included advisory services and a finder’s fee, for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which payment was due upon the close of the Merger (see Note 3). Under the terms of the agreement, at the Company’s discretion, the advisory fee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$0.8 million is to be paid in the form of (i) cash and (ii) cash or a combination of cash and shares of common stock of common stock at a price of $10.00</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 share at various dates in 2025. The finder’s fee, equal to a specified percentage of the trust value of our shares held by investors introduced by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advisor, is to be paid fifty percent in cash and fifty percent in shares of common stock at a price of $10.00 per share, concurrent with the close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Merger. The Company recognized $0.6 million associated with the contract as deferred offering costs and accrued liabilities for the year ended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2024. On the earlier of the date that is six months from the date of the Merger and the date that a Registration Statement filed with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 registering the resale of the closing shares is declared effective (the “Reset Date”), if the five day volume weighted average price of common stock</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five trading days immediately preceding the Reset Date (such price, the “Reset Price”) is less than $10.00 per share (subject to a $1.00 per share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floor), within two days we shall issue an additional number of common shares equal to the number obtained by dividing (i) the product of the number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held as of the Reset Date and $10.00 by (ii) the Reset Price, less the number of sharing shares held, provided that the additional shares shall not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exceed 300,000.</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15. Related Party Transactions and Balances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recognized no revenue from sales to minority stockholders. During the three months ended March 31, 2024, the Company recognized revenues of approximately $0.5 million, or approximately 100% of its total revenue, from sales to two minority stockholders.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March 31, 2025 and December 31, 2024, there was no accounts receivable due from these customers.</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2023, we issued a convertible note in the amount of $5.0 million or 41% of the total 2023 Convertible Note proceeds raised in 2023 to a related party investor holding more than a 10% ownership our outstanding stock. This related party investor also has a representative serving on our Board of Directors. In accordance with the terms of the 2023 Convertible Note NPA, the investor also received 2023 Convertible Note Warrants for no additional consideration resulting in the allocation of proceeds between the 2023 Convertible Note and the 2023 Convertible Note Warrants (see Note 9). The 2023 Convertible Note and 2023 Convertible Note Warrants held by this investor were subject to the adjustments in fair value. As of December 31, 2024, the related party 2023 Convertible Note and 2023 Convertible Note Warrants approximated $6.9 million and $8.0 million, respectively. Upon consummation of the Merger, this related party’s 2023 Convertible Note and 2023 Convertible Warrants were converted into shares of common stock (see Note 3). During the three months ended March 31, 2025 and 2024, the changes in fair value for the respective 2023 Convertible Note were</w:t>
      </w:r>
    </w:p>
    <w:p>
      <w:pPr>
        <w:spacing w:after="0" w:line="1" w:lineRule="exact"/>
        <w:rPr>
          <w:sz w:val="20"/>
          <w:szCs w:val="20"/>
          <w:color w:val="auto"/>
        </w:rPr>
      </w:pPr>
    </w:p>
    <w:p>
      <w:pPr>
        <w:ind w:left="120" w:right="420"/>
        <w:spacing w:after="0" w:line="260" w:lineRule="auto"/>
        <w:rPr>
          <w:sz w:val="20"/>
          <w:szCs w:val="20"/>
          <w:color w:val="auto"/>
        </w:rPr>
      </w:pPr>
      <w:r>
        <w:rPr>
          <w:rFonts w:ascii="Times New Roman" w:cs="Times New Roman" w:eastAsia="Times New Roman" w:hAnsi="Times New Roman"/>
          <w:sz w:val="18"/>
          <w:szCs w:val="18"/>
          <w:color w:val="auto"/>
        </w:rPr>
        <w:t>$6.0 million and $0.9 million, respectively (see Note 5). During the three months ended March 31, 2025 and 2024, the changes in fair value for the respective 2023 Convertible Note Warrants were $1.2 million and less than $0.1 million, respectively (see Note 5).</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January 2023, one of the minority investors with which we had a prior revenue arrangement, with no revenue in the three months ended March 31, 2025 and 2024, also invested in a P2P Note in the amount of $3.3 million or 35% of the total P2P proceeds raised in 2023 (see Note 8). In accordance with the terms of the 2022 P2P NPA, the minority investor also received P2P Warrants for no additional consideration resulting in the allocation of proceeds between the P2P Note and the P2P Warrants (see Note 9). The P2P Note and P2P Warrants held by the minority investor were subject to the adjustments in fair value. As of December 31, 2024, the related party P2P Note and P2P Warrants approximated $4.2 million. Effective January 13, 2025, this related party’s respective P2P Note and P2P Warrants were converted into common stock in connection with the Merger (see Note 3). During the three months ended March 31, 2025 and 2024, the change in fair value for the respective P2P Note was $7.2 million and less than</w:t>
      </w:r>
    </w:p>
    <w:p>
      <w:pPr>
        <w:spacing w:after="0" w:line="3" w:lineRule="exact"/>
        <w:rPr>
          <w:sz w:val="20"/>
          <w:szCs w:val="20"/>
          <w:color w:val="auto"/>
        </w:rPr>
      </w:pPr>
    </w:p>
    <w:p>
      <w:pPr>
        <w:ind w:left="120" w:right="620"/>
        <w:spacing w:after="0" w:line="260" w:lineRule="auto"/>
        <w:rPr>
          <w:sz w:val="20"/>
          <w:szCs w:val="20"/>
          <w:color w:val="auto"/>
        </w:rPr>
      </w:pPr>
      <w:r>
        <w:rPr>
          <w:rFonts w:ascii="Times New Roman" w:cs="Times New Roman" w:eastAsia="Times New Roman" w:hAnsi="Times New Roman"/>
          <w:sz w:val="18"/>
          <w:szCs w:val="18"/>
          <w:color w:val="auto"/>
        </w:rPr>
        <w:t>$0.1 million, respectively (see Note 5). During the three months ended March 31, 2025 and 2024, the change in fair value for the respective P2P Warrants was $3.3 million and $0.5 million, respectively (see Note 5).</w:t>
      </w:r>
    </w:p>
    <w:p>
      <w:pPr>
        <w:spacing w:after="0" w:line="18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In December 2022, one of the minority stockholders with which we had a prior revenue arrangement, representing approximately 0% and approximately 100% of total revenues for the three months ended March 31, 2025 and 2024, and 0% and 98% of accounts receivable as of March 31, 2025 and December 31, 2024, respectively, also invested in a P2P Note in the amount of $0.4 million, or 13% of the total P2P proceeds raised in 2022 (see Note 8). In accordance with the terms of the 2022 P2P NPA, the minority investor also received P2P Warrants for no additional consideration resulting in the allocation of proceeds between the P2P Note and the P2P Warrants (see Note 9). The P2P Note and P2P Warrants held by the minority investor were subject to the adjustments in fair value. As of December 31, 2024, the fair value of the related party P2P Note and P2P Warrants approximated $0.5 million and zero, respectively. Effective January 13, 2025, this related party’s respective 2022 P2P Note and P2P Warrants were converted into common stock in connection with the Merger (see Note 3). During the three months ended March 31, 2025, the changes in fair value for this set of P2P Note and P2P Note Warrants was $0.8 million and $0.2 million, respectively (see Note 5). During the three months ended March 31, 2024, the change in fair value for this set of P2P Note and P2P Note Warrants was immaterial (see Note 5).</w:t>
      </w:r>
    </w:p>
    <w:p>
      <w:pPr>
        <w:spacing w:after="0" w:line="194"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On January 13, 2025, in connection with the consummation of the Merger, BurTech LP, previously the Sponsor of BurTech, issued a secured promissory note and pledge agreement to BurTech in the principal amount of approximately $8.8 million, bearing an interest rate of 7% with annual compounding, compounded on December 31 each year. Pursuant to this promissory note, BurTech LP agreed to pay certain of the transaction expenses (as defined in the Merger Agreement) of BurTech. As consideration for this promissory note, the Company issued 750,000 shares of common stock to BurTech LP. BurTech LP is obligated to pay the related transaction expenses set forth in the note within ninety days after the date that the shares have been registered for resale under the Securities Act. As of March 31, 2025, payment in the note had not yet been received.</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incurred $0.2 million and zero, respectively, of marketing expenses paid to a company owned by a direct family member of one of our minority stockholders and board of directors.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March 31, 2025, the Company has amounts due for a Working Capital Loan and advances from a related party (see Note 8).</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16. Segment Reporting</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operates as a single reportable segment, and manages the business and evaluates financial performance on a consolidated basis. The CODM regularly receives and reviews consolidated financial results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focusing primarily on revenue, costs and expenses, and net loss from the consolidated statements of operations to make decisions regarding the allocation of resources and assessment of performance.</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has determined that net loss and earnings before interest, tax, depreciation and amortization (“EBITDA”) adjusted for irregular or non-recurring items (“Adjusted EBITDA”) are the profit or loss measures that the CODM uses to make resource allocation decisions and evaluate segment performance. Adjusted EBITDA assists management in comparing the performance on a consistent basis for purposes of business decision-making by removing the impact of certain items that management believes do not directly reflect our core operations and, therefore, are not included in measuring performance. The Company defines Adjusted EBITDA as net loss before interest, taxes, depreciation and amortization, certain non-cash items and other adjustments that we do not consider in our evaluation of ongoing operating performance from period to period.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loss is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5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tcBorders>
              <w:bottom w:val="single" w:sz="8" w:color="CCEEFF"/>
            </w:tcBorders>
            <w:vMerge w:val="continue"/>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Revenue</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Employee costs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(5,700)</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Technology costs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interest (income)/expense</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(109,530)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(8,166)</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segment items (a)</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(2,278)</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(147,761)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(16,743)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260" w:hanging="424"/>
        <w:spacing w:after="0" w:line="282" w:lineRule="auto"/>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includes marketing expense, professional fees, income tax expense, facilities costs, foreign currency exchange gains and losses, credit loss expense, and other overhead expenses</w:t>
      </w:r>
    </w:p>
    <w:p>
      <w:pPr>
        <w:spacing w:after="0" w:line="16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reflects our Adjusted EBITDA:</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5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20" w:type="dxa"/>
            <w:vAlign w:val="bottom"/>
            <w:tcBorders>
              <w:bottom w:val="single" w:sz="8" w:color="CCEEFF"/>
            </w:tcBorders>
            <w:vMerge w:val="continue"/>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(147,761)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(16,743)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expenses, net</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109,578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(7,884)</w:t>
            </w: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11,040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inventory cost realignment adjustments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non-recurring expenses (a)</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(15,380)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(7,527)</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line="266"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but not limited to, legal, accounting and consulting fees incurred in connection with the Merger. These costs are non-recurring and are not reflective of our ongoing operating performance. Management believes that excluding these costs provides a more meaningful comparison of our performance to prior periods.</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000"/>
          </w:cols>
          <w:pgMar w:left="320" w:top="455" w:right="57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on the condensed consolidated balance sheet as total consolidated assets. Long-lived and ROU assets were located as follows: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6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gridSpan w:val="8"/>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42"/>
        </w:trPr>
        <w:tc>
          <w:tcPr>
            <w:tcW w:w="52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Fixed Assets</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ROU Assets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Fixed Assets</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ROU Assets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82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Asia Pacific</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934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913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Kingdom</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23"/>
        </w:trPr>
        <w:tc>
          <w:tcPr>
            <w:tcW w:w="52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17. Net Loss Per Share</w:t>
            </w: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26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80" w:type="dxa"/>
            <w:vAlign w:val="bottom"/>
            <w:gridSpan w:val="7"/>
          </w:tcPr>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dilutive net loss per share:</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 except share and per share amounts)</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12"/>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9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4"/>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(147,761)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   (16,743)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60" w:type="dxa"/>
            <w:vAlign w:val="bottom"/>
            <w:gridSpan w:val="5"/>
          </w:tcPr>
          <w:p>
            <w:pPr>
              <w:ind w:left="360"/>
              <w:spacing w:after="0" w:line="198" w:lineRule="exact"/>
              <w:rPr>
                <w:sz w:val="20"/>
                <w:szCs w:val="20"/>
                <w:color w:val="auto"/>
              </w:rPr>
            </w:pPr>
            <w:r>
              <w:rPr>
                <w:rFonts w:ascii="Times New Roman" w:cs="Times New Roman" w:eastAsia="Times New Roman" w:hAnsi="Times New Roman"/>
                <w:sz w:val="18"/>
                <w:szCs w:val="18"/>
                <w:color w:val="auto"/>
              </w:rPr>
              <w:t>Weighted average number of shares outstanding, basic and</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w w:val="96"/>
              </w:rPr>
              <w:t>91,747,685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13,613,270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Net loss per share calculations and potentially dilutive security amounts for all periods prior to the closing of the Merger have been retrospectively adjusted to the equivalent number of shares outstanding immediately after the Merger to effect the reverse recapitalization. Historically reported weighted average shares outstanding have been multiplied by the Exchange Ratio of approximately 0.78.</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calculation of diluted net loss per share attributable to common shareholders for the periods presented because the impact of including them would have been anti-dilutive:</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252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84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2"/>
                <w:szCs w:val="12"/>
                <w:color w:val="auto"/>
              </w:rPr>
            </w:pPr>
          </w:p>
        </w:tc>
      </w:tr>
      <w:tr>
        <w:trPr>
          <w:trHeight w:val="210"/>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options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28,042,235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12,819,685</w:t>
            </w:r>
          </w:p>
        </w:tc>
        <w:tc>
          <w:tcPr>
            <w:tcW w:w="60" w:type="dxa"/>
            <w:vAlign w:val="bottom"/>
            <w:shd w:val="clear" w:color="auto" w:fill="CCEEFF"/>
          </w:tcPr>
          <w:p>
            <w:pPr>
              <w:spacing w:after="0"/>
              <w:rPr>
                <w:sz w:val="18"/>
                <w:szCs w:val="18"/>
                <w:color w:val="auto"/>
              </w:rPr>
            </w:pPr>
          </w:p>
        </w:tc>
      </w:tr>
      <w:tr>
        <w:trPr>
          <w:trHeight w:val="216"/>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stock units</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1,150,724</w:t>
            </w:r>
          </w:p>
        </w:tc>
        <w:tc>
          <w:tcPr>
            <w:tcW w:w="3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3,801,970</w:t>
            </w:r>
          </w:p>
        </w:tc>
      </w:tr>
      <w:tr>
        <w:trPr>
          <w:trHeight w:val="216"/>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warrants</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Public warrants</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28,750,000</w:t>
            </w:r>
          </w:p>
        </w:tc>
        <w:tc>
          <w:tcPr>
            <w:tcW w:w="3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Private warrants</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898,250</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58,891,209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16,621,655</w:t>
            </w:r>
          </w:p>
        </w:tc>
        <w:tc>
          <w:tcPr>
            <w:tcW w:w="6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18. Employee Benefit Plan</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 401(k) plan is provided that covers substantially all employees in the US meeting certain age and service requirements. The Company makes discretionary contributions to the 401(k) plan. The Company operates 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00"/>
          </w:cols>
          <w:pgMar w:left="320" w:top="455" w:right="47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4" w:lineRule="exact"/>
        <w:rPr>
          <w:sz w:val="20"/>
          <w:szCs w:val="20"/>
          <w:color w:val="auto"/>
        </w:rPr>
      </w:pPr>
    </w:p>
    <w:p>
      <w:pPr>
        <w:ind w:left="120" w:right="200"/>
        <w:spacing w:after="0" w:line="312" w:lineRule="auto"/>
        <w:rPr>
          <w:sz w:val="20"/>
          <w:szCs w:val="20"/>
          <w:color w:val="auto"/>
        </w:rPr>
      </w:pPr>
      <w:r>
        <w:rPr>
          <w:rFonts w:ascii="Times New Roman" w:cs="Times New Roman" w:eastAsia="Times New Roman" w:hAnsi="Times New Roman"/>
          <w:sz w:val="17"/>
          <w:szCs w:val="17"/>
          <w:color w:val="auto"/>
        </w:rPr>
        <w:t>defined contribution pension scheme in the UK for employees and makes employer contributions to this scheme on behalf of those employees. The Company recorded $0.2 million and $0.1 million in contributions to both plans during the three months ended March 31, 2025 and 2024, respectively.</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Long-term Employee Benefits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Company provides its employees in India an opportunity to participate in a long term defined benefits plan, and the liability the Company bears for providing this benefit is determined through an actuarial valuation at each reporting date. The benefit plan provides for lump sum payments to vested employees on retirement, death while in service or on termination of employment for an amount equivalent to 15 days of basic salary for each completed year of service. Vesting occurs upon completion of five years of service. The present value of such obligation is determined by the projected unit credit method and adjusted for past service cost and fair value of plan assets as at the balance sheet date through which the obligations are to be settled. The actuarial gain or loss on change in present value of the defined benefit obligation or change in return of the plan assets is recognized as an income or expense in the condensed consolidated statement of operations. The expected return on plan assets is based on the assumed rate of return of such assets. As of March 31, 2025 and December 31, 2024, the related liability is included within accrued compensation on the condensed consolidated balance sheets.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on which these condensed consolidated financial statements were available to be issued, and determined that the following subsequent events, other than those disclosed elsewhere in the condensed consolidated financial statements, are reportable:</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April 11, 2025, the Company entered into an advisory agreement for future services. The terms of the agreement require a non-refundable advisory fee of $2.0 million paid upon execution of the contract in the form of 769,231 shares of common stock (the “Fee Shares”). The Fee Shares are subject to a one-year lock up provision (the “Lock-Up Period”) which expires the earlier of one year from the date of the agreement or the date of a change of control as defined in the agreement. Prior to the expiration of the lock-up period, the advisor may sell the common stock shares back to us or an affiliate as defined in Rule 405 under the Securities Act. The Fee Shares subject to the lock-up provision are subject to adjustment if the dollar volume-weighted average price for the Company’s common stock (“VWAP”) 20 out of any 30 trading Days is at least $7.00 per share, then the Lock-Up Period shall be terminated with respect to fifty percent of the shares to be issued for the fee. Furthermore, if the VWAP of the common stock for 20 out of any 30 Trading Days is at least $10.00 per share, then the Lock-Up Period shall be terminated with respect to the other fifty percent of the Fee Shares, rounded up.</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Board of Directors and Shareholders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Blaize, Inc. and Subsidiaries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Blaize, Inc. and Subsidiaries (the “Company”) as of December 31, 2024 and 2023, and the related consolidated statements of operations, redeemable convertible preferred stock and stockholders’ deficit, and cash flows for each of the years in the two-year period ended December 31, 2024,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two-year period ended December 31, 2024, in conformity with accounting principles generally accepted in the United States of America.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1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incurred recurring operating losses and negative cash flows from operations, has an accumulated deficit, and has historically relied on cash proceeds from founders or other investors and other financing activities to fund operations. These conditions raise substantial doubt about its ability to continue as a going concern. Management’s plans regarding these matters are also described in Note 1. The consolidated financial statements do not include any adjustments that might result from the outcome of this uncertainty.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(“GAAS”).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 UHY LLP</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Melville, New York</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11, 2025</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080"/>
          </w:cols>
          <w:pgMar w:left="320" w:top="455" w:right="4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6"/>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9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50,237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3,213</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 related party (Note 13)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467</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8,561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6,522</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14,837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2,836</w:t>
            </w:r>
          </w:p>
        </w:tc>
      </w:tr>
      <w:tr>
        <w:trPr>
          <w:trHeight w:val="223"/>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73,690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13,049</w:t>
            </w:r>
          </w:p>
        </w:tc>
        <w:tc>
          <w:tcPr>
            <w:tcW w:w="12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1,555</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2,157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1,033</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2,423</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579</w:t>
            </w: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80,516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18,639</w:t>
            </w:r>
          </w:p>
        </w:tc>
      </w:tr>
      <w:tr>
        <w:trPr>
          <w:trHeight w:val="223"/>
        </w:trPr>
        <w:tc>
          <w:tcPr>
            <w:tcW w:w="8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deficit:</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Demand notes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4,750</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7,904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14,925</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11,996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7,464</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3,588</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compensation</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1,938</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payable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2,109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569</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liabilities, current portion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14,711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notes, current portion</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148,629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14,641</w:t>
            </w: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188,143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47,876</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1,791</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3,730</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00" w:type="dxa"/>
            <w:vAlign w:val="bottom"/>
          </w:tcPr>
          <w:p>
            <w:pPr>
              <w:spacing w:after="0"/>
              <w:rPr>
                <w:sz w:val="18"/>
                <w:szCs w:val="18"/>
                <w:color w:val="auto"/>
              </w:rPr>
            </w:pPr>
          </w:p>
        </w:tc>
        <w:tc>
          <w:tcPr>
            <w:tcW w:w="9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18,064</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391</w:t>
            </w:r>
          </w:p>
        </w:tc>
      </w:tr>
      <w:tr>
        <w:trPr>
          <w:trHeight w:val="223"/>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190,979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71,852</w:t>
            </w:r>
          </w:p>
        </w:tc>
        <w:tc>
          <w:tcPr>
            <w:tcW w:w="12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Redeemable convertible preferred stock - $0.00001 par value; 96,650,097 shares authorized as of December 31, 2024</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2023, respectively; 44,494,703 shares issued and outstanding at December 31, 2024 and 2023, respectively;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liquidation preference of $173,347 as of December 31, 2024 and 2023, respectively</w:t>
            </w:r>
          </w:p>
        </w:tc>
        <w:tc>
          <w:tcPr>
            <w:tcW w:w="100" w:type="dxa"/>
            <w:vAlign w:val="bottom"/>
          </w:tcPr>
          <w:p>
            <w:pPr>
              <w:spacing w:after="0"/>
              <w:rPr>
                <w:sz w:val="20"/>
                <w:szCs w:val="20"/>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173,347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173,347</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 $0.00001 par value; 175,095,000 shares authorized as of December 31, 2024 and 2023, respectively;</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17,519,999 and 17,454,353 shares issued and outstanding as of December 31, 2024 and 2023, respectively</w:t>
            </w:r>
          </w:p>
        </w:tc>
        <w:tc>
          <w:tcPr>
            <w:tcW w:w="100" w:type="dxa"/>
            <w:vAlign w:val="bottom"/>
          </w:tcPr>
          <w:p>
            <w:pPr>
              <w:spacing w:after="0"/>
              <w:rPr>
                <w:sz w:val="20"/>
                <w:szCs w:val="20"/>
                <w:color w:val="auto"/>
              </w:rPr>
            </w:pPr>
          </w:p>
        </w:tc>
        <w:tc>
          <w:tcPr>
            <w:tcW w:w="9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124,225 shares at December 31, 2024 and 2023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145,441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141,496</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w w:val="96"/>
              </w:rPr>
              <w:t>(429,251)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(368,056)</w:t>
            </w:r>
          </w:p>
        </w:tc>
      </w:tr>
      <w:tr>
        <w:trPr>
          <w:trHeight w:val="230"/>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(283,810</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(226,560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deficit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80,516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18,639</w:t>
            </w:r>
          </w:p>
        </w:tc>
      </w:tr>
      <w:tr>
        <w:trPr>
          <w:trHeight w:val="20"/>
        </w:trPr>
        <w:tc>
          <w:tcPr>
            <w:tcW w:w="8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40"/>
          </w:cols>
          <w:pgMar w:left="320" w:top="455" w:right="4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7"/>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2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Engineering services revenue - related party (Note 13)</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3,840</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Hardware revenue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8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3,656</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18,115</w:t>
            </w: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22,413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17,303</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2,040</w:t>
            </w: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purchase commitments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costs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8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49,189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financing charge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(35,832)</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foreign exchange transactions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(9,532)</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(5,701)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(49,659)</w:t>
            </w:r>
          </w:p>
        </w:tc>
        <w:tc>
          <w:tcPr>
            <w:tcW w:w="0" w:type="dxa"/>
            <w:vAlign w:val="bottom"/>
          </w:tcPr>
          <w:p>
            <w:pPr>
              <w:spacing w:after="0"/>
              <w:rPr>
                <w:sz w:val="1"/>
                <w:szCs w:val="1"/>
                <w:color w:val="auto"/>
              </w:rPr>
            </w:pPr>
          </w:p>
        </w:tc>
      </w:tr>
      <w:tr>
        <w:trPr>
          <w:trHeight w:val="223"/>
        </w:trPr>
        <w:tc>
          <w:tcPr>
            <w:tcW w:w="8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(62,147)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(61,195</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(87,589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common stockholders, basic and</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17,476,105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7"/>
              </w:rPr>
              <w:t>4,213,244</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40"/>
          </w:cols>
          <w:pgMar w:left="320" w:top="455" w:right="4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 Stockholders’ Deficit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37"/>
        </w:trPr>
        <w:tc>
          <w:tcPr>
            <w:tcW w:w="3400" w:type="dxa"/>
            <w:vAlign w:val="bottom"/>
          </w:tcPr>
          <w:p>
            <w:pPr>
              <w:spacing w:after="0"/>
              <w:rPr>
                <w:sz w:val="3"/>
                <w:szCs w:val="3"/>
                <w:color w:val="auto"/>
              </w:rPr>
            </w:pPr>
          </w:p>
        </w:tc>
        <w:tc>
          <w:tcPr>
            <w:tcW w:w="1440" w:type="dxa"/>
            <w:vAlign w:val="bottom"/>
            <w:gridSpan w:val="6"/>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3"/>
                <w:szCs w:val="3"/>
                <w:color w:val="auto"/>
              </w:rPr>
            </w:pP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3"/>
                <w:szCs w:val="3"/>
                <w:color w:val="auto"/>
              </w:rPr>
            </w:pPr>
          </w:p>
        </w:tc>
        <w:tc>
          <w:tcPr>
            <w:tcW w:w="8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4"/>
        </w:trPr>
        <w:tc>
          <w:tcPr>
            <w:tcW w:w="3400" w:type="dxa"/>
            <w:vAlign w:val="bottom"/>
          </w:tcPr>
          <w:p>
            <w:pPr>
              <w:spacing w:after="0"/>
              <w:rPr>
                <w:sz w:val="10"/>
                <w:szCs w:val="10"/>
                <w:color w:val="auto"/>
              </w:rPr>
            </w:pPr>
          </w:p>
        </w:tc>
        <w:tc>
          <w:tcPr>
            <w:tcW w:w="1440" w:type="dxa"/>
            <w:vAlign w:val="bottom"/>
            <w:gridSpan w:val="6"/>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440" w:type="dxa"/>
            <w:vAlign w:val="bottom"/>
            <w:gridSpan w:val="6"/>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2"/>
                <w:szCs w:val="12"/>
                <w:color w:val="auto"/>
              </w:rPr>
            </w:pPr>
          </w:p>
        </w:tc>
        <w:tc>
          <w:tcPr>
            <w:tcW w:w="11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44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8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76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64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January 1, 2023</w:t>
            </w:r>
          </w:p>
        </w:tc>
        <w:tc>
          <w:tcPr>
            <w:tcW w:w="680" w:type="dxa"/>
            <w:vAlign w:val="bottom"/>
            <w:tcBorders>
              <w:top w:val="single" w:sz="8" w:color="auto"/>
            </w:tcBorders>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w w:val="98"/>
              </w:rPr>
              <w:t>16,498,279</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64,020</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6,143,294</w:t>
            </w:r>
          </w:p>
        </w:tc>
        <w:tc>
          <w:tcPr>
            <w:tcW w:w="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w w:val="96"/>
              </w:rPr>
              <w:t>124,225</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w w:val="95"/>
              </w:rPr>
              <w:t>— </w:t>
            </w:r>
          </w:p>
        </w:tc>
        <w:tc>
          <w:tcPr>
            <w:tcW w:w="240" w:type="dxa"/>
            <w:vAlign w:val="bottom"/>
            <w:tcBorders>
              <w:top w:val="single" w:sz="8" w:color="CCEEFF"/>
            </w:tcBorders>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CCEEFF"/>
            </w:tcBorders>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209,928</w:t>
            </w:r>
          </w:p>
        </w:tc>
        <w:tc>
          <w:tcPr>
            <w:tcW w:w="220" w:type="dxa"/>
            <w:vAlign w:val="bottom"/>
            <w:tcBorders>
              <w:top w:val="single" w:sz="8" w:color="CCEEFF"/>
            </w:tcBorders>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CCEEFF"/>
            </w:tcBorders>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(280,467)</w:t>
            </w:r>
          </w:p>
        </w:tc>
        <w:tc>
          <w:tcPr>
            <w:tcW w:w="1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CCEEFF"/>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(70,539)</w:t>
            </w:r>
          </w:p>
        </w:tc>
        <w:tc>
          <w:tcPr>
            <w:tcW w:w="0" w:type="dxa"/>
            <w:vAlign w:val="bottom"/>
          </w:tcPr>
          <w:p>
            <w:pPr>
              <w:spacing w:after="0"/>
              <w:rPr>
                <w:sz w:val="1"/>
                <w:szCs w:val="1"/>
                <w:color w:val="auto"/>
              </w:rPr>
            </w:pPr>
          </w:p>
        </w:tc>
      </w:tr>
      <w:tr>
        <w:trPr>
          <w:trHeight w:val="149"/>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Reissuance of Shadow Preferred in Pay-to-Play Pull</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Through Exchange at redemption value</w:t>
            </w:r>
          </w:p>
        </w:tc>
        <w:tc>
          <w:tcPr>
            <w:tcW w:w="76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27,996,424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109,327</w:t>
            </w:r>
          </w:p>
        </w:tc>
        <w:tc>
          <w:tcPr>
            <w:tcW w:w="1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(2,799,634)</w:t>
            </w: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(109,327)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(109,327)</w:t>
            </w: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Reissuance of common stock in common rights offering</w:t>
            </w:r>
          </w:p>
        </w:tc>
        <w:tc>
          <w:tcPr>
            <w:tcW w:w="76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8,109,693</w:t>
            </w:r>
          </w:p>
        </w:tc>
        <w:tc>
          <w:tcPr>
            <w:tcW w:w="30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6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6"/>
        </w:trPr>
        <w:tc>
          <w:tcPr>
            <w:tcW w:w="34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release of restricted</w:t>
            </w:r>
          </w:p>
        </w:tc>
        <w:tc>
          <w:tcPr>
            <w:tcW w:w="76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6,000,000</w:t>
            </w:r>
          </w:p>
        </w:tc>
        <w:tc>
          <w:tcPr>
            <w:tcW w:w="3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units</w:t>
            </w:r>
          </w:p>
        </w:tc>
        <w:tc>
          <w:tcPr>
            <w:tcW w:w="7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76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30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6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2,483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2,483</w:t>
            </w: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Pay-to-Play financing charge</w:t>
            </w:r>
          </w:p>
        </w:tc>
        <w:tc>
          <w:tcPr>
            <w:tcW w:w="76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6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35,771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35,771</w:t>
            </w: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Debt financing charge on convertible notes</w:t>
            </w:r>
          </w:p>
        </w:tc>
        <w:tc>
          <w:tcPr>
            <w:tcW w:w="76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2,640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2,640</w:t>
            </w: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8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(87,589)</w:t>
            </w: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(87,589)</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at December 31, 2023</w:t>
            </w:r>
          </w:p>
        </w:tc>
        <w:tc>
          <w:tcPr>
            <w:tcW w:w="76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44,494,703</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173,347</w:t>
            </w:r>
          </w:p>
        </w:tc>
        <w:tc>
          <w:tcPr>
            <w:tcW w:w="1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17,454,353</w:t>
            </w:r>
          </w:p>
        </w:tc>
        <w:tc>
          <w:tcPr>
            <w:tcW w:w="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78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124,225</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2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141,496</w:t>
            </w:r>
          </w:p>
        </w:tc>
        <w:tc>
          <w:tcPr>
            <w:tcW w:w="2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(368,056)</w:t>
            </w: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(226,560)</w:t>
            </w: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76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65,646</w:t>
            </w:r>
          </w:p>
        </w:tc>
        <w:tc>
          <w:tcPr>
            <w:tcW w:w="30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6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3,847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3,847</w:t>
            </w: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8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6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(61,195)</w:t>
            </w: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(61,195)</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at December 31, 2024</w:t>
            </w:r>
          </w:p>
        </w:tc>
        <w:tc>
          <w:tcPr>
            <w:tcW w:w="76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44,494,703</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173,347</w:t>
            </w:r>
          </w:p>
        </w:tc>
        <w:tc>
          <w:tcPr>
            <w:tcW w:w="18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17,519,999</w:t>
            </w:r>
          </w:p>
        </w:tc>
        <w:tc>
          <w:tcPr>
            <w:tcW w:w="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78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124,225</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2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145,441</w:t>
            </w:r>
          </w:p>
        </w:tc>
        <w:tc>
          <w:tcPr>
            <w:tcW w:w="2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(429,251)</w:t>
            </w: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(283,810)</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40"/>
          </w:cols>
          <w:pgMar w:left="320" w:top="455" w:right="4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380" w:type="dxa"/>
            <w:vAlign w:val="bottom"/>
            <w:tcBorders>
              <w:bottom w:val="single" w:sz="8" w:color="CCEEFF"/>
            </w:tcBorders>
          </w:tcPr>
          <w:p>
            <w:pPr>
              <w:spacing w:after="0"/>
              <w:rPr>
                <w:sz w:val="15"/>
                <w:szCs w:val="15"/>
                <w:color w:val="auto"/>
              </w:rPr>
            </w:pPr>
          </w:p>
        </w:tc>
        <w:tc>
          <w:tcPr>
            <w:tcW w:w="20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73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(61,195)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(87,589)</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886</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649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815</w:t>
            </w:r>
          </w:p>
        </w:tc>
        <w:tc>
          <w:tcPr>
            <w:tcW w:w="0" w:type="dxa"/>
            <w:vAlign w:val="bottom"/>
          </w:tcPr>
          <w:p>
            <w:pPr>
              <w:spacing w:after="0"/>
              <w:rPr>
                <w:sz w:val="1"/>
                <w:szCs w:val="1"/>
                <w:color w:val="auto"/>
              </w:rPr>
            </w:pPr>
          </w:p>
        </w:tc>
      </w:tr>
      <w:tr>
        <w:trPr>
          <w:trHeight w:val="148"/>
        </w:trPr>
        <w:tc>
          <w:tcPr>
            <w:tcW w:w="73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Pay-to-Play financing charge</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35,832</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Debt financing charge on convertible notes</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464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3,145</w:t>
            </w:r>
          </w:p>
        </w:tc>
        <w:tc>
          <w:tcPr>
            <w:tcW w:w="0" w:type="dxa"/>
            <w:vAlign w:val="bottom"/>
          </w:tcPr>
          <w:p>
            <w:pPr>
              <w:spacing w:after="0"/>
              <w:rPr>
                <w:sz w:val="1"/>
                <w:szCs w:val="1"/>
                <w:color w:val="auto"/>
              </w:rPr>
            </w:pPr>
          </w:p>
        </w:tc>
      </w:tr>
      <w:tr>
        <w:trPr>
          <w:trHeight w:val="148"/>
        </w:trPr>
        <w:tc>
          <w:tcPr>
            <w:tcW w:w="73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3,847</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2,483</w:t>
            </w:r>
          </w:p>
        </w:tc>
        <w:tc>
          <w:tcPr>
            <w:tcW w:w="0" w:type="dxa"/>
            <w:vAlign w:val="bottom"/>
          </w:tcPr>
          <w:p>
            <w:pPr>
              <w:spacing w:after="0"/>
              <w:rPr>
                <w:sz w:val="1"/>
                <w:szCs w:val="1"/>
                <w:color w:val="auto"/>
              </w:rPr>
            </w:pPr>
          </w:p>
        </w:tc>
      </w:tr>
      <w:tr>
        <w:trPr>
          <w:trHeight w:val="149"/>
        </w:trPr>
        <w:tc>
          <w:tcPr>
            <w:tcW w:w="73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Credit loss expense</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570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148"/>
        </w:trPr>
        <w:tc>
          <w:tcPr>
            <w:tcW w:w="73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(1,124)</w:t>
            </w: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Change in fair value of convertible notes</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10,022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9,532</w:t>
            </w:r>
          </w:p>
        </w:tc>
        <w:tc>
          <w:tcPr>
            <w:tcW w:w="0" w:type="dxa"/>
            <w:vAlign w:val="bottom"/>
          </w:tcPr>
          <w:p>
            <w:pPr>
              <w:spacing w:after="0"/>
              <w:rPr>
                <w:sz w:val="1"/>
                <w:szCs w:val="1"/>
                <w:color w:val="auto"/>
              </w:rPr>
            </w:pPr>
          </w:p>
        </w:tc>
      </w:tr>
      <w:tr>
        <w:trPr>
          <w:trHeight w:val="148"/>
        </w:trPr>
        <w:tc>
          <w:tcPr>
            <w:tcW w:w="73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5,701</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945</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Loss on purchase commitments</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1,165</w:t>
            </w:r>
          </w:p>
        </w:tc>
        <w:tc>
          <w:tcPr>
            <w:tcW w:w="0" w:type="dxa"/>
            <w:vAlign w:val="bottom"/>
          </w:tcPr>
          <w:p>
            <w:pPr>
              <w:spacing w:after="0"/>
              <w:rPr>
                <w:sz w:val="1"/>
                <w:szCs w:val="1"/>
                <w:color w:val="auto"/>
              </w:rPr>
            </w:pPr>
          </w:p>
        </w:tc>
      </w:tr>
      <w:tr>
        <w:trPr>
          <w:trHeight w:val="149"/>
        </w:trPr>
        <w:tc>
          <w:tcPr>
            <w:tcW w:w="73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Noncash loss on lease termination</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(614)</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362</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Accounts receivable - related party</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467</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639</w:t>
            </w:r>
          </w:p>
        </w:tc>
        <w:tc>
          <w:tcPr>
            <w:tcW w:w="0" w:type="dxa"/>
            <w:vAlign w:val="bottom"/>
          </w:tcPr>
          <w:p>
            <w:pPr>
              <w:spacing w:after="0"/>
              <w:rPr>
                <w:sz w:val="1"/>
                <w:szCs w:val="1"/>
                <w:color w:val="auto"/>
              </w:rPr>
            </w:pPr>
          </w:p>
        </w:tc>
      </w:tr>
      <w:tr>
        <w:trPr>
          <w:trHeight w:val="148"/>
        </w:trPr>
        <w:tc>
          <w:tcPr>
            <w:tcW w:w="73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(2,039)</w:t>
            </w: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(2,186)</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(21,630)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49"/>
        </w:trPr>
        <w:tc>
          <w:tcPr>
            <w:tcW w:w="73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Accounts payable and accrued liabilities</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10,988</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9,500</w:t>
            </w:r>
          </w:p>
        </w:tc>
        <w:tc>
          <w:tcPr>
            <w:tcW w:w="0" w:type="dxa"/>
            <w:vAlign w:val="bottom"/>
          </w:tcPr>
          <w:p>
            <w:pPr>
              <w:spacing w:after="0"/>
              <w:rPr>
                <w:sz w:val="1"/>
                <w:szCs w:val="1"/>
                <w:color w:val="auto"/>
              </w:rPr>
            </w:pPr>
          </w:p>
        </w:tc>
      </w:tr>
      <w:tr>
        <w:trPr>
          <w:trHeight w:val="148"/>
        </w:trPr>
        <w:tc>
          <w:tcPr>
            <w:tcW w:w="73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(616)</w:t>
            </w: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(854)</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Income taxes payable</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2,108</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(590)</w:t>
            </w:r>
          </w:p>
        </w:tc>
        <w:tc>
          <w:tcPr>
            <w:tcW w:w="0" w:type="dxa"/>
            <w:vAlign w:val="bottom"/>
          </w:tcPr>
          <w:p>
            <w:pPr>
              <w:spacing w:after="0"/>
              <w:rPr>
                <w:sz w:val="1"/>
                <w:szCs w:val="1"/>
                <w:color w:val="auto"/>
              </w:rPr>
            </w:pPr>
          </w:p>
        </w:tc>
      </w:tr>
      <w:tr>
        <w:trPr>
          <w:trHeight w:val="148"/>
        </w:trPr>
        <w:tc>
          <w:tcPr>
            <w:tcW w:w="73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Accrued loss on purchase commitments</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(2,985)</w:t>
            </w: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(3,022)</w:t>
            </w:r>
          </w:p>
        </w:tc>
        <w:tc>
          <w:tcPr>
            <w:tcW w:w="0" w:type="dxa"/>
            <w:vAlign w:val="bottom"/>
          </w:tcPr>
          <w:p>
            <w:pPr>
              <w:spacing w:after="0"/>
              <w:rPr>
                <w:sz w:val="1"/>
                <w:szCs w:val="1"/>
                <w:color w:val="auto"/>
              </w:rPr>
            </w:pPr>
          </w:p>
        </w:tc>
      </w:tr>
      <w:tr>
        <w:trPr>
          <w:trHeight w:val="149"/>
        </w:trPr>
        <w:tc>
          <w:tcPr>
            <w:tcW w:w="73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Accrued compensation</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8"/>
        </w:trPr>
        <w:tc>
          <w:tcPr>
            <w:tcW w:w="73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1,279</w:t>
            </w: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(733)</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380" w:type="dxa"/>
            <w:vAlign w:val="bottom"/>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(53,532)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(27,955)</w:t>
            </w:r>
          </w:p>
        </w:tc>
        <w:tc>
          <w:tcPr>
            <w:tcW w:w="0" w:type="dxa"/>
            <w:vAlign w:val="bottom"/>
          </w:tcPr>
          <w:p>
            <w:pPr>
              <w:spacing w:after="0"/>
              <w:rPr>
                <w:sz w:val="1"/>
                <w:szCs w:val="1"/>
                <w:color w:val="auto"/>
              </w:rPr>
            </w:pPr>
          </w:p>
        </w:tc>
      </w:tr>
      <w:tr>
        <w:trPr>
          <w:trHeight w:val="156"/>
        </w:trPr>
        <w:tc>
          <w:tcPr>
            <w:tcW w:w="73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0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(902)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63"/>
        </w:trPr>
        <w:tc>
          <w:tcPr>
            <w:tcW w:w="7380" w:type="dxa"/>
            <w:vAlign w:val="bottom"/>
          </w:tcPr>
          <w:p>
            <w:pPr>
              <w:ind w:left="720"/>
              <w:spacing w:after="0" w:line="155"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0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(902)</w:t>
            </w:r>
          </w:p>
        </w:tc>
        <w:tc>
          <w:tcPr>
            <w:tcW w:w="3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deferred offering costs</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(4,357)</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Pay-to-Play convertible notes and Common Rights Offering</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9,425</w:t>
            </w:r>
          </w:p>
        </w:tc>
        <w:tc>
          <w:tcPr>
            <w:tcW w:w="0" w:type="dxa"/>
            <w:vAlign w:val="bottom"/>
          </w:tcPr>
          <w:p>
            <w:pPr>
              <w:spacing w:after="0"/>
              <w:rPr>
                <w:sz w:val="1"/>
                <w:szCs w:val="1"/>
                <w:color w:val="auto"/>
              </w:rPr>
            </w:pPr>
          </w:p>
        </w:tc>
      </w:tr>
      <w:tr>
        <w:trPr>
          <w:trHeight w:val="149"/>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convertible notes</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110,718</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12,300</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short term demand notes</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4,925</w:t>
            </w:r>
          </w:p>
        </w:tc>
        <w:tc>
          <w:tcPr>
            <w:tcW w:w="0" w:type="dxa"/>
            <w:vAlign w:val="bottom"/>
          </w:tcPr>
          <w:p>
            <w:pPr>
              <w:spacing w:after="0"/>
              <w:rPr>
                <w:sz w:val="1"/>
                <w:szCs w:val="1"/>
                <w:color w:val="auto"/>
              </w:rPr>
            </w:pPr>
          </w:p>
        </w:tc>
      </w:tr>
      <w:tr>
        <w:trPr>
          <w:trHeight w:val="148"/>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 of short term demand notes</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(4,750)</w:t>
            </w: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149"/>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exercise of stock options</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3"/>
        </w:trPr>
        <w:tc>
          <w:tcPr>
            <w:tcW w:w="7380" w:type="dxa"/>
            <w:vAlign w:val="bottom"/>
          </w:tcPr>
          <w:p>
            <w:pPr>
              <w:ind w:left="720"/>
              <w:spacing w:after="0" w:line="155" w:lineRule="exact"/>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20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101,709</w:t>
            </w:r>
          </w:p>
        </w:tc>
        <w:tc>
          <w:tcPr>
            <w:tcW w:w="3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26,475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47,275</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(1,700)</w:t>
            </w:r>
          </w:p>
        </w:tc>
        <w:tc>
          <w:tcPr>
            <w:tcW w:w="0" w:type="dxa"/>
            <w:vAlign w:val="bottom"/>
          </w:tcPr>
          <w:p>
            <w:pPr>
              <w:spacing w:after="0"/>
              <w:rPr>
                <w:sz w:val="1"/>
                <w:szCs w:val="1"/>
                <w:color w:val="auto"/>
              </w:rPr>
            </w:pPr>
          </w:p>
        </w:tc>
      </w:tr>
      <w:tr>
        <w:trPr>
          <w:trHeight w:val="149"/>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3,213</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4,913</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2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50,488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3,213</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Components of cash, cash equivalents and restricted cash:</w:t>
            </w:r>
          </w:p>
        </w:tc>
        <w:tc>
          <w:tcPr>
            <w:tcW w:w="2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380" w:type="dxa"/>
            <w:vAlign w:val="bottom"/>
            <w:vMerge w:val="continue"/>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50,237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3,213</w:t>
            </w:r>
          </w:p>
        </w:tc>
        <w:tc>
          <w:tcPr>
            <w:tcW w:w="0" w:type="dxa"/>
            <w:vAlign w:val="bottom"/>
          </w:tcPr>
          <w:p>
            <w:pPr>
              <w:spacing w:after="0"/>
              <w:rPr>
                <w:sz w:val="1"/>
                <w:szCs w:val="1"/>
                <w:color w:val="auto"/>
              </w:rPr>
            </w:pPr>
          </w:p>
        </w:tc>
      </w:tr>
      <w:tr>
        <w:trPr>
          <w:trHeight w:val="148"/>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cash (included within Other Assets)</w:t>
            </w: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50,488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3,213</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2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380" w:type="dxa"/>
            <w:vAlign w:val="bottom"/>
            <w:vMerge w:val="continue"/>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paid during the period for taxes</w:t>
            </w:r>
          </w:p>
        </w:tc>
        <w:tc>
          <w:tcPr>
            <w:tcW w:w="2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223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during the period for interest</w:t>
            </w:r>
          </w:p>
        </w:tc>
        <w:tc>
          <w:tcPr>
            <w:tcW w:w="2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245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9"/>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activities:</w:t>
            </w:r>
          </w:p>
        </w:tc>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Reissuance of Shadow Preferred in Pay-to-Play Pull Through Exchange at redemption value</w:t>
            </w:r>
          </w:p>
        </w:tc>
        <w:tc>
          <w:tcPr>
            <w:tcW w:w="2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109,327</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asset obtained in exchange for new operating lease liabilities</w:t>
            </w:r>
          </w:p>
        </w:tc>
        <w:tc>
          <w:tcPr>
            <w:tcW w:w="2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1,673</w:t>
            </w:r>
          </w:p>
        </w:tc>
        <w:tc>
          <w:tcPr>
            <w:tcW w:w="0" w:type="dxa"/>
            <w:vAlign w:val="bottom"/>
          </w:tcPr>
          <w:p>
            <w:pPr>
              <w:spacing w:after="0"/>
              <w:rPr>
                <w:sz w:val="1"/>
                <w:szCs w:val="1"/>
                <w:color w:val="auto"/>
              </w:rPr>
            </w:pPr>
          </w:p>
        </w:tc>
      </w:tr>
      <w:tr>
        <w:trPr>
          <w:trHeight w:val="149"/>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acquired in accounts payable &amp; accrued expenses</w:t>
            </w:r>
          </w:p>
        </w:tc>
        <w:tc>
          <w:tcPr>
            <w:tcW w:w="2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510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Right-of-use assets and lease liabilities extinguished upon termination of lease, net of gain</w:t>
            </w:r>
          </w:p>
        </w:tc>
        <w:tc>
          <w:tcPr>
            <w:tcW w:w="2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49"/>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warrants with convertible notes</w:t>
            </w:r>
          </w:p>
        </w:tc>
        <w:tc>
          <w:tcPr>
            <w:tcW w:w="2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4,816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1,690</w:t>
            </w:r>
          </w:p>
        </w:tc>
        <w:tc>
          <w:tcPr>
            <w:tcW w:w="0" w:type="dxa"/>
            <w:vAlign w:val="bottom"/>
          </w:tcPr>
          <w:p>
            <w:pPr>
              <w:spacing w:after="0"/>
              <w:rPr>
                <w:sz w:val="1"/>
                <w:szCs w:val="1"/>
                <w:color w:val="auto"/>
              </w:rPr>
            </w:pPr>
          </w:p>
        </w:tc>
      </w:tr>
      <w:tr>
        <w:trPr>
          <w:trHeight w:val="148"/>
        </w:trPr>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Capitalized deferred offering costs included in accounting payable and accrued liabilities</w:t>
            </w:r>
          </w:p>
        </w:tc>
        <w:tc>
          <w:tcPr>
            <w:tcW w:w="2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6,764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1,491</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40"/>
          </w:cols>
          <w:pgMar w:left="320" w:top="455" w:right="4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Blaize, Inc. (collectively “Blaize” or “the Company”) was originally incorporated on February 16, 2010, as a Delaware corporation under the name of ThinCI, Inc. and commenced operations at that time. On October 17, 2019, the Company’s Board of Directors adopted a Restated Certificate of Incorporation, which changed the Company’s name to Blaize, Inc. The Company is headquartered in El Dorado Hills, California, and consists of four separate legal entities: Blaize, Inc. (United States of America), Blaize New Computing Technologies India Private Limited (India), Blaize Technologies Philippines, Inc. (Philippines) and Blaize U.K. LTD (England). Blaize designs and develops low-power, high-efficiency, programmable artificial intelligence (“AI”) edge computing hardware and software. Blaize leads a new generation of computing, which unleashes the potential of AI in order to enable significant increases in the value that technology delivers to improve the way people work and live. The Company offers transformative edge computing solutions for AI data collection and processing, with a focus on smart vision and other AI applications for the automotive, retail, security and industrial markets.</w:t>
      </w:r>
    </w:p>
    <w:p>
      <w:pPr>
        <w:spacing w:after="0" w:line="188"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November 2023, the Company entered into a Memorandum of Understanding with a United Arab Emirates (“UAE”) based third-party investment entity to establish a cooperative framework for both entities to discuss and explore commercial and technical collaboration in the UAE. The collaboration is intended to be operationalized through a newly created entity, Blaize Artificial Intelligence Middle East, LLC, in which the Company has a 35% ownership. As of December 31, 2024, there has not been an operating agreement executed between the Company and the holder of the 65% interest that would make the Company the primary beneficiary of this new legal entity. The newly established entity has incurred insignificant expenses since its incorporation.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On January 13, 2025 (the “Closing Date”), BurTech Acquisition Corp. (“BurTech”) and its subsidiary, BurTech Merger Sub, Inc, (“Merger Sub”), and Blaize, Inc. (“Legacy Blaize”) consummated the transaction contemplated by the Agreement and Plan of Merger (the “Merger Agreement”), dated as of December 22, 2023 (as amended on April 22, 2024, October 24, 2024 and November 21, 2024), with BurTech Merger Sub, Inc., Blaize, Inc., and for the limited purposes set forth therein, Burkhan Capital LLC, a Delaware limited liability company and affiliate of BurTech (“Burkhan”). Under the Merger Agreement, Merger Sub was merged with and into the Company, with the Company surviving the merger as a wholly owned subsidiary of BurTech (the “Business Combination” and, together with the other transactions contemplated by the Merger Agreement, the “Merger”).</w:t>
      </w:r>
    </w:p>
    <w:p>
      <w:pPr>
        <w:spacing w:after="0" w:line="17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Concurrent with the Merger, BurTech was renamed Blaize Holdings, Inc. (“Blaize Holdings”). Beginning on January 14, 2025, Blaize Holdings’ common stock and warrants trade on NASDAQ under the ticker symbols “BZAI” and “BZAIW”, respectively.</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Prior to the Merger, BurTech LP LLC was the sponsor of BurTech (the “Sponsor”) and with the close of the Merger either BurTech LP LLC or its affiliated entities, has remained a significant shareholder in Blaize Holdings.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equity exchange and other financing-related matters associated with the Merger are summarized as follows: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Legacy Blaize Convertible Promissory Notes and Equity</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Immediately before the closing of the Merger, the convertible notes outstanding plus all accrued and unpaid interest, each of the issued and outstanding shares of redeemable convertible preferred stock, and all outstanding</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080"/>
          </w:cols>
          <w:pgMar w:left="320" w:top="455" w:right="4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warrants, net exercised, were automatically converted into shares of the Company’s common stock. Upon the consummation of the Merger, each share of the Company’s common stock issued and outstanding were canceled and converted into the right to receive shares of Blaize Holdings Class A common stock and each share of Merger Sub Capital Stock was converted into one share of Blaize Holdings Class A common stock, par value $0.0001.</w:t>
      </w:r>
    </w:p>
    <w:p>
      <w:pPr>
        <w:spacing w:after="0" w:line="158"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Further upon the Closing Date, (i) each Company option granted was converted into (a) the right to receive a number of Blaize Holdings Earnout Shares and (b) a Blaize Holdings option, upon substantially the same terms and conditions as in effect with respect to the corresponding Company option and (ii) each Company RSU granted was converted into (a) the right to receive a number of Blaize Holdings Earnout Shares and (b) a Blaize Holdings restricted stock unit (“RSU”), upon substantially the same terms and conditions as in effect with respect to the corresponding Blaize RSU.</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Earnout Arrangement with holders of Legacy Blaize Common Stock and outstanding equity awards</w:t>
      </w:r>
    </w:p>
    <w:p>
      <w:pPr>
        <w:spacing w:after="0" w:line="121"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Concurrent with the Closing Date, holders of the Company common stock and outstanding equity awards (including stock options and RSU holders) agreed to the right to receive up to an aggregate amount of 15,000,000 shares of Blaize Holdings Class A Common Stock (the “Earnout Shares”) during specified periods following the Merger (the “Earnout Period”) that will be issued if the following targets or triggering events are achieved:</w:t>
      </w:r>
    </w:p>
    <w:p>
      <w:pPr>
        <w:spacing w:after="0" w:line="85" w:lineRule="exact"/>
        <w:rPr>
          <w:sz w:val="20"/>
          <w:szCs w:val="20"/>
          <w:color w:val="auto"/>
        </w:rPr>
      </w:pPr>
    </w:p>
    <w:p>
      <w:pPr>
        <w:ind w:left="1080" w:hanging="424"/>
        <w:spacing w:after="0" w:line="261"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3,750,000 Earnout Shares will be issued upon the occurrence of the first date during the Earnout Period on which the closing stock price of Blaize Holdings Class A Common Stock is greater than or equal to $12.50 per share for twenty (20) trading days within a thirty</w:t>
      </w:r>
    </w:p>
    <w:p>
      <w:pPr>
        <w:ind w:left="1440" w:hanging="352"/>
        <w:spacing w:after="0"/>
        <w:tabs>
          <w:tab w:leader="none" w:pos="14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 period;</w:t>
      </w:r>
    </w:p>
    <w:p>
      <w:pPr>
        <w:spacing w:after="0" w:line="112"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3,750,000 Earnout Shares will be issued upon the occurrence of the first date during the Earnout Period on which the closing stock price of Blaize Holdings Class A Common Stock is greater than or equal to $15.00 per share for twenty (20) trading days within a thirty</w:t>
      </w:r>
    </w:p>
    <w:p>
      <w:pPr>
        <w:ind w:left="1440" w:hanging="352"/>
        <w:spacing w:after="0"/>
        <w:tabs>
          <w:tab w:leader="none" w:pos="14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 period;</w:t>
      </w:r>
    </w:p>
    <w:p>
      <w:pPr>
        <w:spacing w:after="0" w:line="112"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3,750,000 Earnout Shares will be issued upon the occurrence of the first date during the Earnout Period on which the closing stock price of Blaize Holdings Class A Common Stock is greater than or equal to $17.50 per share for twenty (20) trading days within a thirty</w:t>
      </w:r>
    </w:p>
    <w:p>
      <w:pPr>
        <w:ind w:left="1440" w:hanging="352"/>
        <w:spacing w:after="0"/>
        <w:tabs>
          <w:tab w:leader="none" w:pos="14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 period;</w:t>
      </w:r>
    </w:p>
    <w:p>
      <w:pPr>
        <w:spacing w:after="0" w:line="112"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3,750,000 Earnout Shares will be issued upon the occurrence of the first date during the Earnout Period on which the closing stock price of Blaize Holdings Class A Common Stock is greater than or equal to $20.00 per share for twenty (20) trading days within a thirty</w:t>
      </w:r>
    </w:p>
    <w:p>
      <w:pPr>
        <w:ind w:left="1440" w:hanging="352"/>
        <w:spacing w:after="0"/>
        <w:tabs>
          <w:tab w:leader="none" w:pos="14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 period.</w:t>
      </w:r>
    </w:p>
    <w:p>
      <w:pPr>
        <w:spacing w:after="0" w:line="20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Company employees entitled to receive Earnout Shares with respect to Blaize Holdings options and RSUs, must provide service through the date the target is achieved and if an employee departs, the Earnout Shares are reallocated to the remaining pool of recipients who received the right to the Earnout Shares on the Closing Date.</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Additionally, Burkhan agreed to the right to receive up to an aggregate amount of 2,600,000 shares of Blaize Holdings Class A Common Stock following the occurrence of each triggering event stated above (the “Burkhan Earnout Shares”). The Burkhan Earnout Shares will vest in four equal tranches of 325,000 shares plus 325,000 Blaize Holdings Class A Common Stock multiplied by the cash ratio (the “Proportionate Shares Number”). The “Cash Ratio” is the ratio equal to (x) Available Acquiror Cash, divided by (y) the Minimum Cash Amount (both of such terms as defined in the Merger Agreements).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00"/>
          </w:cols>
          <w:pgMar w:left="320" w:top="455" w:right="47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Arrangements entered into at time of Merger or assumed upon Merger:</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Blaize Warrants</w:t>
      </w:r>
    </w:p>
    <w:p>
      <w:pPr>
        <w:spacing w:after="0" w:line="121" w:lineRule="exact"/>
        <w:rPr>
          <w:sz w:val="20"/>
          <w:szCs w:val="20"/>
          <w:color w:val="auto"/>
        </w:rPr>
      </w:pPr>
    </w:p>
    <w:p>
      <w:pPr>
        <w:ind w:left="560" w:right="840"/>
        <w:spacing w:after="0" w:line="282" w:lineRule="auto"/>
        <w:rPr>
          <w:sz w:val="20"/>
          <w:szCs w:val="20"/>
          <w:color w:val="auto"/>
        </w:rPr>
      </w:pPr>
      <w:r>
        <w:rPr>
          <w:rFonts w:ascii="Times New Roman" w:cs="Times New Roman" w:eastAsia="Times New Roman" w:hAnsi="Times New Roman"/>
          <w:sz w:val="18"/>
          <w:szCs w:val="18"/>
          <w:color w:val="auto"/>
        </w:rPr>
        <w:t>On January 13, 2025, upon closing of the Merger, 28,750,000 of public warrants and 898,250 of private warrants of BurTech that were outstanding immediately before to the Merger became warrants of Blaize Holdings.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PIPE Shares</w:t>
      </w:r>
    </w:p>
    <w:p>
      <w:pPr>
        <w:spacing w:after="0" w:line="121"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From December 31, 2024 through January 13, 2025, BurTech and certain subscribers (each, a “Subscriber” and collectively, the “Subscribers”) entered into subscription agreements (each, a “PIPE Subscription Agreement” and collectively, the “PIPE Subscription Agreements”) under which BurTech agreed to issue and sell to the Subscribers, immediately before the Closing Date, collectively, 1,540,300 shares of Class A Stock (the “PIPE Shares”) at a price per share equal to $10.00 (the “PIPE Investment”). Such shares that were outstanding immediately prior to the Merger became shares of Blaize Holdings. See Note 17.</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Sponsor Note</w:t>
      </w:r>
    </w:p>
    <w:p>
      <w:pPr>
        <w:spacing w:after="0" w:line="121"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the Sponsor issued a secured promissory note and pledge agreement (the “Sponsor Note”) to BurTech (the “Holder”) in the principal amount of $8,753,744 bearing an interest rate of 7% with annual compounding, compounded on December 31 each year the Sponsor Note remains outstanding for the remaining principal amount of the Sponsor Note as at the maturity date, until such remaining principal amount is paid. Pursuant to the Sponsor Note, the Sponsor granted a first priority security interest in, and pledges, 2,000,000 shares of Class A Stock and all additions, accessions and substitutions to the Holder to secure the satisfaction by the Sponsor of all its obligations to the Holder under the Sponsor Note. The Sponsor Note was issued in connection with the consummation of the Business Combination in satisfaction of the acquiror transaction expenses (as defined in the Merger Agreement) that were due to third-party service providers on or immediately following the Merger. As consideration for entry into the Sponsor Note, BurTech issued 750,000 shares of Class A Stock (“Sponsor Note Shares”) to the Sponsor in accordance with the terms of the Sponsor Note (the “Sponsor Note Issuance” and together with the PIPE Investment, the “Private Placements”). The shares of Class A Stock issued in consideration for the Sponsor Note were offered in a private placement under the Securities Act, pursuant to the Sponsor Note. Upon the Closing Date, such shares and note remained outstanding instruments of Blaize Holdings. See Note 17.</w:t>
      </w:r>
    </w:p>
    <w:p>
      <w:pPr>
        <w:spacing w:after="0" w:line="2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w:t>
      </w:r>
    </w:p>
    <w:p>
      <w:pPr>
        <w:spacing w:after="0" w:line="121" w:lineRule="exact"/>
        <w:rPr>
          <w:sz w:val="20"/>
          <w:szCs w:val="20"/>
          <w:color w:val="auto"/>
        </w:rPr>
      </w:pPr>
    </w:p>
    <w:p>
      <w:pPr>
        <w:ind w:left="560" w:right="140"/>
        <w:spacing w:after="0" w:line="256" w:lineRule="auto"/>
        <w:rPr>
          <w:sz w:val="20"/>
          <w:szCs w:val="20"/>
          <w:color w:val="auto"/>
        </w:rPr>
      </w:pPr>
      <w:r>
        <w:rPr>
          <w:rFonts w:ascii="Times New Roman" w:cs="Times New Roman" w:eastAsia="Times New Roman" w:hAnsi="Times New Roman"/>
          <w:sz w:val="18"/>
          <w:szCs w:val="18"/>
          <w:color w:val="auto"/>
        </w:rPr>
        <w:t>On and around December 31, 2024, BurTech entered into an agreement (“Non-Redemption Agreement”) with one or more unaffiliated stockholders of BurTech (each, an “Investor”) who agreed not to redeem (or validly rescind any redemption requests on) their shares of BurTech Class A common stock, par value $0.0001 per share of BurTech (“Non-Redeemed Shares”). In exchange for the foregoing commitments not to redeem the Non-Redeemed Shares, Blaize and BurTech LP LLC have agreed to guarantee that each Investor receives a return of $1.50 per Non-Redeemed Share whether an Investor (i) sells the Non-Redeemed Shares in the open market or (ii) exercises its option to require Blaize Holdings to repurchase the Non-Redeemed Shares in accordance with the Non-Redemption Agreement.</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00"/>
          </w:cols>
          <w:pgMar w:left="320" w:top="455" w:right="47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ind w:left="560" w:right="100"/>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at the Closing Date, Blaize Holdings, the Sponsor, certain significant securityholders of the Company and certain of their respective affiliates entered into an Amended and Restated Registration Rights Agreement (the “Registration Rights Agreement”), in which Blaize Holdings agreed to register for resale, pursuant to Rule 415 under the Securities Act of 1933, as amended (the “Securities Act”), certain shares of Blaize Holdings Class A Common Stock and other equity securities of Blaize Holdings that are held by the parties thereto from time to time on the terms and subject to the conditions set forth therein.</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w:t>
      </w:r>
    </w:p>
    <w:p>
      <w:pPr>
        <w:spacing w:after="0" w:line="121" w:lineRule="exact"/>
        <w:rPr>
          <w:sz w:val="20"/>
          <w:szCs w:val="20"/>
          <w:color w:val="auto"/>
        </w:rPr>
      </w:pPr>
    </w:p>
    <w:p>
      <w:pPr>
        <w:ind w:left="560" w:right="60"/>
        <w:spacing w:after="0" w:line="254" w:lineRule="auto"/>
        <w:rPr>
          <w:sz w:val="20"/>
          <w:szCs w:val="20"/>
          <w:color w:val="auto"/>
        </w:rPr>
      </w:pPr>
      <w:r>
        <w:rPr>
          <w:rFonts w:ascii="Times New Roman" w:cs="Times New Roman" w:eastAsia="Times New Roman" w:hAnsi="Times New Roman"/>
          <w:sz w:val="18"/>
          <w:szCs w:val="18"/>
          <w:color w:val="auto"/>
        </w:rPr>
        <w:t>At the Closing Date, Blaize Holdings entered into lock-up agreements (the “Lock-up Agreements”) with (i) certain of Blaize Holdings’ directors and officers, (ii) certain stockholders of Blaize Holdings and (iii) Burkhan, in each case, restricting the transfer of Blaize Holdings Class A Common Stock and any shares of Blaize Holdings Class A Common Stock issuable upon the exercise or settlement, as applicable, of Blaize Holdings Options or Blaize Holdings RSUs held by it immediately after the effective time of the Merger. The restrictions under the Lock-up Agreements began at the Closing Date and end on the date that is 180 days after the Closing Date, or upon the earlier of (x) the last reported sale price of Blaize Holdings common stock reaching $12.00 per share (as adjusted for stock splits, stock dividends, reorganizations, recapitalizations and the like) for any 20 trading days within any 30-trading day period commencing at least 150 days after the Closing Date and (y) the liquidation of Blaize Holdings.</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Business Combination</w:t>
      </w:r>
    </w:p>
    <w:p>
      <w:pPr>
        <w:spacing w:after="0" w:line="121" w:lineRule="exact"/>
        <w:rPr>
          <w:sz w:val="20"/>
          <w:szCs w:val="20"/>
          <w:color w:val="auto"/>
        </w:rPr>
      </w:pPr>
    </w:p>
    <w:p>
      <w:pPr>
        <w:jc w:val="both"/>
        <w:ind w:left="560" w:right="160"/>
        <w:spacing w:after="0" w:line="266" w:lineRule="auto"/>
        <w:rPr>
          <w:sz w:val="20"/>
          <w:szCs w:val="20"/>
          <w:color w:val="auto"/>
        </w:rPr>
      </w:pPr>
      <w:r>
        <w:rPr>
          <w:rFonts w:ascii="Times New Roman" w:cs="Times New Roman" w:eastAsia="Times New Roman" w:hAnsi="Times New Roman"/>
          <w:sz w:val="18"/>
          <w:szCs w:val="18"/>
          <w:color w:val="auto"/>
        </w:rPr>
        <w:t>The merger between the Company and BurTech will be accounted for as a reverse recapitalization, with BurTech being treated as the “acquired” company for financial reporting purposes. Blaize has been determined to be the accounting acquirer of BurTech based on the following facts and circumstances:</w:t>
      </w:r>
    </w:p>
    <w:p>
      <w:pPr>
        <w:spacing w:after="0" w:line="81" w:lineRule="exact"/>
        <w:rPr>
          <w:sz w:val="20"/>
          <w:szCs w:val="20"/>
          <w:color w:val="auto"/>
        </w:rPr>
      </w:pPr>
    </w:p>
    <w:p>
      <w:pPr>
        <w:ind w:left="1540" w:right="200" w:hanging="331"/>
        <w:spacing w:after="0" w:line="282" w:lineRule="auto"/>
        <w:tabs>
          <w:tab w:leader="none" w:pos="1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 is the larger entity in terms of substantive operations and employee base and its operations represent the ongoing operations of the combined entity.</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existing shareholders have the greatest voting interest in the combined entity.</w:t>
      </w:r>
    </w:p>
    <w:p>
      <w:pPr>
        <w:spacing w:after="0" w:line="130" w:lineRule="exact"/>
        <w:rPr>
          <w:rFonts w:ascii="Times New Roman" w:cs="Times New Roman" w:eastAsia="Times New Roman" w:hAnsi="Times New Roman"/>
          <w:sz w:val="18"/>
          <w:szCs w:val="18"/>
          <w:color w:val="auto"/>
        </w:rPr>
      </w:pPr>
    </w:p>
    <w:p>
      <w:pPr>
        <w:ind w:left="1540" w:right="120" w:hanging="331"/>
        <w:spacing w:after="0" w:line="282" w:lineRule="auto"/>
        <w:tabs>
          <w:tab w:leader="none" w:pos="1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existing shareholders have the ability to control decisions regarding election and removal of the combined entity’s board of directors.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senior management is the senior management of the combined entity.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name is named Blaize Holdings, Inc., i.e. the combined entity has assumed Blaize’s name.</w:t>
      </w:r>
    </w:p>
    <w:p>
      <w:pPr>
        <w:spacing w:after="0" w:line="117"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For accounting purposes, the reverse recapitalization is the equivalent of the Company issuing stock for the net assets of BurTech, accompanied by a recapitalization. The net assets of BurTech will be stated at historical cost, with no goodwill or other intangible assets being recorded. Operations prior to the reverse recapitalization will be those of the Company. The consolidated financial statements as of and for the periods prior to December 31, 2024 have not been adjusted to reflect the Merger.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on a going concern basis, which assumes that it will be able to meet its obligations and continue its operations during the twelve months following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40"/>
          </w:cols>
          <w:pgMar w:left="320" w:top="455" w:right="4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the issuance of these consolidated financial statements. These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Since inception of the Company and through December 31, 2024, the Company has funded its operations primarily with cash flows from contributions from founders or other investors and other financing activities. The Company has incurred recurring losses and negative cash flows since its inception, including a net loss of $61.2 million and $87.6 million for the years ended December 31, 2024 and 2023, respectively. As of December 31, 2024, the Company had cash and cash equivalents of approximately $50.2 million, a net working capital deficit of $114.5 million, and an accumulated deficit of $429.3 million.</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Company’s ability to continue to meet its obligations, to achieve its business objectives and continue as a going concern is dependent upon several factors, including the Company’s revenue growth rate,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issuances of additional debt financing and public or private equity offerings or other means. If additional financing is required from outside sources, the Company may not be able to raise it on terms acceptable to the Company or at all. If the Company is unable to raise additional capital when desired, the Company’s business, results of operations and financial condition would be materially and adversely affected.</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As a result of the above, in connection with the Company’s assessment of going concern considerations in accordance with Financial Accounting Standard Board’s (“FASB”) Accounting Standards Update (“ASU”) 2014-15, </w:t>
      </w:r>
      <w:r>
        <w:rPr>
          <w:rFonts w:ascii="Times New Roman" w:cs="Times New Roman" w:eastAsia="Times New Roman" w:hAnsi="Times New Roman"/>
          <w:sz w:val="18"/>
          <w:szCs w:val="18"/>
          <w:i w:val="1"/>
          <w:iCs w:val="1"/>
          <w:color w:val="auto"/>
        </w:rPr>
        <w:t>Disclosures of Uncertainties about an Entity’s Ability to Continue as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management has determined that the Company’s liquidity condition raises substantial doubt about the Company’s ability to continue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going concern through a year from the date these consolidated financial statements are available to be issued.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generally accepted accounting principles in the United States (“U.S. GAAP”) and reflect all adjustments, including normal recurring adjustments, which, in the opinion of management, are necessary to present fairly the financial position, results of operations, and cash flows for the periods presented in accordance with U.S. GAAP. The consolidated financial statements include the financial statements of the Company and its wholly-owned subsidiaries. All intercompany balances and transactions have been eliminated upon consolidation.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accordance with U.S. GAAP requires the Company to make estimates and assumptions that affect the reported amounts of assets and liabilities and disclosure of contingent assets and liabilities at the date of the consolidated financial statements and the reported amounts of revenues and expenses during the reporting periods presented. Such estimates and assumptions include, but are not limited to, those related to revenue recognition, the valuation of accounts receivable, the net realizable value of inventory, the useful lives of long-lived assets, the incremental borrowing rate used in calculating operating lease right of use assets, the accounting for income taxes, the estimates used to evaluate the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00"/>
          </w:cols>
          <w:pgMar w:left="320" w:top="455" w:right="47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recoverability of long-lived assets, amortization method and periods for capitalized software, and the estimated fair value of convertible notes, warrant liabilities, and common stock, and stock-based compensation expense. Management evaluates its estimates and assumptions on an ongoing basis using historical experience and other factors, including the current economic environment, and adjusts such estimates and assumptions when facts and circumstances dictate. As future events and their effects cannot be determined with precision, actual results could differ significantly from these estimates.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Company considers all highly liquid investments with an original maturity of 90 days or less to be cash equivalents in the consolidated financial statements. The Company’s cash equivalents are primarily comprised of U.S. Government treasury securities, mutual funds, and money market funds. The Company has cash deposits in a financial institution that, at times, may be in excess of Federal Deposit Insurance Corporation (“FDIC”) insurance limits. The Company has not experienced losses in such accounts and periodically evaluates the creditworthiness of its financial institutions.</w:t>
      </w:r>
    </w:p>
    <w:p>
      <w:pPr>
        <w:spacing w:after="0" w:line="16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 had cash and cash equivalents balances in excess of domestic and international insurance limits of approximately $49.3 million and $2.2 million, respectively.</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held $30.6 million in U.S. Government treasury securities, $9.2 million in a U.S. Government money market fund, and $5.1 million in mutual funds (see Note 4). As of December 31, 2023, the Company had no cash equivalents.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Restricted cash represents cash balances held as security deposits related to international payment services. As of December 31, 2024, restricted cash of $0.3 million was included within other assets on the consolidated balance sheets. As of December 31, 2023, the Company had no restricted cash.</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Accounts receivable, net is recorded at the invoiced amount and does not accrue interest. The allowance for credit losses is the Company’s estimate of the amount of probable credit losses in the Company’s existing accounts receivable. The Company determines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the product or service rendered. Account balances are charged off against the allowance after all means of collection have been exhausted and the potential for recovery is considered remote. The allowance for credit losses was $0.4 million as of December 31, 2024 and 2023, respectively. As of December 31, 2024 and 2023, the Company’s accounts receivable included zero and approximately $0.5 million, respectively, of unbilled accounts receivable (See Note 13).</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both"/>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Inventories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 the estimated costs necessary to make the sale. Adjustments to reduce the cost of inventory to its net realizable</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00"/>
          </w:cols>
          <w:pgMar w:left="320" w:top="455" w:right="47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consolidated statement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computed using the straight-line method over the following estimated useful lives: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years</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years</w:t>
            </w: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Shorter of the related lease term or useful life</w:t>
            </w:r>
          </w:p>
        </w:tc>
      </w:tr>
    </w:tbl>
    <w:p>
      <w:pPr>
        <w:spacing w:after="0" w:line="198"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 capitalizes additions and improvements while repair and maintenance costs are expensed to operations as incurred. Upon retirement or sale of a fixed asset, the cost of the asset and related accumulated depreciation are removed from the accounts and the net amount, less proceeds from disposal, is credited or charged as a gain or loss in the consolidated statements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based on the unique facts and circumstances present at the inception of the arrangement and if such a lease is classified as a financing lease or operating lease. Operating lease right-of-use (“ROU”) assets and liabilities are recognized at the commencement date based on the present value of lease payments over the lease term. Operating lease ROU assets also include any initial direct costs and prepayments less lease incentives. Lease terms include periods under options to extend or terminate the lease when it is reasonably certain that the Company will exercise that option. The Company generally uses the base, non-cancelable, lease term when determining the lease assets and liabilities. As of December 31, 2024 and 2023, the Company had no finance leases.</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Lease terms may include options to extend or terminate the lease when it is reasonably certain that the Company will exercise such options. As the Company’s leases do not provide an implicit rate, the Company uses its collateralized incremental borrowing rate based on the information available at the lease commencement date, including any reasonably certain renewal lease term, in determining the present value of lease payments. Lease expense for these operating leases is recognized on a straight-line basis over the lease term and is reflected in the consolidated statements of operations in selling, general and administrative expenses. Payments under lease arrangements are primarily fixed, however, most lease agreements also contain variable payments. Variable lease payments are expensed as incurred and not included in the operating lease ROU assets and lease liabilities. These variable amounts primarily include payments for taxes, parking and common area maintenance.</w:t>
      </w:r>
    </w:p>
    <w:p>
      <w:pPr>
        <w:spacing w:after="0" w:line="18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Company has made an accounting policy election not to recognize ROU assets and lease obligations for its short-term leases, which are defined as leases with an initial term of twelve months or less. However, the Company will recognize these lease payments in the consolidated statements of operations on a straight-line basis over the lease term and variable lease payments in the period in which the obligation is incurred. Lease payments for month-to-month leases are recognized as incurred.</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40"/>
          </w:cols>
          <w:pgMar w:left="320" w:top="455" w:right="4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Software development costs for software to be sold, leased, or marketed are accounted for in accordance with Accounting Standards Codification (“ASC”) 985-20, </w:t>
      </w:r>
      <w:r>
        <w:rPr>
          <w:rFonts w:ascii="Times New Roman" w:cs="Times New Roman" w:eastAsia="Times New Roman" w:hAnsi="Times New Roman"/>
          <w:sz w:val="18"/>
          <w:szCs w:val="18"/>
          <w:i w:val="1"/>
          <w:iCs w:val="1"/>
          <w:color w:val="auto"/>
        </w:rPr>
        <w:t>Software — Costs of Software to be Sold, Leased or Marketed</w:t>
      </w:r>
      <w:r>
        <w:rPr>
          <w:rFonts w:ascii="Times New Roman" w:cs="Times New Roman" w:eastAsia="Times New Roman" w:hAnsi="Times New Roman"/>
          <w:sz w:val="18"/>
          <w:szCs w:val="18"/>
          <w:color w:val="auto"/>
        </w:rPr>
        <w:t>. Under ASC 985-20, software development costs incurred in creating software solutions are expensed until technological feasibility has been established and costs are determined to be recoverable. Thereafter, all software development costs incurred through the software’s general release date to customers are capitalized and subsequently recorded at the lower of amortized cost or net realizable value. To date, the establishment of technological feasibility of the Company’s software solutions has occurred shortly before the software’s general release date to customers. Additionally, amortization is calculated on a software feature-by-feature basis and the estimated economic life of a feature is one year. To date, the impact of capitalizing qualifying software development costs has been immaterial.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Deferred offering costs, which consist of direct incremental legal, consulting and banking fees primarily relating to the Company’s merger with BurTech (see Note 1), whereby the Company will become a public company, are capitalized and will be offset against proceeds upon the consummation of the offering within stockholders’ deficit. In the event an anticipated offering is terminated, deferred offering costs will be expensed. As of December 31, 2024 and 2023 there were $11.1 million and $1.5 million, respectively, capitalized deferred offering costs included in prepaid expenses and other current assets on the consolidated balance sheets.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Whenever events or changes in circumstances indicate that the carrying amount of long-lived assets may not be recoverable, the Company estimates the expected undiscounted future cash flows from the use of those assets and their eventual disposition (without any allocated debt financing charges). If the sum of the expected undiscounted future cash flows is less than the carrying amount of those assets, the Company recognizes an impairment loss based on the excess of the carrying amount over the fair value of the assets. For the years ended December 31, 2024 and 2023, the Company did not recognize any impairment expense related to its long-lived assets.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Evaluation</w:t>
      </w:r>
    </w:p>
    <w:p>
      <w:pPr>
        <w:spacing w:after="0" w:line="121"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The Company evaluates the terms of its debt instruments to determine if any identified embedded features, including embedded conversion options or redemption features, are required to be bifurcated and accounted for separately as a derivative financial instrument. In circumstances where a host instrument contains more than one embedded derivative instrument, including a conversion option, that is required to be bifurcated, the bifurcated derivative instruments would be accounted for as a single, compound derivative instrument. Any identified and bifurcated embedded derivatives are initially recorded at fair value and are revalued at each reporting date with changes in the fair value reported as non-operating income or expense.</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its convertible notes, some of which contain predominantly fixed rate conversion features, whereby the outstanding principal and accrued interest may be converted by the holder into a variable number of shares of preferred stock at a fixed discount to the market price of the common stock at the time of conversion under ASU 2020-06 </w:t>
      </w:r>
      <w:r>
        <w:rPr>
          <w:rFonts w:ascii="Times New Roman" w:cs="Times New Roman" w:eastAsia="Times New Roman" w:hAnsi="Times New Roman"/>
          <w:sz w:val="18"/>
          <w:szCs w:val="18"/>
          <w:i w:val="1"/>
          <w:iCs w:val="1"/>
          <w:color w:val="auto"/>
        </w:rPr>
        <w:t>Debt—Debt with Conversion and Other Options (Subtopic 470-20), 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Hedging—Contracts in Entity’s Own Equity (Subtopic 815-40)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Accounting for Convertible Instruments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080"/>
          </w:cols>
          <w:pgMar w:left="320" w:top="455" w:right="4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2" w:lineRule="exact"/>
        <w:rPr>
          <w:sz w:val="20"/>
          <w:szCs w:val="20"/>
          <w:color w:val="auto"/>
        </w:rPr>
      </w:pPr>
    </w:p>
    <w:p>
      <w:pPr>
        <w:ind w:left="120"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and Contracts in an Entity’s Own Equity </w:t>
      </w:r>
      <w:r>
        <w:rPr>
          <w:rFonts w:ascii="Times New Roman" w:cs="Times New Roman" w:eastAsia="Times New Roman" w:hAnsi="Times New Roman"/>
          <w:sz w:val="18"/>
          <w:szCs w:val="18"/>
          <w:color w:val="auto"/>
        </w:rPr>
        <w:t>(ASU 2020-06). The Company has elected to account for its convertible notes at fair value at each period 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pursuant to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wherein changes in the fair value are recorded as change in fair value of convertible notes in the consolidated statements of operations.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Company has issued freestanding warrants in connection with certain of its convertible debt agreements and preferred stock issuances which have been recorded as long-term liabilities in the consolidated balance sheets at their estimated fair value. At initial recognition, the warrants were recorded at their estimated fair value calculated using the Black-Scholes-Merton (“Black-Scholes”) option pricing model (see Note 8). The liability associated with these warrants is subject to remeasurement at each balance sheet date, with changes in fair value recorded as change in the fair value of warrant liabilities in the consolidated statements of operations. The warrants will continue to be remeasured until the earlier of the expiration or exercise of the warrants. The warrants are recorded at fair value each reporting period using the Black-Scholes option pricing model.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Company’s redeemable convertible preferred stock has been classified outside of stockholders’ deficit, as mezzanine equity, due to the redemption option of the preferred stock shareholders (see Note 10). The Company records redeemable convertible preferred stock at fair value on the dates of issuance, net of issuance costs. The Company has adjusted the carrying values of the redeemable convertible preferred stock, subsequent to the initial issuance date, to the redemption value of such shares because it is probable that the convertible preferred stock will become redeemable.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Company derives revenue from product sales, license and development arrangements, joint marketing arrangements and cloud services. The Company recognizes revenue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in which it determines revenue recognition through the following steps: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1: Identify the contract with the customer.</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2: Identify the performance obligations in the contract.</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00"/>
          </w:cols>
          <w:pgMar w:left="320" w:top="455" w:right="47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3: Determine the transaction price.</w:t>
      </w:r>
    </w:p>
    <w:p>
      <w:pPr>
        <w:spacing w:after="0" w:line="11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4: Allocate the transaction price to the performance obligations in the contract.</w:t>
      </w:r>
    </w:p>
    <w:p>
      <w:pPr>
        <w:spacing w:after="0" w:line="11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Contracts that contain multiple performance obligations require an allocation of the transaction price to each performance obligation based on each performance obligation’s relative standalone selling price (“SSP”).</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5: Recognize revenue when the company satisfies a performance obligation.</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the Company provides services over period of time. Hardware revenue is recognized at a point in time when the product is shipped. The Company generates all its revenue from contracts with customers.</w:t>
      </w:r>
    </w:p>
    <w:p>
      <w:pPr>
        <w:spacing w:after="0" w:line="180"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Revenue from hardware sales is recognized upon transfer of control of products to customers in an amount that reflects the consideration the Company expects to receive in exchange for the hardware. The Company offers unspecified upgrades and support on certain products, however, the related revenue has historically not been material.</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Company’s license and development arrangements entail revenue from the licensing of its intellectual property (“IP”) and also include nonrecurring engineering development services to configure the Company’s IP and hardware to a customer’s needs. For each contract, the Company considers the promise to deliver a license that grants the customer the right to use the IP, as well as any professional services provided under the contract, as distinct performance obligations. The Company recognizes licensing revenue from such arrangements over the term of the arrangements and recognizes professional services over time as the services are provided. The Company measures progress to completion based on actual costs incurred to date as a percentage of the estimated total cost required to complete the project.</w:t>
      </w:r>
    </w:p>
    <w:p>
      <w:pPr>
        <w:spacing w:after="0" w:line="187"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 The following table is a rollforward of contract liabilities, which are included in accrued expenses and other current liabilities and other liabilities on the consolidated balance sheets, as of December 31, 2024 and 2023 (in thousands):</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060" w:type="dxa"/>
            <w:vAlign w:val="bottom"/>
            <w:tcBorders>
              <w:bottom w:val="single" w:sz="8" w:color="CCEEFF"/>
            </w:tcBorders>
          </w:tcPr>
          <w:p>
            <w:pPr>
              <w:spacing w:after="0"/>
              <w:rPr>
                <w:sz w:val="15"/>
                <w:szCs w:val="15"/>
                <w:color w:val="auto"/>
              </w:rPr>
            </w:pPr>
          </w:p>
        </w:tc>
        <w:tc>
          <w:tcPr>
            <w:tcW w:w="34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21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3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$ 1,830</w:t>
            </w:r>
          </w:p>
        </w:tc>
        <w:tc>
          <w:tcPr>
            <w:tcW w:w="10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Addition of deferred revenue</w:t>
            </w:r>
          </w:p>
        </w:tc>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3,113</w:t>
            </w: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revenue</w:t>
            </w:r>
          </w:p>
        </w:tc>
        <w:tc>
          <w:tcPr>
            <w:tcW w:w="3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8"/>
              </w:rPr>
              <w:t>(1,100)</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(3,843)</w:t>
            </w:r>
          </w:p>
        </w:tc>
      </w:tr>
      <w:tr>
        <w:trPr>
          <w:trHeight w:val="22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3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6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$ 1,100</w:t>
            </w:r>
          </w:p>
        </w:tc>
        <w:tc>
          <w:tcPr>
            <w:tcW w:w="100" w:type="dxa"/>
            <w:vAlign w:val="bottom"/>
          </w:tcPr>
          <w:p>
            <w:pPr>
              <w:spacing w:after="0"/>
              <w:rPr>
                <w:sz w:val="19"/>
                <w:szCs w:val="19"/>
                <w:color w:val="auto"/>
              </w:rPr>
            </w:pPr>
          </w:p>
        </w:tc>
      </w:tr>
      <w:tr>
        <w:trPr>
          <w:trHeight w:val="20"/>
        </w:trPr>
        <w:tc>
          <w:tcPr>
            <w:tcW w:w="30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060" w:type="dxa"/>
            <w:vAlign w:val="bottom"/>
          </w:tcPr>
          <w:p>
            <w:pPr>
              <w:spacing w:after="0"/>
              <w:rPr>
                <w:sz w:val="24"/>
                <w:szCs w:val="24"/>
                <w:color w:val="auto"/>
              </w:rPr>
            </w:pPr>
          </w:p>
        </w:tc>
        <w:tc>
          <w:tcPr>
            <w:tcW w:w="3560" w:type="dxa"/>
            <w:vAlign w:val="bottom"/>
            <w:gridSpan w:val="2"/>
          </w:tcPr>
          <w:p>
            <w:pPr>
              <w:jc w:val="right"/>
              <w:ind w:right="2176"/>
              <w:spacing w:after="0"/>
              <w:rPr>
                <w:sz w:val="20"/>
                <w:szCs w:val="20"/>
                <w:color w:val="auto"/>
              </w:rPr>
            </w:pPr>
            <w:r>
              <w:rPr>
                <w:rFonts w:ascii="Times New Roman" w:cs="Times New Roman" w:eastAsia="Times New Roman" w:hAnsi="Times New Roman"/>
                <w:sz w:val="18"/>
                <w:szCs w:val="18"/>
                <w:color w:val="auto"/>
              </w:rPr>
              <w:t>F-52</w:t>
            </w: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defers incremental costs of obtaining a customer contract and amortizes the deferred costs over the period that the related revenue is recognized. The Company had no material incremental costs to obtain customer contracts in any period presented.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elected to account for shipping and handling fees as fulfillment activities and not separate performance obligations.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Accordingly, these fees are reflected in revenue and the related fulfillment costs are accrued as cost of revenue as the related fulfillment costs incurred.</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offers a standard assurance-type warranty to customers for hardware sales.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Costs related to the Company’s research and development (“R&amp;D”) activities are expensed as incurred. R&amp;D expense consists primarily of personnel costs for the Company’s R&amp;D activities. R&amp;D expense also includes costs associated with the design and development of the Company’s AI edge computing hardware and software.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are included in selling, general and administrative expenses in the consolidated statements of operations. Advertising costs were immaterial for the years ended December 31, 2024 and 2023,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U.S. and various foreign jurisdictions. The Company uses the asset-and-liability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Company is subject to tax audits in various jurisdictions. The Company regularly assesses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The Company includes interest expense and penalties related to its uncertain tax positions in income tax expense.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recognizes the cost of employee, non-employee consultants and non-employee directors’ services received in exchange for awards of stock options based on the fair value of those awards at the date of grant over the requisite service period. The fair value of stock options granted is determined using the Black-</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120"/>
          </w:cols>
          <w:pgMar w:left="320" w:top="455"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Scholes option-pricing model using various inputs, including Company estimates of expected stock price volatility, term, risk-free rate and future dividends. The Company has elected the simplified method to determine the expected term of the option grants.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also grants RSUs to employees and non-employee consultants, which vest upon the satisfaction of both a service-based condition and a liquidity event condition, as defined. The fair value of restricted stock units is determined based on the Company’s estimated fair value of common stock at the date of grant. As of December 31, 2024 and 2023, the Company has not recorded any stock-based compensation expense associated with the RSUs as a liquidity event has not occurred. If a liquidity event occurs in the future, the Company will record cumulative stock-based compensation using the accelerated attribution method for those RSUs for which the service condition has been satisfied prior to the liquidity event, and the Company will record the remaining unrecognized stock-based compensation over the remainder of the requisite service period.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Forfeitures are recognized as they occur.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The Company determines fair value measurements used in its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w:t>
      </w:r>
    </w:p>
    <w:p>
      <w:pPr>
        <w:spacing w:after="0" w:line="1" w:lineRule="exact"/>
        <w:rPr>
          <w:sz w:val="20"/>
          <w:szCs w:val="20"/>
          <w:color w:val="auto"/>
        </w:rPr>
      </w:pPr>
    </w:p>
    <w:p>
      <w:pPr>
        <w:ind w:left="120" w:right="60" w:hanging="4"/>
        <w:spacing w:after="0" w:line="255" w:lineRule="auto"/>
        <w:tabs>
          <w:tab w:leader="none" w:pos="38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entity’s own assumptions about market participant assumptions developed based on the best information available in the circumstances (unobservable inputs).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requires fair value measurements be classified and disclosed in one of the following pricing categories:</w:t>
      </w:r>
    </w:p>
    <w:p>
      <w:pPr>
        <w:spacing w:after="0" w:line="76" w:lineRule="exact"/>
        <w:rPr>
          <w:sz w:val="20"/>
          <w:szCs w:val="20"/>
          <w:color w:val="auto"/>
        </w:rPr>
      </w:pPr>
    </w:p>
    <w:p>
      <w:pPr>
        <w:ind w:left="120" w:right="2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This level consists of unadjusted quoted prices in active markets for identical assets or liabilities that the reporting entity can access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measurement date.</w:t>
      </w:r>
    </w:p>
    <w:p>
      <w:pPr>
        <w:spacing w:after="0" w:line="158" w:lineRule="exact"/>
        <w:rPr>
          <w:sz w:val="20"/>
          <w:szCs w:val="20"/>
          <w:color w:val="auto"/>
        </w:rPr>
      </w:pPr>
    </w:p>
    <w:p>
      <w:pPr>
        <w:ind w:left="120" w:right="1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 </w:t>
      </w:r>
      <w:r>
        <w:rPr>
          <w:rFonts w:ascii="Times New Roman" w:cs="Times New Roman" w:eastAsia="Times New Roman" w:hAnsi="Times New Roman"/>
          <w:sz w:val="18"/>
          <w:szCs w:val="18"/>
          <w:color w:val="auto"/>
        </w:rPr>
        <w:t>This level consists of observable inputs other than the quoted prices included within Level 1, such as quoted prices for similar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 markets that are not active or for which all significant inputs are observable or can be corroborated by observable market data, either directly or indirectly, for substantially the full term of the asset or liability.</w:t>
      </w:r>
    </w:p>
    <w:p>
      <w:pPr>
        <w:spacing w:after="0" w:line="17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This level consists of unobservable inputs for the asset or liability to the extent that observable inputs are not available, thereby allowing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situations in which there is little or no market data for the asset or liability at the measurement date. This requires the reporting entity to develop its own assumptions that market participants would use in pricing the asset or liability. The carrying amounts of cash, accounts receivable, prepaid expenses and other current assets, accounts payable, accrued loss on purchase commitments and accrued expenses and other liabilities approximate fair value because of their short-term maturities.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Company’s reporting and functional currency is the United Stated dollar (“USD”). The local currencies of its foreign subsidiaries are the Indian rupee, British pound, or Philippine peso, however, the functional currency of its foreign subsidiaries is also the USD. Monetary assets and liabilities denominated in currencies other than USD are remeasured into USD at current exchange rates and nonmonetary assets and liabilities are measured at historical exchange rates. Revenues, cost of revenues, and operating expenses are remeasured at the average exchange rates in effect during each reporting period. The resulting transaction gains or losses are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recognized in other income (expense), net, in the consolidated statements of operations. During the year ended December 31, 2024, foreign currency transaction losses of $0.2 million was included in other income (expense), net in the consolidated statements of operations. During the year ended December 31, 2023, foreign currency transaction gain was immaterial.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Company’s cash and cash equivalents are primarily on deposit at high-credit quality financial institutions or invested in U.S. Government money market funds. The Company’s cash accounts in a financial institution may at times exceed the Federal Depository Insurance coverage of $250,000. Investments in money markets are not insured or guaranteed by the FDIC or any other government agency.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is exposed to credit risk in the event of nonpayment by customers up to the amounts recorded on the consolidated balance sheets.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manages its accounts receivable credit risk through ongoing credit evaluation of its customers’ financial conditions.</w:t>
      </w:r>
    </w:p>
    <w:p>
      <w:pPr>
        <w:spacing w:after="0" w:line="20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one customer accounted for approximately 98% of the Company’s accounts receivable. As of December 31, 2023, one customer, a related party, accounted for approximately 98% of the Company’s accounts receivable (see Note 13).</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Historically, a relatively small number of customers have accounted for a significant portion of the Company’s revenue. For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2024, two customers, both related parties, accounted for approximately 77% and 21% of the Company’s revenue. For the year ended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 one customer, a related party, accounted for nearly 100% of the Company’s revenue (see Note 13).</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presented in conformity with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earnings as if all income (loss) for the period had been distributed. The Company’s redeemable convertible preferred stock contractually entitles the holders of such stock to participate in dividends but does not contractually require the holders of such stock to participate in losses of the Company. Accordingly, in periods in which the Company reports a net loss attributable to common stockholders, such losses are not allocated to such participating securities.</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purposes of this calculation, redeemable convertible preference stock, stock options and warrants have been excluded from the calculation of diluted net loss per share attributable to common stockholders as their effect is anti-dilutive for all periods presented.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Company operates in one reporting segment. Operating segments are defined as components of an enterprise about which separate financial information is evaluated regularly by the chief operating decision maker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00"/>
          </w:cols>
          <w:pgMar w:left="320" w:top="455" w:right="47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in deciding how to allocate resources and assessing performance. The Company’s Chief Executive Officer is the chief operating decision maker (“CODM”), who reviews financial information presented on a consolidated basis for the purposes of making operating decisions, allocating resources and evaluating financial performance.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is expected to be an emerging growth company, as defined in Section 2(a) of the Securities Act of 1933, as amended, (the “Securities Act”), as modified by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the Company (i) is no longer an emerging growth company or</w:t>
      </w:r>
    </w:p>
    <w:p>
      <w:pPr>
        <w:spacing w:after="0" w:line="3" w:lineRule="exact"/>
        <w:rPr>
          <w:sz w:val="20"/>
          <w:szCs w:val="20"/>
          <w:color w:val="auto"/>
        </w:rPr>
      </w:pPr>
    </w:p>
    <w:p>
      <w:pPr>
        <w:ind w:left="120" w:right="40" w:hanging="4"/>
        <w:spacing w:after="0" w:line="260" w:lineRule="auto"/>
        <w:tabs>
          <w:tab w:leader="none" w:pos="38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affirmatively and irrevocably opt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This ASU improves reportable segment disclosure requirements, primarily through enhanced disclosures about significant segment expenses. The Company adopted this standard during the year ended December 31, 2024. The adoption resulted in expanded disclosures for the Company’s single reportable segment, but did not have a material impact on the Company’s consolidated financial statements (see Note 16).</w:t>
      </w:r>
    </w:p>
    <w:p>
      <w:pPr>
        <w:spacing w:after="0" w:line="180"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The FASB issued authoritative guidance that clarifies that an acquirer of a business should recognize and measure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assets and contract liabilities in a business combination in accordance with ASC Topic 606, Revenue from Contracts with Customers. The Company adopted this standard as of January 1, 2024. The adoption of this standard did not have an impact on the Company’s consolidated financial statements.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 Not Yet Adopted</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 – 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Convertible Debt Instruments. </w:t>
      </w:r>
      <w:r>
        <w:rPr>
          <w:rFonts w:ascii="Times New Roman" w:cs="Times New Roman" w:eastAsia="Times New Roman" w:hAnsi="Times New Roman"/>
          <w:sz w:val="18"/>
          <w:szCs w:val="18"/>
          <w:color w:val="auto"/>
        </w:rPr>
        <w:t>This ASU clarifies guidance on the requirements for determining whether certain settlements of convertible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should be accounted for as an induced conversion or extinguishment. This guidance is effective for the Company beginning on January 1, 2026, and early adoption is permitted, although the Company does not plan to early adopt. The Company does not expect the adoption to have a material impact on the Company’s consolidated financial statements.</w:t>
      </w:r>
    </w:p>
    <w:p>
      <w:pPr>
        <w:spacing w:after="0" w:line="183"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Reporting Comprehensive Income-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This ASU requires disaggregated disclosure of income statement expenses for public business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ASU does not change the expense captions an entity presents on the face of the income statement; rather, it requires disaggregation of certain expense captions into specified categories in disclosures within the notes to the consolidated financial statements. This guidance is effective for the Company beginning on January 1, 2027, and early adoption is permitted, although the Company does not plan to early adopt. The Company is currently evaluating the impact of the adoption of this standard.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20"/>
          </w:cols>
          <w:pgMar w:left="320" w:top="455" w:right="4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This ASU enhances the transparency and decision usefulness of income tax disclosures. This guidance is effective for the Company beginning on January 1, 2025. Adoption will require enhancements to the Company’s income tax disclosures but is not expected to have a material impact on its consolidated financial statements.</w:t>
      </w:r>
    </w:p>
    <w:p>
      <w:pPr>
        <w:spacing w:after="0" w:line="180" w:lineRule="exact"/>
        <w:rPr>
          <w:sz w:val="20"/>
          <w:szCs w:val="20"/>
          <w:color w:val="auto"/>
        </w:rPr>
      </w:pPr>
    </w:p>
    <w:p>
      <w:pPr>
        <w:jc w:val="both"/>
        <w:ind w:left="120" w:right="300" w:firstLine="440"/>
        <w:spacing w:after="0" w:line="281" w:lineRule="auto"/>
        <w:rPr>
          <w:sz w:val="20"/>
          <w:szCs w:val="20"/>
          <w:color w:val="auto"/>
        </w:rPr>
      </w:pPr>
      <w:r>
        <w:rPr>
          <w:rFonts w:ascii="Times New Roman" w:cs="Times New Roman" w:eastAsia="Times New Roman" w:hAnsi="Times New Roman"/>
          <w:sz w:val="17"/>
          <w:szCs w:val="17"/>
          <w:color w:val="auto"/>
        </w:rPr>
        <w:t xml:space="preserve">In June 2022, the FASB issued ASU 2022-03, </w:t>
      </w:r>
      <w:r>
        <w:rPr>
          <w:rFonts w:ascii="Times New Roman" w:cs="Times New Roman" w:eastAsia="Times New Roman" w:hAnsi="Times New Roman"/>
          <w:sz w:val="17"/>
          <w:szCs w:val="17"/>
          <w:i w:val="1"/>
          <w:iCs w:val="1"/>
          <w:color w:val="auto"/>
        </w:rPr>
        <w:t>Fair Value Measurement (Topic 820): Fair Value Measurement of Equity Securities Subject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Contractual Sale Restrictions</w:t>
      </w:r>
      <w:r>
        <w:rPr>
          <w:rFonts w:ascii="Times New Roman" w:cs="Times New Roman" w:eastAsia="Times New Roman" w:hAnsi="Times New Roman"/>
          <w:sz w:val="17"/>
          <w:szCs w:val="17"/>
          <w:color w:val="auto"/>
        </w:rPr>
        <w:t>. This ASU clarifies guidance in Topic 820 and introduces new disclosure requirements for equity securities subject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contractual sale restrictions that are measured at fair value in accordance with Topic 820. This guidance is effective for the Company beginning on January 1, 2025. The Company does not expect the adoption to have a material impact on the Company’s consolidated financial statements.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revenue information by geographical region for the years ended December 31, 2024 and 2023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5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r>
      <w:tr>
        <w:trPr>
          <w:trHeight w:val="209"/>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$1,215</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$3,848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7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332</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7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1,554</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3,856</w:t>
            </w:r>
          </w:p>
        </w:tc>
        <w:tc>
          <w:tcPr>
            <w:tcW w:w="4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provides a disaggregation of revenue based on the pattern of revenue recognition for the years ended December 31, 2024 and 2023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780" w:type="dxa"/>
            <w:vAlign w:val="bottom"/>
            <w:tcBorders>
              <w:bottom w:val="single" w:sz="8" w:color="CCEEFF"/>
            </w:tcBorders>
          </w:tcPr>
          <w:p>
            <w:pPr>
              <w:spacing w:after="0"/>
              <w:rPr>
                <w:sz w:val="15"/>
                <w:szCs w:val="15"/>
                <w:color w:val="auto"/>
              </w:rPr>
            </w:pPr>
          </w:p>
        </w:tc>
        <w:tc>
          <w:tcPr>
            <w:tcW w:w="20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bottom w:val="single" w:sz="8" w:color="CCEEFF"/>
            </w:tcBorders>
          </w:tcPr>
          <w:p>
            <w:pPr>
              <w:spacing w:after="0"/>
              <w:rPr>
                <w:sz w:val="15"/>
                <w:szCs w:val="15"/>
                <w:color w:val="auto"/>
              </w:rPr>
            </w:pP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3"/>
              </w:rPr>
              <w:t>1,193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3,840</w:t>
            </w:r>
          </w:p>
        </w:tc>
      </w:tr>
      <w:tr>
        <w:trPr>
          <w:trHeight w:val="27"/>
        </w:trPr>
        <w:tc>
          <w:tcPr>
            <w:tcW w:w="47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7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1,554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3,856</w:t>
            </w:r>
          </w:p>
        </w:tc>
      </w:tr>
      <w:tr>
        <w:trPr>
          <w:trHeight w:val="20"/>
        </w:trPr>
        <w:tc>
          <w:tcPr>
            <w:tcW w:w="47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Revenue allocated to remaining performance obligations, which includes unearned or deferred revenue and amounts that will be invoiced and recognized as revenue in future periods as of December 31, 2024 and 2023, was as follows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2440" w:type="dxa"/>
            <w:vAlign w:val="bottom"/>
          </w:tcPr>
          <w:p>
            <w:pPr>
              <w:spacing w:after="0"/>
              <w:rPr>
                <w:sz w:val="15"/>
                <w:szCs w:val="15"/>
                <w:color w:val="auto"/>
              </w:rPr>
            </w:pPr>
          </w:p>
        </w:tc>
        <w:tc>
          <w:tcPr>
            <w:tcW w:w="4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5"/>
                <w:szCs w:val="15"/>
                <w:color w:val="auto"/>
              </w:rPr>
            </w:pPr>
          </w:p>
        </w:tc>
      </w:tr>
      <w:tr>
        <w:trPr>
          <w:trHeight w:val="210"/>
        </w:trPr>
        <w:tc>
          <w:tcPr>
            <w:tcW w:w="2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4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$— </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45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40" w:type="dxa"/>
            <w:vAlign w:val="bottom"/>
          </w:tcPr>
          <w:p>
            <w:pPr>
              <w:spacing w:after="0"/>
              <w:rPr>
                <w:sz w:val="19"/>
                <w:szCs w:val="19"/>
                <w:color w:val="auto"/>
              </w:rPr>
            </w:pPr>
          </w:p>
        </w:tc>
      </w:tr>
      <w:tr>
        <w:trPr>
          <w:trHeight w:val="216"/>
        </w:trPr>
        <w:tc>
          <w:tcPr>
            <w:tcW w:w="2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1,100</w:t>
            </w:r>
          </w:p>
        </w:tc>
      </w:tr>
      <w:tr>
        <w:trPr>
          <w:trHeight w:val="20"/>
        </w:trPr>
        <w:tc>
          <w:tcPr>
            <w:tcW w:w="24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2440" w:type="dxa"/>
            <w:vAlign w:val="bottom"/>
          </w:tcPr>
          <w:p>
            <w:pPr>
              <w:spacing w:after="0"/>
              <w:rPr>
                <w:sz w:val="24"/>
                <w:szCs w:val="24"/>
                <w:color w:val="auto"/>
              </w:rPr>
            </w:pPr>
          </w:p>
        </w:tc>
        <w:tc>
          <w:tcPr>
            <w:tcW w:w="4900" w:type="dxa"/>
            <w:vAlign w:val="bottom"/>
            <w:gridSpan w:val="2"/>
          </w:tcPr>
          <w:p>
            <w:pPr>
              <w:jc w:val="right"/>
              <w:ind w:right="2890"/>
              <w:spacing w:after="0"/>
              <w:rPr>
                <w:sz w:val="20"/>
                <w:szCs w:val="20"/>
                <w:color w:val="auto"/>
              </w:rPr>
            </w:pPr>
            <w:r>
              <w:rPr>
                <w:rFonts w:ascii="Times New Roman" w:cs="Times New Roman" w:eastAsia="Times New Roman" w:hAnsi="Times New Roman"/>
                <w:sz w:val="18"/>
                <w:szCs w:val="18"/>
                <w:color w:val="auto"/>
              </w:rPr>
              <w:t>F-57</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40"/>
          </w:cols>
          <w:pgMar w:left="320" w:top="455" w:right="5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Company’s financial assets and liabilities measured at fair value on a recurring basis aggregated by the level in the fair hierarchy (in thousands):</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Level 1</w:t>
            </w:r>
          </w:p>
        </w:tc>
        <w:tc>
          <w:tcPr>
            <w:tcW w:w="20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color w:val="auto"/>
              </w:rPr>
              <w:t>December 31, 2024</w:t>
            </w:r>
          </w:p>
        </w:tc>
        <w:tc>
          <w:tcPr>
            <w:tcW w:w="100" w:type="dxa"/>
            <w:vAlign w:val="bottom"/>
          </w:tcPr>
          <w:p>
            <w:pPr>
              <w:spacing w:after="0"/>
              <w:rPr>
                <w:sz w:val="13"/>
                <w:szCs w:val="13"/>
                <w:color w:val="auto"/>
              </w:rPr>
            </w:pP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Level 2</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Level 3</w:t>
            </w: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6"/>
              </w:rPr>
              <w:t>30,580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money market funds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9,247</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46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6"/>
              </w:rPr>
              <w:t>44,894</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44,894</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convertible notes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15,942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2023 Convertible notes</w:t>
            </w:r>
          </w:p>
        </w:tc>
        <w:tc>
          <w:tcPr>
            <w:tcW w:w="100" w:type="dxa"/>
            <w:vAlign w:val="bottom"/>
          </w:tcPr>
          <w:p>
            <w:pPr>
              <w:spacing w:after="0"/>
              <w:rPr>
                <w:sz w:val="18"/>
                <w:szCs w:val="18"/>
                <w:color w:val="auto"/>
              </w:rPr>
            </w:pP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5"/>
              </w:rPr>
              <w:t>132,687</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132,687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14,711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14,711</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163,340</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163,340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Level 1</w:t>
            </w:r>
          </w:p>
        </w:tc>
        <w:tc>
          <w:tcPr>
            <w:tcW w:w="20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color w:val="auto"/>
              </w:rPr>
              <w:t>December 31, 2023</w:t>
            </w:r>
          </w:p>
        </w:tc>
        <w:tc>
          <w:tcPr>
            <w:tcW w:w="100" w:type="dxa"/>
            <w:vAlign w:val="bottom"/>
          </w:tcPr>
          <w:p>
            <w:pPr>
              <w:spacing w:after="0"/>
              <w:rPr>
                <w:sz w:val="24"/>
                <w:szCs w:val="24"/>
                <w:color w:val="auto"/>
              </w:rPr>
            </w:pP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Level 2</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Level 3</w:t>
            </w: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Pay-to-Play convertible notes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14,641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Convertible notes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18,064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3,730</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36,435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Level 1 instruments consisted of U.S. Government treasury securities, U.S. Government money market funds, and mutual funds because they were valued using quoted prices in active markets and can be redeemed on any business days with an intermediary.</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Level 3 instruments consisted of the Company’s Pay-to-Play Convertible Notes (“P2P Notes”), the 2023 Convertible Notes, and warrant liabilities comprised of the Company’s Series D Shadow preferred stock warrants, Series D-2 Shadow preferred stock warrants, the warrants issued with the P2P Notes and the 2023 Convertible Notes, and the pre-funded common stock warrants (see Notes 7 and 8). The Company has elected to apply the fair value option to measure all convertible notes due to the nature of their embedded features.</w:t>
      </w:r>
    </w:p>
    <w:p>
      <w:pPr>
        <w:spacing w:after="0" w:line="180"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Changes in the fair value measurement of Level 3 liabilities related to unrealized gains (losses) resulting from remeasurement of the Company’s outstanding convertible notes and warrant liabilities (see Notes 7 and 8) are reflected in the change in fair value of convertible notes and change in fair value of warrant liabilities in the consolidated statements of operations.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00"/>
          </w:cols>
          <w:pgMar w:left="320" w:top="455" w:right="47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change in the fair value of the Level 3 liabilities during the years ended December 31, 2024 and 2023 was as follows (in thousands):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Pay-to-Play</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2023</w:t>
            </w:r>
          </w:p>
        </w:tc>
        <w:tc>
          <w:tcPr>
            <w:tcW w:w="460" w:type="dxa"/>
            <w:vAlign w:val="bottom"/>
          </w:tcPr>
          <w:p>
            <w:pPr>
              <w:spacing w:after="0"/>
              <w:rPr>
                <w:sz w:val="13"/>
                <w:szCs w:val="13"/>
                <w:color w:val="auto"/>
              </w:rPr>
            </w:pPr>
          </w:p>
        </w:tc>
        <w:tc>
          <w:tcPr>
            <w:tcW w:w="104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color w:val="auto"/>
              </w:rPr>
              <w:t>Warrant</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44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notes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notes</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Reinstatement of common stock warrants as preferred stock warrants</w:t>
            </w: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Pay-to-Play convertible notes and related warrants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8,717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9,282</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Common rights offering</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2023 convertible notes and related warrants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11,175</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12,300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Pre-funded common stock warrants</w:t>
            </w: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6,889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10,477</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18,064</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4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2023 convertible note warrants and related warrants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9"/>
              </w:rPr>
              <w:t>105,902</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4,816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110,718</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Pre-funded common stock warrants</w:t>
            </w: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8,721</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5,701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15,723</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132,687</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14,711</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163,340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Company’s convertible notes and related warrants were classified within level 3 of the fair value hierarchy because there was no active market for the liabilities or similar instruments.</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There were no transfers between Level 1, Level 2, or Level 3 of the fair value hierarchy during the years ended December 31, 2024 and 2023. Certain existing investors invested in P2P Notes during the year ended December 31, 2023, and accordingly, their common stock warrants were converted into Series D Shadow preferred stock warrants and reclassified as warrant liabilities (see Notes 7, 8 and 13).</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Effective with the Merger on January 13, 2025, all outstanding convertible notes and outstanding warrant liabilities were converted (see Note 1).</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Supplementary Balance Sheet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Inventories consists of the following as of December 31, 2024 and 2023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2800" w:type="dxa"/>
            <w:vAlign w:val="bottom"/>
            <w:tcBorders>
              <w:bottom w:val="single" w:sz="8" w:color="CCEEFF"/>
            </w:tcBorders>
          </w:tcPr>
          <w:p>
            <w:pPr>
              <w:spacing w:after="0"/>
              <w:rPr>
                <w:sz w:val="15"/>
                <w:szCs w:val="15"/>
                <w:color w:val="auto"/>
              </w:rPr>
            </w:pPr>
          </w:p>
        </w:tc>
        <w:tc>
          <w:tcPr>
            <w:tcW w:w="40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bottom w:val="single" w:sz="8" w:color="CCEEFF"/>
            </w:tcBorders>
          </w:tcPr>
          <w:p>
            <w:pPr>
              <w:spacing w:after="0"/>
              <w:rPr>
                <w:sz w:val="15"/>
                <w:szCs w:val="15"/>
                <w:color w:val="auto"/>
              </w:rPr>
            </w:pPr>
          </w:p>
        </w:tc>
      </w:tr>
      <w:tr>
        <w:trPr>
          <w:trHeight w:val="210"/>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CCEEFF"/>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3"/>
              </w:rPr>
              <w:t>1,064</w:t>
            </w: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1,542</w:t>
            </w: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3"/>
              </w:rPr>
              <w:t>7,410</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4,964</w:t>
            </w:r>
          </w:p>
        </w:tc>
      </w:tr>
      <w:tr>
        <w:trPr>
          <w:trHeight w:val="223"/>
        </w:trPr>
        <w:tc>
          <w:tcPr>
            <w:tcW w:w="2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inventories</w:t>
            </w:r>
          </w:p>
        </w:tc>
        <w:tc>
          <w:tcPr>
            <w:tcW w:w="40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8,561</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6,522</w:t>
            </w:r>
          </w:p>
        </w:tc>
        <w:tc>
          <w:tcPr>
            <w:tcW w:w="40" w:type="dxa"/>
            <w:vAlign w:val="bottom"/>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800" w:type="dxa"/>
            <w:vAlign w:val="bottom"/>
          </w:tcPr>
          <w:p>
            <w:pPr>
              <w:spacing w:after="0"/>
              <w:rPr>
                <w:sz w:val="24"/>
                <w:szCs w:val="24"/>
                <w:color w:val="auto"/>
              </w:rPr>
            </w:pPr>
          </w:p>
        </w:tc>
        <w:tc>
          <w:tcPr>
            <w:tcW w:w="4140" w:type="dxa"/>
            <w:vAlign w:val="bottom"/>
            <w:gridSpan w:val="2"/>
          </w:tcPr>
          <w:p>
            <w:pPr>
              <w:jc w:val="right"/>
              <w:ind w:right="2490"/>
              <w:spacing w:after="0"/>
              <w:rPr>
                <w:sz w:val="20"/>
                <w:szCs w:val="20"/>
                <w:color w:val="auto"/>
              </w:rPr>
            </w:pPr>
            <w:r>
              <w:rPr>
                <w:rFonts w:ascii="Times New Roman" w:cs="Times New Roman" w:eastAsia="Times New Roman" w:hAnsi="Times New Roman"/>
                <w:sz w:val="18"/>
                <w:szCs w:val="18"/>
                <w:color w:val="auto"/>
              </w:rPr>
              <w:t>F-59</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60"/>
          </w:cols>
          <w:pgMar w:left="320" w:top="455" w:right="61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 consists of the following as of December 31, 2024 and 2023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740" w:type="dxa"/>
            <w:vAlign w:val="bottom"/>
          </w:tcPr>
          <w:p>
            <w:pPr>
              <w:spacing w:after="0"/>
              <w:rPr>
                <w:sz w:val="15"/>
                <w:szCs w:val="15"/>
                <w:color w:val="auto"/>
              </w:rPr>
            </w:pP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$11,121</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$1,491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Prepaid taxes</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2,020</w:t>
            </w:r>
          </w:p>
        </w:tc>
        <w:tc>
          <w:tcPr>
            <w:tcW w:w="46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licenses and maintenance</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510</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Advances paid to contract manufacturer</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441</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Prepaid subscriptions</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843</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w:t>
            </w:r>
          </w:p>
        </w:tc>
      </w:tr>
      <w:tr>
        <w:trPr>
          <w:trHeight w:val="223"/>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14,837</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2,836</w:t>
            </w:r>
          </w:p>
        </w:tc>
        <w:tc>
          <w:tcPr>
            <w:tcW w:w="4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Property and equipment, net, consists of the following as of December 31, 2024 and 2023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209"/>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13,108</w:t>
            </w: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2,833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4,984</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1,594</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6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20,058</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(14,751)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(18,503)</w:t>
            </w:r>
          </w:p>
        </w:tc>
      </w:tr>
      <w:tr>
        <w:trPr>
          <w:trHeight w:val="223"/>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depreciation and amortization expense of property and equipment was $0.9 million and $2.0 million,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consists of the following as of December 31, 2024 and 2023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r>
      <w:tr>
        <w:trPr>
          <w:trHeight w:val="209"/>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purchases</w:t>
            </w:r>
          </w:p>
        </w:tc>
        <w:tc>
          <w:tcPr>
            <w:tcW w:w="3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$3,813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6,124</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2,617</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costs</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2,104</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733</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479</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w:t>
            </w:r>
          </w:p>
        </w:tc>
      </w:tr>
      <w:tr>
        <w:trPr>
          <w:trHeight w:val="223"/>
        </w:trPr>
        <w:tc>
          <w:tcPr>
            <w:tcW w:w="3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30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11,996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7,464</w:t>
            </w:r>
          </w:p>
        </w:tc>
        <w:tc>
          <w:tcPr>
            <w:tcW w:w="4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3660" w:type="dxa"/>
            <w:vAlign w:val="bottom"/>
          </w:tcPr>
          <w:p>
            <w:pPr>
              <w:spacing w:after="0"/>
              <w:rPr>
                <w:sz w:val="24"/>
                <w:szCs w:val="24"/>
                <w:color w:val="auto"/>
              </w:rPr>
            </w:pPr>
          </w:p>
        </w:tc>
        <w:tc>
          <w:tcPr>
            <w:tcW w:w="3180" w:type="dxa"/>
            <w:vAlign w:val="bottom"/>
            <w:gridSpan w:val="2"/>
          </w:tcPr>
          <w:p>
            <w:pPr>
              <w:jc w:val="right"/>
              <w:ind w:right="2390"/>
              <w:spacing w:after="0"/>
              <w:rPr>
                <w:sz w:val="20"/>
                <w:szCs w:val="20"/>
                <w:color w:val="auto"/>
              </w:rPr>
            </w:pPr>
            <w:r>
              <w:rPr>
                <w:rFonts w:ascii="Times New Roman" w:cs="Times New Roman" w:eastAsia="Times New Roman" w:hAnsi="Times New Roman"/>
                <w:sz w:val="18"/>
                <w:szCs w:val="18"/>
                <w:color w:val="auto"/>
              </w:rPr>
              <w:t>F-60</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780"/>
          </w:cols>
          <w:pgMar w:left="320" w:top="455" w:right="7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Loss on Purchase Commitments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2024 and 2023, accrued loss on purchase commitments were $0.6 million and $3.6 million, respectively (see Note 12).</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Compensation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compensation consists of the following as of December 31, 2024 and 2023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600" w:type="dxa"/>
            <w:vAlign w:val="bottom"/>
            <w:tcBorders>
              <w:bottom w:val="single" w:sz="8" w:color="CCEEFF"/>
            </w:tcBorders>
          </w:tcPr>
          <w:p>
            <w:pPr>
              <w:spacing w:after="0"/>
              <w:rPr>
                <w:sz w:val="15"/>
                <w:szCs w:val="15"/>
                <w:color w:val="auto"/>
              </w:rPr>
            </w:pPr>
          </w:p>
        </w:tc>
        <w:tc>
          <w:tcPr>
            <w:tcW w:w="2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bottom w:val="single" w:sz="8" w:color="CCEEFF"/>
            </w:tcBorders>
          </w:tcPr>
          <w:p>
            <w:pPr>
              <w:spacing w:after="0"/>
              <w:rPr>
                <w:sz w:val="15"/>
                <w:szCs w:val="15"/>
                <w:color w:val="auto"/>
              </w:rPr>
            </w:pP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4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724</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401K payable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liabilities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r>
      <w:tr>
        <w:trPr>
          <w:trHeight w:val="27"/>
        </w:trPr>
        <w:tc>
          <w:tcPr>
            <w:tcW w:w="46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compensation</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1,613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1,938</w:t>
            </w:r>
          </w:p>
        </w:tc>
      </w:tr>
      <w:tr>
        <w:trPr>
          <w:trHeight w:val="20"/>
        </w:trPr>
        <w:tc>
          <w:tcPr>
            <w:tcW w:w="4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following represents the domestic and foreign components of loss from operations before income taxes for the years ended December 31,</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 and 2023 (in thousands):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26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90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9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$(64,690)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$(89,525)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1,338</w:t>
            </w:r>
          </w:p>
        </w:tc>
      </w:tr>
      <w:tr>
        <w:trPr>
          <w:trHeight w:val="27"/>
        </w:trPr>
        <w:tc>
          <w:tcPr>
            <w:tcW w:w="4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loss before income taxes</w:t>
            </w:r>
          </w:p>
        </w:tc>
        <w:tc>
          <w:tcPr>
            <w:tcW w:w="2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(62,147)</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(88,187)</w:t>
            </w:r>
          </w:p>
        </w:tc>
      </w:tr>
      <w:tr>
        <w:trPr>
          <w:trHeight w:val="20"/>
        </w:trPr>
        <w:tc>
          <w:tcPr>
            <w:tcW w:w="4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Company’s components of the benefit from income taxes consists of the following for the years ended December 31, 2024 and 2023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140" w:type="dxa"/>
            <w:vAlign w:val="bottom"/>
            <w:tcBorders>
              <w:bottom w:val="single" w:sz="8" w:color="CCEEFF"/>
            </w:tcBorders>
          </w:tcPr>
          <w:p>
            <w:pPr>
              <w:spacing w:after="0"/>
              <w:rPr>
                <w:sz w:val="15"/>
                <w:szCs w:val="15"/>
                <w:color w:val="auto"/>
              </w:rPr>
            </w:pPr>
          </w:p>
        </w:tc>
        <w:tc>
          <w:tcPr>
            <w:tcW w:w="35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196"/>
        </w:trPr>
        <w:tc>
          <w:tcPr>
            <w:tcW w:w="3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3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3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(256)</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3"/>
              </w:rPr>
              <w:t>$ — </w:t>
            </w:r>
          </w:p>
        </w:tc>
      </w:tr>
      <w:tr>
        <w:trPr>
          <w:trHeight w:val="216"/>
        </w:trPr>
        <w:tc>
          <w:tcPr>
            <w:tcW w:w="3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States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5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w:t>
            </w:r>
          </w:p>
        </w:tc>
      </w:tr>
      <w:tr>
        <w:trPr>
          <w:trHeight w:val="27"/>
        </w:trPr>
        <w:tc>
          <w:tcPr>
            <w:tcW w:w="31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5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(491)</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3"/>
              </w:rPr>
              <w:t>$ — </w:t>
            </w:r>
          </w:p>
        </w:tc>
      </w:tr>
      <w:tr>
        <w:trPr>
          <w:trHeight w:val="216"/>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States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8"/>
              </w:rPr>
              <w:t>(1,124)</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3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(1,124)</w:t>
            </w:r>
          </w:p>
        </w:tc>
        <w:tc>
          <w:tcPr>
            <w:tcW w:w="58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0"/>
                <w:szCs w:val="20"/>
                <w:color w:val="auto"/>
              </w:rPr>
            </w:pPr>
          </w:p>
        </w:tc>
      </w:tr>
      <w:tr>
        <w:trPr>
          <w:trHeight w:val="216"/>
        </w:trPr>
        <w:tc>
          <w:tcPr>
            <w:tcW w:w="3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(952)</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(598)</w:t>
            </w:r>
          </w:p>
        </w:tc>
      </w:tr>
      <w:tr>
        <w:trPr>
          <w:trHeight w:val="20"/>
        </w:trPr>
        <w:tc>
          <w:tcPr>
            <w:tcW w:w="31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140" w:type="dxa"/>
            <w:vAlign w:val="bottom"/>
          </w:tcPr>
          <w:p>
            <w:pPr>
              <w:spacing w:after="0"/>
              <w:rPr>
                <w:sz w:val="24"/>
                <w:szCs w:val="24"/>
                <w:color w:val="auto"/>
              </w:rPr>
            </w:pPr>
          </w:p>
        </w:tc>
        <w:tc>
          <w:tcPr>
            <w:tcW w:w="3620" w:type="dxa"/>
            <w:vAlign w:val="bottom"/>
            <w:gridSpan w:val="2"/>
          </w:tcPr>
          <w:p>
            <w:pPr>
              <w:jc w:val="right"/>
              <w:ind w:right="2310"/>
              <w:spacing w:after="0"/>
              <w:rPr>
                <w:sz w:val="20"/>
                <w:szCs w:val="20"/>
                <w:color w:val="auto"/>
              </w:rPr>
            </w:pPr>
            <w:r>
              <w:rPr>
                <w:rFonts w:ascii="Times New Roman" w:cs="Times New Roman" w:eastAsia="Times New Roman" w:hAnsi="Times New Roman"/>
                <w:sz w:val="18"/>
                <w:szCs w:val="18"/>
                <w:color w:val="auto"/>
              </w:rPr>
              <w:t>F-61</w:t>
            </w: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780"/>
          </w:cols>
          <w:pgMar w:left="320" w:top="455" w:right="7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Income tax expense differs from the amount of income tax determined by applying the U.S. federal statutory income tax rate of 21% to pretax loss as a result of the following differences for the years ended December 31, 2024 and 2023 ($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7480" w:type="dxa"/>
            <w:vAlign w:val="bottom"/>
          </w:tcPr>
          <w:p>
            <w:pPr>
              <w:spacing w:after="0"/>
              <w:rPr>
                <w:sz w:val="12"/>
                <w:szCs w:val="12"/>
                <w:color w:val="auto"/>
              </w:rPr>
            </w:pPr>
          </w:p>
        </w:tc>
        <w:tc>
          <w:tcPr>
            <w:tcW w:w="980" w:type="dxa"/>
            <w:vAlign w:val="bottom"/>
            <w:gridSpan w:val="3"/>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220" w:type="dxa"/>
            <w:vAlign w:val="bottom"/>
          </w:tcPr>
          <w:p>
            <w:pPr>
              <w:spacing w:after="0"/>
              <w:rPr>
                <w:sz w:val="12"/>
                <w:szCs w:val="12"/>
                <w:color w:val="auto"/>
              </w:rPr>
            </w:pPr>
          </w:p>
        </w:tc>
      </w:tr>
      <w:tr>
        <w:trPr>
          <w:trHeight w:val="210"/>
        </w:trPr>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(62,147)</w:t>
            </w:r>
          </w:p>
        </w:tc>
        <w:tc>
          <w:tcPr>
            <w:tcW w:w="3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(88,187)</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Federal tax at statutory rate</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(13,049)</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(18,522)</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Gain on remeasurement of warrant liability</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3,302</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equity financing charge (permanent difference)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7,525</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802</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3,620</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to accrual adjustment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(896)</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(433)</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195</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111</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(1,211)</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(539)</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410</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270</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10,290</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7,936</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(796)</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(567)</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7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7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(952)</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(598)</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r>
      <w:tr>
        <w:trPr>
          <w:trHeight w:val="20"/>
        </w:trPr>
        <w:tc>
          <w:tcPr>
            <w:tcW w:w="7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the Company’s deferred tax assets and liabilities are as follows as of December 31, 2024 and 2023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55,739</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45,600</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credit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5,678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4,989</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reserves and accrued expenses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1,105</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736</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Capitalized R&amp;D Sec 174</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13,423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9,533</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78,060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62,077</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(75,826)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(60,937)</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 of use assets</w:t>
            </w:r>
          </w:p>
        </w:tc>
        <w:tc>
          <w:tcPr>
            <w:tcW w:w="10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r>
      <w:tr>
        <w:trPr>
          <w:trHeight w:val="223"/>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In determining the need for a valuation allowance, the Company weighs both positive and negative evidence in the various jurisdictions in which it operates to determine whether it is more likely than not that deferred tax assets are recoverable. In assessing the ultimate realizability of its net deferred tax assets, the Company evaluates all available objective evidence, including the cumulative losses and expected future losses and as such,</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140"/>
          </w:cols>
          <w:pgMar w:left="320" w:top="455" w:right="4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management does not believe it is more likely than not that the net deferred tax assets will be realized. Accordingly, a full valuation allowance has been established in the U.S. and the Philippines. As of December 31, 2024 and 2023, the valuation allowance was $75.8 million and $60.9 million, respectively. The increase of $14.9 million in the Company’s valuation allowance as of December 31, 2024 compared to the prior year was primarily due to an increase in deferred tax assets arising from capitalized research and experimental expenditures and net operating losses.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At December 31, 2024, the Company had U.S. federal net operating loss (“NOL”) carryforwards of $215.5 million and U.S. state NOL carryforwards of $149.9 million. The U.S. federal NOL carryforwards will begin to expire in the year 2030 and the state NOL carryforwards will also begin to expire in the year 2030. As of December 31, 2024, the Company had federal tax credit carryforwards of $5.7 million available to offset future U.S. federal income taxes payable, which will begin to expire in the year 2035. As of December 31, 2024, the Company had state tax credit carryforwards of $4.3 million available to offset future state income taxes payable and foreign tax credits of $97.2 million available to offset future India income taxes payable.</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Company’s ability to utilize the net operating loss and tax credit carryforwards in the future may be subject to substantial restriction in the event of past or future ownership changes as defined in Section 382 of the Internal Revenue Code and similar state tax laws. In the event the Company should experience an ownership change, as defined, utilization of its net operating loss carryforwards and tax credits could be limited. Due to the existence of the valuation allowance, future changes in the Company’s unrecognized tax benefits will not impact its effective tax rate. Any carryforwards that will expire prior to utilization as a result of such limitations will be removed from deferred tax assets with a corresponding reduction of the valuation allowance.</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It is the Company’s policy to include penalties and interest expense related to income taxes as a component of income tax expense. Management determined that no accrual for interest and penalties was required as of December 31, 2024 and 2023.</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Company’s primary tax jurisdictions are the United States, United Kingdom and India. All tax years since inception remain open to examination by the U.S. federal authorities as a result of the net operating losses and credit carryforwards since inception. The Company is not currently under income tax examinations in any foreign or state jurisdiction.</w:t>
      </w:r>
    </w:p>
    <w:p>
      <w:pPr>
        <w:spacing w:after="0" w:line="176"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It is the Company’s policy to indefinitely reinvest undistributed earnings of their foreign subsidiaries and hence, no deferred tax liability for withholding taxes on undistributed earnings is required.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19" w:lineRule="exact"/>
        <w:rPr>
          <w:sz w:val="20"/>
          <w:szCs w:val="20"/>
          <w:color w:val="auto"/>
        </w:rPr>
      </w:pPr>
    </w:p>
    <w:p>
      <w:pPr>
        <w:jc w:val="both"/>
        <w:ind w:left="120" w:right="820" w:firstLine="440"/>
        <w:spacing w:after="0" w:line="315" w:lineRule="auto"/>
        <w:rPr>
          <w:sz w:val="20"/>
          <w:szCs w:val="20"/>
          <w:color w:val="auto"/>
        </w:rPr>
      </w:pPr>
      <w:r>
        <w:rPr>
          <w:rFonts w:ascii="Times New Roman" w:cs="Times New Roman" w:eastAsia="Times New Roman" w:hAnsi="Times New Roman"/>
          <w:sz w:val="17"/>
          <w:szCs w:val="17"/>
          <w:color w:val="auto"/>
        </w:rPr>
        <w:t xml:space="preserve">The Company applied FASB ASC 740-10-50, </w:t>
      </w:r>
      <w:r>
        <w:rPr>
          <w:rFonts w:ascii="Times New Roman" w:cs="Times New Roman" w:eastAsia="Times New Roman" w:hAnsi="Times New Roman"/>
          <w:sz w:val="17"/>
          <w:szCs w:val="17"/>
          <w:i w:val="1"/>
          <w:iCs w:val="1"/>
          <w:color w:val="auto"/>
        </w:rPr>
        <w:t>Accounting for Uncertainty in Income Tax</w:t>
      </w:r>
      <w:r>
        <w:rPr>
          <w:rFonts w:ascii="Times New Roman" w:cs="Times New Roman" w:eastAsia="Times New Roman" w:hAnsi="Times New Roman"/>
          <w:sz w:val="17"/>
          <w:szCs w:val="17"/>
          <w:color w:val="auto"/>
        </w:rPr>
        <w:t>, which prescribes a recognition threshold and measurement attribute for the financial statement recognition and measurement of a tax position taken or expected to be taken in a tax return.</w:t>
      </w:r>
    </w:p>
    <w:p>
      <w:pPr>
        <w:spacing w:after="0" w:line="137"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7"/>
          <w:szCs w:val="17"/>
          <w:color w:val="auto"/>
        </w:rPr>
        <w:t>The Company had unrecognized tax benefits of approximately $5.0 million and $4.3 million as of December 31, 2024 and 2023, respectively. ASC 740-10 prescribes a comprehensive model for the recognition, measurement, presentation and disclosure in financial statements of any uncertain tax positions that have been taken or expected to be taken on a tax return. The amount of unrecognized tax benefits is not expected to significantly change over the next twelve months. No amounts, outside of valuation allowance, would impact the effective tax rate on continuing operations.</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100"/>
          </w:cols>
          <w:pgMar w:left="320" w:top="455" w:right="47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beginning and ending unrecognized tax benefits amounts is as follows as of December 31, 2024 and 2023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5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09"/>
        </w:trPr>
        <w:tc>
          <w:tcPr>
            <w:tcW w:w="7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$4,283</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$3,811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taken related to prior years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based on tax positions taken related to current period</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shd w:val="clear" w:color="auto" w:fill="CCEEFF"/>
          </w:tcPr>
          <w:p>
            <w:pPr>
              <w:spacing w:after="0"/>
              <w:rPr>
                <w:sz w:val="18"/>
                <w:szCs w:val="18"/>
                <w:color w:val="auto"/>
              </w:rPr>
            </w:pP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end of period</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5,000</w:t>
            </w:r>
          </w:p>
        </w:tc>
        <w:tc>
          <w:tcPr>
            <w:tcW w:w="4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4,283</w:t>
            </w:r>
          </w:p>
        </w:tc>
        <w:tc>
          <w:tcPr>
            <w:tcW w:w="8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Convertible Notes and Demand Notes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2022 Convertible Securities:</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Pay-to-Play Convertible Notes:</w:t>
      </w:r>
    </w:p>
    <w:p>
      <w:pPr>
        <w:spacing w:after="0" w:line="11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December 2022, in connection with the Company’s 2022 Pay-to-Play (“P2P”) transaction (the “P2P Transaction”), the Company entered into a Note Purchase and Exchange Agreement (“2022 P2P NPA”) with a group of lenders (each, a “Lender” and collectively, the “Lenders”). In January and February of 2023, the Company received $9.3 million in proceeds from the issuance of P2P Notes. Amounts received in 2022 and 2023 are referred to collectively as the “P2P Notes” (see Note 13). Pursuant to the 2022 P2P NPA, each Lender will pay the Company an agreed upon amount (“Consideration”) in return for one or more promissory notes. The P2P Notes have a 24-month term from the date of the 2022 P2P NPA which is December 9, 2024.</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2022 P2P NPA provides that the P2P Notes may be converted as follows:</w:t>
      </w:r>
    </w:p>
    <w:p>
      <w:pPr>
        <w:spacing w:after="0" w:line="131" w:lineRule="exact"/>
        <w:rPr>
          <w:sz w:val="20"/>
          <w:szCs w:val="20"/>
          <w:color w:val="auto"/>
        </w:rPr>
      </w:pPr>
    </w:p>
    <w:p>
      <w:pPr>
        <w:ind w:left="1080" w:hanging="424"/>
        <w:spacing w:after="0" w:line="261"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 “Next Equity Financing” assuming a Corporate Transaction (as defined), Maturity Conversion (as defined) or repayment has not occurred wherein the Next Equity Financing is defined as the next sale of Company equity securities, including warrants, other than Series D-2 Preferred stock or warrants to purchase Series D-2 preferred stock, following the date of the 2022 P2P NPA for the purpose of raising capital with gross proceeds of at least $5 million excluding the P2P Notes.</w:t>
      </w:r>
    </w:p>
    <w:p>
      <w:pPr>
        <w:spacing w:after="0" w:line="85"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or repayment of the outstanding principal and unpaid accrued interest has not occurred on or before the maturity date (December 9, 2024), the principal and unpaid accrued interest of each P2P Note shall, at the written election of the Requisite Noteholders (holders of a majority interest in the aggregate outstanding principal amount of the P2P Notes) and the Company, pursuant to mutually agreed-upon terms, be automatically converted (the “Maturity Conversion”) into a class of equity shares subject to mutual agreement between the Lenders and the Company.</w:t>
      </w:r>
    </w:p>
    <w:p>
      <w:pPr>
        <w:spacing w:after="0" w:line="88"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Corporate Transaction (any “Liquidation Event” as defined in the existing Certificate of Incorporation), the P2P Notes shall either be repaid or, at the option of the Requisite Noteholders, converted. If conversion is elected upon a Corporate Transaction, the 2022 P2P NPA provides that all outstanding principal and unpaid accrued interest due on the P2P Notes shall be converted into common stock.</w:t>
      </w:r>
    </w:p>
    <w:p>
      <w:pPr>
        <w:spacing w:after="0" w:line="85"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upon a Corporate Transaction, repayment is elected by the Requisite Noteholders, the amount of the outstanding P2P Note balance will be repaid based on (i) whether or not the Lender provided consideration less than, equal to or greater than their Pro Rata Portion (calculated as the percentage ownership in Preferred Stock held by the lender) of $20 million (the “Insider Amount”) by (2) the date of Contribution being either prior to November 30, 2022 (the “Initial Commitment Date”) or February 24, 2023 (“Final Closing date”).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120"/>
          </w:cols>
          <w:pgMar w:left="320" w:top="455" w:right="4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4" w:lineRule="exact"/>
        <w:rPr>
          <w:sz w:val="20"/>
          <w:szCs w:val="20"/>
          <w:color w:val="auto"/>
        </w:rPr>
      </w:pPr>
    </w:p>
    <w:p>
      <w:pPr>
        <w:ind w:left="1080" w:right="40" w:hanging="424"/>
        <w:spacing w:after="0" w:line="257"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Lenders will receive payment equal to the then accrued and unpaid interest plus one and a half times (1.5X) the then outstanding principal, plus two times (2X) the outstanding principal (with respect only to the outstanding principal in excess of $1 million but less than $5 million), as applicable, plus three times (3X) the outstanding principal with respect only to the outstanding principal in excess of</w:t>
      </w:r>
    </w:p>
    <w:p>
      <w:pPr>
        <w:spacing w:after="0" w:line="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million on the P2P Note.</w:t>
      </w:r>
    </w:p>
    <w:p>
      <w:pPr>
        <w:spacing w:after="0" w:line="20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Certain Lenders, who are also a holder of one or more P2P Notes, by either the Initial Commitment Date or the Final Closing Date, may also be entitled to receive warrants (“P2P Warrants”) to purchase equity securities of the Company, upon surrendering their P2P Notes to the Company, the number of which is to be determined by the type of shares into which the P2P Notes are converted as well as the level of investment. The Warrants will be exercisable, in whole or in part, during the term commencing on the date of issuance and ending December 9, 2025 (see Notes 8 and 13).</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elected to measure the P2P Notes in their entirety, for the respective period issued, at fair value with changes in fair value reported in a single line in the consolidated statements of operations. The notes were fair valued using a scenario-based method, considering varying levels of participation and four future event scenarios: Next Equity Financing, Maturity Conversion, Corporate Transaction, and Default. The conversion payout was calculated for each assumed event scenario, with probabilities estimated by management. The payout of the P2P Notes under each event scenario were discounted back to the valuation date using a discount rate aligned with the Company’s credit rating and the weighted average present value of each scenario used for the fair value of the P2P Notes. For the years ended December 31, 2024 and 2023, the Company recognized a change in fair value from the P2P Notes of approximately $1.3 million and $2.6 million, respectively (see Notes 4 and 13). Upfront costs and fees related to items for which the fair value option is elected must be recognized immediately. As such issuance costs (warrants) and fees associated with the convertible notes were recognized in current earnings.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2022 P2P NPA, any existing investor that purchased any P2P Note, received the right to exchange the common stock held following the November 30, 2022 conversion event (the “Converted Common”) for a number of shares of shadow preferred stock mirroring the respective classes of preferred stock held prior to the conversion (the “Pull-Through Exchange”), however, all Senior Series D (see Note 10) shareholders received an automatic pull-through of their Converted Common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purchases P2P Notes representing less than its pro rata portion of the Insider Amount, such investors Converted Common remain as Converted Common shares for that portion equal to the shortfall in its pro-rata contribution (see Note 10). Additionally, investors in the P2P Notes also received warrants (the “P2P Warrants”) whose total exercise price is determined based on the timing of investment as well as the level of investor participation vis-à-vis each investor’s designated pro-rata portion (see Note 8).</w:t>
      </w:r>
    </w:p>
    <w:p>
      <w:pPr>
        <w:spacing w:after="0" w:line="19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certain investors who previously had their preferred stock and Series D warrants converted to common stock and common stock warrants, respectively, in connection with the 2022 conversion event, invested in P2P Notes. The resulting Pull-Through Exchange reinstated their Converted Common stock into share of the class(es) of Shadow Preferred Stock identical to those held prior to the 2022 conversion event (See Note 10) and reinstated their warrants into Series D Shadow preferred stock warrants (see Note 8). The fair value of the Series D warrants at reinstatement, approximating $61,000, was recognized as a component of the Pay-to-Play financing charge for the year ended December 31, 2023.</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120"/>
          </w:cols>
          <w:pgMar w:left="320" w:top="455" w:right="4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2022 P2P NPA provided the Company a right, subject to the approval of the Company’s Board of Directors (the “Board”), to conduct a common rights offering (the “Offering”) to raise additional funds. Pursuant to the 2022 P2P NPA, at the discretion of the Board, the Company could issue either shares of common stock or additional P2P Notes. In November 2023, the Company entered into an Exchange Agreement with eligible common shareholders, as defined, whereby, each participating eligible common shareholder received a P2P Note, subject to the same terms as existing P2P Notes with the exception that the P2P Notes issued to these common shareholders did not include the right to receive P2P Warrants. Proceeds received under the Offering totaled $0.1 million. In addition to the P2P Note, each participating eligible common shareholder also received the right to have the number of common shares held immediately prior to the Offering restored to the total number of common shares held prior to the Company’s 2022 reverse stock-split. For the year ended December 31, 2023, this restoration of common shares resulted in incremental value to the participating eligible common investors of $5.2 million, measured as the fair value of the incremental common shares received or restored following the Offering. This incremental value has been accounted for as a Pay-to-Play financing charge in the accompanying consolidated statements of operations. During the year ended December 31, 2024, the Company did not enter into any Exchange Agreements with eligible common shareholders.</w:t>
      </w:r>
    </w:p>
    <w:p>
      <w:pPr>
        <w:spacing w:after="0" w:line="192"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On the Closing Date, as provided by the terms of the P2P notes, the outstanding P2P Notes were converted, at the option of the holders, to common stock upon the execution of the Merger (see Note 1).</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2023 Convertible Notes:</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From July 2023 through November 2023, the Company raised $12.3 million in convertible notes (the “2023 Convertible Notes”) under the note purchase agreement dated July 3, 2023, as amended on August 1, 2023 to refine the valuation cap definition (the “2023 NPA”) (see Note 13). The 2023 Convertible Notes accrue interest at 10% per annum and mature 18 months from the date of the 2023 NPA. The 2023 Convertible Notes are secured by all of the Company’s assets.</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Company received $110.7 million in additional proceeds from the issuance of 10% secured convertible notes under the 2023 NPA. The 2023 NPA was amended and restated on April 22, 2024 to accommodate a new group of lenders, the “Final Closing Lender”, defined as any lender who purchases a related convertible note on or after April 22, 2024. The conversion price upon a SPAC Transaction for a Final Closing Lender is defined as a price per share that would entitle the Final Closing Lender to receive a number of BurTech Class A common stock equal to the outstanding principal and accrued interest divided by five (5). In addition, the per share exercise price of the related 2023 Convertible Note Warrants upon a SPAC Transaction was amended to $11.50.</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the April 22, 2024 amendment, the convertible notes have a stated maturity date of December 31, 2025, and are subject to automatic conversion upon the consummation of a SPAC Transaction, as defined, subject to conversion or repayment at maturity or upon a Next Equity Financing, as defined, and are subject to repayment upon a Corporate Transaction, as defined. Investors in these secured convertible notes also received warrants to purchase equity shares of the Company.</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Of the $110.7 million in proceeds received during the year ended December 31, 2024, $11.5 million was received from BurTech (see Note 1), $2.4 million from miscellaneous parties, and $96.8 million from a separate third-party group of investors (the “RT Parties”) in connection with an agreement to provide convertible note financing of up to $125.0 million (the “Blaize Note Financing Agreement”). Under this separate agreement, the RT Parties and their transferees or distributes will not be required to execute any lock-up or similar agreement restricting transfer or disposition of all shares of common stock of Blaize issuable upon the conversion of the notes, all Company shares issuable upon the exercise of warrants issued to the RT Parties as well as all securities of New Blaize to be issued to the RT Parties upon consummation of the merger.</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100"/>
          </w:cols>
          <w:pgMar w:left="320" w:top="455" w:right="47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2023 NPA provides that the notes may be converted as follows:</w:t>
      </w:r>
    </w:p>
    <w:p>
      <w:pPr>
        <w:spacing w:after="0" w:line="131" w:lineRule="exact"/>
        <w:rPr>
          <w:sz w:val="20"/>
          <w:szCs w:val="20"/>
          <w:color w:val="auto"/>
        </w:rPr>
      </w:pPr>
    </w:p>
    <w:p>
      <w:pPr>
        <w:ind w:left="1080" w:right="220" w:hanging="424"/>
        <w:spacing w:after="0" w:line="261"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 “Next Equity Financing” assuming a Corporate Transaction (as defined), Maturity Conversion (as defined), SPAC Conversion (as defined) or repayment has not occurred wherein the Next Equity Financing, defined as the next sale of Company equity securities or other securities issued in connection with Senior Indebtedness, following the date of the 2023 Convertible Notes for the purpose of raising capital.</w:t>
      </w:r>
    </w:p>
    <w:p>
      <w:pPr>
        <w:spacing w:after="0" w:line="85" w:lineRule="exact"/>
        <w:rPr>
          <w:rFonts w:ascii="Times New Roman" w:cs="Times New Roman" w:eastAsia="Times New Roman" w:hAnsi="Times New Roman"/>
          <w:sz w:val="18"/>
          <w:szCs w:val="18"/>
          <w:color w:val="auto"/>
        </w:rPr>
      </w:pPr>
    </w:p>
    <w:p>
      <w:pPr>
        <w:ind w:left="1540" w:hanging="331"/>
        <w:spacing w:after="0" w:line="256" w:lineRule="auto"/>
        <w:tabs>
          <w:tab w:leader="none" w:pos="15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Lenders who purchased a 2023 Convertible Note on or before July 3, 2023, the issuance of shares pursuant to the conversion of each note shall be subject to the same terms and conditions applicable to the equity securities sold in the Next Equity Financing, except that (A) the per share liquidation preference shall be 1.5 times the conversion price, (B) the initial conversion price for purposes of price-based anti-dilution protection will equal the conversion price, (C) the basis for any dividend rights will be based on the conversion price, and (D) such shares will rank senior to the other equity securities existing at the time of the applicable conversion with respect to liquidation preference.</w:t>
      </w:r>
    </w:p>
    <w:p>
      <w:pPr>
        <w:spacing w:after="0" w:line="92" w:lineRule="exact"/>
        <w:rPr>
          <w:rFonts w:ascii="Times New Roman" w:cs="Times New Roman" w:eastAsia="Times New Roman" w:hAnsi="Times New Roman"/>
          <w:sz w:val="18"/>
          <w:szCs w:val="18"/>
          <w:color w:val="auto"/>
        </w:rPr>
      </w:pPr>
    </w:p>
    <w:p>
      <w:pPr>
        <w:ind w:left="1540" w:right="60" w:hanging="331"/>
        <w:spacing w:after="0" w:line="266" w:lineRule="auto"/>
        <w:tabs>
          <w:tab w:leader="none" w:pos="15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 Convertible Note after July 3, 2023, the issuance of shares pursuant to the conversion of each note shall be subject to the same terms as described in the preceding paragraph except that the per share liquidation preference will equal the conversion price.</w:t>
      </w:r>
    </w:p>
    <w:p>
      <w:pPr>
        <w:spacing w:after="0" w:line="81" w:lineRule="exact"/>
        <w:rPr>
          <w:rFonts w:ascii="Times New Roman" w:cs="Times New Roman" w:eastAsia="Times New Roman" w:hAnsi="Times New Roman"/>
          <w:sz w:val="18"/>
          <w:szCs w:val="18"/>
          <w:color w:val="auto"/>
        </w:rPr>
      </w:pPr>
    </w:p>
    <w:p>
      <w:pPr>
        <w:ind w:left="1540" w:right="20" w:hanging="331"/>
        <w:spacing w:after="0" w:line="266" w:lineRule="auto"/>
        <w:tabs>
          <w:tab w:leader="none" w:pos="15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for all Lenders, regardless of purchase date, for this Next Equity Financing is the lesser of 80% of the per share issue price of the equity securities sold in this financing event or a calculated per share value based on a defined valuation cap and fully-diluted capital.</w:t>
      </w:r>
    </w:p>
    <w:p>
      <w:pPr>
        <w:spacing w:after="0" w:line="81"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SPAC conversion or repayment of the outstanding principal and unpaid accrued interest has not occurred on or before the maturity date (December 31, 2025), the principal and unpaid accrued interest of each 2023 Convertible Note shall, at the written election of the Requisite Noteholders (which must include certain noteholder), pursuant to mutually agreed-upon terms, be automatically converted (the “Maturity Conversion”) into a class of equity shares subject to mutual agreement between the Lenders and the Company.</w:t>
      </w:r>
    </w:p>
    <w:p>
      <w:pPr>
        <w:spacing w:after="0" w:line="88"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or repayment of the outstanding principal and unpaid accrued interest has not occurred prior to a SPAC transaction, the principal and unpaid accrued interest of each 2023 Convertible Note, with the exception of notes issued to a Final Closing Lender, shall automatically convert (the “SPAC Conversion”) into a number of common shares equal to the quotient obtained by dividing the outstanding principal and unpaid accrued interest on each 2023 Convertible Note by the applicable conversion price. The conversion price in this SPAC Conversion is the lesser of 80% of the SPAC price per share or a calculated per share value based on a defined valuation cap and fully-diluted capital immediately prior to the SPAC transaction.</w:t>
      </w:r>
    </w:p>
    <w:p>
      <w:pPr>
        <w:spacing w:after="0" w:line="92"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Corporate Transaction (any “Liquidation Event” as defined in the existing Certificate of Incorporation), the 2023 Convertible Notes shall be repaid as follows at the closing of the Corporate Transaction:</w:t>
      </w:r>
    </w:p>
    <w:p>
      <w:pPr>
        <w:spacing w:after="0" w:line="67" w:lineRule="exact"/>
        <w:rPr>
          <w:rFonts w:ascii="Times New Roman" w:cs="Times New Roman" w:eastAsia="Times New Roman" w:hAnsi="Times New Roman"/>
          <w:sz w:val="18"/>
          <w:szCs w:val="18"/>
          <w:color w:val="auto"/>
        </w:rPr>
      </w:pPr>
    </w:p>
    <w:p>
      <w:pPr>
        <w:jc w:val="both"/>
        <w:ind w:left="1540" w:right="40" w:hanging="331"/>
        <w:spacing w:after="0" w:line="312" w:lineRule="auto"/>
        <w:tabs>
          <w:tab w:leader="none" w:pos="1540"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Lender who purchased a 2023 Convertible Note on or before July 3, 2023, in respect of a Corporate Transaction that occurs on or before July 3, 2024, an amount equal to the then accrued but unpaid interest plus three (3) times the then outstanding principal.</w:t>
      </w:r>
    </w:p>
    <w:p>
      <w:pPr>
        <w:spacing w:after="0" w:line="45" w:lineRule="exact"/>
        <w:rPr>
          <w:rFonts w:ascii="Times New Roman" w:cs="Times New Roman" w:eastAsia="Times New Roman" w:hAnsi="Times New Roman"/>
          <w:sz w:val="17"/>
          <w:szCs w:val="17"/>
          <w:color w:val="auto"/>
        </w:rPr>
      </w:pPr>
    </w:p>
    <w:p>
      <w:pPr>
        <w:ind w:left="1540" w:right="100" w:hanging="331"/>
        <w:spacing w:after="0" w:line="282" w:lineRule="auto"/>
        <w:tabs>
          <w:tab w:leader="none" w:pos="15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 Convertible Note on or before July 3, 2023, in respect of a Corporate Transaction that occurs after July 3, 2024, an amount equal to the then accrued but unpaid interest plus five (5) times the then outstanding principal.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120"/>
          </w:cols>
          <w:pgMar w:left="320" w:top="455" w:right="4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4" w:lineRule="exact"/>
        <w:rPr>
          <w:sz w:val="20"/>
          <w:szCs w:val="20"/>
          <w:color w:val="auto"/>
        </w:rPr>
      </w:pPr>
    </w:p>
    <w:p>
      <w:pPr>
        <w:ind w:left="1540" w:right="60" w:hanging="331"/>
        <w:spacing w:after="0" w:line="282" w:lineRule="auto"/>
        <w:tabs>
          <w:tab w:leader="none" w:pos="1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 Convertible Note after July 3, 2023, in respect of any such Corporate Transaction, an amount equal to the then accrued but unpaid interest plus one and a half (1.5) times the then outstanding principal.</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Investors in the 2023 Convertible Notes also received warrants to purchase the same type of equity shares into which the 2023 Convertible Notes are converted (see Notes 8 and 13).</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Investors in these secured convertible notes also received warrants to purchase equity shares of the Company.</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elected to measure the 2023 Convertible Notes in their entirety at fair value with changes in fair value reported in a single line in the consolidated statements of operations. The 2023 Convertible Notes were fair valued using a scenario-based method, considering five future event scenarios: Next Equity Financing, Maturity Conversion, SPAC Conversion, Corporate Transaction, and Default. The conversion payout was calculated for each assumed event scenario, with probabilities estimated by management. The payout of the 2023 Convertible Notes under each event scenario were discounted back to the valuation date using a discount rate aligned with the company’s credit rating and the weighted average present value of each scenario used for the fair value of the 2023 Convertible Notes.</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2023, the Company recognized a change in fair value of approximately $8.7 million and $6.9 million, respectively. Upfront costs and fees related to items for which the fair value option is elected must be recognized immediately. As such issuance costs (warrants) and fees associated with the convertible notes were recognized in current earnings.</w:t>
      </w:r>
    </w:p>
    <w:p>
      <w:pPr>
        <w:spacing w:after="0" w:line="176"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One investor who purchased a 2023 Convertible Note also received an RSU grant for a total of 6,000,000 RSUs (see Note 13) which originally vested in full on the one-year anniversary of the grant date with such vesting subject to full acceleration upon the consummation of an IPO, SPAC Transaction, Direct Listing or Sale Event, as defined. The RSUs were valued on the date of issuance equal to the fair value of common stock approximating $2.6 million and accounted for as Debt Financing Charge on the 2023 Convertible Note. On December 22, 2023, the Company modified the RSU terms to immediately accelerate the vesting of the 6,000,000 awards outstanding and issue 6,000,000 shares of common stock (see Note 13).</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scheduled maturities of the Company’s outstanding convertible notes as of December 31, 2024 is as follows (in thousands):</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148,629</w:t>
            </w: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(148,629)</w:t>
            </w: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On the Closing Date, as provided by the terms of the 2023 Convertible Note Agreement, the outstanding 2023 Convertible Notes were converted, at the option of the holders, to common stock upon the execution of the Merger (see Note 1).</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Demand Notes:</w:t>
      </w:r>
    </w:p>
    <w:p>
      <w:pPr>
        <w:spacing w:after="0" w:line="11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issued short-term demand notes totaling $5.1 million, of which $4.8 million remained outstanding as of December 31, 2023. The outstanding notes earn simple interest based on a rate of twelve percent (12%) with the outstanding principal and all accrued interest due and payable on demand by the holders at any time on or after the earlier of (1) the receipt of a minimum 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100"/>
          </w:cols>
          <w:pgMar w:left="320" w:top="455" w:right="47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$15.0 million from BurTech and other investors pursuant to the Note Purchase Agreement dated July 2, 2023 and (2) March 31, 2024 (see Note 13). In April 2024, the Company repaid the total outstanding principal and interest of $5.0 million.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Warrant Liabilities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P2P Warrants:</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Certain investors who invested in the P2P Notes (see Notes 7 and 13) also received P2P Warrants for no additional consideration resulting in the allocation of proceeds between the P2P Notes and P2P Warrants (see Notes 7 and 13).</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the terms of the 2022 P2P NPA and related warrant agreements, the P2P Warrants will be exercisable, in whole or in part, during the term commencing on the date of issuance through the three-year anniversary of the date of issuance. The number of Warrants each Lender is entitled to is based on the timing of the Lender’s investment as well as the Lender’s amount of funding, wherein the “Conversion Shares” is defined as the type of equity shares to be issued in the future upon conversion of the P2P Notes. The total number of warrants ranges from 20% to 40% of the total Conversion Shares to be issued for Lenders who invest at or less then their pro rata portion and for Lenders who invest above their pro rata portion, the total number of warrant shares is an additional 10% to 20% of a calculated incremental number of shares over the designated pro rata portion.</w:t>
      </w:r>
    </w:p>
    <w:p>
      <w:pPr>
        <w:spacing w:after="0" w:line="18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During 2023, in connection with the additional issuance of P2P notes, 336,950 Series D Shadow Preferred Stock warrants were reinstated at a fair value of approximately $61,000 (see Note 7) and reclassified from equity to warrant liability.</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Upon exercise, these P2P Warrants will enable the Lenders to purchase Conversion Shares at a price (“Conversion Price”) determined based on when P2P Warrants are exercised and shall no longer be exercisable and become null and void upon 10 days prior to the consummation of the Company’s sale of its Common Stock in a firm commitment underwritten public offering pursuant to a registration statement on Form S-1 under the Securities Act of 1933 (an “IPO”), acquisition by a Special Purpose Acquisition Company (a “SPAC Transaction”) and a defined liquidity event. The P2P Warrants have a fixed total exercise price known at inception (based on the amount of consideration paid by each Lender) and upon exercise will be settled in a variable number of the Conversion Shares. The P2P Warrants are legally detachable and separately exercisable from the P2P Convertible Notes. The Company accounts for the P2P Warrants as liabilities measured at fair value with subsequent changes in fair value recognized in earnings (see Note 4).</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Effective February 28, 2024 the Series D Shadow Preferred Stock warrants expired unexercised.</w:t>
      </w:r>
    </w:p>
    <w:p>
      <w:pPr>
        <w:spacing w:after="0" w:line="22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As provided by the terms of the P2P notes, the notes remained outstanding and were converted, at the option of the holders, to common stock upon the Closing Date (see Note 1).</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2023 Convertible Note Warrants:</w:t>
      </w:r>
    </w:p>
    <w:p>
      <w:pPr>
        <w:spacing w:after="0" w:line="11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Investors in the 2023 Convertible Notes received warrants (“2023 Convertible Note Warrants”) exercisable upon the earliest to occur of a Next Equity Financing Conversion, Maturity Conversion, SPAC Conversion or Corporate Transaction, as defined, and expire, prior to the Amendment in April 2024 (see below), ten years from issuance (see Note 13). The 2023 Convertible Note Warrants were granted for no additional consideration resulting in the allocation of proceeds between the 2023 Convertible Note and 2023 Convertible Note Warrants (see Notes 7 and 13).</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100"/>
          </w:cols>
          <w:pgMar w:left="320" w:top="455" w:right="47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April 22, 2024, as part of the Blaize, BurTech Merger Sub Inc., and Burkan amended the original Merger Agreement to make certain adjustments in connection with the Blaize Note Financing (see Note 7) and additional adjustments related to warrant financing including an increase in the base purchase price and changes to certain definitions and terms.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terms of the April 2024 amendment, the number of warrant shares issuable upon exercise is equal to the quotient obtained by dividing</w:t>
      </w:r>
    </w:p>
    <w:p>
      <w:pPr>
        <w:spacing w:after="0" w:line="27" w:lineRule="exact"/>
        <w:rPr>
          <w:sz w:val="20"/>
          <w:szCs w:val="20"/>
          <w:color w:val="auto"/>
        </w:rPr>
      </w:pPr>
    </w:p>
    <w:p>
      <w:pPr>
        <w:ind w:left="120" w:hanging="4"/>
        <w:spacing w:after="0" w:line="253" w:lineRule="auto"/>
        <w:tabs>
          <w:tab w:leader="none" w:pos="33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or 10% (the higher percentage which applies only to investors who purchased a convertible note on or before July 3, 2023) of the original principal amount of the corresponding note by (ii) (y) with respect to a Next Equity Financing Conversion, Maturity Conversion, or a SPAC Conversion, the Exercise Price (as defined herein) or (z) with respect to a Corporate Transaction, a per share price equal to the value of the consideration payable to the holder of each share of common stock of the Company. The Exercise price is defined as follows:</w:t>
      </w:r>
    </w:p>
    <w:p>
      <w:pPr>
        <w:spacing w:after="0" w:line="9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Next Equity Financing Conversion, the per share issue price by new money investors for the equity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Maturity Conversion, a per share price mutually agreed upon by the Company and the Requisite Noteholders;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SPAC Conversion, $11.50 per share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Corporate Transaction, the Corporate Transaction Exercise Price, as defined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Additionally, the expiration date of the warrants was changed from 10 years to 5 years from the original date of issuance.</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2023 Convertible Note Warrants are legally detachable and separately exercisable from the 2023 Convertible Notes. The Company accounts for the 2023 Convertible Note Warrants as liabilities measured at fair value with subsequent changes in fair value recognized in earnings.</w:t>
      </w:r>
    </w:p>
    <w:p>
      <w:pPr>
        <w:spacing w:after="0" w:line="162"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As provided by the terms of the 2023 Convertible Notes, the notes remained outstanding and were converted, at the option of the holders, to common stock upon the Closing Date (see Note 1).</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Warrants:</w:t>
      </w:r>
    </w:p>
    <w:p>
      <w:pPr>
        <w:spacing w:after="0" w:line="11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In conjunction with the December 22, 2023 Merger Agreement, the Company entered into a pre-funded warrant agreement (the “Burkhan Pre-funded Warrant”) with one of the parties to the Merger. The Burkhan Pre-funded Warrant is only exercisable at the closing of the Merger and becomes null and void if the Merger Agreement is terminated. The Burkhan Pre-funded Warrant provides for the issuance of a sufficient number of Company common stock shares that would allow the warrant holder to acquire BurTech Class A common Stock upon the closing of the Merger. The maximum number of BurTech Class A Common Stock to be received under the Burkhan Pre-funded Warrant is 6,833,333, wherein a portion of this total share amount is subject to reduction, depending on the Available Acquiror Cash, as defined in the Merger Agreement, at closing. Pursuant to the terms of the Burkhan Pre-Funded Warrant, in no case would the holder receive less than 2,500,000 shares of BurTech Class A common stock at closing.</w:t>
      </w:r>
    </w:p>
    <w:p>
      <w:pPr>
        <w:spacing w:after="0" w:line="189"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On April 22, 2024, the Company amended and restated the Burkhan Pre-funded Warrant to reduce the number of BurTech Class A common stock shares to which the holder is entitled upon exchange of the Company common shares issuable upon exercise of the warrant. The number of BurTech Class A common stock shares was reduced from a maximum of 6,833,333 share to a fixed 2,000,000 shares. This amendment, in turn, reduces the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120"/>
          </w:cols>
          <w:pgMar w:left="320" w:top="455" w:right="4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jc w:val="both"/>
        <w:ind w:left="120" w:right="20"/>
        <w:spacing w:after="0" w:line="277" w:lineRule="auto"/>
        <w:rPr>
          <w:sz w:val="20"/>
          <w:szCs w:val="20"/>
          <w:color w:val="auto"/>
        </w:rPr>
      </w:pPr>
      <w:r>
        <w:rPr>
          <w:rFonts w:ascii="Times New Roman" w:cs="Times New Roman" w:eastAsia="Times New Roman" w:hAnsi="Times New Roman"/>
          <w:sz w:val="17"/>
          <w:szCs w:val="17"/>
          <w:color w:val="auto"/>
        </w:rPr>
        <w:t>applicable number of Company common shares to be issued to the holder upon exercise. Additionally, in conjunction with its participation in the Blaize Note Financing Agreement, one of the RT Parties received a new and separate prefunded warrant (the “Ava Pre-funded Warrant”) with an exercise price of $45,000 that entitles the RT Party investor to receive 4,500,000 shares of BurTech Class A common stock, also via the issuance of Company common shares upon exercise that are subject to exchange into BurTech Class A common stock upon the closing of the Merger. The fair value of the newly issued Ava Pre-funded Warrant of $0.5 million was recognized as a debt financing charge on 2023 convertible notes during the year ended December 31, 2024.</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of the Company’s warrants exercisable into preferred stock are classified as liabilities requiring ongoing remeasurement at fair value.</w:t>
      </w:r>
    </w:p>
    <w:p>
      <w:pPr>
        <w:spacing w:after="0" w:line="225"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As provided by the terms of the P2P notes, the notes remained outstanding and were converted, at the option of the holders, to common stock upon the execution of the Merger (see Note 1).</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Number of warrant</w:t>
            </w: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Approximate fair</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left="316"/>
              <w:spacing w:after="0" w:line="149" w:lineRule="exact"/>
              <w:rPr>
                <w:sz w:val="20"/>
                <w:szCs w:val="20"/>
                <w:color w:val="auto"/>
              </w:rPr>
            </w:pPr>
            <w:r>
              <w:rPr>
                <w:rFonts w:ascii="Times New Roman" w:cs="Times New Roman" w:eastAsia="Times New Roman" w:hAnsi="Times New Roman"/>
                <w:sz w:val="14"/>
                <w:szCs w:val="14"/>
                <w:b w:val="1"/>
                <w:bCs w:val="1"/>
                <w:color w:val="auto"/>
              </w:rPr>
              <w:t>value at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6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560" w:type="dxa"/>
            <w:vAlign w:val="bottom"/>
          </w:tcPr>
          <w:p>
            <w:pPr>
              <w:spacing w:after="0"/>
              <w:rPr>
                <w:sz w:val="15"/>
                <w:szCs w:val="15"/>
                <w:color w:val="auto"/>
              </w:rPr>
            </w:pPr>
          </w:p>
        </w:tc>
        <w:tc>
          <w:tcPr>
            <w:tcW w:w="17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shares at December 31,</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04"/>
        </w:trPr>
        <w:tc>
          <w:tcPr>
            <w:tcW w:w="5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 Type:</w:t>
            </w:r>
          </w:p>
        </w:tc>
        <w:tc>
          <w:tcPr>
            <w:tcW w:w="6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57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Shadow Preferred Warrants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338,495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Series D-2 Shadow Preferred Warrants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4.97</w:t>
            </w:r>
          </w:p>
        </w:tc>
        <w:tc>
          <w:tcPr>
            <w:tcW w:w="560" w:type="dxa"/>
            <w:vAlign w:val="bottom"/>
          </w:tcPr>
          <w:p>
            <w:pPr>
              <w:spacing w:after="0"/>
              <w:rPr>
                <w:sz w:val="18"/>
                <w:szCs w:val="18"/>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756,172</w:t>
            </w:r>
          </w:p>
        </w:tc>
        <w:tc>
          <w:tcPr>
            <w:tcW w:w="5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756,172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Warrants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 </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8"/>
                <w:szCs w:val="8"/>
                <w:color w:val="auto"/>
                <w:w w:val="74"/>
              </w:rPr>
              <w:t> </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Warrants - 2023</w:t>
            </w:r>
          </w:p>
        </w:tc>
        <w:tc>
          <w:tcPr>
            <w:tcW w:w="100" w:type="dxa"/>
            <w:vAlign w:val="bottom"/>
          </w:tcPr>
          <w:p>
            <w:pPr>
              <w:spacing w:after="0"/>
              <w:rPr>
                <w:sz w:val="18"/>
                <w:szCs w:val="18"/>
                <w:color w:val="auto"/>
              </w:rPr>
            </w:pPr>
          </w:p>
        </w:tc>
        <w:tc>
          <w:tcPr>
            <w:tcW w:w="220" w:type="dxa"/>
            <w:vAlign w:val="bottom"/>
          </w:tcPr>
          <w:p>
            <w:pPr>
              <w:jc w:val="center"/>
              <w:ind w:left="90"/>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 </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360" w:type="dxa"/>
            <w:vAlign w:val="bottom"/>
          </w:tcPr>
          <w:p>
            <w:pPr>
              <w:ind w:left="280"/>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color w:val="auto"/>
                <w:w w:val="74"/>
              </w:rPr>
              <w:t> </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500" w:type="dxa"/>
            <w:vAlign w:val="bottom"/>
          </w:tcPr>
          <w:p>
            <w:pPr>
              <w:ind w:left="42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1,352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 (b)</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Pre-funded common stock warrants (d)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0.01</w:t>
            </w:r>
          </w:p>
        </w:tc>
        <w:tc>
          <w:tcPr>
            <w:tcW w:w="560" w:type="dxa"/>
            <w:vAlign w:val="bottom"/>
          </w:tcPr>
          <w:p>
            <w:pPr>
              <w:spacing w:after="0"/>
              <w:rPr>
                <w:sz w:val="18"/>
                <w:szCs w:val="18"/>
                <w:color w:val="auto"/>
              </w:rPr>
            </w:pPr>
          </w:p>
        </w:tc>
        <w:tc>
          <w:tcPr>
            <w:tcW w:w="360" w:type="dxa"/>
            <w:vAlign w:val="bottom"/>
          </w:tcPr>
          <w:p>
            <w:pPr>
              <w:ind w:left="280"/>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gridSpan w:val="2"/>
          </w:tcPr>
          <w:p>
            <w:pPr>
              <w:jc w:val="center"/>
              <w:ind w:right="40"/>
              <w:spacing w:after="0"/>
              <w:rPr>
                <w:sz w:val="20"/>
                <w:szCs w:val="20"/>
                <w:color w:val="auto"/>
              </w:rPr>
            </w:pPr>
            <w:r>
              <w:rPr>
                <w:rFonts w:ascii="Times New Roman" w:cs="Times New Roman" w:eastAsia="Times New Roman" w:hAnsi="Times New Roman"/>
                <w:sz w:val="8"/>
                <w:szCs w:val="8"/>
                <w:color w:val="auto"/>
                <w:w w:val="74"/>
              </w:rPr>
              <w:t> </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500" w:type="dxa"/>
            <w:vAlign w:val="bottom"/>
          </w:tcPr>
          <w:p>
            <w:pPr>
              <w:ind w:left="42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4,485</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common stock warrants (e)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8"/>
                <w:szCs w:val="8"/>
                <w:color w:val="auto"/>
                <w:w w:val="74"/>
              </w:rPr>
              <w:t> </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6"/>
              </w:rPr>
              <w:t>10,091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w w:val="95"/>
              </w:rPr>
              <w:t>756,172</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1,096,730</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14,712</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3,730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right="100" w:hanging="424"/>
        <w:spacing w:after="0" w:line="255"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 shares to be issued upon exercise of the P2P Warrants is not determined as of December 31, 2024 or 2023, therefore, the exercise price is only known in aggregate based on individual investor participation levels and timing of investment. The aggregate exercise price is $2.5 million as of December 31, 2024 and 2023. The Company’s valuation of its P2P Warrants assumes expected warrant shares of 1,127,088 and a range of 694,397 to 721,086 shares of either common stock or a future preferred stock series as of December 31, 2024 and 2023.</w:t>
      </w:r>
    </w:p>
    <w:p>
      <w:pPr>
        <w:spacing w:after="0" w:line="2"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warrants represent prior Series D Preferred Warrants which were converted in November 2022 to common stock warrants following the Company’s conversion event, as adjusted for the related December 2022 reverse stock split. These common stock warrants are classified in equity upon conversion in 2022. During January 2023, 336,950 of the Series D Preferred Warrants were reinstated upon the investor participating in the P2P Note extension. These warrants expired during the year ended December 31, 2024.</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 shares to be issued upon exercise of the Convertible Note Warrants as well as the related aggregate exercise price is not determinable as of December 31, 2024 and 2023 due to variable settlement terms. As of December 31, 2024 and 2023, the aggregate fixed monetary amount that will serve as the basis of calculating the number of warrant shares into which the Convertible Notes may be exercised into is $13.0 million and $2.0 million, respectively.</w:t>
      </w:r>
    </w:p>
    <w:p>
      <w:pPr>
        <w:spacing w:after="0" w:line="1" w:lineRule="exact"/>
        <w:rPr>
          <w:rFonts w:ascii="Times New Roman" w:cs="Times New Roman" w:eastAsia="Times New Roman" w:hAnsi="Times New Roman"/>
          <w:sz w:val="18"/>
          <w:szCs w:val="18"/>
          <w:color w:val="auto"/>
        </w:rPr>
      </w:pPr>
    </w:p>
    <w:p>
      <w:pPr>
        <w:jc w:val="both"/>
        <w:ind w:left="540" w:right="60" w:hanging="424"/>
        <w:spacing w:after="0" w:line="253"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exercise price is $68,333. As of December 31, 2023, the number of warrant shares is estimated based on the total Company common shares that would be required to be issued to be exchanged for the maximum number of BurTech Class A Common and is estimated at 7,007,582 shares. As of December 31, 2024, taking into consideration the effect of the April 2024 amendment, the number of warrant shares required to be issued in the form of BurTech Class A Common stock is fixed at 2,000,000 shares.</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140"/>
          </w:cols>
          <w:pgMar w:left="320" w:top="455" w:right="4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540" w:right="300" w:hanging="424"/>
        <w:spacing w:after="0" w:line="282" w:lineRule="auto"/>
        <w:tabs>
          <w:tab w:leader="none" w:pos="5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exercise price is $45,000. As of December 31, 2024, the number of warrant shares to be issued in the form of BurTech Class A Common stock is a fixed 4,500,000 shares.</w:t>
      </w:r>
    </w:p>
    <w:p>
      <w:pPr>
        <w:spacing w:after="0" w:line="162"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Assumptions used in the Black-Scholes option pricing model to fair value the Shadow Series D warrants reinstated January 2023 and the assumptions used to fair value the Shadow Series D and Shadow Series D-2 preferred stock warrants as of the respective reporting period were as follows: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At issuance: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Issued during the years ended December 31, 2024 and 2023:</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80" w:type="dxa"/>
            <w:vAlign w:val="bottom"/>
            <w:gridSpan w:val="12"/>
          </w:tcPr>
          <w:p>
            <w:pPr>
              <w:ind w:left="600"/>
              <w:spacing w:after="0"/>
              <w:rPr>
                <w:sz w:val="20"/>
                <w:szCs w:val="20"/>
                <w:color w:val="auto"/>
              </w:rPr>
            </w:pPr>
            <w:r>
              <w:rPr>
                <w:rFonts w:ascii="Times New Roman" w:cs="Times New Roman" w:eastAsia="Times New Roman" w:hAnsi="Times New Roman"/>
                <w:sz w:val="14"/>
                <w:szCs w:val="14"/>
                <w:b w:val="1"/>
                <w:bCs w:val="1"/>
                <w:color w:val="auto"/>
              </w:rPr>
              <w:t>Series D-2 Shadow Preferred Stock Warrant Reinstatement</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7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2024</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gridSpan w:val="3"/>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2023</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NA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NA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2024 and 2023:</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5"/>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Series D Shadow</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780" w:type="dxa"/>
            <w:vAlign w:val="bottom"/>
            <w:gridSpan w:val="8"/>
            <w:vMerge w:val="restart"/>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Series D-2 Shadow Preferred Stock Warrants</w:t>
            </w:r>
          </w:p>
        </w:tc>
        <w:tc>
          <w:tcPr>
            <w:tcW w:w="600" w:type="dxa"/>
            <w:vAlign w:val="bottom"/>
          </w:tcPr>
          <w:p>
            <w:pPr>
              <w:spacing w:after="0"/>
              <w:rPr>
                <w:sz w:val="12"/>
                <w:szCs w:val="12"/>
                <w:color w:val="auto"/>
              </w:rPr>
            </w:pPr>
          </w:p>
        </w:tc>
        <w:tc>
          <w:tcPr>
            <w:tcW w:w="110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780" w:type="dxa"/>
            <w:vAlign w:val="bottom"/>
            <w:gridSpan w:val="8"/>
            <w:vMerge w:val="continue"/>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c>
          <w:tcPr>
            <w:tcW w:w="2120" w:type="dxa"/>
            <w:vAlign w:val="bottom"/>
            <w:tcBorders>
              <w:top w:val="single" w:sz="8" w:color="auto"/>
            </w:tcBorders>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31, </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 December 31, </w:t>
            </w:r>
          </w:p>
        </w:tc>
        <w:tc>
          <w:tcPr>
            <w:tcW w:w="400" w:type="dxa"/>
            <w:vAlign w:val="bottom"/>
            <w:gridSpan w:val="2"/>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284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 - 4.40%</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0.04 - 0.72</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94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9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P2P Warrants, issued in 2022 and in 2023 were valued using the Black-Scholes option pricing model probability-weighted for the same future event scenarios as defined in the valuation of the P2P Notes wherein the warrant strike price and the fair value of the respective Conversion Shares was calculated for each of participation group with 20%, 30%, 40%, and 60% warrant percentages, respectively.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issuance: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Issued during the years ended December 31, 2024 and 2023:</w:t>
      </w:r>
    </w:p>
    <w:p>
      <w:pPr>
        <w:spacing w:after="0" w:line="24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Warrants issued with P2P Convertible Notes</w:t>
      </w:r>
    </w:p>
    <w:p>
      <w:pPr>
        <w:spacing w:after="0" w:line="12" w:lineRule="exact"/>
        <w:rPr>
          <w:sz w:val="20"/>
          <w:szCs w:val="20"/>
          <w:color w:val="auto"/>
        </w:rPr>
      </w:pPr>
    </w:p>
    <w:tbl>
      <w:tblPr>
        <w:tblLayout w:type="fixed"/>
        <w:tblInd w:w="1440" w:type="dxa"/>
        <w:tblCellMar>
          <w:top w:w="0" w:type="dxa"/>
          <w:left w:w="0" w:type="dxa"/>
          <w:bottom w:w="0" w:type="dxa"/>
          <w:right w:w="0" w:type="dxa"/>
        </w:tblCellMar>
      </w:tblPr>
      <w:tr>
        <w:trPr>
          <w:trHeight w:val="142"/>
        </w:trPr>
        <w:tc>
          <w:tcPr>
            <w:tcW w:w="45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120" w:type="dxa"/>
            <w:vAlign w:val="bottom"/>
            <w:tcBorders>
              <w:top w:val="single" w:sz="8" w:color="auto"/>
              <w:bottom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93"/>
              </w:rPr>
              <w:t>Issued in 2024 </w:t>
            </w:r>
          </w:p>
        </w:tc>
        <w:tc>
          <w:tcPr>
            <w:tcW w:w="1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20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2023 </w:t>
            </w:r>
          </w:p>
        </w:tc>
        <w:tc>
          <w:tcPr>
            <w:tcW w:w="40" w:type="dxa"/>
            <w:vAlign w:val="bottom"/>
            <w:tcBorders>
              <w:bottom w:val="single" w:sz="8" w:color="CCEEFF"/>
            </w:tcBorders>
          </w:tcPr>
          <w:p>
            <w:pPr>
              <w:spacing w:after="0"/>
              <w:rPr>
                <w:sz w:val="12"/>
                <w:szCs w:val="12"/>
                <w:color w:val="auto"/>
              </w:rPr>
            </w:pPr>
          </w:p>
        </w:tc>
      </w:tr>
      <w:tr>
        <w:trPr>
          <w:trHeight w:val="20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8"/>
                <w:szCs w:val="18"/>
                <w:color w:val="auto"/>
                <w:w w:val="99"/>
              </w:rPr>
              <w:t>NA</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9"/>
              </w:rPr>
              <w:t>4.09% - 4.65%</w:t>
            </w:r>
          </w:p>
        </w:tc>
        <w:tc>
          <w:tcPr>
            <w:tcW w:w="40" w:type="dxa"/>
            <w:vAlign w:val="bottom"/>
            <w:shd w:val="clear" w:color="auto" w:fill="CCEEFF"/>
          </w:tcPr>
          <w:p>
            <w:pPr>
              <w:spacing w:after="0"/>
              <w:rPr>
                <w:sz w:val="18"/>
                <w:szCs w:val="18"/>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12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w w:val="99"/>
              </w:rPr>
              <w:t>NA</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1.0 - 1.94 years</w:t>
            </w: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2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8"/>
                <w:szCs w:val="18"/>
                <w:color w:val="auto"/>
                <w:w w:val="99"/>
              </w:rPr>
              <w:t>NA</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9"/>
              </w:rPr>
              <w:t>66.6% - 71.6%</w:t>
            </w:r>
          </w:p>
        </w:tc>
        <w:tc>
          <w:tcPr>
            <w:tcW w:w="40" w:type="dxa"/>
            <w:vAlign w:val="bottom"/>
            <w:shd w:val="clear" w:color="auto" w:fill="CCEEFF"/>
          </w:tcPr>
          <w:p>
            <w:pPr>
              <w:spacing w:after="0"/>
              <w:rPr>
                <w:sz w:val="18"/>
                <w:szCs w:val="18"/>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2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w w:val="99"/>
              </w:rPr>
              <w:t>NA</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112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8"/>
                <w:szCs w:val="18"/>
                <w:color w:val="auto"/>
                <w:w w:val="99"/>
              </w:rPr>
              <w:t>NA</w:t>
            </w:r>
          </w:p>
        </w:tc>
        <w:tc>
          <w:tcPr>
            <w:tcW w:w="13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r>
      <w:tr>
        <w:trPr>
          <w:trHeight w:val="234"/>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12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w w:val="99"/>
              </w:rPr>
              <w:t>NA</w:t>
            </w:r>
          </w:p>
        </w:tc>
        <w:tc>
          <w:tcPr>
            <w:tcW w:w="13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0.46</w:t>
            </w:r>
          </w:p>
        </w:tc>
      </w:tr>
      <w:tr>
        <w:trPr>
          <w:trHeight w:val="346"/>
        </w:trPr>
        <w:tc>
          <w:tcPr>
            <w:tcW w:w="4680" w:type="dxa"/>
            <w:vAlign w:val="bottom"/>
            <w:gridSpan w:val="2"/>
          </w:tcPr>
          <w:p>
            <w:pPr>
              <w:ind w:left="4020"/>
              <w:spacing w:after="0"/>
              <w:rPr>
                <w:sz w:val="20"/>
                <w:szCs w:val="20"/>
                <w:color w:val="auto"/>
              </w:rPr>
            </w:pPr>
            <w:r>
              <w:rPr>
                <w:rFonts w:ascii="Times New Roman" w:cs="Times New Roman" w:eastAsia="Times New Roman" w:hAnsi="Times New Roman"/>
                <w:sz w:val="18"/>
                <w:szCs w:val="18"/>
                <w:color w:val="auto"/>
              </w:rPr>
              <w:t>F-72</w:t>
            </w: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00"/>
          </w:cols>
          <w:pgMar w:left="320" w:top="455" w:right="47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2024 and 2023:</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0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Warrants issued with 2022 P2P Notes</w:t>
            </w:r>
          </w:p>
        </w:tc>
      </w:tr>
      <w:tr>
        <w:trPr>
          <w:trHeight w:val="142"/>
        </w:trPr>
        <w:tc>
          <w:tcPr>
            <w:tcW w:w="4560" w:type="dxa"/>
            <w:vAlign w:val="bottom"/>
          </w:tcPr>
          <w:p>
            <w:pPr>
              <w:spacing w:after="0"/>
              <w:rPr>
                <w:sz w:val="12"/>
                <w:szCs w:val="12"/>
                <w:color w:val="auto"/>
              </w:rPr>
            </w:pPr>
          </w:p>
        </w:tc>
        <w:tc>
          <w:tcPr>
            <w:tcW w:w="254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2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12"/>
                <w:szCs w:val="12"/>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 - 4.31%</w:t>
            </w: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 - 4.79%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00" w:type="dxa"/>
            <w:vAlign w:val="bottom"/>
          </w:tcPr>
          <w:p>
            <w:pPr>
              <w:spacing w:after="0"/>
              <w:rPr>
                <w:sz w:val="18"/>
                <w:szCs w:val="18"/>
                <w:color w:val="auto"/>
              </w:rPr>
            </w:pPr>
          </w:p>
        </w:tc>
        <w:tc>
          <w:tcPr>
            <w:tcW w:w="244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auto"/>
                <w:w w:val="98"/>
              </w:rPr>
              <w:t>0.04 - 1.00 years</w:t>
            </w: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1.0 - 1.44 years</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1240"/>
              <w:spacing w:after="0"/>
              <w:rPr>
                <w:sz w:val="20"/>
                <w:szCs w:val="20"/>
                <w:color w:val="auto"/>
              </w:rPr>
            </w:pPr>
            <w:r>
              <w:rPr>
                <w:rFonts w:ascii="Times New Roman" w:cs="Times New Roman" w:eastAsia="Times New Roman" w:hAnsi="Times New Roman"/>
                <w:sz w:val="18"/>
                <w:szCs w:val="18"/>
                <w:color w:val="auto"/>
              </w:rPr>
              <w:t>69.8% - 71.6%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61.2% - 62.3%</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0" w:type="dxa"/>
            <w:vAlign w:val="bottom"/>
          </w:tcPr>
          <w:p>
            <w:pPr>
              <w:spacing w:after="0"/>
              <w:rPr>
                <w:sz w:val="18"/>
                <w:szCs w:val="18"/>
                <w:color w:val="auto"/>
              </w:rPr>
            </w:pPr>
          </w:p>
        </w:tc>
        <w:tc>
          <w:tcPr>
            <w:tcW w:w="244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10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1240"/>
              <w:spacing w:after="0"/>
              <w:rPr>
                <w:sz w:val="20"/>
                <w:szCs w:val="20"/>
                <w:color w:val="auto"/>
              </w:rPr>
            </w:pPr>
            <w:r>
              <w:rPr>
                <w:rFonts w:ascii="Times New Roman" w:cs="Times New Roman" w:eastAsia="Times New Roman" w:hAnsi="Times New Roman"/>
                <w:sz w:val="18"/>
                <w:szCs w:val="18"/>
                <w:color w:val="auto"/>
              </w:rPr>
              <w:t>immaterial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4.16</w:t>
            </w: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0.74</w:t>
            </w:r>
          </w:p>
        </w:tc>
      </w:tr>
    </w:tbl>
    <w:p>
      <w:pPr>
        <w:spacing w:after="0" w:line="17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2023 Convertible Note Warrants, issued in 2023 and in January and February of 2024 were valued using the Black-Scholes option pricing model probability-weighted for future event scenarios as defined in the 2023 Convertible Note NPA. The exercise price is a floating exercise price, thus, was estimated using a Monte Carlo simulation model. The following summarizes additional related valuation assumptions: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issuance: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Issued during the years ended December 31, 2024 and 2023:</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Warrants issued with 2023 Convertible Notes</w:t>
            </w:r>
          </w:p>
        </w:tc>
      </w:tr>
      <w:tr>
        <w:trPr>
          <w:trHeight w:val="142"/>
        </w:trPr>
        <w:tc>
          <w:tcPr>
            <w:tcW w:w="8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2024</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1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2023</w:t>
            </w:r>
          </w:p>
        </w:tc>
      </w:tr>
      <w:tr>
        <w:trPr>
          <w:trHeight w:val="210"/>
        </w:trPr>
        <w:tc>
          <w:tcPr>
            <w:tcW w:w="88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 - 5.55%</w:t>
            </w:r>
          </w:p>
        </w:tc>
        <w:tc>
          <w:tcPr>
            <w:tcW w:w="4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8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0.36 - 5.00 years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88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61.2% - 73.0%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8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0.00%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88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154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4.16 - $4.43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NA</w:t>
            </w:r>
          </w:p>
        </w:tc>
      </w:tr>
      <w:tr>
        <w:trPr>
          <w:trHeight w:val="234"/>
        </w:trPr>
        <w:tc>
          <w:tcPr>
            <w:tcW w:w="88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54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0.74 - $0.81</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NA</w:t>
            </w:r>
          </w:p>
        </w:tc>
      </w:tr>
      <w:tr>
        <w:trPr>
          <w:trHeight w:val="414"/>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2024 and 2023:</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1"/>
        </w:trPr>
        <w:tc>
          <w:tcPr>
            <w:tcW w:w="8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gridSpan w:val="8"/>
          </w:tcPr>
          <w:p>
            <w:pPr>
              <w:ind w:left="200"/>
              <w:spacing w:after="0"/>
              <w:rPr>
                <w:sz w:val="20"/>
                <w:szCs w:val="20"/>
                <w:color w:val="auto"/>
              </w:rPr>
            </w:pPr>
            <w:r>
              <w:rPr>
                <w:rFonts w:ascii="Times New Roman" w:cs="Times New Roman" w:eastAsia="Times New Roman" w:hAnsi="Times New Roman"/>
                <w:sz w:val="14"/>
                <w:szCs w:val="14"/>
                <w:b w:val="1"/>
                <w:bCs w:val="1"/>
                <w:color w:val="auto"/>
              </w:rPr>
              <w:t>Warrants issued with 2023 Convertible Notes</w:t>
            </w:r>
          </w:p>
        </w:tc>
      </w:tr>
      <w:tr>
        <w:trPr>
          <w:trHeight w:val="142"/>
        </w:trPr>
        <w:tc>
          <w:tcPr>
            <w:tcW w:w="8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80" w:type="dxa"/>
            <w:vAlign w:val="bottom"/>
            <w:tcBorders>
              <w:top w:val="single" w:sz="8" w:color="auto"/>
            </w:tcBorders>
            <w:gridSpan w:val="5"/>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4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12"/>
                <w:szCs w:val="12"/>
                <w:color w:val="auto"/>
              </w:rPr>
            </w:pPr>
          </w:p>
        </w:tc>
      </w:tr>
      <w:tr>
        <w:trPr>
          <w:trHeight w:val="210"/>
        </w:trPr>
        <w:tc>
          <w:tcPr>
            <w:tcW w:w="88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7"/>
              </w:rPr>
              <w:t>3.98% - 4.99%</w:t>
            </w:r>
          </w:p>
        </w:tc>
        <w:tc>
          <w:tcPr>
            <w:tcW w:w="800" w:type="dxa"/>
            <w:vAlign w:val="bottom"/>
            <w:tcBorders>
              <w:top w:val="single" w:sz="8" w:color="CCEEFF"/>
            </w:tcBorders>
            <w:gridSpan w:val="2"/>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 - 5.26%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180" w:type="dxa"/>
            <w:vAlign w:val="bottom"/>
          </w:tcPr>
          <w:p>
            <w:pPr>
              <w:spacing w:after="0"/>
              <w:rPr>
                <w:sz w:val="18"/>
                <w:szCs w:val="18"/>
                <w:color w:val="auto"/>
              </w:rPr>
            </w:pPr>
          </w:p>
        </w:tc>
        <w:tc>
          <w:tcPr>
            <w:tcW w:w="208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rPr>
              <w:t>0.04 - 1.00 years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0.51 - 9.51 years</w:t>
            </w:r>
          </w:p>
        </w:tc>
      </w:tr>
      <w:tr>
        <w:trPr>
          <w:trHeight w:val="216"/>
        </w:trPr>
        <w:tc>
          <w:tcPr>
            <w:tcW w:w="88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800" w:type="dxa"/>
            <w:vAlign w:val="bottom"/>
            <w:gridSpan w:val="5"/>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69.8% - 73.2%</w:t>
            </w: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61.2% - 62.8%</w:t>
            </w:r>
          </w:p>
        </w:tc>
      </w:tr>
      <w:tr>
        <w:trPr>
          <w:trHeight w:val="216"/>
        </w:trPr>
        <w:tc>
          <w:tcPr>
            <w:tcW w:w="8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0.00%</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88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immaterial</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4.16</w:t>
            </w:r>
          </w:p>
        </w:tc>
      </w:tr>
      <w:tr>
        <w:trPr>
          <w:trHeight w:val="234"/>
        </w:trPr>
        <w:tc>
          <w:tcPr>
            <w:tcW w:w="88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4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1.94</w:t>
            </w:r>
          </w:p>
        </w:tc>
        <w:tc>
          <w:tcPr>
            <w:tcW w:w="4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0.74</w:t>
            </w:r>
          </w:p>
        </w:tc>
      </w:tr>
    </w:tbl>
    <w:p>
      <w:pPr>
        <w:spacing w:after="0" w:line="17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fair value of the pre-funded common stock warrants has been estimated based on a probability-weighted approach of scenarios, including the scenarios that the Merger will and will not be consummated.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2024, no Company warrants have been exercised.</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As provided by the terms of the Merger, the outstanding warrants were converted, at the option of the holders, to common stock upon the Closing Date (see Note 1).</w:t>
      </w:r>
    </w:p>
    <w:p>
      <w:pPr>
        <w:spacing w:after="0" w:line="200" w:lineRule="exact"/>
        <w:rPr>
          <w:sz w:val="20"/>
          <w:szCs w:val="20"/>
          <w:color w:val="auto"/>
        </w:rPr>
      </w:pPr>
    </w:p>
    <w:p>
      <w:pPr>
        <w:spacing w:after="0" w:line="2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080"/>
          </w:cols>
          <w:pgMar w:left="320" w:top="455" w:right="49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Company’s lease obligations primarily consist of operating leases for its headquarters complex and domestic and international office facilities, with lease periods expiring between fiscal years 2026 and 2029, some of which include options to extend up to 12 months. The Company does not have any leases that include residual value guarantees.</w:t>
      </w:r>
    </w:p>
    <w:p>
      <w:pPr>
        <w:spacing w:after="0" w:line="176"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Payments under the lease arrangements are primarily fixed, however, certain lease agreements contain variable payments, which are expensed as incurred and not included in the operating lease assets and liabilities. These amounts include variable payments for maintenance services, utilities, and other expenses.</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executed three lease renewals for a period of five years and extinguished one lease prior to its scheduled termination date. The loss recognized on lease termination was immaterial.</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the net lease cost reflected in the Company’s consolidated statements of operations were as follows for the years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2024 and 2023 (in thousands):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3060" w:type="dxa"/>
            <w:vAlign w:val="bottom"/>
            <w:gridSpan w:val="2"/>
          </w:tcPr>
          <w:p>
            <w:pPr>
              <w:jc w:val="center"/>
              <w:ind w:left="257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5"/>
                <w:szCs w:val="15"/>
                <w:color w:val="auto"/>
              </w:rPr>
            </w:pPr>
          </w:p>
        </w:tc>
      </w:tr>
      <w:tr>
        <w:trPr>
          <w:trHeight w:val="209"/>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26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$ 817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26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4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22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jc w:val="center"/>
              <w:ind w:left="2339"/>
              <w:spacing w:after="0"/>
              <w:rPr>
                <w:sz w:val="20"/>
                <w:szCs w:val="20"/>
                <w:color w:val="auto"/>
              </w:rPr>
            </w:pPr>
            <w:r>
              <w:rPr>
                <w:rFonts w:ascii="Times New Roman" w:cs="Times New Roman" w:eastAsia="Times New Roman" w:hAnsi="Times New Roman"/>
                <w:sz w:val="18"/>
                <w:szCs w:val="18"/>
                <w:color w:val="auto"/>
                <w:w w:val="98"/>
              </w:rPr>
              <w:t>$ 843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1,035</w:t>
            </w:r>
          </w:p>
        </w:tc>
      </w:tr>
      <w:tr>
        <w:trPr>
          <w:trHeight w:val="20"/>
        </w:trPr>
        <w:tc>
          <w:tcPr>
            <w:tcW w:w="4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Company’s operating leases had a weighted average remaining lease term of 3.2 years and a weighted average discount rate related to the Company’s ROU assets and lease liabilities of 9.9%. As of December 31, 2023, the Company’s operating leases had a weighted average remaining lease term of 4.0 years and a weighted average discount rate related to the Company’s ROU assets and lease liabilities of 9.8%.</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Supplemental information related to operating leases was as follows for the years ended December 31, 2024 and 2023 (in thousands):</w:t>
      </w:r>
    </w:p>
    <w:p>
      <w:pPr>
        <w:spacing w:after="0" w:line="36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5"/>
                <w:szCs w:val="15"/>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785</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73"/>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1,673</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and lease liabilities extinguished upon termination of lease, net gain</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73"/>
              </w:rPr>
              <w:t>— 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Short-term variable lease expenses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w:t>
            </w:r>
          </w:p>
        </w:tc>
      </w:tr>
      <w:tr>
        <w:trPr>
          <w:trHeight w:val="346"/>
        </w:trPr>
        <w:tc>
          <w:tcPr>
            <w:tcW w:w="664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F-74</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2024, future minimum lease payments under the Company’s non-cancelable operating leases are as follows (in thousands):</w:t>
      </w:r>
    </w:p>
    <w:p>
      <w:pPr>
        <w:spacing w:after="0" w:line="30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Operating lease</w:t>
            </w:r>
          </w:p>
        </w:tc>
      </w:tr>
      <w:tr>
        <w:trPr>
          <w:trHeight w:val="173"/>
        </w:trPr>
        <w:tc>
          <w:tcPr>
            <w:tcW w:w="6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obligations</w:t>
            </w: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r>
      <w:tr>
        <w:trPr>
          <w:trHeight w:val="223"/>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r>
      <w:tr>
        <w:trPr>
          <w:trHeight w:val="22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net future minimum lease payments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short-term operating lease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(578)</w:t>
            </w:r>
          </w:p>
        </w:tc>
      </w:tr>
      <w:tr>
        <w:trPr>
          <w:trHeight w:val="22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Redeemable Convertible Preferred Stock</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terms of the December 12, 2022 Amended and Restated Certificate of Incorporation the Company introduced “Shadow Preferred” classes of stock. A Shadow Preferred class of stock was created for each series of preferred stock outstanding prior to the conversion. Those shareholders who participated in the Company’s December 2022 P2P Transaction obtained the benefit of the Pull-Through Exchange of their Converted Common into shares of the class(es) of Shadow Preferred Stock identical to those previously held (see Note 7). Investors who did not participate, retained ownership only in Converted Common stock.</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January and February 2023, the Company raised $9.4 million in additional P2P Notes, inclusive of $0.1 million in proceeds from the Common Rights Offering (see Notes 7 and 13). Those shareholders who participated in providing additional funding in 2023 obtained the benefit of the Pull-Through Exchange of their Converted Common into shares of the class(es) of Shadow Preferred Stock identical to those previously held (see Note 7). Investors who did not participate retained ownership only in Converted Common stock. For the year ended December 31, 2023, the Pull-Through Exchange resulted in incremental value to the investors in the P2P Notes of $30.6 million, measured as the difference in the fair value of the Shadow Preferred Stock shares held after the Pull-Through Exchange to the fair value of the Converted Common held just prior to the Pull-Through Exchange, which has been accounted for as a Pay-to-Play financing charge in the consolidated statements of operations.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060"/>
          </w:cols>
          <w:pgMar w:left="320" w:top="455" w:right="51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authorized, issued and outstanding shares of the redeemable convertible preferred stock and liquidation preferences as of December 31, 2024 and 2023 were as follows (dollars in thousands):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3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3"/>
                <w:szCs w:val="13"/>
                <w:color w:val="auto"/>
              </w:rPr>
            </w:pPr>
          </w:p>
        </w:tc>
        <w:tc>
          <w:tcPr>
            <w:tcW w:w="12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9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Liquidation</w:t>
            </w:r>
          </w:p>
        </w:tc>
      </w:tr>
      <w:tr>
        <w:trPr>
          <w:trHeight w:val="173"/>
        </w:trPr>
        <w:tc>
          <w:tcPr>
            <w:tcW w:w="78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3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Value *</w:t>
            </w:r>
          </w:p>
        </w:tc>
        <w:tc>
          <w:tcPr>
            <w:tcW w:w="10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Preference</w:t>
            </w:r>
          </w:p>
        </w:tc>
      </w:tr>
      <w:tr>
        <w:trPr>
          <w:trHeight w:val="142"/>
        </w:trPr>
        <w:tc>
          <w:tcPr>
            <w:tcW w:w="7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4"/>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 Shadow Preferred</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5,032,238</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2,020,309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698</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Shadow Preferred</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15,174,130</w:t>
            </w:r>
          </w:p>
        </w:tc>
        <w:tc>
          <w:tcPr>
            <w:tcW w:w="3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4,573,935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3,183</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3,183</w:t>
            </w: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Shadow Preferred</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18,392,046</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12,234,661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8,442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8,442</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 Shadow Preferred</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13,722,052</w:t>
            </w:r>
          </w:p>
        </w:tc>
        <w:tc>
          <w:tcPr>
            <w:tcW w:w="3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10,211,548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48,661</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48,661</w:t>
            </w: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Shadow Preferred</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4,707,494</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3,990,707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41,673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41,673</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 Exchange Shadow Preferred</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4,707,494</w:t>
            </w:r>
          </w:p>
        </w:tc>
        <w:tc>
          <w:tcPr>
            <w:tcW w:w="3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239,405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Series D-1</w:t>
            </w:r>
          </w:p>
        </w:tc>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Shadow Preferred</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3,935,839</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3,662,318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30,595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30,595</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w w:val="99"/>
              </w:rPr>
              <w:t>Series D-1</w:t>
            </w:r>
          </w:p>
        </w:tc>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Exchange Shadow Preferred</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3,935,839</w:t>
            </w:r>
          </w:p>
        </w:tc>
        <w:tc>
          <w:tcPr>
            <w:tcW w:w="340" w:type="dxa"/>
            <w:vAlign w:val="bottom"/>
          </w:tcPr>
          <w:p>
            <w:pPr>
              <w:spacing w:after="0"/>
              <w:rPr>
                <w:sz w:val="18"/>
                <w:szCs w:val="18"/>
                <w:color w:val="auto"/>
              </w:rPr>
            </w:pPr>
          </w:p>
        </w:tc>
        <w:tc>
          <w:tcPr>
            <w:tcW w:w="11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Series D-2</w:t>
            </w:r>
          </w:p>
        </w:tc>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Shadow Preferred</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27,042,965</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7,561,820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37,595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37,595</w:t>
            </w:r>
          </w:p>
        </w:tc>
      </w:tr>
      <w:tr>
        <w:trPr>
          <w:trHeight w:val="22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5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96,650,097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44,494,703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173,347</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173,347</w:t>
            </w:r>
          </w:p>
        </w:tc>
        <w:tc>
          <w:tcPr>
            <w:tcW w:w="60" w:type="dxa"/>
            <w:vAlign w:val="bottom"/>
          </w:tcPr>
          <w:p>
            <w:pPr>
              <w:spacing w:after="0"/>
              <w:rPr>
                <w:sz w:val="19"/>
                <w:szCs w:val="19"/>
                <w:color w:val="auto"/>
              </w:rPr>
            </w:pPr>
          </w:p>
        </w:tc>
      </w:tr>
      <w:tr>
        <w:trPr>
          <w:trHeight w:val="20"/>
        </w:trPr>
        <w:tc>
          <w:tcPr>
            <w:tcW w:w="7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net of issuance cost including cash, issuance of preferred stock warrants &amp; dividend contribution(In thousands)</w:t>
      </w:r>
    </w:p>
    <w:p>
      <w:pPr>
        <w:spacing w:after="0" w:line="225"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following summarizes the terms of the redeemable convertible preferred stock outstanding for Series Seed Shadow, Series A Shadow, Series B Shadow, Series C Shadow, Series D Shadow, Series D Exchange Shadow, Series D-1 Shadow and Series D-2 Shadow redeemable convertible preferred stock of the Company (collectively the “preferred stock”). The Series D-2 Shadow Preferred Stock, Series D Exchange Shadow Preferred Stock and Series D-1 Exchange Shadow Preferred Stock are collectively referred to as the “Senior Series D Shadow Stock”. Series Seed Shadow Preferred Stock through Series C Shadow Preferred Stock are collectively referred to as the “Junior Shadow Preferred Stock”. Unless specified, the rights of the individual preferred stock series outstanding prior to the P2P Transaction (see Note 7) and related establishment of Shadow Preferred classes remained the same.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Each holder of preferred stock shall have the right to one vote for each share of common stock into which such shares of preferred stock could be converted and shall have full voting rights and powers equal to the voting equal to the voting rights and powers of the holders of common stock.</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long as a majority of the shares of Series A Shadow Preferred Stock originally issued remain outstanding, the holders of the Series A Shadow Preferred Stock are entitled to elect 1 Director. As long as a majority of the shares of Series B Shadow Preferred Stock originally issued remain outstanding, the holders of the Series B Shadow Preferred Stock are entitled to elect 1 Director. As long as a majority of the shares of Series C Shadow Preferred Stock originally issued remain outstanding, the holders of the Series C Shadow Preferred Stock are entitled to elect 1 Director. The holders of the Common Stock are entitled to elect 1 Director. The holders of the Shadow Preferred Stock and Common Stock (voting together as a single class and not as a separate series, and on an as-converted basis) are entitled to elect any remaining directors of the Company.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holders of Series B Preferred Stock and Series C Preferred Stock are entitled to receive dividends prior and in preference to any dividends on the Series Seed Preferred Stock, Series A Preferred Stock and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-236855</wp:posOffset>
            </wp:positionV>
            <wp:extent cx="2857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060"/>
          </w:cols>
          <w:pgMar w:left="320" w:top="455" w:right="51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Stock, at the rate of $0.0552 per annum for each share of Series B Preferred Stock and $0.3812 per annum for each share of Series C Preferred Stock, on a non-cumulative basis, when and if declared by the Company’s Board of Directors (the Board). Holders of Series B Preferred Stock and Series C Preferred Stock may waive their dividend preference subject to certain elections. After payment of such dividend, any additional dividends shall be distributed among all holders of Common Stock and in proportion to the number of shares of Common Stock then held by each holder on an as-converted basis.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the event of a Liquidation Transaction, each series of Senior Series D Shadow Preferred Stock shall be entitled to receive out of the proceeds or assets of the Company available for distribution to its stockholders, prior and in preference to any distribution of the proceeds to the Series D Shadow Preferred Stock, Junior Shadow Preferred Stock, and Common Stock, an amount per share equal to the sum of the applicable Original Issue Price (as defined below) for Series D Shadow Stock, plus declared but unpaid dividends. Upon completion of the distribution for the Senior Series D Shadow Preferred Stock, Series D Shadow Preferred Stock is entitled to receive proceeds prior and in preference to any distribution to Junior Shadow Preferred Stock and Common Stock, also an amount equal to the Original Issue price. Similarly, Junior Shadow Preferred Stock has liquidation preference over Common Stock. Upon completion of the distribution required to preferred stockholders, the remaining proceeds shall be distributed to common stockholders on a pro rata basis.</w:t>
      </w:r>
    </w:p>
    <w:p>
      <w:pPr>
        <w:spacing w:after="0" w:line="192"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The Original Issuance Price is defined as $0.3456 per share for Series Seed Shadow Preferred Stock; $0.6960 per share for Series A Shadow Preferred Stock; $0.6900 per share for Series B Shadow Preferred Stock and; $4.7653 per share for Series C Shadow Preferred Stock; $10.4425 per share for Series D Shadow Preferred Stock; $8.3540 per share for Series D-1 Shadow Preferred Stock; $4.9717 per share for Series D-2 Shadow Preferred Stock; $10.4425 per share for Series D Exchange Shadow Preferred Stock and $8.3540 per share for Series D-1 Exchange Preferred Stock plus any declared but unpaid dividends on such shares.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Liquidation Event shall include the closing of the sale, transfer, exclusive license or other disposition of all or substantially all of the Company’s assets; the consummation of a merger or consolidation of the Company with or into another entity (unless the holders of the Company’s capital stock continue to hold at least 50% of the voting power); the closing of the transfer in one transaction or a series of transactions to a person or group of affiliated persons if after such closing, such person or group of affiliate persons hold 50% or more the outstanding voting stock of the Company; or a liquidation, dissolution or winding up of the Company (provided that a transaction shall not constitute a Liquidation Event if its sole purpose is to change the jurisdiction of the Company’s incorporation or create a holding company that will be owned in substantially the same proportions by the persons who held the Company’s capital stock immediately prior to such transaction).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At any time after the initial issuance date, upon receipt of a Redemption Request by the Company of not less than a majority of the then outstanding Series B Shadow Preferred Stock, Series C Shadow Preferred Stock, Series D Shadow Preferred Stock, Senior Series D Shadow Preferred Stock, by class respectively (the Redemption Request), the Company shall, upon certain conditions being met, redeem the original issuance price plus any declared but unpaid dividends to the redeeming holders of preferred stock within 90 days of the Redemption Request in three annual installments so long as the total redemption amount does not exceed 15% of the Company’s then current enterprise value.</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redemption request could not be made until after the fifth anniversary of the date upon which shares of the Series C Preferred Stock are first issued, or July 2023. Such request was not made as of such date (see Note 7).</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120"/>
          </w:cols>
          <w:pgMar w:left="320" w:top="455" w:right="4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Due to conditions of redemption that are outside the control of the Company, the redeemable convertible preferred stock has been reflected outside of stockholders’ deficit.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21"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holders of the preferred stock have a right to convert their stock into shares of common stock at any time after the date of issuance and on the fifth day prior to the Redemption Date. Each share of preferred stock shall be convertible to common stock, the rate of which is determined by dividing the applicable Original Issuance Price for such series by the applicable “Conversion Price” (defined as Original Issuance Price applicable to such series, subject to certain adjustments as define in Section 4(d) of the Restated Certificate of Incorporation).</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each share of Preferred Stock shall automatically be converted into shares of Common Stock at the Conversion Rate immediately upon the earlier of (i) an IPO with resulting gross proceeds of at least $150.0 million, (ii) a Qualified Direct Listing, (ii) a Qualified SPAC Transaction with cash and cash equivalents of at least $225.0 million after redemptions or (iv) upon vote or written consent or agreement of the holders of a majority of the then outstanding shares of Preferred Stock voting as a single class on an as-converted basis.</w:t>
      </w:r>
    </w:p>
    <w:p>
      <w:pPr>
        <w:spacing w:after="0" w:line="180"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If there is a recapitalization of the Common Stock, provision shall be made so that the holders of the Preferred Stock shall be entitled to receive upon conversion of the Preferred Stock, the number of shares of stock, or other securities or property of the Company, to which a holder of Common Stock deliverable upon conversion would have been entitled on such recapitalization.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the Closing Date, all outstanding preferred stock was converted to common stock upon the execution of the Merger (see Note 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11. Common stock and Stock-Based Compensation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11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At December 31, 2024 and 2023, there were 175,095,000 shares of common stock authorized, respectively, and 17,519,999 and 17,454,353 shares issued and outstanding, respectively.</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Holders of common stock are entitled to receive dividends whenever funds are legally available and when declared by the Board of Directors, subject to the priority rights of holders of all series of Preferred Stock outstanding. Holders of common stock are entitled to one vote for each share of common stock held at all meetings of stockholders.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120"/>
          </w:cols>
          <w:pgMar w:left="320" w:top="455" w:right="4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Common stock reserved for issuance as of December 31, 2024 and 2023, is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 Shadow Preferred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2,020,309</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2,020,309</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Series A Shadow Preferred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4,573,935</w:t>
            </w:r>
          </w:p>
        </w:tc>
        <w:tc>
          <w:tcPr>
            <w:tcW w:w="6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4,573,935</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Shadow Preferred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12,234,661</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12,234,661</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Series C Shadow Preferred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10,211,548</w:t>
            </w:r>
          </w:p>
        </w:tc>
        <w:tc>
          <w:tcPr>
            <w:tcW w:w="6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10,211,548</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Shadow Preferred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3,990,707</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3,990,707</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Series D Exchange Shadow Preferred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239,405</w:t>
            </w:r>
          </w:p>
        </w:tc>
        <w:tc>
          <w:tcPr>
            <w:tcW w:w="6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239,405</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D-1 Shadow Preferred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3,662,318</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3,662,318</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Series D-2 Shadow Preferred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7,561,820</w:t>
            </w:r>
          </w:p>
        </w:tc>
        <w:tc>
          <w:tcPr>
            <w:tcW w:w="6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7,561,820</w:t>
            </w:r>
          </w:p>
        </w:tc>
        <w:tc>
          <w:tcPr>
            <w:tcW w:w="26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Warrants outstanding for future issuance of Series D Shadow and Series D-2 Shadow</w:t>
            </w:r>
          </w:p>
        </w:tc>
        <w:tc>
          <w:tcPr>
            <w:tcW w:w="8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756,172</w:t>
            </w:r>
          </w:p>
        </w:tc>
        <w:tc>
          <w:tcPr>
            <w:tcW w:w="6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1,094,667</w:t>
            </w:r>
          </w:p>
        </w:tc>
        <w:tc>
          <w:tcPr>
            <w:tcW w:w="2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Warrants outstanding for future issuance of common stock</w:t>
            </w:r>
          </w:p>
        </w:tc>
        <w:tc>
          <w:tcPr>
            <w:tcW w:w="14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81"/>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warrants (estimated see Note 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1,127,088</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721,086</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warrants - 2023</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         (a)</w:t>
            </w:r>
          </w:p>
        </w:tc>
        <w:tc>
          <w:tcPr>
            <w:tcW w:w="112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auto"/>
                <w:w w:val="99"/>
              </w:rPr>
              <w:t>         (a)</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warrant (estimated see Note 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7,007,582</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 April 2024 (estimated see Note 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620" w:type="dxa"/>
            <w:vAlign w:val="bottom"/>
          </w:tcPr>
          <w:p>
            <w:pPr>
              <w:spacing w:after="0"/>
              <w:rPr>
                <w:sz w:val="18"/>
                <w:szCs w:val="18"/>
                <w:color w:val="auto"/>
              </w:rPr>
            </w:pPr>
          </w:p>
        </w:tc>
        <w:tc>
          <w:tcPr>
            <w:tcW w:w="112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auto"/>
                <w:w w:val="81"/>
              </w:rPr>
              <w:t>— </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restricted stock units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41,018,458</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21,354,809</w:t>
            </w:r>
          </w:p>
        </w:tc>
        <w:tc>
          <w:tcPr>
            <w:tcW w:w="2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available for future issuance</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2,226,705</w:t>
            </w:r>
          </w:p>
        </w:tc>
        <w:tc>
          <w:tcPr>
            <w:tcW w:w="6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839,706</w:t>
            </w:r>
          </w:p>
        </w:tc>
        <w:tc>
          <w:tcPr>
            <w:tcW w:w="2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96,123,126</w:t>
            </w:r>
          </w:p>
        </w:tc>
        <w:tc>
          <w:tcPr>
            <w:tcW w:w="6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75,514,616</w:t>
            </w:r>
          </w:p>
        </w:tc>
        <w:tc>
          <w:tcPr>
            <w:tcW w:w="2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hanging="424"/>
        <w:spacing w:after="0" w:line="282" w:lineRule="auto"/>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warrants shares to be issued upon exercise of the 2023 Convertible Note Warrants is not determinable as of December 31, 2023 due to the variable settlement terms (see Note 8).</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11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November 2011, and as amended in December 2018 and August 2021, the Company adopted the 2011 Stock Plan (the “2011 Amended Plan”). Under the 2011 Amended Plan, incentive stock options (“ISOs”) may be granted to employees at exercise prices not lower than the fair value of the stock at the date of grant as determined by the Board, or the committee appointed by the Board to administer the 2011 Amended Plan. For ISOs granted to a person who, at the time of the grant, owns stock representing more than 10% of the total combined voting power of all classes of the Company’s stock, the per share exercise price must be no less than 110% of the fair value on the date of the grant as determined by the Board.</w:t>
      </w:r>
    </w:p>
    <w:p>
      <w:pPr>
        <w:spacing w:after="0" w:line="183" w:lineRule="exact"/>
        <w:rPr>
          <w:sz w:val="20"/>
          <w:szCs w:val="20"/>
          <w:color w:val="auto"/>
        </w:rPr>
      </w:pPr>
    </w:p>
    <w:p>
      <w:pPr>
        <w:ind w:left="120" w:right="420" w:firstLine="440"/>
        <w:spacing w:after="0" w:line="312" w:lineRule="auto"/>
        <w:rPr>
          <w:sz w:val="20"/>
          <w:szCs w:val="20"/>
          <w:color w:val="auto"/>
        </w:rPr>
      </w:pPr>
      <w:r>
        <w:rPr>
          <w:rFonts w:ascii="Times New Roman" w:cs="Times New Roman" w:eastAsia="Times New Roman" w:hAnsi="Times New Roman"/>
          <w:sz w:val="17"/>
          <w:szCs w:val="17"/>
          <w:color w:val="auto"/>
        </w:rPr>
        <w:t>The Company recognizes compensation expense for service-based options on a straight-line basis over the requisite service period of all employees or non-employees, which is the award’s vesting term, generally over four years. The Company accounts for forfeitures when they occur.</w:t>
      </w:r>
    </w:p>
    <w:p>
      <w:pPr>
        <w:spacing w:after="0" w:line="14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Company also grants RSUs, which vest upon the satisfaction of both the service-based condition and a liquidity event condition. The liquidity event condition for the RSUs is satisfied upon the occurrence of a qualifying event, defined specifically in the equity documents, and generally refer to the earlier of a specified period of time subsequent to an initial public offering or an acquisition, in all cases prior to the expiration date of the award. Additionally, for all terminated RSU grants, all RSUs which have satisfied a portion or all of the service-based condition of the termination date remain with the stockholder and do not return to the pool of shares available for issuance until the earlier of the satisfaction of the liquidity event (at which time those RSUs vest) or the expiration date of the award. The RSUs expire as defined by the individual RSU grant, generally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140"/>
          </w:cols>
          <w:pgMar w:left="320" w:top="455" w:right="4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earlier of (i) the first anniversary or second anniversary of terminated service, for 2023 and prior grants, respectively, for any reason and (ii) expire date defined as the fifth anniversary of the date of grant.</w:t>
      </w:r>
    </w:p>
    <w:p>
      <w:pPr>
        <w:spacing w:after="0" w:line="16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fair value of RSUs is determined based on the Company’s estimated fair value of common stock at the date of grant, as determined by the Board of Directors.</w:t>
      </w:r>
    </w:p>
    <w:p>
      <w:pPr>
        <w:spacing w:after="0" w:line="162"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2024, there were service-based stock options outstanding to purchase a total of 36,363,184 shares of common stock under the Plan and 4,655,274 unvested RSUs. As of December 31, 2024, 2,226,705 shares of common stock were available for issuance for either stock option or RSU grants under the 2011 Amended Plan.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Options: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stock option activity as of December 31, 2024 is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520" w:type="dxa"/>
            <w:vAlign w:val="bottom"/>
            <w:gridSpan w:val="2"/>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34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52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134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5580" w:type="dxa"/>
            <w:vAlign w:val="bottom"/>
          </w:tcPr>
          <w:p>
            <w:pPr>
              <w:spacing w:after="0"/>
              <w:rPr>
                <w:sz w:val="15"/>
                <w:szCs w:val="15"/>
                <w:color w:val="auto"/>
              </w:rPr>
            </w:pPr>
          </w:p>
        </w:tc>
        <w:tc>
          <w:tcPr>
            <w:tcW w:w="15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30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at December 31,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1,325,844</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15,141,280</w:t>
            </w: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0.44</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0.80</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(8,601)</w:t>
            </w: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0.80</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(19,543)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15.53</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options at December 31, 2023</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16,437,980</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9.3</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13,907</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21,329,457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0.92</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(65,646)</w:t>
            </w: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1.49</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0.74</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(1,333,107)</w:t>
            </w:r>
          </w:p>
        </w:tc>
        <w:tc>
          <w:tcPr>
            <w:tcW w:w="100" w:type="dxa"/>
            <w:vAlign w:val="bottom"/>
          </w:tcPr>
          <w:p>
            <w:pPr>
              <w:spacing w:after="0"/>
              <w:rPr>
                <w:sz w:val="19"/>
                <w:szCs w:val="19"/>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1.54</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at December 31, 2024</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36,363,184</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6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9.2</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22,845</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Vested/expected to vest at December 31, 2024</w:t>
            </w: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9.1</w:t>
            </w:r>
          </w:p>
        </w:tc>
        <w:tc>
          <w:tcPr>
            <w:tcW w:w="4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22,492</w:t>
            </w:r>
          </w:p>
        </w:tc>
        <w:tc>
          <w:tcPr>
            <w:tcW w:w="0" w:type="dxa"/>
            <w:vAlign w:val="bottom"/>
          </w:tcPr>
          <w:p>
            <w:pPr>
              <w:spacing w:after="0" w:line="20" w:lineRule="exact"/>
              <w:rPr>
                <w:sz w:val="1"/>
                <w:szCs w:val="1"/>
                <w:color w:val="auto"/>
              </w:rPr>
            </w:pPr>
          </w:p>
        </w:tc>
      </w:tr>
      <w:tr>
        <w:trPr>
          <w:trHeight w:val="210"/>
        </w:trPr>
        <w:tc>
          <w:tcPr>
            <w:tcW w:w="5580" w:type="dxa"/>
            <w:vAlign w:val="bottom"/>
            <w:vMerge w:val="continue"/>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35,560,434</w:t>
            </w: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6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options at December 31, 2024</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9,614,865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1.58</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8.3</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7,066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service-based options exercised during the years ended December 31, 2024 and 2023 was $17,000 and zero, respectively. The intrinsic value is the difference between the estimated fair value of the Company’s common stock at the date of exercise and the exercise price for in-the-money stock options.</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years ended December 31, 2024 and 2023 was $0.88 per share and $0.25 per share, respectively. The total grant date fair value of stock options that vested during the years ended December 31, 2024 and 2023 was $2.8 million and $0.8 million, respectively.</w:t>
      </w:r>
    </w:p>
    <w:p>
      <w:pPr>
        <w:spacing w:after="0" w:line="176"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there were approximately $18.2 million of total unrecognized compensation cost related to unvested stock options granted, which is expected to be recognized over the weighted-average period of 2.4 years.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F-80</w:t>
      </w:r>
    </w:p>
    <w:p>
      <w:pPr>
        <w:sectPr>
          <w:pgSz w:w="11900" w:h="16838" w:orient="portrait"/>
          <w:cols w:equalWidth="0" w:num="1">
            <w:col w:w="11140"/>
          </w:cols>
          <w:pgMar w:left="320" w:top="455" w:right="4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recorded stock-based compensation expense for stock options and the 2024 cancellation of 135,400 RSUs during the years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2024 and 2023, as follows (in thousands):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26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5"/>
                <w:szCs w:val="15"/>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$1,106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2,741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2,111</w:t>
            </w:r>
          </w:p>
        </w:tc>
      </w:tr>
      <w:tr>
        <w:trPr>
          <w:trHeight w:val="216"/>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$3,847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2,483</w:t>
            </w:r>
          </w:p>
        </w:tc>
      </w:tr>
    </w:tbl>
    <w:p>
      <w:pPr>
        <w:spacing w:after="0" w:line="19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Company uses the Black-Scholes option-pricing model to determine the grant-date fair value of stock options. The determination of the fair value of stock options on the grant date is affected by the estimated underlying common stock price, as well as assumptions regarding a number of complex and subjective variables. These variables include expected stock price volatility over the term of the awards, actual and projected employee stock option exercise behaviors, risk-free interest rates, and expected dividends. The grant date fair value of the Company’s stock options granted in the years ended December 31, 2024 and 2023 was estimated using the Black-Scholes model with the range of assumptions stated below:</w:t>
      </w:r>
    </w:p>
    <w:p>
      <w:pPr>
        <w:spacing w:after="0" w:line="204"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0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r>
      <w:tr>
        <w:trPr>
          <w:trHeight w:val="20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 - 4.43%</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- 4.46%</w:t>
            </w:r>
          </w:p>
        </w:tc>
        <w:tc>
          <w:tcPr>
            <w:tcW w:w="4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00" w:type="dxa"/>
            <w:vAlign w:val="bottom"/>
          </w:tcPr>
          <w:p>
            <w:pPr>
              <w:spacing w:after="0"/>
              <w:rPr>
                <w:sz w:val="18"/>
                <w:szCs w:val="18"/>
                <w:color w:val="auto"/>
              </w:rPr>
            </w:pPr>
          </w:p>
        </w:tc>
        <w:tc>
          <w:tcPr>
            <w:tcW w:w="2560" w:type="dxa"/>
            <w:vAlign w:val="bottom"/>
            <w:gridSpan w:val="2"/>
          </w:tcPr>
          <w:p>
            <w:pPr>
              <w:jc w:val="right"/>
              <w:ind w:right="1300"/>
              <w:spacing w:after="0"/>
              <w:rPr>
                <w:sz w:val="20"/>
                <w:szCs w:val="20"/>
                <w:color w:val="auto"/>
              </w:rPr>
            </w:pPr>
            <w:r>
              <w:rPr>
                <w:rFonts w:ascii="Times New Roman" w:cs="Times New Roman" w:eastAsia="Times New Roman" w:hAnsi="Times New Roman"/>
                <w:sz w:val="18"/>
                <w:szCs w:val="18"/>
                <w:color w:val="auto"/>
              </w:rPr>
              <w:t>5.00 - 6.22</w:t>
            </w:r>
          </w:p>
        </w:tc>
        <w:tc>
          <w:tcPr>
            <w:tcW w:w="1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5.00 - 6.01</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1300"/>
              <w:spacing w:after="0"/>
              <w:rPr>
                <w:sz w:val="20"/>
                <w:szCs w:val="20"/>
                <w:color w:val="auto"/>
              </w:rPr>
            </w:pPr>
            <w:r>
              <w:rPr>
                <w:rFonts w:ascii="Times New Roman" w:cs="Times New Roman" w:eastAsia="Times New Roman" w:hAnsi="Times New Roman"/>
                <w:sz w:val="18"/>
                <w:szCs w:val="18"/>
                <w:color w:val="auto"/>
                <w:w w:val="98"/>
              </w:rPr>
              <w:t>56.92% - 57.51%</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56.74% - 57.56%</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0" w:type="dxa"/>
            <w:vAlign w:val="bottom"/>
          </w:tcPr>
          <w:p>
            <w:pPr>
              <w:spacing w:after="0"/>
              <w:rPr>
                <w:sz w:val="18"/>
                <w:szCs w:val="18"/>
                <w:color w:val="auto"/>
              </w:rPr>
            </w:pPr>
          </w:p>
        </w:tc>
        <w:tc>
          <w:tcPr>
            <w:tcW w:w="2560" w:type="dxa"/>
            <w:vAlign w:val="bottom"/>
            <w:gridSpan w:val="2"/>
          </w:tcPr>
          <w:p>
            <w:pPr>
              <w:jc w:val="right"/>
              <w:ind w:right="13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of common 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560" w:type="dxa"/>
            <w:vAlign w:val="bottom"/>
            <w:gridSpan w:val="2"/>
            <w:shd w:val="clear" w:color="auto" w:fill="CCEEFF"/>
          </w:tcPr>
          <w:p>
            <w:pPr>
              <w:jc w:val="right"/>
              <w:ind w:right="1300"/>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0.25</w:t>
            </w:r>
          </w:p>
        </w:tc>
      </w:tr>
    </w:tbl>
    <w:p>
      <w:pPr>
        <w:spacing w:after="0" w:line="19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risk-free interest rate is based on the U.S. Treasury constant maturities on the date of the grant for the time period equal to the expected term of the options granted. Expected volatility was calculated for the given term on the basis of the average volatilities of a peer group of representative public companies having considered characteristics such as industry, stage of life cycle, size, financial leverage and comparable programs and participant pools. The Company determined the use of historical volatility for similar entities represents a more accurate calculation of option fair value. Expected life is calculated using the simplified method (based on the mid-point between the vesting date and the end of the contractual term of the option). The Company has no history or experience of paying cash dividends on its common stock and thus, has assumed a zero-dividend rate. The assumptions used to calculate the fair value of options granted are evaluated and revised for new awards, as necessary, to reflect market conditions and experience.</w:t>
      </w:r>
    </w:p>
    <w:p>
      <w:pPr>
        <w:spacing w:after="0" w:line="192" w:lineRule="exact"/>
        <w:rPr>
          <w:sz w:val="20"/>
          <w:szCs w:val="20"/>
          <w:color w:val="auto"/>
        </w:rPr>
      </w:pPr>
    </w:p>
    <w:p>
      <w:pPr>
        <w:jc w:val="center"/>
        <w:ind w:left="380" w:right="500"/>
        <w:spacing w:after="0" w:line="454" w:lineRule="auto"/>
        <w:rPr>
          <w:sz w:val="20"/>
          <w:szCs w:val="20"/>
          <w:color w:val="auto"/>
        </w:rPr>
      </w:pPr>
      <w:r>
        <w:rPr>
          <w:rFonts w:ascii="Times New Roman" w:cs="Times New Roman" w:eastAsia="Times New Roman" w:hAnsi="Times New Roman"/>
          <w:sz w:val="18"/>
          <w:szCs w:val="18"/>
          <w:color w:val="auto"/>
        </w:rPr>
        <w:t>On the Closing Date, all outstanding options were converted into new instruments in accordance with the terms of the Merger (see Note 1). F-81</w:t>
      </w:r>
    </w:p>
    <w:p>
      <w:pPr>
        <w:sectPr>
          <w:pgSz w:w="11900" w:h="16838" w:orient="portrait"/>
          <w:cols w:equalWidth="0" w:num="1">
            <w:col w:w="11080"/>
          </w:cols>
          <w:pgMar w:left="320" w:top="455" w:right="4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Restricted-Stock Units: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the Company’s RSU activity issued under the 2011 Amended Plan, inclusive of the 6,000,000 RSUs issued to an investor (see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7 and 13), for the years ended December 31, 2024 and 2023 is as follows:</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600" w:type="dxa"/>
            <w:vAlign w:val="bottom"/>
            <w:gridSpan w:val="3"/>
            <w:vMerge w:val="restart"/>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January 1, 2023</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137,909</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10,929,820</w:t>
            </w:r>
          </w:p>
        </w:tc>
        <w:tc>
          <w:tcPr>
            <w:tcW w:w="7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23"/>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(150,900)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December 31, 2023</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4,916,829</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(254,555)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Expired</w:t>
            </w:r>
          </w:p>
        </w:tc>
        <w:tc>
          <w:tcPr>
            <w:tcW w:w="160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0.82</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Nonvested as of December 31, 2024</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4,655,274</w:t>
            </w:r>
          </w:p>
        </w:tc>
        <w:tc>
          <w:tcPr>
            <w:tcW w:w="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RSUs have both a service-based condition and a liquidity event condition. The liquidity event condition is only satisfied on the consummation of the liquidity event, such as an IPO, which is currently not determinable or probable. As the satisfaction of the liquidity event condition for all RSUs is neither determinable nor probable as of December 31, 2024, no stock-based compensation expense was recognized for the periods presented. As of December 31, 2024, there was $6.3 million of total unrecognized compensation expense related to outstanding RSU equity awards. Since the RSUs only vest on the consummation of a liquidity event which is currently not determinable or probable, the Company is unable to determine the weighted-average period over which the unrecognized cost will be recognized.</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6,000,000 RSUs issued as part of the 2023 Convertible Note financing were fair valued on the date of grant and recognized as debt financing charge at date of transaction (see Notes 8 and 13). Effective December 21, 2023, as a condition of executing the Merger Agreement, the Company accelerated the vesting associated with the 6,000,000 RSUs. Upon acceleration, the RSUs were immediately exchanged and 6,000,000 shares of common stock issued. The modification of vesting terms resulted in the recognition of $1.7 million in stock-based compensation expense during the year ended December 31, 2023.</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the Closing Date, all outstanding RSUs were converted into new instruments in accordance with the terms of the Merger (see Note 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 had outstanding purchase orders and contractual obligations totaling $0.2 million to procure inventory. The majority of the Company’s outstanding inventory purchase orders and preauthorized commitments to procure strategic components based on the Company’s expected demand are placed with the Company’s primary third party contract manufacturer and a semiconductor supplier. The Company has an obligation to purchase inventories that have been purchased by the contract manufacturer when components have not been consumed within a period defined in the terms of the Company’s agreement. During the years ended December 31, 2024 and 2023, the Company purchased inventories of $4.3 million and $4.4 million, respectively, due to this obligation.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120"/>
          </w:cols>
          <w:pgMar w:left="320" w:top="455" w:right="45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While the Company expects such purchased components to be used in future production of Company finished goods, these components are considered in the Company’s reserve estimate for excess and obsolete inventory. Furthermore, the Company accrues for losses on commitments for the future purchase on non-cancelable and non-returnable components from this contract manufacturer at the time that circumstances, such as changes in expected demand, indicate that the value of the components many not be recoverable, the loss is probable and management has the ability to reasonably estimate the amount of the loss. As of December 31, 2024 and 2023, the liability balance of the Company’s accrued losses on accrued purchase commitments equaled $0.6 million and $3.6 million, respectively, on the consolidated balance sheets.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involved in claims or other legal matters arising in the ordinary course of business. The Company records accruals for outstanding legal proceedings when it is probable a liability will be incurred, and the amount of loss can be reasonably estimated. The Company does not believe that there are any pending legal proceedings or other loss contingencies that will, either individually or in the aggregate, have a material adverse effect on the Company’s consolidated financial statements.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The December 22, 2023 Merger Agreement as amended (see Note 1), provided that as soon as reasonably practicable following the date of the Merger Agreement, Burkhan and/or its affiliates and/or nominees shall purchase from the Company: (i) convertible promissory notes under the Company’s 2023 NPA (see Note 7) and (ii) the Burkhan Pre-funded Warrant (see Note 8) for aggregate gross proceeds to the Company of $25.0 million.</w:t>
      </w:r>
    </w:p>
    <w:p>
      <w:pPr>
        <w:spacing w:after="0" w:line="158"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In addition, 16,300,000 shares of New Blaize common stock may be issued as earnout shares for a period from the closing of the business combination until the five-year anniversary thereof, in accordance with the schedule set forth in the Merger Agreement. The earnout shares are to be issued to Burkhan and eligible shareholders of the Company contingent, in each case, on the closing stock price of the New Blaize common stock exceeding specific thresholds.</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On April 22, 2024, the Company, BurTech LP LLC, and BurTech entered into a Backstop Subscription Agreement. Pursuant to the Backstop Subscription Agreement, in the event that the amount of cash in BurTech’s trust account following redemptions and before payment of expenses is less than $30,000,000, BurTech LP LLC shall purchase, prior to or substantially concurrently with the closing of the Merger, a number of shares of Class A common stock of BurTech equal to the difference between $30,000,000 minus the Trust Amount divided by $10.00 per share. The April Amendment also amended various definitions and covenants to reflect the funding commitment of the BurTech’s Sponsor pursuant to the Backstop Subscription Agreement.</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On April 22, 2024, BurTech LP LLC and BurTech entered into a letter agreement. Under this agreement, conditioned upon the occurrence of the closing of the Merger, BurTech LP LLC agreed to forfeit 2,000,000 BurTech Shares to be effective immediately prior to the closing.</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Lock-Up Agreement attached to the Merger Agreement was also amended on April 22, 2024 to include certain consent requirements to the transfer of the Burkhan Prefunded Warrant Stock and grant the Company Board of Directors the discretion to determine whether certain persons will be subject to the lock-up requirements.</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On October 24, 2024, BurTech, Merger Sub, the Company and Burkhan entered into an Amendment No. 2 to Agreement and Plan of Merger (the “Second Amendment to Merger Agreement”). The Second Amendment to</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100"/>
          </w:cols>
          <w:pgMar w:left="320" w:top="455" w:right="47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Merger Agreement amended the original merger agreement to revise the New Blaize Board designees to nine members, including four individuals to be designated by the Company and five independent directors, designated by the Company after consultation, in good faith, with BurTech regarding the determination of the independent directors, with the chairman designated until a new chairperson is appointed by the New Blaize Board.</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November 21, 2024, BurTech, Merger Sub, Blaize and Burkhan entered into an Amendment No. 3 to Agreement and Plan of Merger (the “Third Amendment to Merger Agreement”). The Third Amendment to Merger Agreement amended the original merger agreement to (i) revise the New Blaize Board designees to be comprised of seven members, including two individuals to be designated by Blaize and five independent directors, designated by Blaize after consultation, in good faith, with BurTech regarding the determination of the independent directors, with Lane M. Bess to be designated as the Chairman until a new chairperson is appointed by the New Blaize Board, (ii) remove the agreement between BurTech, Sponsor and Burkhan to enter into the Stockholders’ Agreement at the closing of the Business Combination and to remove such Form of Stockholders’ Agreement as an exhibit to the original merger agreement and (iii) replace the proposed Third Amended and Restated Certificate of Incorporation with a new Form of Third Amended and Restated Certificate of Incorporation to reflect that the New Blaize Board will not be a classified board.</w:t>
      </w:r>
    </w:p>
    <w:p>
      <w:pPr>
        <w:spacing w:after="0" w:line="19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Pursuant to the terms and subject to the conditions set forth in the Merger Agreement, on January 13, 2025, the transaction was consummated (see Note 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September 19, 2024, the Company entered into an engagement letter with KeyBanc Capital Markets Inc. (“KBCM”) to serve as its</w:t>
      </w:r>
    </w:p>
    <w:p>
      <w:pPr>
        <w:spacing w:after="0" w:line="27" w:lineRule="exact"/>
        <w:rPr>
          <w:sz w:val="20"/>
          <w:szCs w:val="20"/>
          <w:color w:val="auto"/>
        </w:rPr>
      </w:pPr>
    </w:p>
    <w:p>
      <w:pPr>
        <w:ind w:left="340" w:hanging="224"/>
        <w:spacing w:after="0"/>
        <w:tabs>
          <w:tab w:leader="none" w:pos="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strategic advisor in connection with the Business Combination, (ii) sole and exclusive placement agent for private placement services and</w:t>
      </w:r>
    </w:p>
    <w:p>
      <w:pPr>
        <w:spacing w:after="0" w:line="9" w:lineRule="exact"/>
        <w:rPr>
          <w:rFonts w:ascii="Times New Roman" w:cs="Times New Roman" w:eastAsia="Times New Roman" w:hAnsi="Times New Roman"/>
          <w:sz w:val="18"/>
          <w:szCs w:val="18"/>
          <w:color w:val="auto"/>
        </w:rPr>
      </w:pPr>
    </w:p>
    <w:p>
      <w:pPr>
        <w:ind w:left="120" w:right="20" w:hanging="4"/>
        <w:spacing w:after="0" w:line="253" w:lineRule="auto"/>
        <w:tabs>
          <w:tab w:leader="none" w:pos="43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and exclusive financial advisor in connection with any potential sale transactions. Pursuant to the engagement, the Company agreed to pay KBCM (i) a strategic advisory fee of $1,000,000 upon the Closing of the Business Combination and (ii) a placement fee based on a percentage of the gross proceeds from any private placements or, in the event no private placement is completed by KBCM has used reasonable best efforts to secure such a private placement, a fee of $500,000 promptly (but not later than two business days) following the close of the Business Combination. Additionally, a sale transaction fee will be paid, calculated as the greater of $3,000,000 or 1% of the transaction value.</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October 24, 2024, contingent upon the close of the proposed merger on or before December 31, 2024 and continued employment or services to the Company on the applicable grant date, the Company’s Board of Directors approved the issuance of 6,936,285 restricted stock units under the New Blaize equity plan.</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October through December of 2024, the Company entered into various advisor agreements related to business development and strategy, and for new revenue contracts, in new geographical markets. Compensation for services, pending approval by the New Blaize Board of Directors, is in the form of restricted stock units of New Blaize following the filing of a registration statement subsequent to Merger consummation to register such shares, and subject to the advisors continued service on the applicable grant date.</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December 2024, the Company entered into an agreement for capital market services which included advisory services and a finder’s fee, for which payment was due upon the close of the Merger (see Note 1). Under the terms of the agreement, at the discretion of the Company, the advisory fee of $0.8 million is to be paid in the form of (i) cash and (ii) cash or a combination of cash and shares of common stock of New Blaize at a price of $10 per share at various dates in 2025. The finder’s fee, equal to a specified percentage of the trust value for the Company’s shares held by investors introduced by the advisor, is to be paid fifty percent in cash and fifty-percent in shares of New Blaize at a price of $10.00 per share, concurrent with the close of the Meger. The Company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120"/>
          </w:cols>
          <w:pgMar w:left="320" w:top="455" w:right="45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recognized $0.6 million associated with the contract as deferred offering costs and accrued liabilities for the year ended December 31, 2024. On the earlier of the date that is six months from the date of the Merger and the date that a Registration Statement filed with the SEC registering the resale of the closing shares is declared effective (the “Reset Date”), if the five day volume weighted average price of common stock for the five trading days immediately preceding the Reset Date (such price, the “Reset Price”) is less than $10 per share (subject to a $1.00 per share floor), within two days the Company shall issue an additional number of common shares equal to the number obtained by dividing (i) the product of the number of shares held as of the Reset Date and $10.00 by (ii) the Reset Price, less the number of sharing shares held, provided that the additional shares shall not exceed 300,000.</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13. Related Party Transactions and Balances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recognized revenues of approximately $1.5 million, or approximately 98% of its total revenue, from sales to two minority stockholders. During the year ended December 31, 2023, the Company recognized revenues of approximately $3.8 million, or nearly 100% of its total revenue, from sales to one minority stockholders. As of December 31, 2024 and 2023, there was zero and $0.5 million of accounts receivables from one of these customers, respectively, all of which was unbilled.</w:t>
      </w:r>
    </w:p>
    <w:p>
      <w:pPr>
        <w:spacing w:after="0" w:line="180"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In November 2023, the Company executed a $4.0 million demand note (see Note 7) with a related party investor holding more than a 10% ownership in the outstanding stock of the Company. In April 2024, the Company repaid the total outstanding principal and interest. This related party investor also has a representative serving on the Company’s Board of Directors. The same investor invested in a 2023 Convertible Note (see Note 8) in the amount of $5.0 million or 41% of the total 2023 Convertible Note proceeds raised in 2023. In accordance with the terms of the 2023 Convertible Note NPA, the investor also received 2023 Convertible Note Warrants (see Note 8) for no additional consideration resulting in the allocation of proceeds between the 2023 Convertible Note and the 2023 Convertible Note Warrants. The 2023 Convertible Note and 2023 Convertible Note Warrants held by this investor are subject to the adjustments in fair value. As of December 31, 2024, the related party 2023 Convertible Note and 2023 Convertible Note Warrants approximate $6.9 million and $8.0 million, respectively. As of December 31, 2023, the related party 2023 Convertible Note and 2023 Convertible Note Warrants approximate $7.3 million and $0.9 million, respectively. During the years ended December 31, 2024 and 2023, the change in fair value for the 2023 Convertible Note equaled $0.4 million and $3.0 million, respectively (see Note 4). During the years ended December 31, 2024 and 2023, the change in fair value for the 2023 Convertible Note Warrants equaled $0.8 million and $0.2 million, respectively (see Note 4). In conjunction with the issuance of the 2023 Convertible Note, the Company issued 6,000,000 RSUs to the investor. The issuance date fair value of the RSUs was recognized as a financing charge (see Note 8). In December 2023, the terms of the RSUs were modified resulting in accelerated vesting and immediate issuance of 6,000,000 common stock shares for which incremental stock-based compensation expense was recorded (see Note 11).</w:t>
      </w:r>
    </w:p>
    <w:p>
      <w:pPr>
        <w:spacing w:after="0" w:line="19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January 2023, one of the minority investors with which the Company had a revenue arrangement, representing 21% and zero percent of revenue for the years ended December 31, 2024 and 2023, also invested in a P2P Note (see Note 7) in the amount of $3.3 million or 35% of the total P2P proceeds raised in 2023. In accordance with the terms of the 2022 P2P NPA, the minority investor also received P2P Warrants (see Note 8) for no additional consideration resulting in the allocation of proceeds between the P2P Note and the P2P Warrants. The P2P Note and P2P Warrants held by the minority investor are subject to the adjustments in fair value. As of December 31, 2024, the related party P2P Note and P2P Warrants approximate $4.2 million and nearly zero, respectively. As of December 31, 2023, the related party P2P Note and P2P Warrants approximate $3.9 million and</w:t>
      </w:r>
    </w:p>
    <w:p>
      <w:pPr>
        <w:spacing w:after="0" w:line="5" w:lineRule="exact"/>
        <w:rPr>
          <w:sz w:val="20"/>
          <w:szCs w:val="20"/>
          <w:color w:val="auto"/>
        </w:rPr>
      </w:pPr>
    </w:p>
    <w:p>
      <w:pPr>
        <w:ind w:left="120" w:right="380"/>
        <w:spacing w:after="0" w:line="260" w:lineRule="auto"/>
        <w:rPr>
          <w:sz w:val="20"/>
          <w:szCs w:val="20"/>
          <w:color w:val="auto"/>
        </w:rPr>
      </w:pPr>
      <w:r>
        <w:rPr>
          <w:rFonts w:ascii="Times New Roman" w:cs="Times New Roman" w:eastAsia="Times New Roman" w:hAnsi="Times New Roman"/>
          <w:sz w:val="18"/>
          <w:szCs w:val="18"/>
          <w:color w:val="auto"/>
        </w:rPr>
        <w:t>$0.3 million, respectively. During the years ended December 31, 2024 and 2023, the change in fair value for the P2P Note equaled $0.3 million and $0.9 million, respectively (see Note 4). During the years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1120"/>
          </w:cols>
          <w:pgMar w:left="320" w:top="455" w:right="4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ended December 31, 2024 and 2023, the change in fair value for P2P Warrants equaled $0.3 million and $32,000 respectively (see Note 4).</w:t>
      </w:r>
    </w:p>
    <w:p>
      <w:pPr>
        <w:spacing w:after="0" w:line="225" w:lineRule="exact"/>
        <w:rPr>
          <w:sz w:val="20"/>
          <w:szCs w:val="20"/>
          <w:color w:val="auto"/>
        </w:rPr>
      </w:pPr>
    </w:p>
    <w:p>
      <w:pPr>
        <w:ind w:left="120" w:right="80" w:firstLine="440"/>
        <w:spacing w:after="0" w:line="271" w:lineRule="auto"/>
        <w:rPr>
          <w:sz w:val="20"/>
          <w:szCs w:val="20"/>
          <w:color w:val="auto"/>
        </w:rPr>
      </w:pPr>
      <w:r>
        <w:rPr>
          <w:rFonts w:ascii="Times New Roman" w:cs="Times New Roman" w:eastAsia="Times New Roman" w:hAnsi="Times New Roman"/>
          <w:sz w:val="17"/>
          <w:szCs w:val="17"/>
          <w:color w:val="auto"/>
        </w:rPr>
        <w:t>In December 2022, one of the minority stockholders with which the Company had a revenue arrangement, representing 77% and nearly 100% of total revenues for the years ended December 31, 2024 and 2023, and zero percent and 98% of accounts receivable as of December 31, 2024 and 2023, respectively, also invested in a P2P Note (see Note 7) in the amount of $0.4 million or 13% of the total P2P proceeds raised in 2022. In accordance with the terms of the 2022 P2P NPA, the minority investor also received P2P Warrants equal (see Note 8) for no additional consideration resulting in the allocation of proceeds between the P2P Note and the P2P Warrants. The P2P Note and P2P Warrants held by the minority investor are subject to the adjustments in fair value. As of December 31, 2024, the fair value of the related party P2P Note and P2P Warrants approximate $0.5 million and nearly zero, respectively. As of December 31, 2023, the related party P2P Note and P2P Warrants approximate $0.4 million and $29,000, respectively. During the year ended December 31, 2024, the change in fair value for the P2P Note and P2P Note Warrants equaled $38,000 and $29,000, respectively (see Note 4). During the year ended December 31, 2023, the change in fair value for the P2P Note and P2P Note Warrants was immaterial (see Note 4).</w:t>
      </w:r>
    </w:p>
    <w:p>
      <w:pPr>
        <w:spacing w:after="0" w:line="173"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During 2024, the Company incurred $0.3 million of marketing expenses paid to a Company owned by a direct family member of a minority stockholder and Company board of director.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14. Net Loss Per Share Attributable to Common Shareholders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dilutive net loss per share attributable to common stockholders for the years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7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(61,195)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(87,589)</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outstanding used to compute net loss per share attributable to common</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17,476,105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4,213,244</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(20.79)</w:t>
            </w:r>
          </w:p>
        </w:tc>
        <w:tc>
          <w:tcPr>
            <w:tcW w:w="0" w:type="dxa"/>
            <w:vAlign w:val="bottom"/>
          </w:tcPr>
          <w:p>
            <w:pPr>
              <w:spacing w:after="0"/>
              <w:rPr>
                <w:sz w:val="1"/>
                <w:szCs w:val="1"/>
                <w:color w:val="auto"/>
              </w:rPr>
            </w:pPr>
          </w:p>
        </w:tc>
      </w:tr>
      <w:tr>
        <w:trPr>
          <w:trHeight w:val="20"/>
        </w:trPr>
        <w:tc>
          <w:tcPr>
            <w:tcW w:w="8740" w:type="dxa"/>
            <w:vAlign w:val="bottom"/>
            <w:vMerge w:val="restart"/>
          </w:tcPr>
          <w:p>
            <w:pPr>
              <w:ind w:left="5340"/>
              <w:spacing w:after="0"/>
              <w:rPr>
                <w:sz w:val="20"/>
                <w:szCs w:val="20"/>
                <w:color w:val="auto"/>
              </w:rPr>
            </w:pPr>
            <w:r>
              <w:rPr>
                <w:rFonts w:ascii="Times New Roman" w:cs="Times New Roman" w:eastAsia="Times New Roman" w:hAnsi="Times New Roman"/>
                <w:sz w:val="18"/>
                <w:szCs w:val="18"/>
                <w:color w:val="auto"/>
              </w:rPr>
              <w:t>F-86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120" w:right="100" w:firstLine="440"/>
        <w:spacing w:after="0" w:line="312" w:lineRule="auto"/>
        <w:rPr>
          <w:sz w:val="20"/>
          <w:szCs w:val="20"/>
          <w:color w:val="auto"/>
        </w:rPr>
      </w:pPr>
      <w:r>
        <w:rPr>
          <w:rFonts w:ascii="Times New Roman" w:cs="Times New Roman" w:eastAsia="Times New Roman" w:hAnsi="Times New Roman"/>
          <w:sz w:val="17"/>
          <w:szCs w:val="17"/>
          <w:color w:val="auto"/>
        </w:rPr>
        <w:t>The following potentially dilutive securities were excluded from the calculation of diluted net loss per share attributable to common shareholders for the periods presented because the impact of including them would have been anti-dilutive for the years ended December 31, 2024 and 2023:</w:t>
      </w:r>
    </w:p>
    <w:p>
      <w:pPr>
        <w:spacing w:after="0" w:line="16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75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5"/>
                <w:szCs w:val="15"/>
                <w:color w:val="auto"/>
              </w:rPr>
            </w:pPr>
          </w:p>
        </w:tc>
      </w:tr>
      <w:tr>
        <w:trPr>
          <w:trHeight w:val="209"/>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44,494,703</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44,494,703</w:t>
            </w:r>
          </w:p>
        </w:tc>
        <w:tc>
          <w:tcPr>
            <w:tcW w:w="26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36,363,184</w:t>
            </w:r>
          </w:p>
        </w:tc>
        <w:tc>
          <w:tcPr>
            <w:tcW w:w="6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16,437,980</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4,655,274</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4,916,829</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Series D and D-2 preferred stock warrants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756,172</w:t>
            </w:r>
          </w:p>
        </w:tc>
        <w:tc>
          <w:tcPr>
            <w:tcW w:w="6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1,094,667</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warrants (estimated See Note 8)</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1,127,088</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721,086</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warrants - 2023</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         (a)</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(a)</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50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88"/>
              </w:rPr>
              <w:t>— </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2,063</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 (estimated See Note 8)</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2,000,000</w:t>
            </w:r>
          </w:p>
        </w:tc>
        <w:tc>
          <w:tcPr>
            <w:tcW w:w="6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7,007,582</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warrant April 2024 (estimated See Note 8)</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4,500,000</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93,896,421</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74,674,910</w:t>
            </w:r>
          </w:p>
        </w:tc>
        <w:tc>
          <w:tcPr>
            <w:tcW w:w="260" w:type="dxa"/>
            <w:vAlign w:val="bottom"/>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740" w:hanging="424"/>
        <w:spacing w:after="0" w:line="282" w:lineRule="auto"/>
        <w:tabs>
          <w:tab w:leader="none" w:pos="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warrants shares to be issued upon exercise of the 2023 Convertible Note Warrants is not determinable due to the variable settlement terms (see Note 8).</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15. Employee Benefit Plan</w:t>
      </w:r>
    </w:p>
    <w:p>
      <w:pPr>
        <w:spacing w:after="0" w:line="121"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A 401(k) plan is provided that covers substantially all employees meeting certain age and service requirements. The Company makes discretionary contributions to the 401(k) plan. The Company recorded $0.6 million and $0.5 million in matching contributions for the years ended December 31, 2024 and 2023.</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Long-term employee benefits: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provides its employees in India an opportunity to participate in a long term defined benefits plan, the liability the Company bears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for providing this benefit is determined through an actuarial valuation at each reporting date. The benefit plan provides for lump sum payments to vested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employees on retirement, death while in service or on termination of employment for an amount equivalent to 15 days of basic salary for each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completed year of service. Vesting occurs upon completion of five years of service. The present value of such obligation is determined by the projected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unit credit method and adjusted for past service cost and fair value of plan assets as at the balance sheet date through which the obligations are to be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settled. The actuarial gain or loss on change in present value of the defined benefit obligation or change in return of the plan assets is recognized as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income or expense in the consolidated statement of operations. The expected return on plan assets is based on the assumed rate of return of such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assets. As of December 31, 2024 and 2023, the related liability is included within accrued compensation and other liabilities on the consolidated balance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sheets.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16. Segment Reporting</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Company operates as a single reportable segment, manages the business, and evaluates financial performance on a consolidated basis. The CODM regularly receives and reviews consolidated financial results focusing primarily on revenue, costs and expenses, and net loss from the consolidated statements of operations to make decisions regarding the allocation of resources and assessment of performance.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F-87</w:t>
      </w:r>
    </w:p>
    <w:p>
      <w:pPr>
        <w:sectPr>
          <w:pgSz w:w="11900" w:h="16838" w:orient="portrait"/>
          <w:cols w:equalWidth="0" w:num="1">
            <w:col w:w="11100"/>
          </w:cols>
          <w:pgMar w:left="320" w:top="455" w:right="47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loss for the years ended December 31, 2024 and 2023 is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4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Less: Costs and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3,656</w:t>
            </w: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costs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31,981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23,773</w:t>
            </w: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 costs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2,693</w:t>
            </w: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886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2,040</w:t>
            </w: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interest (income)/expense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16,187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49,454</w:t>
            </w: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segment items (a)</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10,325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9,574</w:t>
            </w: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(61,195</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(87,589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640" w:hanging="224"/>
        <w:spacing w:after="0" w:line="282" w:lineRule="auto"/>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included in segment net loss includes marketing expense, professional fees, income tax expense, facilities costs, foreign currency exchange gains and losses, credit loss, and other overhead expenses.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measure of segment assets is reported on the consolidated balance sheet as total consolidated assets. Long-lived and ROU assets located in the</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United States, Asia Pacific and United Kingdon region were as follows:</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3"/>
        </w:trPr>
        <w:tc>
          <w:tcPr>
            <w:tcW w:w="5100" w:type="dxa"/>
            <w:vAlign w:val="bottom"/>
          </w:tcPr>
          <w:p>
            <w:pPr>
              <w:spacing w:after="0"/>
              <w:rPr>
                <w:sz w:val="15"/>
                <w:szCs w:val="15"/>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Fixed Assets</w:t>
            </w:r>
          </w:p>
        </w:tc>
        <w:tc>
          <w:tcPr>
            <w:tcW w:w="320" w:type="dxa"/>
            <w:vAlign w:val="bottom"/>
          </w:tcPr>
          <w:p>
            <w:pPr>
              <w:spacing w:after="0"/>
              <w:rPr>
                <w:sz w:val="15"/>
                <w:szCs w:val="15"/>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ROU Assets</w:t>
            </w: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Fixed Assets</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ROU Assets</w:t>
            </w: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6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tcPr>
          <w:p>
            <w:pPr>
              <w:spacing w:after="0"/>
              <w:rPr>
                <w:sz w:val="18"/>
                <w:szCs w:val="18"/>
                <w:color w:val="auto"/>
              </w:rPr>
            </w:pPr>
          </w:p>
        </w:tc>
        <w:tc>
          <w:tcPr>
            <w:tcW w:w="8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913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1,175</w:t>
            </w:r>
          </w:p>
        </w:tc>
        <w:tc>
          <w:tcPr>
            <w:tcW w:w="22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1,038</w:t>
            </w:r>
          </w:p>
        </w:tc>
        <w:tc>
          <w:tcPr>
            <w:tcW w:w="3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1,477</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149</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525</w:t>
            </w:r>
          </w:p>
        </w:tc>
      </w:tr>
      <w:tr>
        <w:trPr>
          <w:trHeight w:val="223"/>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6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660" w:type="dxa"/>
            <w:vAlign w:val="bottom"/>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4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March 11, 2025, the date on which these consolidated financial statements were available to be issued and has determined that the following subsequent events are reportable other than those disclosed elsewhere in the consolidated financial statements.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January 13, 2025, the Company consummated the Merger (See Note 1 “Description of Business”).</w:t>
      </w:r>
    </w:p>
    <w:p>
      <w:pPr>
        <w:spacing w:after="0" w:line="225"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On January 13, 2025, the Company entered into an advisory agreement, for a term of twelve months, related to a private placement backstop financing or other financings of the Company of equity or equity-linked securities with respect to the Company’s Merger. Under the terms of the agreement, the advisory fee of $0.5 million for capital market advisory services is due (1) $0.3 million upon the closing of the Merger with fifty-percent paid in cash and fifty percent paid in common stock of New Blaize; and 0.2 million paid in two equal quarterly installments due at the end of each calendar quarter following the Merger with fifty percent of each quarterly payment being paid in cash and fifty precent paid in common stock of the Company. In addition, the Company entered into a warrant agreement, for a nominal upfront value, which allows the advisor to purchase 50 000 shares of common stock at a price of $11.50 per share for a term of five years. On February 10, 2025, New Blaize issued the 50,000 common stock warrants.</w:t>
      </w:r>
    </w:p>
    <w:p>
      <w:pPr>
        <w:spacing w:after="0" w:line="171" w:lineRule="exact"/>
        <w:rPr>
          <w:sz w:val="20"/>
          <w:szCs w:val="20"/>
          <w:color w:val="auto"/>
        </w:rPr>
      </w:pPr>
    </w:p>
    <w:p>
      <w:pPr>
        <w:jc w:val="center"/>
        <w:ind w:right="100"/>
        <w:spacing w:after="0" w:line="454" w:lineRule="auto"/>
        <w:rPr>
          <w:sz w:val="20"/>
          <w:szCs w:val="20"/>
          <w:color w:val="auto"/>
        </w:rPr>
      </w:pPr>
      <w:r>
        <w:rPr>
          <w:rFonts w:ascii="Times New Roman" w:cs="Times New Roman" w:eastAsia="Times New Roman" w:hAnsi="Times New Roman"/>
          <w:sz w:val="18"/>
          <w:szCs w:val="18"/>
          <w:color w:val="auto"/>
        </w:rPr>
        <w:t>During January 2025 the Company received $15.4 million in funding in accordance with the PIPE Subscription Agreements (see Note 1). F-88</w:t>
      </w:r>
    </w:p>
    <w:sectPr>
      <w:pgSz w:w="11900" w:h="16838" w:orient="portrait"/>
      <w:cols w:equalWidth="0" w:num="1">
        <w:col w:w="11120"/>
      </w:cols>
      <w:pgMar w:left="320" w:top="45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lvl w:ilvl="1">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1)"/>
      <w:numFmt w:val="lowerLetter"/>
      <w:start w:val="1"/>
    </w:lvl>
  </w:abstractNum>
  <w:abstractNum w:abstractNumId="6">
    <w:nsid w:val="47398C89"/>
    <w:multiLevelType w:val="hybridMultilevel"/>
    <w:lvl w:ilvl="0">
      <w:lvlJc w:val="left"/>
      <w:lvlText w:val="%1"/>
      <w:numFmt w:val="upperLetter"/>
      <w:start w:val="35"/>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1)"/>
      <w:numFmt w:val="lowerRoman"/>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1)"/>
      <w:numFmt w:val="decimal"/>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1)"/>
      <w:numFmt w:val="lowerRoman"/>
      <w:start w:val="3"/>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1)"/>
      <w:numFmt w:val="lowerLetter"/>
      <w:start w:val="26"/>
    </w:lvl>
    <w:lvl w:ilvl="1">
      <w:lvlJc w:val="left"/>
      <w:lvlText w:val="•"/>
      <w:numFmt w:val="bullet"/>
      <w:start w:val="1"/>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
      <w:numFmt w:val="bullet"/>
      <w:start w:val="1"/>
    </w:lvl>
  </w:abstractNum>
  <w:abstractNum w:abstractNumId="43">
    <w:nsid w:val="11447B73"/>
    <w:multiLevelType w:val="hybridMultilevel"/>
    <w:lvl w:ilvl="0">
      <w:lvlJc w:val="left"/>
      <w:lvlText w:val="(%1)"/>
      <w:numFmt w:val="decimal"/>
      <w:start w:val="10"/>
    </w:lvl>
  </w:abstractNum>
  <w:abstractNum w:abstractNumId="44">
    <w:nsid w:val="42963E5A"/>
    <w:multiLevelType w:val="hybridMultilevel"/>
    <w:lvl w:ilvl="0">
      <w:lvlJc w:val="left"/>
      <w:lvlText w:val="(%1)"/>
      <w:numFmt w:val="lowerRoman"/>
      <w:start w:val="2"/>
    </w:lvl>
  </w:abstractNum>
  <w:abstractNum w:abstractNumId="45">
    <w:nsid w:val="A0382C5"/>
    <w:multiLevelType w:val="hybridMultilevel"/>
    <w:lvl w:ilvl="0">
      <w:lvlJc w:val="left"/>
      <w:lvlText w:val="(%1)"/>
      <w:numFmt w:val="lowerRoman"/>
      <w:start w:val="3"/>
    </w:lvl>
  </w:abstractNum>
  <w:abstractNum w:abstractNumId="46">
    <w:nsid w:val="8F2B15E"/>
    <w:multiLevelType w:val="hybridMultilevel"/>
    <w:lvl w:ilvl="0">
      <w:lvlJc w:val="left"/>
      <w:lvlText w:val="•"/>
      <w:numFmt w:val="bullet"/>
      <w:start w:val="1"/>
    </w:lvl>
  </w:abstractNum>
  <w:abstractNum w:abstractNumId="47">
    <w:nsid w:val="1A32234B"/>
    <w:multiLevelType w:val="hybridMultilevel"/>
    <w:lvl w:ilvl="0">
      <w:lvlJc w:val="left"/>
      <w:lvlText w:val="•"/>
      <w:numFmt w:val="bullet"/>
      <w:start w:val="1"/>
    </w:lvl>
  </w:abstractNum>
  <w:abstractNum w:abstractNumId="48">
    <w:nsid w:val="3B0FD379"/>
    <w:multiLevelType w:val="hybridMultilevel"/>
    <w:lvl w:ilvl="0">
      <w:lvlJc w:val="left"/>
      <w:lvlText w:val="%1."/>
      <w:numFmt w:val="decimal"/>
      <w:start w:val="1"/>
    </w:lvl>
  </w:abstractNum>
  <w:abstractNum w:abstractNumId="49">
    <w:nsid w:val="68EB2F63"/>
    <w:multiLevelType w:val="hybridMultilevel"/>
    <w:lvl w:ilvl="0">
      <w:lvlJc w:val="left"/>
      <w:lvlText w:val="•"/>
      <w:numFmt w:val="bullet"/>
      <w:start w:val="1"/>
    </w:lvl>
  </w:abstractNum>
  <w:abstractNum w:abstractNumId="50">
    <w:nsid w:val="4962813B"/>
    <w:multiLevelType w:val="hybridMultilevel"/>
    <w:lvl w:ilvl="0">
      <w:lvlJc w:val="left"/>
      <w:lvlText w:val="•"/>
      <w:numFmt w:val="bullet"/>
      <w:start w:val="1"/>
    </w:lvl>
  </w:abstractNum>
  <w:abstractNum w:abstractNumId="51">
    <w:nsid w:val="60B6DF70"/>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52">
    <w:nsid w:val="6A5EE64"/>
    <w:multiLevelType w:val="hybridMultilevel"/>
    <w:lvl w:ilvl="0">
      <w:lvlJc w:val="left"/>
      <w:lvlText w:val="•"/>
      <w:numFmt w:val="bullet"/>
      <w:start w:val="1"/>
    </w:lvl>
    <w:lvl w:ilvl="1">
      <w:lvlJc w:val="left"/>
      <w:lvlText w:val="%2."/>
      <w:numFmt w:val="decimal"/>
      <w:start w:val="1"/>
    </w:lvl>
  </w:abstractNum>
  <w:abstractNum w:abstractNumId="53">
    <w:nsid w:val="14330624"/>
    <w:multiLevelType w:val="hybridMultilevel"/>
    <w:lvl w:ilvl="0">
      <w:lvlJc w:val="left"/>
      <w:lvlText w:val="•"/>
      <w:numFmt w:val="bullet"/>
      <w:start w:val="1"/>
    </w:lvl>
  </w:abstractNum>
  <w:abstractNum w:abstractNumId="54">
    <w:nsid w:val="7FFFCA11"/>
    <w:multiLevelType w:val="hybridMultilevel"/>
    <w:lvl w:ilvl="0">
      <w:lvlJc w:val="left"/>
      <w:lvlText w:val="•"/>
      <w:numFmt w:val="bullet"/>
      <w:start w:val="1"/>
    </w:lvl>
  </w:abstractNum>
  <w:abstractNum w:abstractNumId="55">
    <w:nsid w:val="1A27709E"/>
    <w:multiLevelType w:val="hybridMultilevel"/>
    <w:lvl w:ilvl="0">
      <w:lvlJc w:val="left"/>
      <w:lvlText w:val="•"/>
      <w:numFmt w:val="bullet"/>
      <w:start w:val="1"/>
    </w:lvl>
  </w:abstractNum>
  <w:abstractNum w:abstractNumId="56">
    <w:nsid w:val="71EA1109"/>
    <w:multiLevelType w:val="hybridMultilevel"/>
    <w:lvl w:ilvl="0">
      <w:lvlJc w:val="left"/>
      <w:lvlText w:val="•"/>
      <w:numFmt w:val="bullet"/>
      <w:start w:val="1"/>
    </w:lvl>
  </w:abstractNum>
  <w:abstractNum w:abstractNumId="57">
    <w:nsid w:val="100F59DC"/>
    <w:multiLevelType w:val="hybridMultilevel"/>
    <w:lvl w:ilvl="0">
      <w:lvlJc w:val="left"/>
      <w:lvlText w:val="•"/>
      <w:numFmt w:val="bullet"/>
      <w:start w:val="1"/>
    </w:lvl>
  </w:abstractNum>
  <w:abstractNum w:abstractNumId="58">
    <w:nsid w:val="7FB7E0AA"/>
    <w:multiLevelType w:val="hybridMultilevel"/>
    <w:lvl w:ilvl="0">
      <w:lvlJc w:val="left"/>
      <w:lvlText w:val="•"/>
      <w:numFmt w:val="bullet"/>
      <w:start w:val="1"/>
    </w:lvl>
  </w:abstractNum>
  <w:abstractNum w:abstractNumId="59">
    <w:nsid w:val="6EB5BD4"/>
    <w:multiLevelType w:val="hybridMultilevel"/>
    <w:lvl w:ilvl="0">
      <w:lvlJc w:val="left"/>
      <w:lvlText w:val="•"/>
      <w:numFmt w:val="bullet"/>
      <w:start w:val="1"/>
    </w:lvl>
  </w:abstractNum>
  <w:abstractNum w:abstractNumId="60">
    <w:nsid w:val="6F6DD9AC"/>
    <w:multiLevelType w:val="hybridMultilevel"/>
    <w:lvl w:ilvl="0">
      <w:lvlJc w:val="left"/>
      <w:lvlText w:val="•"/>
      <w:numFmt w:val="bullet"/>
      <w:start w:val="1"/>
    </w:lvl>
  </w:abstractNum>
  <w:abstractNum w:abstractNumId="61">
    <w:nsid w:val="94211F2"/>
    <w:multiLevelType w:val="hybridMultilevel"/>
    <w:lvl w:ilvl="0">
      <w:lvlJc w:val="left"/>
      <w:lvlText w:val="(%1)"/>
      <w:numFmt w:val="decimal"/>
      <w:start w:val="1"/>
    </w:lvl>
  </w:abstractNum>
  <w:abstractNum w:abstractNumId="62">
    <w:nsid w:val="885E1B"/>
    <w:multiLevelType w:val="hybridMultilevel"/>
    <w:lvl w:ilvl="0">
      <w:lvlJc w:val="left"/>
      <w:lvlText w:val="•"/>
      <w:numFmt w:val="bullet"/>
      <w:start w:val="1"/>
    </w:lvl>
  </w:abstractNum>
  <w:abstractNum w:abstractNumId="63">
    <w:nsid w:val="76272110"/>
    <w:multiLevelType w:val="hybridMultilevel"/>
    <w:lvl w:ilvl="0">
      <w:lvlJc w:val="left"/>
      <w:lvlText w:val="(%1)"/>
      <w:numFmt w:val="decimal"/>
      <w:start w:val="1"/>
    </w:lvl>
  </w:abstractNum>
  <w:abstractNum w:abstractNumId="64">
    <w:nsid w:val="4C04A8AF"/>
    <w:multiLevelType w:val="hybridMultilevel"/>
    <w:lvl w:ilvl="0">
      <w:lvlJc w:val="left"/>
      <w:lvlText w:val="(%1)"/>
      <w:numFmt w:val="decimal"/>
      <w:start w:val="1"/>
    </w:lvl>
  </w:abstractNum>
  <w:abstractNum w:abstractNumId="65">
    <w:nsid w:val="1716703B"/>
    <w:multiLevelType w:val="hybridMultilevel"/>
    <w:lvl w:ilvl="0">
      <w:lvlJc w:val="left"/>
      <w:lvlText w:val="•"/>
      <w:numFmt w:val="bullet"/>
      <w:start w:val="1"/>
    </w:lvl>
    <w:lvl w:ilvl="1">
      <w:lvlJc w:val="left"/>
      <w:lvlText w:val="•"/>
      <w:numFmt w:val="bullet"/>
      <w:start w:val="1"/>
    </w:lvl>
  </w:abstractNum>
  <w:abstractNum w:abstractNumId="66">
    <w:nsid w:val="14E17E33"/>
    <w:multiLevelType w:val="hybridMultilevel"/>
    <w:lvl w:ilvl="0">
      <w:lvlJc w:val="left"/>
      <w:lvlText w:val="•"/>
      <w:numFmt w:val="bullet"/>
      <w:start w:val="1"/>
    </w:lvl>
    <w:lvl w:ilvl="1">
      <w:lvlJc w:val="left"/>
      <w:lvlText w:val="•"/>
      <w:numFmt w:val="bullet"/>
      <w:start w:val="1"/>
    </w:lvl>
  </w:abstractNum>
  <w:abstractNum w:abstractNumId="67">
    <w:nsid w:val="3222E7CD"/>
    <w:multiLevelType w:val="hybridMultilevel"/>
    <w:lvl w:ilvl="0">
      <w:lvlJc w:val="left"/>
      <w:lvlText w:val="(%1)"/>
      <w:numFmt w:val="lowerRoman"/>
      <w:start w:val="1"/>
    </w:lvl>
  </w:abstractNum>
  <w:abstractNum w:abstractNumId="68">
    <w:nsid w:val="74DE0EE3"/>
    <w:multiLevelType w:val="hybridMultilevel"/>
    <w:lvl w:ilvl="0">
      <w:lvlJc w:val="left"/>
      <w:lvlText w:val="•"/>
      <w:numFmt w:val="bullet"/>
      <w:start w:val="1"/>
    </w:lvl>
  </w:abstractNum>
  <w:abstractNum w:abstractNumId="69">
    <w:nsid w:val="68EBC550"/>
    <w:multiLevelType w:val="hybridMultilevel"/>
    <w:lvl w:ilvl="0">
      <w:lvlJc w:val="left"/>
      <w:lvlText w:val="•"/>
      <w:numFmt w:val="bullet"/>
      <w:start w:val="1"/>
    </w:lvl>
  </w:abstractNum>
  <w:abstractNum w:abstractNumId="70">
    <w:nsid w:val="2DF6D648"/>
    <w:multiLevelType w:val="hybridMultilevel"/>
    <w:lvl w:ilvl="0">
      <w:lvlJc w:val="left"/>
      <w:lvlText w:val="*"/>
      <w:numFmt w:val="bullet"/>
      <w:start w:val="1"/>
    </w:lvl>
  </w:abstractNum>
  <w:abstractNum w:abstractNumId="71">
    <w:nsid w:val="46B7D447"/>
    <w:multiLevelType w:val="hybridMultilevel"/>
    <w:lvl w:ilvl="0">
      <w:lvlJc w:val="left"/>
      <w:lvlText w:val="(%1)"/>
      <w:numFmt w:val="decimal"/>
      <w:start w:val="1"/>
    </w:lvl>
  </w:abstractNum>
  <w:abstractNum w:abstractNumId="72">
    <w:nsid w:val="4A2AC315"/>
    <w:multiLevelType w:val="hybridMultilevel"/>
    <w:lvl w:ilvl="0">
      <w:lvlJc w:val="left"/>
      <w:lvlText w:val="(%1)"/>
      <w:numFmt w:val="decimal"/>
      <w:start w:val="2"/>
    </w:lvl>
  </w:abstractNum>
  <w:abstractNum w:abstractNumId="73">
    <w:nsid w:val="39EE015C"/>
    <w:multiLevelType w:val="hybridMultilevel"/>
    <w:lvl w:ilvl="0">
      <w:lvlJc w:val="left"/>
      <w:lvlText w:val="(%1)"/>
      <w:numFmt w:val="decimal"/>
      <w:start w:val="7"/>
    </w:lvl>
  </w:abstractNum>
  <w:abstractNum w:abstractNumId="74">
    <w:nsid w:val="57FC4FBB"/>
    <w:multiLevelType w:val="hybridMultilevel"/>
    <w:lvl w:ilvl="0">
      <w:lvlJc w:val="left"/>
      <w:lvlText w:val="*"/>
      <w:numFmt w:val="bullet"/>
      <w:start w:val="1"/>
    </w:lvl>
  </w:abstractNum>
  <w:abstractNum w:abstractNumId="75">
    <w:nsid w:val="CC1016F"/>
    <w:multiLevelType w:val="hybridMultilevel"/>
    <w:lvl w:ilvl="0">
      <w:lvlJc w:val="left"/>
      <w:lvlText w:val="(%1)"/>
      <w:numFmt w:val="decimal"/>
      <w:start w:val="1"/>
    </w:lvl>
  </w:abstractNum>
  <w:abstractNum w:abstractNumId="76">
    <w:nsid w:val="43F18422"/>
    <w:multiLevelType w:val="hybridMultilevel"/>
    <w:lvl w:ilvl="0">
      <w:lvlJc w:val="left"/>
      <w:lvlText w:val="(%1)"/>
      <w:numFmt w:val="decimal"/>
      <w:start w:val="2"/>
    </w:lvl>
  </w:abstractNum>
  <w:abstractNum w:abstractNumId="77">
    <w:nsid w:val="60EF0119"/>
    <w:multiLevelType w:val="hybridMultilevel"/>
    <w:lvl w:ilvl="0">
      <w:lvlJc w:val="left"/>
      <w:lvlText w:val="*"/>
      <w:numFmt w:val="bullet"/>
      <w:start w:val="1"/>
    </w:lvl>
  </w:abstractNum>
  <w:abstractNum w:abstractNumId="78">
    <w:nsid w:val="26F324BA"/>
    <w:multiLevelType w:val="hybridMultilevel"/>
    <w:lvl w:ilvl="0">
      <w:lvlJc w:val="left"/>
      <w:lvlText w:val="(%1)"/>
      <w:numFmt w:val="decimal"/>
      <w:start w:val="1"/>
    </w:lvl>
  </w:abstractNum>
  <w:abstractNum w:abstractNumId="79">
    <w:nsid w:val="7F01579B"/>
    <w:multiLevelType w:val="hybridMultilevel"/>
    <w:lvl w:ilvl="0">
      <w:lvlJc w:val="left"/>
      <w:lvlText w:val="(%1)"/>
      <w:numFmt w:val="decimal"/>
      <w:start w:val="2"/>
    </w:lvl>
  </w:abstractNum>
  <w:abstractNum w:abstractNumId="80">
    <w:nsid w:val="49DA307D"/>
    <w:multiLevelType w:val="hybridMultilevel"/>
    <w:lvl w:ilvl="0">
      <w:lvlJc w:val="left"/>
      <w:lvlText w:val="•"/>
      <w:numFmt w:val="bullet"/>
      <w:start w:val="1"/>
    </w:lvl>
  </w:abstractNum>
  <w:abstractNum w:abstractNumId="81">
    <w:nsid w:val="7055A5F5"/>
    <w:multiLevelType w:val="hybridMultilevel"/>
    <w:lvl w:ilvl="0">
      <w:lvlJc w:val="left"/>
      <w:lvlText w:val="•"/>
      <w:numFmt w:val="bullet"/>
      <w:start w:val="1"/>
    </w:lvl>
  </w:abstractNum>
  <w:abstractNum w:abstractNumId="82">
    <w:nsid w:val="5FB8370B"/>
    <w:multiLevelType w:val="hybridMultilevel"/>
    <w:lvl w:ilvl="0">
      <w:lvlJc w:val="left"/>
      <w:lvlText w:val="(%1)"/>
      <w:numFmt w:val="upperLetter"/>
      <w:start w:val="3"/>
    </w:lvl>
  </w:abstractNum>
  <w:abstractNum w:abstractNumId="83">
    <w:nsid w:val="50801EE1"/>
    <w:multiLevelType w:val="hybridMultilevel"/>
    <w:lvl w:ilvl="0">
      <w:lvlJc w:val="left"/>
      <w:lvlText w:val="•"/>
      <w:numFmt w:val="bullet"/>
      <w:start w:val="1"/>
    </w:lvl>
  </w:abstractNum>
  <w:abstractNum w:abstractNumId="84">
    <w:nsid w:val="488AC1A"/>
    <w:multiLevelType w:val="hybridMultilevel"/>
    <w:lvl w:ilvl="0">
      <w:lvlJc w:val="left"/>
      <w:lvlText w:val="(%1)"/>
      <w:numFmt w:val="lowerRoman"/>
      <w:start w:val="10"/>
    </w:lvl>
  </w:abstractNum>
  <w:abstractNum w:abstractNumId="85">
    <w:nsid w:val="5FB8011C"/>
    <w:multiLevelType w:val="hybridMultilevel"/>
    <w:lvl w:ilvl="0">
      <w:lvlJc w:val="left"/>
      <w:lvlText w:val="•"/>
      <w:numFmt w:val="bullet"/>
      <w:start w:val="1"/>
    </w:lvl>
  </w:abstractNum>
  <w:abstractNum w:abstractNumId="86">
    <w:nsid w:val="6AA78F7F"/>
    <w:multiLevelType w:val="hybridMultilevel"/>
    <w:lvl w:ilvl="0">
      <w:lvlJc w:val="left"/>
      <w:lvlText w:val="•"/>
      <w:numFmt w:val="bullet"/>
      <w:start w:val="1"/>
    </w:lvl>
  </w:abstractNum>
  <w:abstractNum w:abstractNumId="87">
    <w:nsid w:val="7672BD23"/>
    <w:multiLevelType w:val="hybridMultilevel"/>
    <w:lvl w:ilvl="0">
      <w:lvlJc w:val="left"/>
      <w:lvlText w:val="•"/>
      <w:numFmt w:val="bullet"/>
      <w:start w:val="1"/>
    </w:lvl>
  </w:abstractNum>
  <w:abstractNum w:abstractNumId="88">
    <w:nsid w:val="6FC75AF8"/>
    <w:multiLevelType w:val="hybridMultilevel"/>
    <w:lvl w:ilvl="0">
      <w:lvlJc w:val="left"/>
      <w:lvlText w:val="(%1)"/>
      <w:numFmt w:val="lowerRoman"/>
      <w:start w:val="1"/>
    </w:lvl>
  </w:abstractNum>
  <w:abstractNum w:abstractNumId="89">
    <w:nsid w:val="6A5F7029"/>
    <w:multiLevelType w:val="hybridMultilevel"/>
    <w:lvl w:ilvl="0">
      <w:lvlJc w:val="left"/>
      <w:lvlText w:val="(%1)"/>
      <w:numFmt w:val="lowerRoman"/>
      <w:start w:val="3"/>
    </w:lvl>
  </w:abstractNum>
  <w:abstractNum w:abstractNumId="90">
    <w:nsid w:val="7D5E18F8"/>
    <w:multiLevelType w:val="hybridMultilevel"/>
    <w:lvl w:ilvl="0">
      <w:lvlJc w:val="left"/>
      <w:lvlText w:val="•"/>
      <w:numFmt w:val="bullet"/>
      <w:start w:val="1"/>
    </w:lvl>
  </w:abstractNum>
  <w:abstractNum w:abstractNumId="91">
    <w:nsid w:val="5F3534A4"/>
    <w:multiLevelType w:val="hybridMultilevel"/>
    <w:lvl w:ilvl="0">
      <w:lvlJc w:val="left"/>
      <w:lvlText w:val="•"/>
      <w:numFmt w:val="bullet"/>
      <w:start w:val="1"/>
    </w:lvl>
  </w:abstractNum>
  <w:abstractNum w:abstractNumId="92">
    <w:nsid w:val="73A1821B"/>
    <w:multiLevelType w:val="hybridMultilevel"/>
    <w:lvl w:ilvl="0">
      <w:lvlJc w:val="left"/>
      <w:lvlText w:val="(%1)"/>
      <w:numFmt w:val="lowerLetter"/>
      <w:start w:val="1"/>
    </w:lvl>
  </w:abstractNum>
  <w:abstractNum w:abstractNumId="93">
    <w:nsid w:val="7DE67713"/>
    <w:multiLevelType w:val="hybridMultilevel"/>
    <w:lvl w:ilvl="0">
      <w:lvlJc w:val="left"/>
      <w:lvlText w:val="(%1)"/>
      <w:numFmt w:val="lowerLetter"/>
      <w:start w:val="1"/>
    </w:lvl>
  </w:abstractNum>
  <w:abstractNum w:abstractNumId="94">
    <w:nsid w:val="555C55B5"/>
    <w:multiLevelType w:val="hybridMultilevel"/>
    <w:lvl w:ilvl="0">
      <w:lvlJc w:val="left"/>
      <w:lvlText w:val="•"/>
      <w:numFmt w:val="bullet"/>
      <w:start w:val="1"/>
    </w:lvl>
    <w:lvl w:ilvl="1">
      <w:lvlJc w:val="left"/>
      <w:lvlText w:val="(%2)"/>
      <w:numFmt w:val="decimal"/>
      <w:start w:val="30"/>
    </w:lvl>
  </w:abstractNum>
  <w:abstractNum w:abstractNumId="95">
    <w:nsid w:val="3FA62ACA"/>
    <w:multiLevelType w:val="hybridMultilevel"/>
    <w:lvl w:ilvl="0">
      <w:lvlJc w:val="left"/>
      <w:lvlText w:val="•"/>
      <w:numFmt w:val="bullet"/>
      <w:start w:val="1"/>
    </w:lvl>
  </w:abstractNum>
  <w:abstractNum w:abstractNumId="96">
    <w:nsid w:val="14FCE74E"/>
    <w:multiLevelType w:val="hybridMultilevel"/>
    <w:lvl w:ilvl="0">
      <w:lvlJc w:val="left"/>
      <w:lvlText w:val="(%1)"/>
      <w:numFmt w:val="lowerRoman"/>
      <w:start w:val="2"/>
    </w:lvl>
  </w:abstractNum>
  <w:abstractNum w:abstractNumId="97">
    <w:nsid w:val="6A3DD3E8"/>
    <w:multiLevelType w:val="hybridMultilevel"/>
    <w:lvl w:ilvl="0">
      <w:lvlJc w:val="left"/>
      <w:lvlText w:val="(%1)"/>
      <w:numFmt w:val="lowerRoman"/>
      <w:start w:val="2"/>
    </w:lvl>
  </w:abstractNum>
  <w:abstractNum w:abstractNumId="98">
    <w:nsid w:val="71C91298"/>
    <w:multiLevelType w:val="hybridMultilevel"/>
    <w:lvl w:ilvl="0">
      <w:lvlJc w:val="left"/>
      <w:lvlText w:val="•"/>
      <w:numFmt w:val="bullet"/>
      <w:start w:val="1"/>
    </w:lvl>
  </w:abstractNum>
  <w:abstractNum w:abstractNumId="99">
    <w:nsid w:val="9DAF632"/>
    <w:multiLevelType w:val="hybridMultilevel"/>
    <w:lvl w:ilvl="0">
      <w:lvlJc w:val="left"/>
      <w:lvlText w:val="•"/>
      <w:numFmt w:val="bullet"/>
      <w:start w:val="1"/>
    </w:lvl>
  </w:abstractNum>
  <w:abstractNum w:abstractNumId="100">
    <w:nsid w:val="53299938"/>
    <w:multiLevelType w:val="hybridMultilevel"/>
    <w:lvl w:ilvl="0">
      <w:lvlJc w:val="left"/>
      <w:lvlText w:val="•"/>
      <w:numFmt w:val="bullet"/>
      <w:start w:val="1"/>
    </w:lvl>
    <w:lvl w:ilvl="1">
      <w:lvlJc w:val="left"/>
      <w:lvlText w:val="•"/>
      <w:numFmt w:val="bullet"/>
      <w:start w:val="1"/>
    </w:lvl>
  </w:abstractNum>
  <w:abstractNum w:abstractNumId="101">
    <w:nsid w:val="1FBFE8E0"/>
    <w:multiLevelType w:val="hybridMultilevel"/>
    <w:lvl w:ilvl="0">
      <w:lvlJc w:val="left"/>
      <w:lvlText w:val="•"/>
      <w:numFmt w:val="bullet"/>
      <w:start w:val="1"/>
    </w:lvl>
  </w:abstractNum>
  <w:abstractNum w:abstractNumId="102">
    <w:nsid w:val="5092CA79"/>
    <w:multiLevelType w:val="hybridMultilevel"/>
    <w:lvl w:ilvl="0">
      <w:lvlJc w:val="left"/>
      <w:lvlText w:val="(%1)"/>
      <w:numFmt w:val="lowerRoman"/>
      <w:start w:val="1"/>
    </w:lvl>
    <w:lvl w:ilvl="1">
      <w:lvlJc w:val="left"/>
      <w:lvlText w:val="•"/>
      <w:numFmt w:val="bullet"/>
      <w:start w:val="1"/>
    </w:lvl>
  </w:abstractNum>
  <w:abstractNum w:abstractNumId="103">
    <w:nsid w:val="1D545C4D"/>
    <w:multiLevelType w:val="hybridMultilevel"/>
    <w:lvl w:ilvl="0">
      <w:lvlJc w:val="left"/>
      <w:lvlText w:val="(%1)"/>
      <w:numFmt w:val="lowerLetter"/>
      <w:start w:val="1"/>
    </w:lvl>
  </w:abstractNum>
  <w:abstractNum w:abstractNumId="104">
    <w:nsid w:val="59ADEA3D"/>
    <w:multiLevelType w:val="hybridMultilevel"/>
    <w:lvl w:ilvl="0">
      <w:lvlJc w:val="left"/>
      <w:lvlText w:val="(%1)"/>
      <w:numFmt w:val="lowerLetter"/>
      <w:start w:val="5"/>
    </w:lvl>
  </w:abstractNum>
  <w:abstractNum w:abstractNumId="105">
    <w:nsid w:val="288F1A34"/>
    <w:multiLevelType w:val="hybridMultilevel"/>
    <w:lvl w:ilvl="0">
      <w:lvlJc w:val="left"/>
      <w:lvlText w:val="(%1)"/>
      <w:numFmt w:val="lowerLetter"/>
      <w:start w:val="1"/>
    </w:lvl>
  </w:abstractNum>
  <w:abstractNum w:abstractNumId="106">
    <w:nsid w:val="2A155DBC"/>
    <w:multiLevelType w:val="hybridMultilevel"/>
    <w:lvl w:ilvl="0">
      <w:lvlJc w:val="left"/>
      <w:lvlText w:val="(%1)"/>
      <w:numFmt w:val="lowerRoman"/>
      <w:start w:val="1"/>
    </w:lvl>
  </w:abstractNum>
  <w:abstractNum w:abstractNumId="107">
    <w:nsid w:val="1D9F6E5F"/>
    <w:multiLevelType w:val="hybridMultilevel"/>
    <w:lvl w:ilvl="0">
      <w:lvlJc w:val="left"/>
      <w:lvlText w:val="(%1)"/>
      <w:numFmt w:val="lowerRoman"/>
      <w:start w:val="3"/>
    </w:lvl>
  </w:abstractNum>
  <w:abstractNum w:abstractNumId="108">
    <w:nsid w:val="97E1B4E"/>
    <w:multiLevelType w:val="hybridMultilevel"/>
    <w:lvl w:ilvl="0">
      <w:lvlJc w:val="left"/>
      <w:lvlText w:val="(%1)"/>
      <w:numFmt w:val="lowerLetter"/>
      <w:start w:val="1"/>
    </w:lvl>
  </w:abstractNum>
  <w:abstractNum w:abstractNumId="109">
    <w:nsid w:val="5108827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2025-08-08T05:28:43Z</dcterms:created>
  <dcterms:modified xsi:type="dcterms:W3CDTF">2025-08-08T05:28:43Z</dcterms:modified>
</cp:coreProperties>
</file>