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424(b)(3)</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SEC File No. 333-284365</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 SUPPLEMENT NO. 9</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Prospectus dated February 13,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2199640</wp:posOffset>
            </wp:positionH>
            <wp:positionV relativeFrom="paragraph">
              <wp:posOffset>314325</wp:posOffset>
            </wp:positionV>
            <wp:extent cx="2743200" cy="9258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743200" cy="9258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2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89,550,141 Shares of Common Stock</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898,250 Warrants to Purchase Shares of Common Stock</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29,698,250 Shares of Common Stock Issuable Upon Exercise of Warrants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245745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6" w:lineRule="exact"/>
        <w:rPr>
          <w:sz w:val="24"/>
          <w:szCs w:val="24"/>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This prospectus supplement updates, amends and supplements the prospectus dated December 18, 2025 (as supplemented or amended from time to time, the “Prospectus”), which forms a part of our Registration Statement on Form S-1 (Registration No. 333-284365). Capitalized terms used in this prospectus supplement and not otherwise defined herein have the meanings specified in the Prospectus.</w:t>
      </w:r>
    </w:p>
    <w:p>
      <w:pPr>
        <w:spacing w:after="0" w:line="203" w:lineRule="exact"/>
        <w:rPr>
          <w:sz w:val="24"/>
          <w:szCs w:val="24"/>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This prospectus supplement is being filed to update, amend and supplement the information included in the Prospectus with information contained in our Annual Report on Form 10-K filed with the SEC on March 24, 2026, which is set forth below.</w:t>
      </w:r>
    </w:p>
    <w:p>
      <w:pPr>
        <w:spacing w:after="0" w:line="189" w:lineRule="exact"/>
        <w:rPr>
          <w:sz w:val="24"/>
          <w:szCs w:val="24"/>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This prospectus supplement is not complete without the Prospectus. This prospectus supplement should be read in conjunction with the Prospectus, which is to be delivered with this prospectus supplement, and is qualified by reference thereto, except to the extent that the information in this prospectus supplement updates or supersedes the information contained in the Prospectus. Please keep this prospectus supplement with your Prospectus for future reference.</w:t>
      </w:r>
    </w:p>
    <w:p>
      <w:pPr>
        <w:spacing w:after="0" w:line="207" w:lineRule="exact"/>
        <w:rPr>
          <w:sz w:val="24"/>
          <w:szCs w:val="24"/>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Our Common Stock and Warrants are listed on the Nasdaq Stock Market LLC under the trading symbols “BZAI” and “BZAIW,” respectively. On March 23, 2026, the closing prices for our Common Stock and Warrants on the Nasdaq Stock Market LLC were $1.10 per share of Common Stock and $0.30 per Warrant.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191770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1" w:lineRule="exact"/>
        <w:rPr>
          <w:sz w:val="24"/>
          <w:szCs w:val="24"/>
          <w:color w:val="auto"/>
        </w:rPr>
      </w:pPr>
    </w:p>
    <w:p>
      <w:pPr>
        <w:ind w:right="400"/>
        <w:spacing w:after="0" w:line="268" w:lineRule="auto"/>
        <w:rPr>
          <w:sz w:val="20"/>
          <w:szCs w:val="20"/>
          <w:color w:val="auto"/>
        </w:rPr>
      </w:pPr>
      <w:r>
        <w:rPr>
          <w:rFonts w:ascii="Times New Roman" w:cs="Times New Roman" w:eastAsia="Times New Roman" w:hAnsi="Times New Roman"/>
          <w:sz w:val="18"/>
          <w:szCs w:val="18"/>
          <w:b w:val="1"/>
          <w:bCs w:val="1"/>
          <w:color w:val="auto"/>
        </w:rPr>
        <w:t>Investing in our securities involves a high degree of risk. See “Risk Factors” beginning on page 6 of the Prospectus and other risk factors contained in the documents incorporated by reference therein for a discussion of information that should be considered in connection with an investment in our securities.</w:t>
      </w:r>
    </w:p>
    <w:p>
      <w:pPr>
        <w:spacing w:after="0" w:line="198" w:lineRule="exact"/>
        <w:rPr>
          <w:sz w:val="24"/>
          <w:szCs w:val="24"/>
          <w:color w:val="auto"/>
        </w:rPr>
      </w:pPr>
    </w:p>
    <w:p>
      <w:pPr>
        <w:ind w:right="540"/>
        <w:spacing w:after="0" w:line="317" w:lineRule="auto"/>
        <w:rPr>
          <w:sz w:val="20"/>
          <w:szCs w:val="20"/>
          <w:color w:val="auto"/>
        </w:rPr>
      </w:pPr>
      <w:r>
        <w:rPr>
          <w:rFonts w:ascii="Times New Roman" w:cs="Times New Roman" w:eastAsia="Times New Roman" w:hAnsi="Times New Roman"/>
          <w:sz w:val="17"/>
          <w:szCs w:val="17"/>
          <w:b w:val="1"/>
          <w:bCs w:val="1"/>
          <w:color w:val="auto"/>
        </w:rPr>
        <w:t>Neither the Securities and Exchange Commission nor any state securities commission has approved or disapproved of these securities or determined if the Prospectus or this prospectus supplement is truthful or complete.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date of this prospectus supplement is March 24, 2026</w:t>
      </w:r>
    </w:p>
    <w:p>
      <w:pPr>
        <w:sectPr>
          <w:pgSz w:w="11900" w:h="16838" w:orient="portrait"/>
          <w:cols w:equalWidth="0" w:num="1">
            <w:col w:w="11240"/>
          </w:cols>
          <w:pgMar w:left="320" w:top="1197"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646430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663575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3108325</wp:posOffset>
            </wp:positionH>
            <wp:positionV relativeFrom="paragraph">
              <wp:posOffset>81915</wp:posOffset>
            </wp:positionV>
            <wp:extent cx="9258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925830" cy="8890"/>
                    </a:xfrm>
                    <a:prstGeom prst="rect">
                      <a:avLst/>
                    </a:prstGeom>
                    <a:noFill/>
                  </pic:spPr>
                </pic:pic>
              </a:graphicData>
            </a:graphic>
          </wp:anchor>
        </w:drawing>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3108325</wp:posOffset>
            </wp:positionH>
            <wp:positionV relativeFrom="paragraph">
              <wp:posOffset>108585</wp:posOffset>
            </wp:positionV>
            <wp:extent cx="9258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925830" cy="8255"/>
                    </a:xfrm>
                    <a:prstGeom prst="rect">
                      <a:avLst/>
                    </a:prstGeom>
                    <a:noFill/>
                  </pic:spPr>
                </pic:pic>
              </a:graphicData>
            </a:graphic>
          </wp:anchor>
        </w:drawing>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104" w:lineRule="exact"/>
        <w:rPr>
          <w:sz w:val="20"/>
          <w:szCs w:val="20"/>
          <w:color w:val="auto"/>
        </w:rPr>
      </w:pPr>
    </w:p>
    <w:p>
      <w:pPr>
        <w:ind w:left="1580" w:hanging="189"/>
        <w:spacing w:after="0"/>
        <w:tabs>
          <w:tab w:leader="none" w:pos="1580"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FFFFFF"/>
        </w:rPr>
        <w:t xml:space="preserve">—— </w:t>
      </w:r>
      <w:r>
        <w:rPr>
          <w:rFonts w:ascii="Times New Roman" w:cs="Times New Roman" w:eastAsia="Times New Roman" w:hAnsi="Times New Roman"/>
          <w:sz w:val="16"/>
          <w:szCs w:val="16"/>
          <w:b w:val="1"/>
          <w:bCs w:val="1"/>
          <w:color w:val="000000"/>
        </w:rPr>
        <w:t>ANNUAL REPORT PURSUANT TO SECTION 13 OR 15(d) OF THE SECURITIES EXCHANGE ACT OF 1934</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 the fiscal year ended December 31, 2025</w:t>
      </w:r>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28" w:lineRule="exact"/>
        <w:rPr>
          <w:sz w:val="20"/>
          <w:szCs w:val="20"/>
          <w:color w:val="auto"/>
        </w:rPr>
      </w:pPr>
    </w:p>
    <w:p>
      <w:pPr>
        <w:jc w:val="center"/>
        <w:spacing w:after="0" w:line="184" w:lineRule="exact"/>
        <w:rPr>
          <w:sz w:val="20"/>
          <w:szCs w:val="20"/>
          <w:color w:val="auto"/>
        </w:rPr>
      </w:pPr>
      <w:r>
        <w:rPr>
          <w:rFonts w:ascii="Times New Roman" w:cs="Times New Roman" w:eastAsia="Times New Roman" w:hAnsi="Times New Roman"/>
          <w:sz w:val="11"/>
          <w:szCs w:val="11"/>
          <w:b w:val="1"/>
          <w:bCs w:val="1"/>
          <w:color w:val="FFFFFF"/>
        </w:rPr>
        <w:t>———</w:t>
      </w:r>
      <w:r>
        <w:rPr>
          <w:rFonts w:ascii="MS PGothic" w:cs="MS PGothic" w:eastAsia="MS PGothic" w:hAnsi="MS PGothic"/>
          <w:sz w:val="16"/>
          <w:szCs w:val="16"/>
          <w:color w:val="000000"/>
          <w:highlight w:val="black"/>
        </w:rPr>
        <w:t>☐</w:t>
      </w:r>
      <w:r>
        <w:rPr>
          <w:rFonts w:ascii="Times New Roman" w:cs="Times New Roman" w:eastAsia="Times New Roman" w:hAnsi="Times New Roman"/>
          <w:sz w:val="11"/>
          <w:szCs w:val="11"/>
          <w:b w:val="1"/>
          <w:bCs w:val="1"/>
          <w:color w:val="FFFFFF"/>
        </w:rPr>
        <w:t xml:space="preserve"> </w:t>
      </w:r>
      <w:r>
        <w:rPr>
          <w:rFonts w:ascii="Times New Roman" w:cs="Times New Roman" w:eastAsia="Times New Roman" w:hAnsi="Times New Roman"/>
          <w:sz w:val="16"/>
          <w:szCs w:val="16"/>
          <w:b w:val="1"/>
          <w:bCs w:val="1"/>
          <w:color w:val="FFFFFF"/>
        </w:rPr>
        <w:t>——</w:t>
      </w:r>
      <w:r>
        <w:rPr>
          <w:rFonts w:ascii="Times New Roman" w:cs="Times New Roman" w:eastAsia="Times New Roman" w:hAnsi="Times New Roman"/>
          <w:sz w:val="11"/>
          <w:szCs w:val="11"/>
          <w:b w:val="1"/>
          <w:bCs w:val="1"/>
          <w:color w:val="FFFFFF"/>
        </w:rPr>
        <w:t xml:space="preserve"> </w:t>
      </w:r>
      <w:r>
        <w:rPr>
          <w:rFonts w:ascii="Times New Roman" w:cs="Times New Roman" w:eastAsia="Times New Roman" w:hAnsi="Times New Roman"/>
          <w:sz w:val="16"/>
          <w:szCs w:val="16"/>
          <w:b w:val="1"/>
          <w:bCs w:val="1"/>
          <w:color w:val="000000"/>
        </w:rPr>
        <w:t>TRANSITION REPORT PURSUANT TO SECTION 13 OR 15(d) OF THE SECURITIES EXCHANGE ACT OF 1934</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001-41139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3108325</wp:posOffset>
            </wp:positionH>
            <wp:positionV relativeFrom="paragraph">
              <wp:posOffset>97155</wp:posOffset>
            </wp:positionV>
            <wp:extent cx="9258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925830" cy="8255"/>
                    </a:xfrm>
                    <a:prstGeom prst="rect">
                      <a:avLst/>
                    </a:prstGeom>
                    <a:noFill/>
                  </pic:spPr>
                </pic:pic>
              </a:graphicData>
            </a:graphic>
          </wp:anchor>
        </w:drawing>
      </w: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Blaize Holdings, Inc.</w:t>
      </w:r>
    </w:p>
    <w:p>
      <w:pPr>
        <w:spacing w:after="0" w:line="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3108325</wp:posOffset>
            </wp:positionH>
            <wp:positionV relativeFrom="paragraph">
              <wp:posOffset>77470</wp:posOffset>
            </wp:positionV>
            <wp:extent cx="92583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925830" cy="8255"/>
                    </a:xfrm>
                    <a:prstGeom prst="rect">
                      <a:avLst/>
                    </a:prstGeom>
                    <a:noFill/>
                  </pic:spPr>
                </pic:pic>
              </a:graphicData>
            </a:graphic>
          </wp:anchor>
        </w:drawing>
      </w:r>
    </w:p>
    <w:p>
      <w:pPr>
        <w:spacing w:after="0" w:line="229" w:lineRule="exact"/>
        <w:rPr>
          <w:sz w:val="20"/>
          <w:szCs w:val="20"/>
          <w:color w:val="auto"/>
        </w:rPr>
      </w:pPr>
    </w:p>
    <w:tbl>
      <w:tblPr>
        <w:tblLayout w:type="fixed"/>
        <w:tblInd w:w="1260" w:type="dxa"/>
        <w:tblCellMar>
          <w:top w:w="0" w:type="dxa"/>
          <w:left w:w="0" w:type="dxa"/>
          <w:bottom w:w="0" w:type="dxa"/>
          <w:right w:w="0" w:type="dxa"/>
        </w:tblCellMar>
      </w:tblPr>
      <w:tr>
        <w:trPr>
          <w:trHeight w:val="234"/>
        </w:trPr>
        <w:tc>
          <w:tcPr>
            <w:tcW w:w="4680" w:type="dxa"/>
            <w:vAlign w:val="bottom"/>
          </w:tcPr>
          <w:p>
            <w:pPr>
              <w:jc w:val="center"/>
              <w:ind w:right="148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400" w:type="dxa"/>
            <w:vAlign w:val="bottom"/>
          </w:tcPr>
          <w:p>
            <w:pPr>
              <w:jc w:val="right"/>
              <w:ind w:right="404"/>
              <w:spacing w:after="0"/>
              <w:rPr>
                <w:sz w:val="20"/>
                <w:szCs w:val="20"/>
                <w:color w:val="auto"/>
              </w:rPr>
            </w:pPr>
            <w:r>
              <w:rPr>
                <w:rFonts w:ascii="Times New Roman" w:cs="Times New Roman" w:eastAsia="Times New Roman" w:hAnsi="Times New Roman"/>
                <w:sz w:val="18"/>
                <w:szCs w:val="18"/>
                <w:b w:val="1"/>
                <w:bCs w:val="1"/>
                <w:color w:val="auto"/>
              </w:rPr>
              <w:t>86-2708752</w:t>
            </w:r>
          </w:p>
        </w:tc>
      </w:tr>
      <w:tr>
        <w:trPr>
          <w:trHeight w:val="164"/>
        </w:trPr>
        <w:tc>
          <w:tcPr>
            <w:tcW w:w="4680" w:type="dxa"/>
            <w:vAlign w:val="bottom"/>
          </w:tcPr>
          <w:p>
            <w:pPr>
              <w:jc w:val="center"/>
              <w:ind w:right="1481"/>
              <w:spacing w:after="0"/>
              <w:rPr>
                <w:sz w:val="20"/>
                <w:szCs w:val="20"/>
                <w:color w:val="auto"/>
              </w:rPr>
            </w:pPr>
            <w:r>
              <w:rPr>
                <w:rFonts w:ascii="Times New Roman" w:cs="Times New Roman" w:eastAsia="Times New Roman" w:hAnsi="Times New Roman"/>
                <w:sz w:val="13"/>
                <w:szCs w:val="13"/>
                <w:color w:val="auto"/>
                <w:w w:val="96"/>
              </w:rPr>
              <w:t>(State or other jurisdiction of incorporation or organization)</w:t>
            </w:r>
          </w:p>
        </w:tc>
        <w:tc>
          <w:tcPr>
            <w:tcW w:w="3400" w:type="dxa"/>
            <w:vAlign w:val="bottom"/>
          </w:tcPr>
          <w:p>
            <w:pPr>
              <w:jc w:val="center"/>
              <w:ind w:left="1504"/>
              <w:spacing w:after="0"/>
              <w:rPr>
                <w:sz w:val="20"/>
                <w:szCs w:val="20"/>
                <w:color w:val="auto"/>
              </w:rPr>
            </w:pPr>
            <w:r>
              <w:rPr>
                <w:rFonts w:ascii="Times New Roman" w:cs="Times New Roman" w:eastAsia="Times New Roman" w:hAnsi="Times New Roman"/>
                <w:sz w:val="13"/>
                <w:szCs w:val="13"/>
                <w:color w:val="auto"/>
                <w:w w:val="96"/>
              </w:rPr>
              <w:t>(I.R.S. Employer Identification No.)</w:t>
            </w:r>
          </w:p>
        </w:tc>
      </w:tr>
      <w:tr>
        <w:trPr>
          <w:trHeight w:val="480"/>
        </w:trPr>
        <w:tc>
          <w:tcPr>
            <w:tcW w:w="4680" w:type="dxa"/>
            <w:vAlign w:val="bottom"/>
          </w:tcPr>
          <w:p>
            <w:pPr>
              <w:jc w:val="center"/>
              <w:ind w:right="1481"/>
              <w:spacing w:after="0"/>
              <w:rPr>
                <w:sz w:val="20"/>
                <w:szCs w:val="20"/>
                <w:color w:val="auto"/>
              </w:rPr>
            </w:pPr>
            <w:r>
              <w:rPr>
                <w:rFonts w:ascii="Times New Roman" w:cs="Times New Roman" w:eastAsia="Times New Roman" w:hAnsi="Times New Roman"/>
                <w:sz w:val="18"/>
                <w:szCs w:val="18"/>
                <w:b w:val="1"/>
                <w:bCs w:val="1"/>
                <w:color w:val="auto"/>
                <w:w w:val="99"/>
              </w:rPr>
              <w:t>4659 Golden Foothill Parkway, Suite 206</w:t>
            </w:r>
          </w:p>
        </w:tc>
        <w:tc>
          <w:tcPr>
            <w:tcW w:w="3400" w:type="dxa"/>
            <w:vAlign w:val="bottom"/>
          </w:tcPr>
          <w:p>
            <w:pPr>
              <w:spacing w:after="0"/>
              <w:rPr>
                <w:sz w:val="24"/>
                <w:szCs w:val="24"/>
                <w:color w:val="auto"/>
              </w:rPr>
            </w:pPr>
          </w:p>
        </w:tc>
      </w:tr>
      <w:tr>
        <w:trPr>
          <w:trHeight w:val="261"/>
        </w:trPr>
        <w:tc>
          <w:tcPr>
            <w:tcW w:w="4680" w:type="dxa"/>
            <w:vAlign w:val="bottom"/>
          </w:tcPr>
          <w:p>
            <w:pPr>
              <w:jc w:val="center"/>
              <w:ind w:right="1481"/>
              <w:spacing w:after="0"/>
              <w:rPr>
                <w:sz w:val="20"/>
                <w:szCs w:val="20"/>
                <w:color w:val="auto"/>
              </w:rPr>
            </w:pPr>
            <w:r>
              <w:rPr>
                <w:rFonts w:ascii="Times New Roman" w:cs="Times New Roman" w:eastAsia="Times New Roman" w:hAnsi="Times New Roman"/>
                <w:sz w:val="18"/>
                <w:szCs w:val="18"/>
                <w:b w:val="1"/>
                <w:bCs w:val="1"/>
                <w:color w:val="auto"/>
              </w:rPr>
              <w:t>El Dorado Hills, CA</w:t>
            </w:r>
          </w:p>
        </w:tc>
        <w:tc>
          <w:tcPr>
            <w:tcW w:w="3400" w:type="dxa"/>
            <w:vAlign w:val="bottom"/>
          </w:tcPr>
          <w:p>
            <w:pPr>
              <w:jc w:val="right"/>
              <w:ind w:right="604"/>
              <w:spacing w:after="0"/>
              <w:rPr>
                <w:sz w:val="20"/>
                <w:szCs w:val="20"/>
                <w:color w:val="auto"/>
              </w:rPr>
            </w:pPr>
            <w:r>
              <w:rPr>
                <w:rFonts w:ascii="Times New Roman" w:cs="Times New Roman" w:eastAsia="Times New Roman" w:hAnsi="Times New Roman"/>
                <w:sz w:val="18"/>
                <w:szCs w:val="18"/>
                <w:b w:val="1"/>
                <w:bCs w:val="1"/>
                <w:color w:val="auto"/>
              </w:rPr>
              <w:t>95762</w:t>
            </w:r>
          </w:p>
        </w:tc>
      </w:tr>
      <w:tr>
        <w:trPr>
          <w:trHeight w:val="164"/>
        </w:trPr>
        <w:tc>
          <w:tcPr>
            <w:tcW w:w="4680" w:type="dxa"/>
            <w:vAlign w:val="bottom"/>
          </w:tcPr>
          <w:p>
            <w:pPr>
              <w:jc w:val="center"/>
              <w:ind w:right="1481"/>
              <w:spacing w:after="0"/>
              <w:rPr>
                <w:sz w:val="20"/>
                <w:szCs w:val="20"/>
                <w:color w:val="auto"/>
              </w:rPr>
            </w:pPr>
            <w:r>
              <w:rPr>
                <w:rFonts w:ascii="Times New Roman" w:cs="Times New Roman" w:eastAsia="Times New Roman" w:hAnsi="Times New Roman"/>
                <w:sz w:val="13"/>
                <w:szCs w:val="13"/>
                <w:color w:val="auto"/>
                <w:w w:val="96"/>
              </w:rPr>
              <w:t>(Address of principal executive offices)</w:t>
            </w:r>
          </w:p>
        </w:tc>
        <w:tc>
          <w:tcPr>
            <w:tcW w:w="3400" w:type="dxa"/>
            <w:vAlign w:val="bottom"/>
          </w:tcPr>
          <w:p>
            <w:pPr>
              <w:jc w:val="center"/>
              <w:ind w:left="1524"/>
              <w:spacing w:after="0"/>
              <w:rPr>
                <w:sz w:val="20"/>
                <w:szCs w:val="20"/>
                <w:color w:val="auto"/>
              </w:rPr>
            </w:pPr>
            <w:r>
              <w:rPr>
                <w:rFonts w:ascii="Times New Roman" w:cs="Times New Roman" w:eastAsia="Times New Roman" w:hAnsi="Times New Roman"/>
                <w:sz w:val="13"/>
                <w:szCs w:val="13"/>
                <w:color w:val="auto"/>
                <w:w w:val="97"/>
              </w:rPr>
              <w:t>(Zip Code)</w:t>
            </w:r>
          </w:p>
        </w:tc>
      </w:tr>
    </w:tbl>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(916) 347-0050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3108325</wp:posOffset>
            </wp:positionH>
            <wp:positionV relativeFrom="paragraph">
              <wp:posOffset>97155</wp:posOffset>
            </wp:positionV>
            <wp:extent cx="92583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925830" cy="8255"/>
                    </a:xfrm>
                    <a:prstGeom prst="rect">
                      <a:avLst/>
                    </a:prstGeom>
                    <a:noFill/>
                  </pic:spPr>
                </pic:pic>
              </a:graphicData>
            </a:graphic>
          </wp:anchor>
        </w:drawing>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3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23"/>
        </w:trPr>
        <w:tc>
          <w:tcPr>
            <w:tcW w:w="49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0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Common stock</w:t>
            </w:r>
            <w:r>
              <w:rPr>
                <w:rFonts w:ascii="Times New Roman" w:cs="Times New Roman" w:eastAsia="Times New Roman" w:hAnsi="Times New Roman"/>
                <w:sz w:val="17"/>
                <w:szCs w:val="17"/>
                <w:color w:val="auto"/>
                <w:w w:val="99"/>
              </w:rPr>
              <w:t>, par value $0.0001 per share</w:t>
            </w:r>
          </w:p>
        </w:tc>
        <w:tc>
          <w:tcPr>
            <w:tcW w:w="23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BZAI</w:t>
            </w:r>
          </w:p>
        </w:tc>
        <w:tc>
          <w:tcPr>
            <w:tcW w:w="3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w:t>
            </w:r>
          </w:p>
        </w:tc>
        <w:tc>
          <w:tcPr>
            <w:tcW w:w="0" w:type="dxa"/>
            <w:vAlign w:val="bottom"/>
          </w:tcPr>
          <w:p>
            <w:pPr>
              <w:spacing w:after="0"/>
              <w:rPr>
                <w:sz w:val="1"/>
                <w:szCs w:val="1"/>
                <w:color w:val="auto"/>
              </w:rPr>
            </w:pPr>
          </w:p>
        </w:tc>
      </w:tr>
      <w:tr>
        <w:trPr>
          <w:trHeight w:val="302"/>
        </w:trPr>
        <w:tc>
          <w:tcPr>
            <w:tcW w:w="50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Warrants</w:t>
            </w:r>
            <w:r>
              <w:rPr>
                <w:rFonts w:ascii="Times New Roman" w:cs="Times New Roman" w:eastAsia="Times New Roman" w:hAnsi="Times New Roman"/>
                <w:sz w:val="17"/>
                <w:szCs w:val="17"/>
                <w:color w:val="auto"/>
                <w:w w:val="99"/>
              </w:rPr>
              <w:t>, each whole warrant exercisable for one share of common</w:t>
            </w:r>
          </w:p>
        </w:tc>
        <w:tc>
          <w:tcPr>
            <w:tcW w:w="238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8"/>
                <w:szCs w:val="18"/>
                <w:color w:val="auto"/>
                <w:w w:val="98"/>
              </w:rPr>
              <w:t>BZAIW</w:t>
            </w:r>
          </w:p>
        </w:tc>
        <w:tc>
          <w:tcPr>
            <w:tcW w:w="38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w:t>
            </w:r>
          </w:p>
        </w:tc>
        <w:tc>
          <w:tcPr>
            <w:tcW w:w="0" w:type="dxa"/>
            <w:vAlign w:val="bottom"/>
          </w:tcPr>
          <w:p>
            <w:pPr>
              <w:spacing w:after="0"/>
              <w:rPr>
                <w:sz w:val="1"/>
                <w:szCs w:val="1"/>
                <w:color w:val="auto"/>
              </w:rPr>
            </w:pPr>
          </w:p>
        </w:tc>
      </w:tr>
      <w:tr>
        <w:trPr>
          <w:trHeight w:val="103"/>
        </w:trPr>
        <w:tc>
          <w:tcPr>
            <w:tcW w:w="50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7"/>
                <w:szCs w:val="17"/>
                <w:color w:val="auto"/>
              </w:rPr>
              <w:t>stock at an exercise price of $11.50 per share</w:t>
            </w:r>
          </w:p>
        </w:tc>
        <w:tc>
          <w:tcPr>
            <w:tcW w:w="2380" w:type="dxa"/>
            <w:vAlign w:val="bottom"/>
            <w:gridSpan w:val="2"/>
            <w:vMerge w:val="continue"/>
          </w:tcPr>
          <w:p>
            <w:pPr>
              <w:spacing w:after="0"/>
              <w:rPr>
                <w:sz w:val="8"/>
                <w:szCs w:val="8"/>
                <w:color w:val="auto"/>
              </w:rPr>
            </w:pPr>
          </w:p>
        </w:tc>
        <w:tc>
          <w:tcPr>
            <w:tcW w:w="38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5060" w:type="dxa"/>
            <w:vAlign w:val="bottom"/>
            <w:gridSpan w:val="2"/>
            <w:vMerge w:val="continue"/>
          </w:tcPr>
          <w:p>
            <w:pPr>
              <w:spacing w:after="0"/>
              <w:rPr>
                <w:sz w:val="10"/>
                <w:szCs w:val="10"/>
                <w:color w:val="auto"/>
              </w:rPr>
            </w:pPr>
          </w:p>
        </w:tc>
        <w:tc>
          <w:tcPr>
            <w:tcW w:w="2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8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Securities registered pursuant to Section 12(g) of the Act: None</w:t>
      </w:r>
    </w:p>
    <w:p>
      <w:pPr>
        <w:spacing w:after="0" w:line="50" w:lineRule="exact"/>
        <w:rPr>
          <w:sz w:val="20"/>
          <w:szCs w:val="20"/>
          <w:color w:val="auto"/>
        </w:rPr>
      </w:pPr>
    </w:p>
    <w:p>
      <w:pPr>
        <w:ind w:right="2680"/>
        <w:spacing w:after="0" w:line="271" w:lineRule="exact"/>
        <w:rPr>
          <w:sz w:val="20"/>
          <w:szCs w:val="20"/>
          <w:color w:val="auto"/>
        </w:rPr>
      </w:pPr>
      <w:r>
        <w:rPr>
          <w:rFonts w:ascii="Times New Roman" w:cs="Times New Roman" w:eastAsia="Times New Roman" w:hAnsi="Times New Roman"/>
          <w:sz w:val="16"/>
          <w:szCs w:val="16"/>
          <w:color w:val="auto"/>
        </w:rPr>
        <w:t xml:space="preserve">Indicate by check mark if the Registrant is a well-known seasoned issuer, as defined in Rule 405 of the Securities Act. </w:t>
      </w:r>
      <w:r>
        <w:rPr>
          <w:rFonts w:ascii="Times New Roman" w:cs="Times New Roman" w:eastAsia="Times New Roman" w:hAnsi="Times New Roman"/>
          <w:sz w:val="16"/>
          <w:szCs w:val="16"/>
          <w:b w:val="1"/>
          <w:bCs w:val="1"/>
          <w:color w:val="auto"/>
        </w:rPr>
        <w:t>Yes</w:t>
      </w:r>
      <w:r>
        <w:rPr>
          <w:rFonts w:ascii="Times New Roman" w:cs="Times New Roman" w:eastAsia="Times New Roman" w:hAnsi="Times New Roman"/>
          <w:sz w:val="16"/>
          <w:szCs w:val="16"/>
          <w:color w:val="auto"/>
        </w:rPr>
        <w:t xml:space="preserve">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No</w:t>
      </w:r>
      <w:r>
        <w:rPr>
          <w:rFonts w:ascii="Times New Roman" w:cs="Times New Roman" w:eastAsia="Times New Roman" w:hAnsi="Times New Roman"/>
          <w:sz w:val="16"/>
          <w:szCs w:val="16"/>
          <w:color w:val="auto"/>
        </w:rPr>
        <w:t xml:space="preserve">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Indicate by check mark if the Registrant is not required to file reports pursuant to Section 13 or 15(d) of the Act. </w:t>
      </w:r>
      <w:r>
        <w:rPr>
          <w:rFonts w:ascii="Times New Roman" w:cs="Times New Roman" w:eastAsia="Times New Roman" w:hAnsi="Times New Roman"/>
          <w:sz w:val="16"/>
          <w:szCs w:val="16"/>
          <w:b w:val="1"/>
          <w:bCs w:val="1"/>
          <w:color w:val="auto"/>
        </w:rPr>
        <w:t>Yes</w:t>
      </w:r>
      <w:r>
        <w:rPr>
          <w:rFonts w:ascii="Times New Roman" w:cs="Times New Roman" w:eastAsia="Times New Roman" w:hAnsi="Times New Roman"/>
          <w:sz w:val="16"/>
          <w:szCs w:val="16"/>
          <w:color w:val="auto"/>
        </w:rPr>
        <w:t xml:space="preserve">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No</w:t>
      </w:r>
      <w:r>
        <w:rPr>
          <w:rFonts w:ascii="Times New Roman" w:cs="Times New Roman" w:eastAsia="Times New Roman" w:hAnsi="Times New Roman"/>
          <w:sz w:val="16"/>
          <w:szCs w:val="16"/>
          <w:color w:val="auto"/>
        </w:rPr>
        <w:t xml:space="preserve"> </w:t>
      </w:r>
      <w:r>
        <w:rPr>
          <w:rFonts w:ascii="MS PGothic" w:cs="MS PGothic" w:eastAsia="MS PGothic" w:hAnsi="MS PGothic"/>
          <w:sz w:val="16"/>
          <w:szCs w:val="16"/>
          <w:color w:val="auto"/>
        </w:rPr>
        <w:t>☒</w:t>
      </w:r>
    </w:p>
    <w:p>
      <w:pPr>
        <w:spacing w:after="0" w:line="21" w:lineRule="exact"/>
        <w:rPr>
          <w:sz w:val="20"/>
          <w:szCs w:val="20"/>
          <w:color w:val="auto"/>
        </w:rPr>
      </w:pPr>
    </w:p>
    <w:p>
      <w:pPr>
        <w:jc w:val="both"/>
        <w:spacing w:after="0" w:line="20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Times New Roman" w:cs="Times New Roman" w:eastAsia="Times New Roman" w:hAnsi="Times New Roman"/>
          <w:sz w:val="16"/>
          <w:szCs w:val="16"/>
          <w:b w:val="1"/>
          <w:bCs w:val="1"/>
          <w:color w:val="auto"/>
        </w:rPr>
        <w:t>Yes</w:t>
      </w:r>
      <w:r>
        <w:rPr>
          <w:rFonts w:ascii="Times New Roman" w:cs="Times New Roman" w:eastAsia="Times New Roman" w:hAnsi="Times New Roman"/>
          <w:sz w:val="16"/>
          <w:szCs w:val="16"/>
          <w:color w:val="auto"/>
        </w:rPr>
        <w:t xml:space="preserve">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No</w:t>
      </w:r>
      <w:r>
        <w:rPr>
          <w:rFonts w:ascii="Times New Roman" w:cs="Times New Roman" w:eastAsia="Times New Roman" w:hAnsi="Times New Roman"/>
          <w:sz w:val="16"/>
          <w:szCs w:val="16"/>
          <w:color w:val="auto"/>
        </w:rPr>
        <w:t xml:space="preserve"> </w:t>
      </w:r>
      <w:r>
        <w:rPr>
          <w:rFonts w:ascii="MS PGothic" w:cs="MS PGothic" w:eastAsia="MS PGothic" w:hAnsi="MS PGothic"/>
          <w:sz w:val="16"/>
          <w:szCs w:val="16"/>
          <w:color w:val="auto"/>
        </w:rPr>
        <w:t>☐</w:t>
      </w:r>
    </w:p>
    <w:p>
      <w:pPr>
        <w:spacing w:after="0" w:line="36" w:lineRule="exact"/>
        <w:rPr>
          <w:sz w:val="20"/>
          <w:szCs w:val="20"/>
          <w:color w:val="auto"/>
        </w:rPr>
      </w:pPr>
    </w:p>
    <w:p>
      <w:pPr>
        <w:jc w:val="both"/>
        <w:spacing w:after="0" w:line="21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Times New Roman" w:cs="Times New Roman" w:eastAsia="Times New Roman" w:hAnsi="Times New Roman"/>
          <w:sz w:val="16"/>
          <w:szCs w:val="16"/>
          <w:b w:val="1"/>
          <w:bCs w:val="1"/>
          <w:color w:val="auto"/>
        </w:rPr>
        <w:t>Yes</w:t>
      </w:r>
      <w:r>
        <w:rPr>
          <w:rFonts w:ascii="Times New Roman" w:cs="Times New Roman" w:eastAsia="Times New Roman" w:hAnsi="Times New Roman"/>
          <w:sz w:val="16"/>
          <w:szCs w:val="16"/>
          <w:color w:val="auto"/>
        </w:rPr>
        <w:t xml:space="preserve">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No</w:t>
      </w:r>
      <w:r>
        <w:rPr>
          <w:rFonts w:ascii="Times New Roman" w:cs="Times New Roman" w:eastAsia="Times New Roman" w:hAnsi="Times New Roman"/>
          <w:sz w:val="16"/>
          <w:szCs w:val="16"/>
          <w:color w:val="auto"/>
        </w:rPr>
        <w:t xml:space="preserve"> </w:t>
      </w:r>
      <w:r>
        <w:rPr>
          <w:rFonts w:ascii="MS PGothic" w:cs="MS PGothic" w:eastAsia="MS PGothic" w:hAnsi="MS PGothic"/>
          <w:sz w:val="16"/>
          <w:szCs w:val="16"/>
          <w:color w:val="auto"/>
        </w:rPr>
        <w:t>☐</w:t>
      </w:r>
    </w:p>
    <w:p>
      <w:pPr>
        <w:spacing w:after="0" w:line="34"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27" w:lineRule="exact"/>
        <w:rPr>
          <w:sz w:val="20"/>
          <w:szCs w:val="20"/>
          <w:color w:val="auto"/>
        </w:rPr>
      </w:pPr>
    </w:p>
    <w:tbl>
      <w:tblPr>
        <w:tblLayout w:type="fixed"/>
        <w:tblInd w:w="2880" w:type="dxa"/>
        <w:tblCellMar>
          <w:top w:w="0" w:type="dxa"/>
          <w:left w:w="0" w:type="dxa"/>
          <w:bottom w:w="0" w:type="dxa"/>
          <w:right w:w="0" w:type="dxa"/>
        </w:tblCellMar>
      </w:tblPr>
      <w:tr>
        <w:trPr>
          <w:trHeight w:val="243"/>
        </w:trPr>
        <w:tc>
          <w:tcPr>
            <w:tcW w:w="214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660" w:type="dxa"/>
            <w:vAlign w:val="bottom"/>
          </w:tcPr>
          <w:p>
            <w:pPr>
              <w:ind w:left="380"/>
              <w:spacing w:after="0" w:line="161" w:lineRule="exact"/>
              <w:rPr>
                <w:sz w:val="20"/>
                <w:szCs w:val="20"/>
                <w:color w:val="auto"/>
              </w:rPr>
            </w:pPr>
            <w:r>
              <w:rPr>
                <w:rFonts w:ascii="MS PGothic" w:cs="MS PGothic" w:eastAsia="MS PGothic" w:hAnsi="MS PGothic"/>
                <w:sz w:val="16"/>
                <w:szCs w:val="16"/>
                <w:color w:val="auto"/>
              </w:rPr>
              <w:t>☐</w:t>
            </w:r>
          </w:p>
        </w:tc>
        <w:tc>
          <w:tcPr>
            <w:tcW w:w="22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Accelerated filer</w:t>
            </w:r>
          </w:p>
        </w:tc>
        <w:tc>
          <w:tcPr>
            <w:tcW w:w="540" w:type="dxa"/>
            <w:vAlign w:val="bottom"/>
          </w:tcPr>
          <w:p>
            <w:pPr>
              <w:ind w:left="4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43"/>
        </w:trPr>
        <w:tc>
          <w:tcPr>
            <w:tcW w:w="214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660" w:type="dxa"/>
            <w:vAlign w:val="bottom"/>
          </w:tcPr>
          <w:p>
            <w:pPr>
              <w:ind w:left="380"/>
              <w:spacing w:after="0" w:line="161" w:lineRule="exact"/>
              <w:rPr>
                <w:sz w:val="20"/>
                <w:szCs w:val="20"/>
                <w:color w:val="auto"/>
              </w:rPr>
            </w:pPr>
            <w:r>
              <w:rPr>
                <w:rFonts w:ascii="MS PGothic" w:cs="MS PGothic" w:eastAsia="MS PGothic" w:hAnsi="MS PGothic"/>
                <w:sz w:val="16"/>
                <w:szCs w:val="16"/>
                <w:color w:val="auto"/>
                <w:highlight w:val="black"/>
              </w:rPr>
              <w:t>☒</w:t>
            </w:r>
          </w:p>
        </w:tc>
        <w:tc>
          <w:tcPr>
            <w:tcW w:w="22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540" w:type="dxa"/>
            <w:vAlign w:val="bottom"/>
          </w:tcPr>
          <w:p>
            <w:pPr>
              <w:ind w:left="400"/>
              <w:spacing w:after="0" w:line="161" w:lineRule="exact"/>
              <w:rPr>
                <w:sz w:val="20"/>
                <w:szCs w:val="20"/>
                <w:color w:val="auto"/>
              </w:rPr>
            </w:pPr>
            <w:r>
              <w:rPr>
                <w:rFonts w:ascii="MS PGothic" w:cs="MS PGothic" w:eastAsia="MS PGothic" w:hAnsi="MS PGothic"/>
                <w:sz w:val="16"/>
                <w:szCs w:val="16"/>
                <w:color w:val="auto"/>
                <w:highlight w:val="black"/>
                <w:w w:val="74"/>
              </w:rPr>
              <w:t>☒</w:t>
            </w:r>
          </w:p>
        </w:tc>
      </w:tr>
      <w:tr>
        <w:trPr>
          <w:trHeight w:val="272"/>
        </w:trPr>
        <w:tc>
          <w:tcPr>
            <w:tcW w:w="214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660" w:type="dxa"/>
            <w:vAlign w:val="bottom"/>
          </w:tcPr>
          <w:p>
            <w:pPr>
              <w:ind w:left="380"/>
              <w:spacing w:after="0" w:line="161" w:lineRule="exact"/>
              <w:rPr>
                <w:sz w:val="20"/>
                <w:szCs w:val="20"/>
                <w:color w:val="auto"/>
              </w:rPr>
            </w:pPr>
            <w:r>
              <w:rPr>
                <w:rFonts w:ascii="MS PGothic" w:cs="MS PGothic" w:eastAsia="MS PGothic" w:hAnsi="MS PGothic"/>
                <w:sz w:val="16"/>
                <w:szCs w:val="16"/>
                <w:color w:val="auto"/>
                <w:highlight w:val="black"/>
              </w:rPr>
              <w:t>☒</w:t>
            </w:r>
          </w:p>
        </w:tc>
        <w:tc>
          <w:tcPr>
            <w:tcW w:w="2280" w:type="dxa"/>
            <w:vAlign w:val="bottom"/>
          </w:tcPr>
          <w:p>
            <w:pPr>
              <w:spacing w:after="0"/>
              <w:rPr>
                <w:sz w:val="23"/>
                <w:szCs w:val="23"/>
                <w:color w:val="auto"/>
              </w:rPr>
            </w:pPr>
          </w:p>
        </w:tc>
        <w:tc>
          <w:tcPr>
            <w:tcW w:w="540" w:type="dxa"/>
            <w:vAlign w:val="bottom"/>
          </w:tcPr>
          <w:p>
            <w:pPr>
              <w:spacing w:after="0"/>
              <w:rPr>
                <w:sz w:val="23"/>
                <w:szCs w:val="23"/>
                <w:color w:val="auto"/>
              </w:rPr>
            </w:pPr>
          </w:p>
        </w:tc>
      </w:tr>
    </w:tbl>
    <w:p>
      <w:pPr>
        <w:spacing w:after="0" w:line="155" w:lineRule="exact"/>
        <w:rPr>
          <w:sz w:val="20"/>
          <w:szCs w:val="20"/>
          <w:color w:val="auto"/>
        </w:rPr>
      </w:pPr>
    </w:p>
    <w:p>
      <w:pPr>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1" w:lineRule="exact"/>
        <w:rPr>
          <w:sz w:val="20"/>
          <w:szCs w:val="20"/>
          <w:color w:val="auto"/>
        </w:rPr>
      </w:pPr>
    </w:p>
    <w:p>
      <w:pPr>
        <w:ind w:right="20"/>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6"/>
          <w:szCs w:val="16"/>
          <w:color w:val="auto"/>
        </w:rPr>
        <w:t>☐</w:t>
      </w:r>
    </w:p>
    <w:p>
      <w:pPr>
        <w:sectPr>
          <w:pgSz w:w="11900" w:h="16838" w:orient="portrait"/>
          <w:cols w:equalWidth="0" w:num="1">
            <w:col w:w="11240"/>
          </w:cols>
          <w:pgMar w:left="320" w:top="1181" w:right="339" w:bottom="1440" w:gutter="0" w:footer="0" w:header="0"/>
        </w:sectPr>
      </w:pPr>
    </w:p>
    <w:bookmarkStart w:id="2" w:name="page3"/>
    <w:bookmarkEnd w:id="2"/>
    <w:p>
      <w:pPr>
        <w:ind w:right="20"/>
        <w:spacing w:after="0" w:line="213" w:lineRule="exact"/>
        <w:rPr>
          <w:sz w:val="20"/>
          <w:szCs w:val="20"/>
          <w:color w:val="auto"/>
        </w:rPr>
      </w:pPr>
      <w:r>
        <w:rPr>
          <w:rFonts w:ascii="Times New Roman" w:cs="Times New Roman" w:eastAsia="Times New Roman" w:hAnsi="Times New Roman"/>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6"/>
          <w:szCs w:val="16"/>
          <w:color w:val="auto"/>
        </w:rPr>
        <w:t>☐</w:t>
      </w:r>
    </w:p>
    <w:p>
      <w:pPr>
        <w:spacing w:after="0" w:line="34" w:lineRule="exact"/>
        <w:rPr>
          <w:sz w:val="20"/>
          <w:szCs w:val="20"/>
          <w:color w:val="auto"/>
        </w:rPr>
      </w:pPr>
    </w:p>
    <w:p>
      <w:pPr>
        <w:spacing w:after="0" w:line="213" w:lineRule="exact"/>
        <w:rPr>
          <w:sz w:val="20"/>
          <w:szCs w:val="20"/>
          <w:color w:val="auto"/>
        </w:rPr>
      </w:pPr>
      <w:r>
        <w:rPr>
          <w:rFonts w:ascii="Times New Roman" w:cs="Times New Roman" w:eastAsia="Times New Roman" w:hAnsi="Times New Roman"/>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6"/>
          <w:szCs w:val="16"/>
          <w:color w:val="auto"/>
        </w:rPr>
        <w:t>☐</w:t>
      </w:r>
    </w:p>
    <w:p>
      <w:pPr>
        <w:spacing w:after="0" w:line="1" w:lineRule="exact"/>
        <w:rPr>
          <w:sz w:val="20"/>
          <w:szCs w:val="20"/>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w:t>
      </w:r>
      <w:r>
        <w:rPr>
          <w:rFonts w:ascii="Times New Roman" w:cs="Times New Roman" w:eastAsia="Times New Roman" w:hAnsi="Times New Roman"/>
          <w:sz w:val="16"/>
          <w:szCs w:val="16"/>
          <w:b w:val="1"/>
          <w:bCs w:val="1"/>
          <w:color w:val="auto"/>
        </w:rPr>
        <w:t>Yes</w:t>
      </w:r>
      <w:r>
        <w:rPr>
          <w:rFonts w:ascii="Times New Roman" w:cs="Times New Roman" w:eastAsia="Times New Roman" w:hAnsi="Times New Roman"/>
          <w:sz w:val="16"/>
          <w:szCs w:val="16"/>
          <w:color w:val="auto"/>
        </w:rPr>
        <w:t xml:space="preserve"> </w:t>
      </w:r>
      <w:r>
        <w:rPr>
          <w:rFonts w:ascii="MS PGothic" w:cs="MS PGothic" w:eastAsia="MS PGothic" w:hAnsi="MS PGothic"/>
          <w:sz w:val="16"/>
          <w:szCs w:val="16"/>
          <w:color w:val="auto"/>
          <w:highlight w:val="black"/>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No</w:t>
      </w:r>
      <w:r>
        <w:rPr>
          <w:rFonts w:ascii="Times New Roman" w:cs="Times New Roman" w:eastAsia="Times New Roman" w:hAnsi="Times New Roman"/>
          <w:sz w:val="16"/>
          <w:szCs w:val="16"/>
          <w:color w:val="auto"/>
        </w:rPr>
        <w:t xml:space="preserve"> </w:t>
      </w:r>
      <w:r>
        <w:rPr>
          <w:rFonts w:ascii="MS PGothic" w:cs="MS PGothic" w:eastAsia="MS PGothic" w:hAnsi="MS PGothic"/>
          <w:sz w:val="16"/>
          <w:szCs w:val="16"/>
          <w:color w:val="auto"/>
          <w:highlight w:val="black"/>
        </w:rPr>
        <w:t>☒</w:t>
      </w:r>
    </w:p>
    <w:p>
      <w:pPr>
        <w:spacing w:after="0" w:line="282" w:lineRule="exact"/>
        <w:rPr>
          <w:sz w:val="20"/>
          <w:szCs w:val="20"/>
          <w:color w:val="auto"/>
        </w:rPr>
      </w:pPr>
    </w:p>
    <w:p>
      <w:pPr>
        <w:ind w:right="20"/>
        <w:spacing w:after="0" w:line="298" w:lineRule="auto"/>
        <w:rPr>
          <w:sz w:val="20"/>
          <w:szCs w:val="20"/>
          <w:color w:val="auto"/>
        </w:rPr>
      </w:pPr>
      <w:r>
        <w:rPr>
          <w:rFonts w:ascii="Times New Roman" w:cs="Times New Roman" w:eastAsia="Times New Roman" w:hAnsi="Times New Roman"/>
          <w:sz w:val="16"/>
          <w:szCs w:val="16"/>
          <w:color w:val="auto"/>
        </w:rPr>
        <w:t>As of June 30, 2025, the last business day of the registrant’s most recently completed second fiscal quarter, the aggregate market value of the registrant’s common stock held by non-affiliates was approximately $217.4 million.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 of March 20, 2026, the registrant had 122,744,509 shares of common stock, $0.0001 par value per share, outstanding.</w:t>
      </w: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DOCUMENTS INCORPORATED BY REFERENCE</w:t>
      </w:r>
    </w:p>
    <w:p>
      <w:pPr>
        <w:spacing w:after="0" w:line="264" w:lineRule="exact"/>
        <w:rPr>
          <w:sz w:val="20"/>
          <w:szCs w:val="20"/>
          <w:color w:val="auto"/>
        </w:rPr>
      </w:pPr>
    </w:p>
    <w:p>
      <w:pPr>
        <w:ind w:right="120"/>
        <w:spacing w:after="0" w:line="280" w:lineRule="auto"/>
        <w:rPr>
          <w:sz w:val="20"/>
          <w:szCs w:val="20"/>
          <w:color w:val="auto"/>
        </w:rPr>
      </w:pPr>
      <w:r>
        <w:rPr>
          <w:rFonts w:ascii="Times New Roman" w:cs="Times New Roman" w:eastAsia="Times New Roman" w:hAnsi="Times New Roman"/>
          <w:sz w:val="16"/>
          <w:szCs w:val="16"/>
          <w:color w:val="auto"/>
        </w:rPr>
        <w:t>Part III incorporates information by reference to the registrant’s definitive proxy statement for the 2026 Annual Meeting of Stockholders, to be filed with the Securities and Exchange Commission no later than 120 days after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199390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216535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12"/>
        </w:trPr>
        <w:tc>
          <w:tcPr>
            <w:tcW w:w="1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360" w:type="dxa"/>
            <w:vAlign w:val="bottom"/>
            <w:gridSpan w:val="13"/>
          </w:tcPr>
          <w:p>
            <w:pPr>
              <w:ind w:left="680"/>
              <w:spacing w:after="0"/>
              <w:rPr>
                <w:sz w:val="20"/>
                <w:szCs w:val="20"/>
                <w:color w:val="auto"/>
              </w:rPr>
            </w:pPr>
            <w:r>
              <w:rPr>
                <w:rFonts w:ascii="Times New Roman" w:cs="Times New Roman" w:eastAsia="Times New Roman" w:hAnsi="Times New Roman"/>
                <w:sz w:val="16"/>
                <w:szCs w:val="16"/>
                <w:b w:val="1"/>
                <w:bCs w:val="1"/>
                <w:color w:val="auto"/>
              </w:rPr>
              <w:t>TABLE OF CONTENTS</w:t>
            </w: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Borders>
              <w:bottom w:val="single" w:sz="8" w:color="auto"/>
            </w:tcBorders>
            <w:gridSpan w:val="4"/>
          </w:tcPr>
          <w:p>
            <w:pPr>
              <w:ind w:left="740"/>
              <w:spacing w:after="0"/>
              <w:rPr>
                <w:sz w:val="20"/>
                <w:szCs w:val="20"/>
                <w:color w:val="auto"/>
              </w:rPr>
            </w:pPr>
            <w:r>
              <w:rPr>
                <w:rFonts w:ascii="Times New Roman" w:cs="Times New Roman" w:eastAsia="Times New Roman" w:hAnsi="Times New Roman"/>
                <w:sz w:val="16"/>
                <w:szCs w:val="16"/>
                <w:color w:val="auto"/>
              </w:rPr>
              <w:t>Page</w:t>
            </w:r>
          </w:p>
        </w:tc>
        <w:tc>
          <w:tcPr>
            <w:tcW w:w="0" w:type="dxa"/>
            <w:vAlign w:val="bottom"/>
          </w:tcPr>
          <w:p>
            <w:pPr>
              <w:spacing w:after="0"/>
              <w:rPr>
                <w:sz w:val="1"/>
                <w:szCs w:val="1"/>
                <w:color w:val="auto"/>
              </w:rPr>
            </w:pPr>
          </w:p>
        </w:tc>
      </w:tr>
      <w:tr>
        <w:trPr>
          <w:trHeight w:val="161"/>
        </w:trPr>
        <w:tc>
          <w:tcPr>
            <w:tcW w:w="1280" w:type="dxa"/>
            <w:vAlign w:val="bottom"/>
          </w:tcPr>
          <w:p>
            <w:pPr>
              <w:spacing w:after="0"/>
              <w:rPr>
                <w:sz w:val="14"/>
                <w:szCs w:val="14"/>
                <w:color w:val="auto"/>
              </w:rPr>
            </w:pPr>
          </w:p>
        </w:tc>
        <w:tc>
          <w:tcPr>
            <w:tcW w:w="3740" w:type="dxa"/>
            <w:vAlign w:val="bottom"/>
            <w:tcBorders>
              <w:bottom w:val="single" w:sz="8" w:color="0000FF"/>
            </w:tcBorders>
            <w:gridSpan w:val="15"/>
          </w:tcPr>
          <w:p>
            <w:pPr>
              <w:spacing w:after="0" w:line="142" w:lineRule="exact"/>
              <w:rPr>
                <w:sz w:val="20"/>
                <w:szCs w:val="20"/>
                <w:color w:val="auto"/>
              </w:rPr>
            </w:pPr>
            <w:r>
              <w:rPr>
                <w:rFonts w:ascii="Times New Roman" w:cs="Times New Roman" w:eastAsia="Times New Roman" w:hAnsi="Times New Roman"/>
                <w:sz w:val="16"/>
                <w:szCs w:val="16"/>
                <w:i w:val="1"/>
                <w:iCs w:val="1"/>
                <w:color w:val="0000FF"/>
              </w:rPr>
              <w:t>Cautionary Note Regarding Forward-Looking Statements</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center"/>
              <w:ind w:left="779"/>
              <w:spacing w:after="0" w:line="161" w:lineRule="exact"/>
              <w:rPr>
                <w:sz w:val="20"/>
                <w:szCs w:val="20"/>
                <w:color w:val="auto"/>
              </w:rPr>
            </w:pPr>
            <w:r>
              <w:rPr>
                <w:rFonts w:ascii="Times New Roman" w:cs="Times New Roman" w:eastAsia="Times New Roman" w:hAnsi="Times New Roman"/>
                <w:sz w:val="16"/>
                <w:szCs w:val="16"/>
                <w:color w:val="0000FF"/>
                <w:w w:val="99"/>
              </w:rPr>
              <w:t>1</w:t>
            </w: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980" w:type="dxa"/>
            <w:vAlign w:val="bottom"/>
            <w:gridSpan w:val="16"/>
            <w:vMerge w:val="restart"/>
          </w:tcPr>
          <w:p>
            <w:pPr>
              <w:spacing w:after="0"/>
              <w:rPr>
                <w:sz w:val="20"/>
                <w:szCs w:val="20"/>
                <w:color w:val="auto"/>
              </w:rPr>
            </w:pPr>
            <w:r>
              <w:rPr>
                <w:rFonts w:ascii="Times New Roman" w:cs="Times New Roman" w:eastAsia="Times New Roman" w:hAnsi="Times New Roman"/>
                <w:sz w:val="16"/>
                <w:szCs w:val="16"/>
                <w:i w:val="1"/>
                <w:iCs w:val="1"/>
                <w:color w:val="0000FF"/>
                <w:w w:val="98"/>
              </w:rPr>
              <w:t>Important Information Regarding Our Disclosure to Investors</w:t>
            </w:r>
          </w:p>
        </w:tc>
        <w:tc>
          <w:tcPr>
            <w:tcW w:w="4160" w:type="dxa"/>
            <w:vAlign w:val="bottom"/>
            <w:gridSpan w:val="10"/>
            <w:vMerge w:val="restart"/>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280" w:type="dxa"/>
            <w:vAlign w:val="bottom"/>
          </w:tcPr>
          <w:p>
            <w:pPr>
              <w:spacing w:after="0"/>
              <w:rPr>
                <w:sz w:val="16"/>
                <w:szCs w:val="16"/>
                <w:color w:val="auto"/>
              </w:rPr>
            </w:pPr>
          </w:p>
        </w:tc>
        <w:tc>
          <w:tcPr>
            <w:tcW w:w="3980" w:type="dxa"/>
            <w:vAlign w:val="bottom"/>
            <w:gridSpan w:val="16"/>
            <w:vMerge w:val="continue"/>
          </w:tcPr>
          <w:p>
            <w:pPr>
              <w:spacing w:after="0"/>
              <w:rPr>
                <w:sz w:val="16"/>
                <w:szCs w:val="16"/>
                <w:color w:val="auto"/>
              </w:rPr>
            </w:pPr>
          </w:p>
        </w:tc>
        <w:tc>
          <w:tcPr>
            <w:tcW w:w="4160" w:type="dxa"/>
            <w:vAlign w:val="bottom"/>
            <w:gridSpan w:val="10"/>
            <w:vMerge w:val="continue"/>
          </w:tcPr>
          <w:p>
            <w:pPr>
              <w:spacing w:after="0"/>
              <w:rPr>
                <w:sz w:val="16"/>
                <w:szCs w:val="16"/>
                <w:color w:val="auto"/>
              </w:rPr>
            </w:pPr>
          </w:p>
        </w:tc>
        <w:tc>
          <w:tcPr>
            <w:tcW w:w="940" w:type="dxa"/>
            <w:vAlign w:val="bottom"/>
            <w:gridSpan w:val="2"/>
          </w:tcPr>
          <w:p>
            <w:pPr>
              <w:jc w:val="center"/>
              <w:ind w:left="779"/>
              <w:spacing w:after="0"/>
              <w:rPr>
                <w:sz w:val="20"/>
                <w:szCs w:val="20"/>
                <w:color w:val="auto"/>
              </w:rPr>
            </w:pPr>
            <w:r>
              <w:rPr>
                <w:rFonts w:ascii="Times New Roman" w:cs="Times New Roman" w:eastAsia="Times New Roman" w:hAnsi="Times New Roman"/>
                <w:sz w:val="16"/>
                <w:szCs w:val="16"/>
                <w:color w:val="0000FF"/>
                <w:w w:val="99"/>
              </w:rPr>
              <w:t>2</w:t>
            </w: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3980" w:type="dxa"/>
            <w:vAlign w:val="bottom"/>
            <w:gridSpan w:val="16"/>
          </w:tcPr>
          <w:p>
            <w:pPr>
              <w:spacing w:after="0"/>
              <w:rPr>
                <w:sz w:val="20"/>
                <w:szCs w:val="20"/>
                <w:color w:val="auto"/>
              </w:rPr>
            </w:pPr>
            <w:r>
              <w:rPr>
                <w:rFonts w:ascii="Times New Roman" w:cs="Times New Roman" w:eastAsia="Times New Roman" w:hAnsi="Times New Roman"/>
                <w:sz w:val="16"/>
                <w:szCs w:val="16"/>
                <w:i w:val="1"/>
                <w:iCs w:val="1"/>
                <w:color w:val="0000FF"/>
              </w:rPr>
              <w:t>Glossary</w:t>
            </w:r>
          </w:p>
        </w:tc>
        <w:tc>
          <w:tcPr>
            <w:tcW w:w="4160" w:type="dxa"/>
            <w:vAlign w:val="bottom"/>
            <w:gridSpan w:val="10"/>
          </w:tcPr>
          <w:p>
            <w:pPr>
              <w:spacing w:after="0"/>
              <w:rPr>
                <w:sz w:val="17"/>
                <w:szCs w:val="17"/>
                <w:color w:val="auto"/>
              </w:rPr>
            </w:pPr>
          </w:p>
        </w:tc>
        <w:tc>
          <w:tcPr>
            <w:tcW w:w="940" w:type="dxa"/>
            <w:vAlign w:val="bottom"/>
            <w:gridSpan w:val="2"/>
          </w:tcPr>
          <w:p>
            <w:pPr>
              <w:jc w:val="center"/>
              <w:ind w:left="779"/>
              <w:spacing w:after="0"/>
              <w:rPr>
                <w:sz w:val="20"/>
                <w:szCs w:val="20"/>
                <w:color w:val="auto"/>
              </w:rPr>
            </w:pPr>
            <w:r>
              <w:rPr>
                <w:rFonts w:ascii="Times New Roman" w:cs="Times New Roman" w:eastAsia="Times New Roman" w:hAnsi="Times New Roman"/>
                <w:sz w:val="16"/>
                <w:szCs w:val="16"/>
                <w:color w:val="0000FF"/>
                <w:w w:val="99"/>
              </w:rPr>
              <w:t>2</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7"/>
        </w:trPr>
        <w:tc>
          <w:tcPr>
            <w:tcW w:w="12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PART I.</w:t>
            </w:r>
          </w:p>
        </w:tc>
        <w:tc>
          <w:tcPr>
            <w:tcW w:w="580" w:type="dxa"/>
            <w:vAlign w:val="bottom"/>
            <w:tcBorders>
              <w:top w:val="single" w:sz="8" w:color="0000FF"/>
            </w:tcBorders>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8"/>
        </w:trPr>
        <w:tc>
          <w:tcPr>
            <w:tcW w:w="1280" w:type="dxa"/>
            <w:vAlign w:val="bottom"/>
          </w:tcPr>
          <w:p>
            <w:pPr>
              <w:spacing w:after="0"/>
              <w:rPr>
                <w:sz w:val="20"/>
                <w:szCs w:val="20"/>
                <w:color w:val="auto"/>
              </w:rPr>
            </w:pPr>
            <w:r>
              <w:rPr>
                <w:rFonts w:ascii="Times New Roman" w:cs="Times New Roman" w:eastAsia="Times New Roman" w:hAnsi="Times New Roman"/>
                <w:sz w:val="16"/>
                <w:szCs w:val="16"/>
                <w:color w:val="auto"/>
              </w:rPr>
              <w:t>ITEM 1.</w:t>
            </w:r>
          </w:p>
        </w:tc>
        <w:tc>
          <w:tcPr>
            <w:tcW w:w="760" w:type="dxa"/>
            <w:vAlign w:val="bottom"/>
            <w:gridSpan w:val="2"/>
          </w:tcPr>
          <w:p>
            <w:pPr>
              <w:spacing w:after="0"/>
              <w:rPr>
                <w:sz w:val="20"/>
                <w:szCs w:val="20"/>
                <w:color w:val="auto"/>
              </w:rPr>
            </w:pPr>
            <w:r>
              <w:rPr>
                <w:rFonts w:ascii="Times New Roman" w:cs="Times New Roman" w:eastAsia="Times New Roman" w:hAnsi="Times New Roman"/>
                <w:sz w:val="16"/>
                <w:szCs w:val="16"/>
                <w:color w:val="0000FF"/>
                <w:w w:val="97"/>
              </w:rPr>
              <w:t>BUSINESS</w:t>
            </w:r>
          </w:p>
        </w:tc>
        <w:tc>
          <w:tcPr>
            <w:tcW w:w="7380" w:type="dxa"/>
            <w:vAlign w:val="bottom"/>
            <w:gridSpan w:val="24"/>
          </w:tcPr>
          <w:p>
            <w:pPr>
              <w:spacing w:after="0"/>
              <w:rPr>
                <w:sz w:val="24"/>
                <w:szCs w:val="24"/>
                <w:color w:val="auto"/>
              </w:rPr>
            </w:pPr>
          </w:p>
        </w:tc>
        <w:tc>
          <w:tcPr>
            <w:tcW w:w="940" w:type="dxa"/>
            <w:vAlign w:val="bottom"/>
            <w:gridSpan w:val="2"/>
          </w:tcPr>
          <w:p>
            <w:pPr>
              <w:jc w:val="center"/>
              <w:ind w:left="779"/>
              <w:spacing w:after="0"/>
              <w:rPr>
                <w:sz w:val="20"/>
                <w:szCs w:val="20"/>
                <w:color w:val="auto"/>
              </w:rPr>
            </w:pPr>
            <w:r>
              <w:rPr>
                <w:rFonts w:ascii="Times New Roman" w:cs="Times New Roman" w:eastAsia="Times New Roman" w:hAnsi="Times New Roman"/>
                <w:sz w:val="16"/>
                <w:szCs w:val="16"/>
                <w:color w:val="0000FF"/>
                <w:w w:val="99"/>
              </w:rPr>
              <w:t>4</w:t>
            </w: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spacing w:after="0"/>
              <w:rPr>
                <w:sz w:val="20"/>
                <w:szCs w:val="20"/>
                <w:color w:val="auto"/>
              </w:rPr>
            </w:pPr>
            <w:r>
              <w:rPr>
                <w:rFonts w:ascii="Times New Roman" w:cs="Times New Roman" w:eastAsia="Times New Roman" w:hAnsi="Times New Roman"/>
                <w:sz w:val="16"/>
                <w:szCs w:val="16"/>
                <w:color w:val="auto"/>
              </w:rPr>
              <w:t>ITEM 1A.</w:t>
            </w:r>
          </w:p>
        </w:tc>
        <w:tc>
          <w:tcPr>
            <w:tcW w:w="1120" w:type="dxa"/>
            <w:vAlign w:val="bottom"/>
            <w:gridSpan w:val="5"/>
          </w:tcPr>
          <w:p>
            <w:pPr>
              <w:spacing w:after="0"/>
              <w:rPr>
                <w:sz w:val="20"/>
                <w:szCs w:val="20"/>
                <w:color w:val="auto"/>
              </w:rPr>
            </w:pPr>
            <w:r>
              <w:rPr>
                <w:rFonts w:ascii="Times New Roman" w:cs="Times New Roman" w:eastAsia="Times New Roman" w:hAnsi="Times New Roman"/>
                <w:sz w:val="16"/>
                <w:szCs w:val="16"/>
                <w:color w:val="0000FF"/>
                <w:w w:val="97"/>
              </w:rPr>
              <w:t>RISK FACTORS</w:t>
            </w:r>
          </w:p>
        </w:tc>
        <w:tc>
          <w:tcPr>
            <w:tcW w:w="7020" w:type="dxa"/>
            <w:vAlign w:val="bottom"/>
            <w:gridSpan w:val="21"/>
          </w:tcPr>
          <w:p>
            <w:pPr>
              <w:spacing w:after="0"/>
              <w:rPr>
                <w:sz w:val="17"/>
                <w:szCs w:val="17"/>
                <w:color w:val="auto"/>
              </w:rPr>
            </w:pPr>
          </w:p>
        </w:tc>
        <w:tc>
          <w:tcPr>
            <w:tcW w:w="940" w:type="dxa"/>
            <w:vAlign w:val="bottom"/>
            <w:gridSpan w:val="2"/>
          </w:tcPr>
          <w:p>
            <w:pPr>
              <w:jc w:val="center"/>
              <w:ind w:left="779"/>
              <w:spacing w:after="0"/>
              <w:rPr>
                <w:sz w:val="20"/>
                <w:szCs w:val="20"/>
                <w:color w:val="auto"/>
              </w:rPr>
            </w:pPr>
            <w:r>
              <w:rPr>
                <w:rFonts w:ascii="Times New Roman" w:cs="Times New Roman" w:eastAsia="Times New Roman" w:hAnsi="Times New Roman"/>
                <w:sz w:val="16"/>
                <w:szCs w:val="16"/>
                <w:color w:val="0000FF"/>
                <w:w w:val="99"/>
              </w:rPr>
              <w:t>7</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92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spacing w:after="0"/>
              <w:rPr>
                <w:sz w:val="20"/>
                <w:szCs w:val="20"/>
                <w:color w:val="auto"/>
              </w:rPr>
            </w:pPr>
            <w:r>
              <w:rPr>
                <w:rFonts w:ascii="Times New Roman" w:cs="Times New Roman" w:eastAsia="Times New Roman" w:hAnsi="Times New Roman"/>
                <w:sz w:val="16"/>
                <w:szCs w:val="16"/>
                <w:color w:val="auto"/>
              </w:rPr>
              <w:t>ITEM 1B.</w:t>
            </w:r>
          </w:p>
        </w:tc>
        <w:tc>
          <w:tcPr>
            <w:tcW w:w="2540" w:type="dxa"/>
            <w:vAlign w:val="bottom"/>
            <w:gridSpan w:val="12"/>
          </w:tcPr>
          <w:p>
            <w:pPr>
              <w:spacing w:after="0"/>
              <w:rPr>
                <w:sz w:val="20"/>
                <w:szCs w:val="20"/>
                <w:color w:val="auto"/>
              </w:rPr>
            </w:pPr>
            <w:r>
              <w:rPr>
                <w:rFonts w:ascii="Times New Roman" w:cs="Times New Roman" w:eastAsia="Times New Roman" w:hAnsi="Times New Roman"/>
                <w:sz w:val="16"/>
                <w:szCs w:val="16"/>
                <w:color w:val="0000FF"/>
                <w:w w:val="99"/>
              </w:rPr>
              <w:t>UNRESOLVED STAFF COMMENTS</w:t>
            </w:r>
          </w:p>
        </w:tc>
        <w:tc>
          <w:tcPr>
            <w:tcW w:w="5600" w:type="dxa"/>
            <w:vAlign w:val="bottom"/>
            <w:gridSpan w:val="14"/>
          </w:tcPr>
          <w:p>
            <w:pPr>
              <w:spacing w:after="0"/>
              <w:rPr>
                <w:sz w:val="17"/>
                <w:szCs w:val="17"/>
                <w:color w:val="auto"/>
              </w:rPr>
            </w:pPr>
          </w:p>
        </w:tc>
        <w:tc>
          <w:tcPr>
            <w:tcW w:w="940" w:type="dxa"/>
            <w:vAlign w:val="bottom"/>
            <w:gridSpan w:val="2"/>
          </w:tcPr>
          <w:p>
            <w:pPr>
              <w:jc w:val="center"/>
              <w:ind w:left="699"/>
              <w:spacing w:after="0"/>
              <w:rPr>
                <w:sz w:val="20"/>
                <w:szCs w:val="20"/>
                <w:color w:val="auto"/>
              </w:rPr>
            </w:pPr>
            <w:r>
              <w:rPr>
                <w:rFonts w:ascii="Times New Roman" w:cs="Times New Roman" w:eastAsia="Times New Roman" w:hAnsi="Times New Roman"/>
                <w:sz w:val="16"/>
                <w:szCs w:val="16"/>
                <w:color w:val="0000FF"/>
                <w:w w:val="99"/>
              </w:rPr>
              <w:t>36</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92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spacing w:after="0"/>
              <w:rPr>
                <w:sz w:val="20"/>
                <w:szCs w:val="20"/>
                <w:color w:val="auto"/>
              </w:rPr>
            </w:pPr>
            <w:r>
              <w:rPr>
                <w:rFonts w:ascii="Times New Roman" w:cs="Times New Roman" w:eastAsia="Times New Roman" w:hAnsi="Times New Roman"/>
                <w:sz w:val="16"/>
                <w:szCs w:val="16"/>
                <w:color w:val="auto"/>
              </w:rPr>
              <w:t>ITEM 1C.</w:t>
            </w:r>
          </w:p>
        </w:tc>
        <w:tc>
          <w:tcPr>
            <w:tcW w:w="2540" w:type="dxa"/>
            <w:vAlign w:val="bottom"/>
            <w:gridSpan w:val="12"/>
          </w:tcPr>
          <w:p>
            <w:pPr>
              <w:spacing w:after="0"/>
              <w:rPr>
                <w:sz w:val="20"/>
                <w:szCs w:val="20"/>
                <w:color w:val="auto"/>
              </w:rPr>
            </w:pPr>
            <w:r>
              <w:rPr>
                <w:rFonts w:ascii="Times New Roman" w:cs="Times New Roman" w:eastAsia="Times New Roman" w:hAnsi="Times New Roman"/>
                <w:sz w:val="16"/>
                <w:szCs w:val="16"/>
                <w:color w:val="0000FF"/>
              </w:rPr>
              <w:t>CYBERSECURITY</w:t>
            </w:r>
          </w:p>
        </w:tc>
        <w:tc>
          <w:tcPr>
            <w:tcW w:w="5600" w:type="dxa"/>
            <w:vAlign w:val="bottom"/>
            <w:gridSpan w:val="14"/>
          </w:tcPr>
          <w:p>
            <w:pPr>
              <w:spacing w:after="0"/>
              <w:rPr>
                <w:sz w:val="17"/>
                <w:szCs w:val="17"/>
                <w:color w:val="auto"/>
              </w:rPr>
            </w:pPr>
          </w:p>
        </w:tc>
        <w:tc>
          <w:tcPr>
            <w:tcW w:w="940" w:type="dxa"/>
            <w:vAlign w:val="bottom"/>
            <w:gridSpan w:val="2"/>
          </w:tcPr>
          <w:p>
            <w:pPr>
              <w:jc w:val="center"/>
              <w:ind w:left="699"/>
              <w:spacing w:after="0"/>
              <w:rPr>
                <w:sz w:val="20"/>
                <w:szCs w:val="20"/>
                <w:color w:val="auto"/>
              </w:rPr>
            </w:pPr>
            <w:r>
              <w:rPr>
                <w:rFonts w:ascii="Times New Roman" w:cs="Times New Roman" w:eastAsia="Times New Roman" w:hAnsi="Times New Roman"/>
                <w:sz w:val="16"/>
                <w:szCs w:val="16"/>
                <w:color w:val="0000FF"/>
                <w:w w:val="99"/>
              </w:rPr>
              <w:t>36</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92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spacing w:after="0"/>
              <w:rPr>
                <w:sz w:val="20"/>
                <w:szCs w:val="20"/>
                <w:color w:val="auto"/>
              </w:rPr>
            </w:pPr>
            <w:r>
              <w:rPr>
                <w:rFonts w:ascii="Times New Roman" w:cs="Times New Roman" w:eastAsia="Times New Roman" w:hAnsi="Times New Roman"/>
                <w:sz w:val="16"/>
                <w:szCs w:val="16"/>
                <w:color w:val="auto"/>
              </w:rPr>
              <w:t>ITEM 2.</w:t>
            </w:r>
          </w:p>
        </w:tc>
        <w:tc>
          <w:tcPr>
            <w:tcW w:w="920" w:type="dxa"/>
            <w:vAlign w:val="bottom"/>
            <w:gridSpan w:val="3"/>
          </w:tcPr>
          <w:p>
            <w:pPr>
              <w:spacing w:after="0"/>
              <w:rPr>
                <w:sz w:val="20"/>
                <w:szCs w:val="20"/>
                <w:color w:val="auto"/>
              </w:rPr>
            </w:pPr>
            <w:r>
              <w:rPr>
                <w:rFonts w:ascii="Times New Roman" w:cs="Times New Roman" w:eastAsia="Times New Roman" w:hAnsi="Times New Roman"/>
                <w:sz w:val="16"/>
                <w:szCs w:val="16"/>
                <w:color w:val="0000FF"/>
                <w:w w:val="93"/>
              </w:rPr>
              <w:t>PROPERTIES</w:t>
            </w:r>
          </w:p>
        </w:tc>
        <w:tc>
          <w:tcPr>
            <w:tcW w:w="400" w:type="dxa"/>
            <w:vAlign w:val="bottom"/>
            <w:gridSpan w:val="3"/>
          </w:tcPr>
          <w:p>
            <w:pPr>
              <w:spacing w:after="0"/>
              <w:rPr>
                <w:sz w:val="17"/>
                <w:szCs w:val="17"/>
                <w:color w:val="auto"/>
              </w:rPr>
            </w:pPr>
          </w:p>
        </w:tc>
        <w:tc>
          <w:tcPr>
            <w:tcW w:w="6820" w:type="dxa"/>
            <w:vAlign w:val="bottom"/>
            <w:gridSpan w:val="20"/>
          </w:tcPr>
          <w:p>
            <w:pPr>
              <w:spacing w:after="0"/>
              <w:rPr>
                <w:sz w:val="17"/>
                <w:szCs w:val="17"/>
                <w:color w:val="auto"/>
              </w:rPr>
            </w:pPr>
          </w:p>
        </w:tc>
        <w:tc>
          <w:tcPr>
            <w:tcW w:w="940" w:type="dxa"/>
            <w:vAlign w:val="bottom"/>
            <w:gridSpan w:val="2"/>
          </w:tcPr>
          <w:p>
            <w:pPr>
              <w:jc w:val="center"/>
              <w:ind w:left="699"/>
              <w:spacing w:after="0"/>
              <w:rPr>
                <w:sz w:val="20"/>
                <w:szCs w:val="20"/>
                <w:color w:val="auto"/>
              </w:rPr>
            </w:pPr>
            <w:r>
              <w:rPr>
                <w:rFonts w:ascii="Times New Roman" w:cs="Times New Roman" w:eastAsia="Times New Roman" w:hAnsi="Times New Roman"/>
                <w:sz w:val="16"/>
                <w:szCs w:val="16"/>
                <w:color w:val="0000FF"/>
                <w:w w:val="99"/>
              </w:rPr>
              <w:t>37</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920" w:type="dxa"/>
            <w:vAlign w:val="bottom"/>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spacing w:after="0"/>
              <w:rPr>
                <w:sz w:val="20"/>
                <w:szCs w:val="20"/>
                <w:color w:val="auto"/>
              </w:rPr>
            </w:pPr>
            <w:r>
              <w:rPr>
                <w:rFonts w:ascii="Times New Roman" w:cs="Times New Roman" w:eastAsia="Times New Roman" w:hAnsi="Times New Roman"/>
                <w:sz w:val="16"/>
                <w:szCs w:val="16"/>
                <w:color w:val="auto"/>
              </w:rPr>
              <w:t>ITEM 3.</w:t>
            </w:r>
          </w:p>
        </w:tc>
        <w:tc>
          <w:tcPr>
            <w:tcW w:w="8140" w:type="dxa"/>
            <w:vAlign w:val="bottom"/>
            <w:gridSpan w:val="26"/>
          </w:tcPr>
          <w:p>
            <w:pPr>
              <w:spacing w:after="0"/>
              <w:rPr>
                <w:sz w:val="20"/>
                <w:szCs w:val="20"/>
                <w:color w:val="auto"/>
              </w:rPr>
            </w:pPr>
            <w:r>
              <w:rPr>
                <w:rFonts w:ascii="Times New Roman" w:cs="Times New Roman" w:eastAsia="Times New Roman" w:hAnsi="Times New Roman"/>
                <w:sz w:val="16"/>
                <w:szCs w:val="16"/>
                <w:color w:val="0000FF"/>
              </w:rPr>
              <w:t>LEGAL PROCEEDINGS</w:t>
            </w:r>
          </w:p>
        </w:tc>
        <w:tc>
          <w:tcPr>
            <w:tcW w:w="940" w:type="dxa"/>
            <w:vAlign w:val="bottom"/>
            <w:gridSpan w:val="2"/>
          </w:tcPr>
          <w:p>
            <w:pPr>
              <w:jc w:val="center"/>
              <w:ind w:left="699"/>
              <w:spacing w:after="0"/>
              <w:rPr>
                <w:sz w:val="20"/>
                <w:szCs w:val="20"/>
                <w:color w:val="auto"/>
              </w:rPr>
            </w:pPr>
            <w:r>
              <w:rPr>
                <w:rFonts w:ascii="Times New Roman" w:cs="Times New Roman" w:eastAsia="Times New Roman" w:hAnsi="Times New Roman"/>
                <w:sz w:val="16"/>
                <w:szCs w:val="16"/>
                <w:color w:val="0000FF"/>
                <w:w w:val="99"/>
              </w:rPr>
              <w:t>37</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92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spacing w:after="0"/>
              <w:rPr>
                <w:sz w:val="20"/>
                <w:szCs w:val="20"/>
                <w:color w:val="auto"/>
              </w:rPr>
            </w:pPr>
            <w:r>
              <w:rPr>
                <w:rFonts w:ascii="Times New Roman" w:cs="Times New Roman" w:eastAsia="Times New Roman" w:hAnsi="Times New Roman"/>
                <w:sz w:val="16"/>
                <w:szCs w:val="16"/>
                <w:color w:val="auto"/>
              </w:rPr>
              <w:t>ITEM 4.</w:t>
            </w:r>
          </w:p>
        </w:tc>
        <w:tc>
          <w:tcPr>
            <w:tcW w:w="8140" w:type="dxa"/>
            <w:vAlign w:val="bottom"/>
            <w:gridSpan w:val="26"/>
          </w:tcPr>
          <w:p>
            <w:pPr>
              <w:spacing w:after="0"/>
              <w:rPr>
                <w:sz w:val="20"/>
                <w:szCs w:val="20"/>
                <w:color w:val="auto"/>
              </w:rPr>
            </w:pPr>
            <w:r>
              <w:rPr>
                <w:rFonts w:ascii="Times New Roman" w:cs="Times New Roman" w:eastAsia="Times New Roman" w:hAnsi="Times New Roman"/>
                <w:sz w:val="16"/>
                <w:szCs w:val="16"/>
                <w:color w:val="0000FF"/>
              </w:rPr>
              <w:t>MINE SAFETY DISCLOSURES</w:t>
            </w:r>
          </w:p>
        </w:tc>
        <w:tc>
          <w:tcPr>
            <w:tcW w:w="940" w:type="dxa"/>
            <w:vAlign w:val="bottom"/>
            <w:gridSpan w:val="2"/>
          </w:tcPr>
          <w:p>
            <w:pPr>
              <w:jc w:val="center"/>
              <w:ind w:left="699"/>
              <w:spacing w:after="0"/>
              <w:rPr>
                <w:sz w:val="20"/>
                <w:szCs w:val="20"/>
                <w:color w:val="auto"/>
              </w:rPr>
            </w:pPr>
            <w:r>
              <w:rPr>
                <w:rFonts w:ascii="Times New Roman" w:cs="Times New Roman" w:eastAsia="Times New Roman" w:hAnsi="Times New Roman"/>
                <w:sz w:val="16"/>
                <w:szCs w:val="16"/>
                <w:color w:val="0000FF"/>
                <w:w w:val="99"/>
              </w:rPr>
              <w:t>37</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7"/>
        </w:trPr>
        <w:tc>
          <w:tcPr>
            <w:tcW w:w="12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PART II.</w:t>
            </w:r>
          </w:p>
        </w:tc>
        <w:tc>
          <w:tcPr>
            <w:tcW w:w="5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7"/>
        </w:trPr>
        <w:tc>
          <w:tcPr>
            <w:tcW w:w="1280" w:type="dxa"/>
            <w:vAlign w:val="bottom"/>
          </w:tcPr>
          <w:p>
            <w:pPr>
              <w:spacing w:after="0"/>
              <w:rPr>
                <w:sz w:val="20"/>
                <w:szCs w:val="20"/>
                <w:color w:val="auto"/>
              </w:rPr>
            </w:pPr>
            <w:r>
              <w:rPr>
                <w:rFonts w:ascii="Times New Roman" w:cs="Times New Roman" w:eastAsia="Times New Roman" w:hAnsi="Times New Roman"/>
                <w:sz w:val="16"/>
                <w:szCs w:val="16"/>
                <w:color w:val="auto"/>
              </w:rPr>
              <w:t>ITEM 5.</w:t>
            </w:r>
          </w:p>
        </w:tc>
        <w:tc>
          <w:tcPr>
            <w:tcW w:w="8140" w:type="dxa"/>
            <w:vAlign w:val="bottom"/>
            <w:gridSpan w:val="26"/>
          </w:tcPr>
          <w:p>
            <w:pPr>
              <w:spacing w:after="0"/>
              <w:rPr>
                <w:sz w:val="20"/>
                <w:szCs w:val="20"/>
                <w:color w:val="auto"/>
              </w:rPr>
            </w:pPr>
            <w:r>
              <w:rPr>
                <w:rFonts w:ascii="Times New Roman" w:cs="Times New Roman" w:eastAsia="Times New Roman" w:hAnsi="Times New Roman"/>
                <w:sz w:val="16"/>
                <w:szCs w:val="16"/>
                <w:color w:val="0000FF"/>
              </w:rPr>
              <w:t>MARKET FOR REGISTRANT’S COMMON EQUITY, RELATED STOCKHOLDER MATTERS AND ISSUER</w:t>
            </w:r>
          </w:p>
        </w:tc>
        <w:tc>
          <w:tcPr>
            <w:tcW w:w="940" w:type="dxa"/>
            <w:vAlign w:val="bottom"/>
            <w:gridSpan w:val="2"/>
            <w:vMerge w:val="restart"/>
          </w:tcPr>
          <w:p>
            <w:pPr>
              <w:jc w:val="center"/>
              <w:ind w:left="699"/>
              <w:spacing w:after="0"/>
              <w:rPr>
                <w:sz w:val="20"/>
                <w:szCs w:val="20"/>
                <w:color w:val="auto"/>
              </w:rPr>
            </w:pPr>
            <w:r>
              <w:rPr>
                <w:rFonts w:ascii="Times New Roman" w:cs="Times New Roman" w:eastAsia="Times New Roman" w:hAnsi="Times New Roman"/>
                <w:sz w:val="16"/>
                <w:szCs w:val="16"/>
                <w:color w:val="0000FF"/>
                <w:w w:val="99"/>
              </w:rPr>
              <w:t>38</w:t>
            </w: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280" w:type="dxa"/>
            <w:vAlign w:val="bottom"/>
          </w:tcPr>
          <w:p>
            <w:pPr>
              <w:spacing w:after="0"/>
              <w:rPr>
                <w:sz w:val="12"/>
                <w:szCs w:val="12"/>
                <w:color w:val="auto"/>
              </w:rPr>
            </w:pPr>
          </w:p>
        </w:tc>
        <w:tc>
          <w:tcPr>
            <w:tcW w:w="7440" w:type="dxa"/>
            <w:vAlign w:val="bottom"/>
            <w:tcBorders>
              <w:top w:val="single" w:sz="8" w:color="0000FF"/>
            </w:tcBorders>
            <w:gridSpan w:val="24"/>
          </w:tcPr>
          <w:p>
            <w:pPr>
              <w:spacing w:after="0" w:line="142" w:lineRule="exact"/>
              <w:rPr>
                <w:sz w:val="20"/>
                <w:szCs w:val="20"/>
                <w:color w:val="auto"/>
              </w:rPr>
            </w:pPr>
            <w:r>
              <w:rPr>
                <w:rFonts w:ascii="Times New Roman" w:cs="Times New Roman" w:eastAsia="Times New Roman" w:hAnsi="Times New Roman"/>
                <w:sz w:val="16"/>
                <w:szCs w:val="16"/>
                <w:color w:val="0000FF"/>
              </w:rPr>
              <w:t>PURCHASES OF EQUITY SECURITIES</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spacing w:after="0"/>
              <w:rPr>
                <w:sz w:val="20"/>
                <w:szCs w:val="20"/>
                <w:color w:val="auto"/>
              </w:rPr>
            </w:pPr>
            <w:r>
              <w:rPr>
                <w:rFonts w:ascii="Times New Roman" w:cs="Times New Roman" w:eastAsia="Times New Roman" w:hAnsi="Times New Roman"/>
                <w:sz w:val="16"/>
                <w:szCs w:val="16"/>
                <w:color w:val="auto"/>
              </w:rPr>
              <w:t>ITEM 6.</w:t>
            </w:r>
          </w:p>
        </w:tc>
        <w:tc>
          <w:tcPr>
            <w:tcW w:w="2780" w:type="dxa"/>
            <w:vAlign w:val="bottom"/>
            <w:gridSpan w:val="13"/>
          </w:tcPr>
          <w:p>
            <w:pPr>
              <w:spacing w:after="0"/>
              <w:rPr>
                <w:sz w:val="20"/>
                <w:szCs w:val="20"/>
                <w:color w:val="auto"/>
              </w:rPr>
            </w:pPr>
            <w:r>
              <w:rPr>
                <w:rFonts w:ascii="Times New Roman" w:cs="Times New Roman" w:eastAsia="Times New Roman" w:hAnsi="Times New Roman"/>
                <w:sz w:val="16"/>
                <w:szCs w:val="16"/>
                <w:color w:val="0000FF"/>
              </w:rPr>
              <w:t>[RESERVED]</w:t>
            </w:r>
          </w:p>
        </w:tc>
        <w:tc>
          <w:tcPr>
            <w:tcW w:w="5360" w:type="dxa"/>
            <w:vAlign w:val="bottom"/>
            <w:gridSpan w:val="13"/>
          </w:tcPr>
          <w:p>
            <w:pPr>
              <w:spacing w:after="0"/>
              <w:rPr>
                <w:sz w:val="17"/>
                <w:szCs w:val="17"/>
                <w:color w:val="auto"/>
              </w:rPr>
            </w:pPr>
          </w:p>
        </w:tc>
        <w:tc>
          <w:tcPr>
            <w:tcW w:w="940" w:type="dxa"/>
            <w:vAlign w:val="bottom"/>
            <w:gridSpan w:val="2"/>
          </w:tcPr>
          <w:p>
            <w:pPr>
              <w:jc w:val="center"/>
              <w:ind w:left="699"/>
              <w:spacing w:after="0"/>
              <w:rPr>
                <w:sz w:val="20"/>
                <w:szCs w:val="20"/>
                <w:color w:val="auto"/>
              </w:rPr>
            </w:pPr>
            <w:r>
              <w:rPr>
                <w:rFonts w:ascii="Times New Roman" w:cs="Times New Roman" w:eastAsia="Times New Roman" w:hAnsi="Times New Roman"/>
                <w:sz w:val="16"/>
                <w:szCs w:val="16"/>
                <w:color w:val="0000FF"/>
                <w:w w:val="99"/>
              </w:rPr>
              <w:t>38</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spacing w:after="0"/>
              <w:rPr>
                <w:sz w:val="20"/>
                <w:szCs w:val="20"/>
                <w:color w:val="auto"/>
              </w:rPr>
            </w:pPr>
            <w:r>
              <w:rPr>
                <w:rFonts w:ascii="Times New Roman" w:cs="Times New Roman" w:eastAsia="Times New Roman" w:hAnsi="Times New Roman"/>
                <w:sz w:val="16"/>
                <w:szCs w:val="16"/>
                <w:color w:val="auto"/>
              </w:rPr>
              <w:t>ITEM 7.</w:t>
            </w:r>
          </w:p>
        </w:tc>
        <w:tc>
          <w:tcPr>
            <w:tcW w:w="8020" w:type="dxa"/>
            <w:vAlign w:val="bottom"/>
            <w:gridSpan w:val="25"/>
          </w:tcPr>
          <w:p>
            <w:pPr>
              <w:spacing w:after="0"/>
              <w:rPr>
                <w:sz w:val="20"/>
                <w:szCs w:val="20"/>
                <w:color w:val="auto"/>
              </w:rPr>
            </w:pPr>
            <w:r>
              <w:rPr>
                <w:rFonts w:ascii="Times New Roman" w:cs="Times New Roman" w:eastAsia="Times New Roman" w:hAnsi="Times New Roman"/>
                <w:sz w:val="16"/>
                <w:szCs w:val="16"/>
                <w:color w:val="0000FF"/>
              </w:rPr>
              <w:t>MANAGEMENT’S DISCUSSION AND ANALYSIS OF FINANCIAL CONDITION AND RESULTS OF OPERATIONS</w:t>
            </w:r>
          </w:p>
        </w:tc>
        <w:tc>
          <w:tcPr>
            <w:tcW w:w="120" w:type="dxa"/>
            <w:vAlign w:val="bottom"/>
          </w:tcPr>
          <w:p>
            <w:pPr>
              <w:spacing w:after="0"/>
              <w:rPr>
                <w:sz w:val="17"/>
                <w:szCs w:val="17"/>
                <w:color w:val="auto"/>
              </w:rPr>
            </w:pPr>
          </w:p>
        </w:tc>
        <w:tc>
          <w:tcPr>
            <w:tcW w:w="940" w:type="dxa"/>
            <w:vAlign w:val="bottom"/>
            <w:gridSpan w:val="2"/>
          </w:tcPr>
          <w:p>
            <w:pPr>
              <w:jc w:val="center"/>
              <w:ind w:left="699"/>
              <w:spacing w:after="0"/>
              <w:rPr>
                <w:sz w:val="20"/>
                <w:szCs w:val="20"/>
                <w:color w:val="auto"/>
              </w:rPr>
            </w:pPr>
            <w:r>
              <w:rPr>
                <w:rFonts w:ascii="Times New Roman" w:cs="Times New Roman" w:eastAsia="Times New Roman" w:hAnsi="Times New Roman"/>
                <w:sz w:val="16"/>
                <w:szCs w:val="16"/>
                <w:color w:val="0000FF"/>
                <w:w w:val="99"/>
              </w:rPr>
              <w:t>39</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92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700" w:type="dxa"/>
            <w:vAlign w:val="bottom"/>
            <w:gridSpan w:val="4"/>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20" w:type="dxa"/>
            <w:vAlign w:val="bottom"/>
            <w:gridSpan w:val="3"/>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spacing w:after="0"/>
              <w:rPr>
                <w:sz w:val="20"/>
                <w:szCs w:val="20"/>
                <w:color w:val="auto"/>
              </w:rPr>
            </w:pPr>
            <w:r>
              <w:rPr>
                <w:rFonts w:ascii="Times New Roman" w:cs="Times New Roman" w:eastAsia="Times New Roman" w:hAnsi="Times New Roman"/>
                <w:sz w:val="16"/>
                <w:szCs w:val="16"/>
                <w:color w:val="auto"/>
              </w:rPr>
              <w:t>ITEM 7A.</w:t>
            </w:r>
          </w:p>
        </w:tc>
        <w:tc>
          <w:tcPr>
            <w:tcW w:w="8020" w:type="dxa"/>
            <w:vAlign w:val="bottom"/>
            <w:gridSpan w:val="25"/>
          </w:tcPr>
          <w:p>
            <w:pPr>
              <w:spacing w:after="0"/>
              <w:rPr>
                <w:sz w:val="20"/>
                <w:szCs w:val="20"/>
                <w:color w:val="auto"/>
              </w:rPr>
            </w:pPr>
            <w:r>
              <w:rPr>
                <w:rFonts w:ascii="Times New Roman" w:cs="Times New Roman" w:eastAsia="Times New Roman" w:hAnsi="Times New Roman"/>
                <w:sz w:val="16"/>
                <w:szCs w:val="16"/>
                <w:color w:val="0000FF"/>
              </w:rPr>
              <w:t>QUANTITATIVE AND QUALITATIVE DISCLOSURES ABOUT MARKET RISK</w:t>
            </w:r>
          </w:p>
        </w:tc>
        <w:tc>
          <w:tcPr>
            <w:tcW w:w="120" w:type="dxa"/>
            <w:vAlign w:val="bottom"/>
          </w:tcPr>
          <w:p>
            <w:pPr>
              <w:spacing w:after="0"/>
              <w:rPr>
                <w:sz w:val="17"/>
                <w:szCs w:val="17"/>
                <w:color w:val="auto"/>
              </w:rPr>
            </w:pPr>
          </w:p>
        </w:tc>
        <w:tc>
          <w:tcPr>
            <w:tcW w:w="940" w:type="dxa"/>
            <w:vAlign w:val="bottom"/>
            <w:gridSpan w:val="2"/>
          </w:tcPr>
          <w:p>
            <w:pPr>
              <w:jc w:val="center"/>
              <w:ind w:left="699"/>
              <w:spacing w:after="0"/>
              <w:rPr>
                <w:sz w:val="20"/>
                <w:szCs w:val="20"/>
                <w:color w:val="auto"/>
              </w:rPr>
            </w:pPr>
            <w:r>
              <w:rPr>
                <w:rFonts w:ascii="Times New Roman" w:cs="Times New Roman" w:eastAsia="Times New Roman" w:hAnsi="Times New Roman"/>
                <w:sz w:val="16"/>
                <w:szCs w:val="16"/>
                <w:color w:val="0000FF"/>
                <w:w w:val="99"/>
              </w:rPr>
              <w:t>53</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spacing w:after="0"/>
              <w:rPr>
                <w:sz w:val="20"/>
                <w:szCs w:val="20"/>
                <w:color w:val="auto"/>
              </w:rPr>
            </w:pPr>
            <w:r>
              <w:rPr>
                <w:rFonts w:ascii="Times New Roman" w:cs="Times New Roman" w:eastAsia="Times New Roman" w:hAnsi="Times New Roman"/>
                <w:sz w:val="16"/>
                <w:szCs w:val="16"/>
                <w:color w:val="auto"/>
              </w:rPr>
              <w:t>ITEM 8.</w:t>
            </w:r>
          </w:p>
        </w:tc>
        <w:tc>
          <w:tcPr>
            <w:tcW w:w="5520" w:type="dxa"/>
            <w:vAlign w:val="bottom"/>
            <w:gridSpan w:val="19"/>
          </w:tcPr>
          <w:p>
            <w:pPr>
              <w:spacing w:after="0"/>
              <w:rPr>
                <w:sz w:val="20"/>
                <w:szCs w:val="20"/>
                <w:color w:val="auto"/>
              </w:rPr>
            </w:pPr>
            <w:r>
              <w:rPr>
                <w:rFonts w:ascii="Times New Roman" w:cs="Times New Roman" w:eastAsia="Times New Roman" w:hAnsi="Times New Roman"/>
                <w:sz w:val="16"/>
                <w:szCs w:val="16"/>
                <w:color w:val="0000FF"/>
              </w:rPr>
              <w:t>FINANCIAL STATEMENTS AND SUPPLEMENTARY DATA</w:t>
            </w:r>
          </w:p>
        </w:tc>
        <w:tc>
          <w:tcPr>
            <w:tcW w:w="2620" w:type="dxa"/>
            <w:vAlign w:val="bottom"/>
            <w:gridSpan w:val="7"/>
          </w:tcPr>
          <w:p>
            <w:pPr>
              <w:spacing w:after="0"/>
              <w:rPr>
                <w:sz w:val="17"/>
                <w:szCs w:val="17"/>
                <w:color w:val="auto"/>
              </w:rPr>
            </w:pPr>
          </w:p>
        </w:tc>
        <w:tc>
          <w:tcPr>
            <w:tcW w:w="940" w:type="dxa"/>
            <w:vAlign w:val="bottom"/>
            <w:gridSpan w:val="2"/>
          </w:tcPr>
          <w:p>
            <w:pPr>
              <w:jc w:val="center"/>
              <w:ind w:left="699"/>
              <w:spacing w:after="0"/>
              <w:rPr>
                <w:sz w:val="20"/>
                <w:szCs w:val="20"/>
                <w:color w:val="auto"/>
              </w:rPr>
            </w:pPr>
            <w:r>
              <w:rPr>
                <w:rFonts w:ascii="Times New Roman" w:cs="Times New Roman" w:eastAsia="Times New Roman" w:hAnsi="Times New Roman"/>
                <w:sz w:val="16"/>
                <w:szCs w:val="16"/>
                <w:color w:val="0000FF"/>
                <w:w w:val="99"/>
              </w:rPr>
              <w:t>54</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92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700" w:type="dxa"/>
            <w:vAlign w:val="bottom"/>
            <w:gridSpan w:val="4"/>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20" w:type="dxa"/>
            <w:vAlign w:val="bottom"/>
            <w:gridSpan w:val="3"/>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8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spacing w:after="0"/>
              <w:rPr>
                <w:sz w:val="20"/>
                <w:szCs w:val="20"/>
                <w:color w:val="auto"/>
              </w:rPr>
            </w:pPr>
            <w:r>
              <w:rPr>
                <w:rFonts w:ascii="Times New Roman" w:cs="Times New Roman" w:eastAsia="Times New Roman" w:hAnsi="Times New Roman"/>
                <w:sz w:val="16"/>
                <w:szCs w:val="16"/>
                <w:color w:val="auto"/>
              </w:rPr>
              <w:t>ITEM 9.</w:t>
            </w:r>
          </w:p>
        </w:tc>
        <w:tc>
          <w:tcPr>
            <w:tcW w:w="8140" w:type="dxa"/>
            <w:vAlign w:val="bottom"/>
            <w:gridSpan w:val="26"/>
          </w:tcPr>
          <w:p>
            <w:pPr>
              <w:spacing w:after="0"/>
              <w:rPr>
                <w:sz w:val="20"/>
                <w:szCs w:val="20"/>
                <w:color w:val="auto"/>
              </w:rPr>
            </w:pPr>
            <w:r>
              <w:rPr>
                <w:rFonts w:ascii="Times New Roman" w:cs="Times New Roman" w:eastAsia="Times New Roman" w:hAnsi="Times New Roman"/>
                <w:sz w:val="16"/>
                <w:szCs w:val="16"/>
                <w:color w:val="0000FF"/>
              </w:rPr>
              <w:t>CHANGES IN AND DISAGREEMENTS WITH ACCOUNTANTS ON ACCOUNTING AND FINANCIAL</w:t>
            </w:r>
          </w:p>
        </w:tc>
        <w:tc>
          <w:tcPr>
            <w:tcW w:w="940" w:type="dxa"/>
            <w:vAlign w:val="bottom"/>
            <w:gridSpan w:val="2"/>
            <w:vMerge w:val="restart"/>
          </w:tcPr>
          <w:p>
            <w:pPr>
              <w:jc w:val="center"/>
              <w:ind w:left="699"/>
              <w:spacing w:after="0"/>
              <w:rPr>
                <w:sz w:val="20"/>
                <w:szCs w:val="20"/>
                <w:color w:val="auto"/>
              </w:rPr>
            </w:pPr>
            <w:r>
              <w:rPr>
                <w:rFonts w:ascii="Times New Roman" w:cs="Times New Roman" w:eastAsia="Times New Roman" w:hAnsi="Times New Roman"/>
                <w:sz w:val="16"/>
                <w:szCs w:val="16"/>
                <w:color w:val="0000FF"/>
                <w:w w:val="99"/>
              </w:rPr>
              <w:t>96</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1280" w:type="dxa"/>
            <w:vAlign w:val="bottom"/>
          </w:tcPr>
          <w:p>
            <w:pPr>
              <w:spacing w:after="0"/>
              <w:rPr>
                <w:sz w:val="12"/>
                <w:szCs w:val="12"/>
                <w:color w:val="auto"/>
              </w:rPr>
            </w:pPr>
          </w:p>
        </w:tc>
        <w:tc>
          <w:tcPr>
            <w:tcW w:w="1000" w:type="dxa"/>
            <w:vAlign w:val="bottom"/>
            <w:tcBorders>
              <w:top w:val="single" w:sz="8" w:color="0000FF"/>
            </w:tcBorders>
            <w:gridSpan w:val="4"/>
          </w:tcPr>
          <w:p>
            <w:pPr>
              <w:spacing w:after="0" w:line="142" w:lineRule="exact"/>
              <w:rPr>
                <w:sz w:val="20"/>
                <w:szCs w:val="20"/>
                <w:color w:val="auto"/>
              </w:rPr>
            </w:pPr>
            <w:r>
              <w:rPr>
                <w:rFonts w:ascii="Times New Roman" w:cs="Times New Roman" w:eastAsia="Times New Roman" w:hAnsi="Times New Roman"/>
                <w:sz w:val="16"/>
                <w:szCs w:val="16"/>
                <w:color w:val="0000FF"/>
                <w:w w:val="99"/>
              </w:rPr>
              <w:t>DISCLOSURE</w:t>
            </w:r>
          </w:p>
        </w:tc>
        <w:tc>
          <w:tcPr>
            <w:tcW w:w="6140" w:type="dxa"/>
            <w:vAlign w:val="bottom"/>
            <w:tcBorders>
              <w:top w:val="single" w:sz="8" w:color="0000FF"/>
            </w:tcBorders>
            <w:gridSpan w:val="18"/>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gridSpan w:val="3"/>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92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8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spacing w:after="0"/>
              <w:rPr>
                <w:sz w:val="20"/>
                <w:szCs w:val="20"/>
                <w:color w:val="auto"/>
              </w:rPr>
            </w:pPr>
            <w:r>
              <w:rPr>
                <w:rFonts w:ascii="Times New Roman" w:cs="Times New Roman" w:eastAsia="Times New Roman" w:hAnsi="Times New Roman"/>
                <w:sz w:val="16"/>
                <w:szCs w:val="16"/>
                <w:color w:val="auto"/>
              </w:rPr>
              <w:t>ITEM 9A.</w:t>
            </w:r>
          </w:p>
        </w:tc>
        <w:tc>
          <w:tcPr>
            <w:tcW w:w="2340" w:type="dxa"/>
            <w:vAlign w:val="bottom"/>
            <w:gridSpan w:val="11"/>
          </w:tcPr>
          <w:p>
            <w:pPr>
              <w:spacing w:after="0"/>
              <w:rPr>
                <w:sz w:val="20"/>
                <w:szCs w:val="20"/>
                <w:color w:val="auto"/>
              </w:rPr>
            </w:pPr>
            <w:r>
              <w:rPr>
                <w:rFonts w:ascii="Times New Roman" w:cs="Times New Roman" w:eastAsia="Times New Roman" w:hAnsi="Times New Roman"/>
                <w:sz w:val="16"/>
                <w:szCs w:val="16"/>
                <w:color w:val="0000FF"/>
              </w:rPr>
              <w:t>CONTROLS AND PROCEDURES</w:t>
            </w:r>
          </w:p>
        </w:tc>
        <w:tc>
          <w:tcPr>
            <w:tcW w:w="5800" w:type="dxa"/>
            <w:vAlign w:val="bottom"/>
            <w:gridSpan w:val="15"/>
          </w:tcPr>
          <w:p>
            <w:pPr>
              <w:spacing w:after="0"/>
              <w:rPr>
                <w:sz w:val="17"/>
                <w:szCs w:val="17"/>
                <w:color w:val="auto"/>
              </w:rPr>
            </w:pPr>
          </w:p>
        </w:tc>
        <w:tc>
          <w:tcPr>
            <w:tcW w:w="940" w:type="dxa"/>
            <w:vAlign w:val="bottom"/>
            <w:gridSpan w:val="2"/>
          </w:tcPr>
          <w:p>
            <w:pPr>
              <w:jc w:val="center"/>
              <w:ind w:left="699"/>
              <w:spacing w:after="0"/>
              <w:rPr>
                <w:sz w:val="20"/>
                <w:szCs w:val="20"/>
                <w:color w:val="auto"/>
              </w:rPr>
            </w:pPr>
            <w:r>
              <w:rPr>
                <w:rFonts w:ascii="Times New Roman" w:cs="Times New Roman" w:eastAsia="Times New Roman" w:hAnsi="Times New Roman"/>
                <w:sz w:val="16"/>
                <w:szCs w:val="16"/>
                <w:color w:val="0000FF"/>
                <w:w w:val="99"/>
              </w:rPr>
              <w:t>96</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920" w:type="dxa"/>
            <w:vAlign w:val="bottom"/>
            <w:gridSpan w:val="3"/>
            <w:shd w:val="clear" w:color="auto" w:fill="0000FF"/>
          </w:tcPr>
          <w:p>
            <w:pPr>
              <w:spacing w:after="0" w:line="20" w:lineRule="exact"/>
              <w:rPr>
                <w:sz w:val="1"/>
                <w:szCs w:val="1"/>
                <w:color w:val="auto"/>
              </w:rPr>
            </w:pPr>
          </w:p>
        </w:tc>
        <w:tc>
          <w:tcPr>
            <w:tcW w:w="780" w:type="dxa"/>
            <w:vAlign w:val="bottom"/>
            <w:tcBorders>
              <w:left w:val="single" w:sz="8" w:color="0000FF"/>
            </w:tcBorders>
            <w:gridSpan w:val="5"/>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8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spacing w:after="0"/>
              <w:rPr>
                <w:sz w:val="20"/>
                <w:szCs w:val="20"/>
                <w:color w:val="auto"/>
              </w:rPr>
            </w:pPr>
            <w:r>
              <w:rPr>
                <w:rFonts w:ascii="Times New Roman" w:cs="Times New Roman" w:eastAsia="Times New Roman" w:hAnsi="Times New Roman"/>
                <w:sz w:val="16"/>
                <w:szCs w:val="16"/>
                <w:color w:val="auto"/>
              </w:rPr>
              <w:t>ITEM 9B.</w:t>
            </w:r>
          </w:p>
        </w:tc>
        <w:tc>
          <w:tcPr>
            <w:tcW w:w="1700" w:type="dxa"/>
            <w:vAlign w:val="bottom"/>
            <w:gridSpan w:val="8"/>
          </w:tcPr>
          <w:p>
            <w:pPr>
              <w:spacing w:after="0"/>
              <w:rPr>
                <w:sz w:val="20"/>
                <w:szCs w:val="20"/>
                <w:color w:val="auto"/>
              </w:rPr>
            </w:pPr>
            <w:r>
              <w:rPr>
                <w:rFonts w:ascii="Times New Roman" w:cs="Times New Roman" w:eastAsia="Times New Roman" w:hAnsi="Times New Roman"/>
                <w:sz w:val="16"/>
                <w:szCs w:val="16"/>
                <w:color w:val="0000FF"/>
                <w:w w:val="99"/>
              </w:rPr>
              <w:t>OTHER INFORMATION</w:t>
            </w:r>
          </w:p>
        </w:tc>
        <w:tc>
          <w:tcPr>
            <w:tcW w:w="640" w:type="dxa"/>
            <w:vAlign w:val="bottom"/>
            <w:gridSpan w:val="3"/>
          </w:tcPr>
          <w:p>
            <w:pPr>
              <w:spacing w:after="0"/>
              <w:rPr>
                <w:sz w:val="17"/>
                <w:szCs w:val="17"/>
                <w:color w:val="auto"/>
              </w:rPr>
            </w:pPr>
          </w:p>
        </w:tc>
        <w:tc>
          <w:tcPr>
            <w:tcW w:w="5800" w:type="dxa"/>
            <w:vAlign w:val="bottom"/>
            <w:gridSpan w:val="15"/>
          </w:tcPr>
          <w:p>
            <w:pPr>
              <w:spacing w:after="0"/>
              <w:rPr>
                <w:sz w:val="17"/>
                <w:szCs w:val="17"/>
                <w:color w:val="auto"/>
              </w:rPr>
            </w:pPr>
          </w:p>
        </w:tc>
        <w:tc>
          <w:tcPr>
            <w:tcW w:w="940" w:type="dxa"/>
            <w:vAlign w:val="bottom"/>
            <w:gridSpan w:val="2"/>
          </w:tcPr>
          <w:p>
            <w:pPr>
              <w:jc w:val="center"/>
              <w:ind w:left="699"/>
              <w:spacing w:after="0"/>
              <w:rPr>
                <w:sz w:val="20"/>
                <w:szCs w:val="20"/>
                <w:color w:val="auto"/>
              </w:rPr>
            </w:pPr>
            <w:r>
              <w:rPr>
                <w:rFonts w:ascii="Times New Roman" w:cs="Times New Roman" w:eastAsia="Times New Roman" w:hAnsi="Times New Roman"/>
                <w:sz w:val="16"/>
                <w:szCs w:val="16"/>
                <w:color w:val="0000FF"/>
                <w:w w:val="99"/>
              </w:rPr>
              <w:t>97</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920" w:type="dxa"/>
            <w:vAlign w:val="bottom"/>
            <w:gridSpan w:val="3"/>
            <w:shd w:val="clear" w:color="auto" w:fill="0000FF"/>
          </w:tcPr>
          <w:p>
            <w:pPr>
              <w:spacing w:after="0" w:line="20" w:lineRule="exact"/>
              <w:rPr>
                <w:sz w:val="1"/>
                <w:szCs w:val="1"/>
                <w:color w:val="auto"/>
              </w:rPr>
            </w:pPr>
          </w:p>
        </w:tc>
        <w:tc>
          <w:tcPr>
            <w:tcW w:w="780" w:type="dxa"/>
            <w:vAlign w:val="bottom"/>
            <w:tcBorders>
              <w:left w:val="single" w:sz="8" w:color="0000FF"/>
            </w:tcBorders>
            <w:gridSpan w:val="5"/>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gridSpan w:val="4"/>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8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spacing w:after="0"/>
              <w:rPr>
                <w:sz w:val="20"/>
                <w:szCs w:val="20"/>
                <w:color w:val="auto"/>
              </w:rPr>
            </w:pPr>
            <w:r>
              <w:rPr>
                <w:rFonts w:ascii="Times New Roman" w:cs="Times New Roman" w:eastAsia="Times New Roman" w:hAnsi="Times New Roman"/>
                <w:sz w:val="16"/>
                <w:szCs w:val="16"/>
                <w:color w:val="auto"/>
              </w:rPr>
              <w:t>ITEM 9C.</w:t>
            </w:r>
          </w:p>
        </w:tc>
        <w:tc>
          <w:tcPr>
            <w:tcW w:w="8140" w:type="dxa"/>
            <w:vAlign w:val="bottom"/>
            <w:gridSpan w:val="26"/>
          </w:tcPr>
          <w:p>
            <w:pPr>
              <w:spacing w:after="0"/>
              <w:rPr>
                <w:sz w:val="20"/>
                <w:szCs w:val="20"/>
                <w:color w:val="auto"/>
              </w:rPr>
            </w:pPr>
            <w:r>
              <w:rPr>
                <w:rFonts w:ascii="Times New Roman" w:cs="Times New Roman" w:eastAsia="Times New Roman" w:hAnsi="Times New Roman"/>
                <w:sz w:val="16"/>
                <w:szCs w:val="16"/>
                <w:color w:val="0000FF"/>
              </w:rPr>
              <w:t>DISCLOSURE REGARDING FOREIGN JURISDICTIONS THAT PREVENT INSPECTIONS</w:t>
            </w:r>
          </w:p>
        </w:tc>
        <w:tc>
          <w:tcPr>
            <w:tcW w:w="940" w:type="dxa"/>
            <w:vAlign w:val="bottom"/>
            <w:gridSpan w:val="2"/>
          </w:tcPr>
          <w:p>
            <w:pPr>
              <w:jc w:val="center"/>
              <w:ind w:left="699"/>
              <w:spacing w:after="0"/>
              <w:rPr>
                <w:sz w:val="20"/>
                <w:szCs w:val="20"/>
                <w:color w:val="auto"/>
              </w:rPr>
            </w:pPr>
            <w:r>
              <w:rPr>
                <w:rFonts w:ascii="Times New Roman" w:cs="Times New Roman" w:eastAsia="Times New Roman" w:hAnsi="Times New Roman"/>
                <w:sz w:val="16"/>
                <w:szCs w:val="16"/>
                <w:color w:val="0000FF"/>
                <w:w w:val="99"/>
              </w:rPr>
              <w:t>97</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6"/>
        </w:trPr>
        <w:tc>
          <w:tcPr>
            <w:tcW w:w="12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PART III.</w:t>
            </w:r>
          </w:p>
        </w:tc>
        <w:tc>
          <w:tcPr>
            <w:tcW w:w="5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7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104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740" w:type="dxa"/>
            <w:vAlign w:val="bottom"/>
            <w:tcBorders>
              <w:top w:val="single" w:sz="8" w:color="0000FF"/>
            </w:tcBorders>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8"/>
        </w:trPr>
        <w:tc>
          <w:tcPr>
            <w:tcW w:w="1280" w:type="dxa"/>
            <w:vAlign w:val="bottom"/>
          </w:tcPr>
          <w:p>
            <w:pPr>
              <w:spacing w:after="0"/>
              <w:rPr>
                <w:sz w:val="20"/>
                <w:szCs w:val="20"/>
                <w:color w:val="auto"/>
              </w:rPr>
            </w:pPr>
            <w:r>
              <w:rPr>
                <w:rFonts w:ascii="Times New Roman" w:cs="Times New Roman" w:eastAsia="Times New Roman" w:hAnsi="Times New Roman"/>
                <w:sz w:val="16"/>
                <w:szCs w:val="16"/>
                <w:color w:val="auto"/>
              </w:rPr>
              <w:t>ITEM 10.</w:t>
            </w:r>
          </w:p>
        </w:tc>
        <w:tc>
          <w:tcPr>
            <w:tcW w:w="5220" w:type="dxa"/>
            <w:vAlign w:val="bottom"/>
            <w:gridSpan w:val="18"/>
          </w:tcPr>
          <w:p>
            <w:pPr>
              <w:spacing w:after="0"/>
              <w:rPr>
                <w:sz w:val="20"/>
                <w:szCs w:val="20"/>
                <w:color w:val="auto"/>
              </w:rPr>
            </w:pPr>
            <w:r>
              <w:rPr>
                <w:rFonts w:ascii="Times New Roman" w:cs="Times New Roman" w:eastAsia="Times New Roman" w:hAnsi="Times New Roman"/>
                <w:sz w:val="16"/>
                <w:szCs w:val="16"/>
                <w:color w:val="0000FF"/>
              </w:rPr>
              <w:t>DIRECTORS, EXECUTIVE OFFICERS AND CORPORATE GOVERNANCE</w:t>
            </w:r>
          </w:p>
        </w:tc>
        <w:tc>
          <w:tcPr>
            <w:tcW w:w="2920" w:type="dxa"/>
            <w:vAlign w:val="bottom"/>
            <w:gridSpan w:val="8"/>
          </w:tcPr>
          <w:p>
            <w:pPr>
              <w:spacing w:after="0"/>
              <w:rPr>
                <w:sz w:val="24"/>
                <w:szCs w:val="24"/>
                <w:color w:val="auto"/>
              </w:rPr>
            </w:pPr>
          </w:p>
        </w:tc>
        <w:tc>
          <w:tcPr>
            <w:tcW w:w="940" w:type="dxa"/>
            <w:vAlign w:val="bottom"/>
            <w:gridSpan w:val="2"/>
          </w:tcPr>
          <w:p>
            <w:pPr>
              <w:jc w:val="center"/>
              <w:ind w:left="699"/>
              <w:spacing w:after="0"/>
              <w:rPr>
                <w:sz w:val="20"/>
                <w:szCs w:val="20"/>
                <w:color w:val="auto"/>
              </w:rPr>
            </w:pPr>
            <w:r>
              <w:rPr>
                <w:rFonts w:ascii="Times New Roman" w:cs="Times New Roman" w:eastAsia="Times New Roman" w:hAnsi="Times New Roman"/>
                <w:sz w:val="16"/>
                <w:szCs w:val="16"/>
                <w:color w:val="0000FF"/>
                <w:w w:val="99"/>
              </w:rPr>
              <w:t>98</w:t>
            </w: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920" w:type="dxa"/>
            <w:vAlign w:val="bottom"/>
            <w:gridSpan w:val="3"/>
            <w:shd w:val="clear" w:color="auto" w:fill="0000FF"/>
          </w:tcPr>
          <w:p>
            <w:pPr>
              <w:spacing w:after="0" w:line="20" w:lineRule="exact"/>
              <w:rPr>
                <w:sz w:val="1"/>
                <w:szCs w:val="1"/>
                <w:color w:val="auto"/>
              </w:rPr>
            </w:pPr>
          </w:p>
        </w:tc>
        <w:tc>
          <w:tcPr>
            <w:tcW w:w="780" w:type="dxa"/>
            <w:vAlign w:val="bottom"/>
            <w:tcBorders>
              <w:left w:val="single" w:sz="8" w:color="0000FF"/>
            </w:tcBorders>
            <w:gridSpan w:val="5"/>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360" w:type="dxa"/>
            <w:vAlign w:val="bottom"/>
            <w:gridSpan w:val="4"/>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240" w:type="dxa"/>
            <w:vAlign w:val="bottom"/>
            <w:tcBorders>
              <w:left w:val="single" w:sz="8" w:color="0000FF"/>
            </w:tcBorders>
            <w:gridSpan w:val="2"/>
            <w:shd w:val="clear" w:color="auto" w:fill="0000FF"/>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8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spacing w:after="0"/>
              <w:rPr>
                <w:sz w:val="20"/>
                <w:szCs w:val="20"/>
                <w:color w:val="auto"/>
              </w:rPr>
            </w:pPr>
            <w:r>
              <w:rPr>
                <w:rFonts w:ascii="Times New Roman" w:cs="Times New Roman" w:eastAsia="Times New Roman" w:hAnsi="Times New Roman"/>
                <w:sz w:val="16"/>
                <w:szCs w:val="16"/>
                <w:color w:val="auto"/>
              </w:rPr>
              <w:t>ITEM 11.</w:t>
            </w:r>
          </w:p>
        </w:tc>
        <w:tc>
          <w:tcPr>
            <w:tcW w:w="2200" w:type="dxa"/>
            <w:vAlign w:val="bottom"/>
            <w:gridSpan w:val="10"/>
          </w:tcPr>
          <w:p>
            <w:pPr>
              <w:spacing w:after="0"/>
              <w:rPr>
                <w:sz w:val="20"/>
                <w:szCs w:val="20"/>
                <w:color w:val="auto"/>
              </w:rPr>
            </w:pPr>
            <w:r>
              <w:rPr>
                <w:rFonts w:ascii="Times New Roman" w:cs="Times New Roman" w:eastAsia="Times New Roman" w:hAnsi="Times New Roman"/>
                <w:sz w:val="16"/>
                <w:szCs w:val="16"/>
                <w:color w:val="0000FF"/>
                <w:w w:val="99"/>
              </w:rPr>
              <w:t>EXECUTIVE COMPENSATION</w:t>
            </w:r>
          </w:p>
        </w:tc>
        <w:tc>
          <w:tcPr>
            <w:tcW w:w="3020" w:type="dxa"/>
            <w:vAlign w:val="bottom"/>
            <w:gridSpan w:val="8"/>
          </w:tcPr>
          <w:p>
            <w:pPr>
              <w:spacing w:after="0"/>
              <w:rPr>
                <w:sz w:val="17"/>
                <w:szCs w:val="17"/>
                <w:color w:val="auto"/>
              </w:rPr>
            </w:pPr>
          </w:p>
        </w:tc>
        <w:tc>
          <w:tcPr>
            <w:tcW w:w="2920" w:type="dxa"/>
            <w:vAlign w:val="bottom"/>
            <w:gridSpan w:val="8"/>
          </w:tcPr>
          <w:p>
            <w:pPr>
              <w:spacing w:after="0"/>
              <w:rPr>
                <w:sz w:val="17"/>
                <w:szCs w:val="17"/>
                <w:color w:val="auto"/>
              </w:rPr>
            </w:pPr>
          </w:p>
        </w:tc>
        <w:tc>
          <w:tcPr>
            <w:tcW w:w="940" w:type="dxa"/>
            <w:vAlign w:val="bottom"/>
            <w:gridSpan w:val="2"/>
          </w:tcPr>
          <w:p>
            <w:pPr>
              <w:jc w:val="center"/>
              <w:ind w:left="699"/>
              <w:spacing w:after="0"/>
              <w:rPr>
                <w:sz w:val="20"/>
                <w:szCs w:val="20"/>
                <w:color w:val="auto"/>
              </w:rPr>
            </w:pPr>
            <w:r>
              <w:rPr>
                <w:rFonts w:ascii="Times New Roman" w:cs="Times New Roman" w:eastAsia="Times New Roman" w:hAnsi="Times New Roman"/>
                <w:sz w:val="16"/>
                <w:szCs w:val="16"/>
                <w:color w:val="0000FF"/>
                <w:w w:val="99"/>
              </w:rPr>
              <w:t>98</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920" w:type="dxa"/>
            <w:vAlign w:val="bottom"/>
            <w:gridSpan w:val="3"/>
            <w:shd w:val="clear" w:color="auto" w:fill="0000FF"/>
          </w:tcPr>
          <w:p>
            <w:pPr>
              <w:spacing w:after="0" w:line="20" w:lineRule="exact"/>
              <w:rPr>
                <w:sz w:val="1"/>
                <w:szCs w:val="1"/>
                <w:color w:val="auto"/>
              </w:rPr>
            </w:pPr>
          </w:p>
        </w:tc>
        <w:tc>
          <w:tcPr>
            <w:tcW w:w="780" w:type="dxa"/>
            <w:vAlign w:val="bottom"/>
            <w:tcBorders>
              <w:left w:val="single" w:sz="8" w:color="0000FF"/>
            </w:tcBorders>
            <w:gridSpan w:val="5"/>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360" w:type="dxa"/>
            <w:vAlign w:val="bottom"/>
            <w:gridSpan w:val="4"/>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940" w:type="dxa"/>
            <w:vAlign w:val="bottom"/>
            <w:gridSpan w:val="5"/>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8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spacing w:after="0"/>
              <w:rPr>
                <w:sz w:val="20"/>
                <w:szCs w:val="20"/>
                <w:color w:val="auto"/>
              </w:rPr>
            </w:pPr>
            <w:r>
              <w:rPr>
                <w:rFonts w:ascii="Times New Roman" w:cs="Times New Roman" w:eastAsia="Times New Roman" w:hAnsi="Times New Roman"/>
                <w:sz w:val="16"/>
                <w:szCs w:val="16"/>
                <w:color w:val="auto"/>
              </w:rPr>
              <w:t>ITEM 12.</w:t>
            </w:r>
          </w:p>
        </w:tc>
        <w:tc>
          <w:tcPr>
            <w:tcW w:w="8140" w:type="dxa"/>
            <w:vAlign w:val="bottom"/>
            <w:gridSpan w:val="26"/>
          </w:tcPr>
          <w:p>
            <w:pPr>
              <w:spacing w:after="0"/>
              <w:rPr>
                <w:sz w:val="20"/>
                <w:szCs w:val="20"/>
                <w:color w:val="auto"/>
              </w:rPr>
            </w:pPr>
            <w:r>
              <w:rPr>
                <w:rFonts w:ascii="Times New Roman" w:cs="Times New Roman" w:eastAsia="Times New Roman" w:hAnsi="Times New Roman"/>
                <w:sz w:val="16"/>
                <w:szCs w:val="16"/>
                <w:color w:val="0000FF"/>
              </w:rPr>
              <w:t>SECURITY OWNERSHIP OF CERTAIN BENEFICIAL OWNERS AND MANAGEMENT AND RELATED</w:t>
            </w:r>
          </w:p>
        </w:tc>
        <w:tc>
          <w:tcPr>
            <w:tcW w:w="940" w:type="dxa"/>
            <w:vAlign w:val="bottom"/>
            <w:gridSpan w:val="2"/>
            <w:vMerge w:val="restart"/>
          </w:tcPr>
          <w:p>
            <w:pPr>
              <w:jc w:val="center"/>
              <w:ind w:left="699"/>
              <w:spacing w:after="0"/>
              <w:rPr>
                <w:sz w:val="20"/>
                <w:szCs w:val="20"/>
                <w:color w:val="auto"/>
              </w:rPr>
            </w:pPr>
            <w:r>
              <w:rPr>
                <w:rFonts w:ascii="Times New Roman" w:cs="Times New Roman" w:eastAsia="Times New Roman" w:hAnsi="Times New Roman"/>
                <w:sz w:val="16"/>
                <w:szCs w:val="16"/>
                <w:color w:val="0000FF"/>
                <w:w w:val="99"/>
              </w:rPr>
              <w:t>98</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1280" w:type="dxa"/>
            <w:vAlign w:val="bottom"/>
          </w:tcPr>
          <w:p>
            <w:pPr>
              <w:spacing w:after="0"/>
              <w:rPr>
                <w:sz w:val="12"/>
                <w:szCs w:val="12"/>
                <w:color w:val="auto"/>
              </w:rPr>
            </w:pPr>
          </w:p>
        </w:tc>
        <w:tc>
          <w:tcPr>
            <w:tcW w:w="1960" w:type="dxa"/>
            <w:vAlign w:val="bottom"/>
            <w:tcBorders>
              <w:top w:val="single" w:sz="8" w:color="0000FF"/>
            </w:tcBorders>
            <w:gridSpan w:val="9"/>
          </w:tcPr>
          <w:p>
            <w:pPr>
              <w:spacing w:after="0" w:line="142" w:lineRule="exact"/>
              <w:rPr>
                <w:sz w:val="20"/>
                <w:szCs w:val="20"/>
                <w:color w:val="auto"/>
              </w:rPr>
            </w:pPr>
            <w:r>
              <w:rPr>
                <w:rFonts w:ascii="Times New Roman" w:cs="Times New Roman" w:eastAsia="Times New Roman" w:hAnsi="Times New Roman"/>
                <w:sz w:val="16"/>
                <w:szCs w:val="16"/>
                <w:color w:val="0000FF"/>
                <w:w w:val="98"/>
              </w:rPr>
              <w:t>STOCKHOLDER MATTERS</w:t>
            </w:r>
          </w:p>
        </w:tc>
        <w:tc>
          <w:tcPr>
            <w:tcW w:w="5240" w:type="dxa"/>
            <w:vAlign w:val="bottom"/>
            <w:tcBorders>
              <w:top w:val="single" w:sz="8" w:color="0000FF"/>
            </w:tcBorders>
            <w:gridSpan w:val="14"/>
          </w:tcPr>
          <w:p>
            <w:pPr>
              <w:spacing w:after="0"/>
              <w:rPr>
                <w:sz w:val="12"/>
                <w:szCs w:val="12"/>
                <w:color w:val="auto"/>
              </w:rPr>
            </w:pPr>
          </w:p>
        </w:tc>
        <w:tc>
          <w:tcPr>
            <w:tcW w:w="940" w:type="dxa"/>
            <w:vAlign w:val="bottom"/>
            <w:gridSpan w:val="3"/>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920" w:type="dxa"/>
            <w:vAlign w:val="bottom"/>
            <w:gridSpan w:val="3"/>
            <w:shd w:val="clear" w:color="auto" w:fill="0000FF"/>
          </w:tcPr>
          <w:p>
            <w:pPr>
              <w:spacing w:after="0" w:line="20" w:lineRule="exact"/>
              <w:rPr>
                <w:sz w:val="1"/>
                <w:szCs w:val="1"/>
                <w:color w:val="auto"/>
              </w:rPr>
            </w:pPr>
          </w:p>
        </w:tc>
        <w:tc>
          <w:tcPr>
            <w:tcW w:w="780" w:type="dxa"/>
            <w:vAlign w:val="bottom"/>
            <w:tcBorders>
              <w:left w:val="single" w:sz="8" w:color="0000FF"/>
            </w:tcBorders>
            <w:gridSpan w:val="5"/>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0" w:type="dxa"/>
            <w:vAlign w:val="bottom"/>
            <w:gridSpan w:val="5"/>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940" w:type="dxa"/>
            <w:vAlign w:val="bottom"/>
            <w:gridSpan w:val="5"/>
          </w:tcPr>
          <w:p>
            <w:pPr>
              <w:spacing w:after="0" w:line="20" w:lineRule="exact"/>
              <w:rPr>
                <w:sz w:val="1"/>
                <w:szCs w:val="1"/>
                <w:color w:val="auto"/>
              </w:rPr>
            </w:pPr>
          </w:p>
        </w:tc>
        <w:tc>
          <w:tcPr>
            <w:tcW w:w="1220" w:type="dxa"/>
            <w:vAlign w:val="bottom"/>
            <w:gridSpan w:val="5"/>
          </w:tcPr>
          <w:p>
            <w:pPr>
              <w:spacing w:after="0" w:line="20" w:lineRule="exact"/>
              <w:rPr>
                <w:sz w:val="1"/>
                <w:szCs w:val="1"/>
                <w:color w:val="auto"/>
              </w:rPr>
            </w:pPr>
          </w:p>
        </w:tc>
        <w:tc>
          <w:tcPr>
            <w:tcW w:w="8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spacing w:after="0"/>
              <w:rPr>
                <w:sz w:val="20"/>
                <w:szCs w:val="20"/>
                <w:color w:val="auto"/>
              </w:rPr>
            </w:pPr>
            <w:r>
              <w:rPr>
                <w:rFonts w:ascii="Times New Roman" w:cs="Times New Roman" w:eastAsia="Times New Roman" w:hAnsi="Times New Roman"/>
                <w:sz w:val="16"/>
                <w:szCs w:val="16"/>
                <w:color w:val="auto"/>
              </w:rPr>
              <w:t>ITEM 13.</w:t>
            </w:r>
          </w:p>
        </w:tc>
        <w:tc>
          <w:tcPr>
            <w:tcW w:w="8140" w:type="dxa"/>
            <w:vAlign w:val="bottom"/>
            <w:gridSpan w:val="26"/>
          </w:tcPr>
          <w:p>
            <w:pPr>
              <w:spacing w:after="0"/>
              <w:rPr>
                <w:sz w:val="20"/>
                <w:szCs w:val="20"/>
                <w:color w:val="auto"/>
              </w:rPr>
            </w:pPr>
            <w:r>
              <w:rPr>
                <w:rFonts w:ascii="Times New Roman" w:cs="Times New Roman" w:eastAsia="Times New Roman" w:hAnsi="Times New Roman"/>
                <w:sz w:val="16"/>
                <w:szCs w:val="16"/>
                <w:color w:val="0000FF"/>
              </w:rPr>
              <w:t>CERTAIN RELATIONSHIPS AND RELATED TRANSACTIONS, AND DIRECTOR INDEPENDENCE</w:t>
            </w:r>
          </w:p>
        </w:tc>
        <w:tc>
          <w:tcPr>
            <w:tcW w:w="940" w:type="dxa"/>
            <w:vAlign w:val="bottom"/>
            <w:gridSpan w:val="2"/>
          </w:tcPr>
          <w:p>
            <w:pPr>
              <w:jc w:val="center"/>
              <w:ind w:left="699"/>
              <w:spacing w:after="0"/>
              <w:rPr>
                <w:sz w:val="20"/>
                <w:szCs w:val="20"/>
                <w:color w:val="auto"/>
              </w:rPr>
            </w:pPr>
            <w:r>
              <w:rPr>
                <w:rFonts w:ascii="Times New Roman" w:cs="Times New Roman" w:eastAsia="Times New Roman" w:hAnsi="Times New Roman"/>
                <w:sz w:val="16"/>
                <w:szCs w:val="16"/>
                <w:color w:val="0000FF"/>
                <w:w w:val="99"/>
              </w:rPr>
              <w:t>98</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spacing w:after="0"/>
              <w:rPr>
                <w:sz w:val="20"/>
                <w:szCs w:val="20"/>
                <w:color w:val="auto"/>
              </w:rPr>
            </w:pPr>
            <w:r>
              <w:rPr>
                <w:rFonts w:ascii="Times New Roman" w:cs="Times New Roman" w:eastAsia="Times New Roman" w:hAnsi="Times New Roman"/>
                <w:sz w:val="16"/>
                <w:szCs w:val="16"/>
                <w:color w:val="auto"/>
              </w:rPr>
              <w:t>ITEM 14.</w:t>
            </w:r>
          </w:p>
        </w:tc>
        <w:tc>
          <w:tcPr>
            <w:tcW w:w="6920" w:type="dxa"/>
            <w:vAlign w:val="bottom"/>
            <w:gridSpan w:val="21"/>
          </w:tcPr>
          <w:p>
            <w:pPr>
              <w:spacing w:after="0"/>
              <w:rPr>
                <w:sz w:val="20"/>
                <w:szCs w:val="20"/>
                <w:color w:val="auto"/>
              </w:rPr>
            </w:pPr>
            <w:r>
              <w:rPr>
                <w:rFonts w:ascii="Times New Roman" w:cs="Times New Roman" w:eastAsia="Times New Roman" w:hAnsi="Times New Roman"/>
                <w:sz w:val="16"/>
                <w:szCs w:val="16"/>
                <w:color w:val="0000FF"/>
              </w:rPr>
              <w:t>PRINCIPAL ACCOUNTANT FEES AND SERVICES</w:t>
            </w:r>
          </w:p>
        </w:tc>
        <w:tc>
          <w:tcPr>
            <w:tcW w:w="1220" w:type="dxa"/>
            <w:vAlign w:val="bottom"/>
            <w:gridSpan w:val="5"/>
          </w:tcPr>
          <w:p>
            <w:pPr>
              <w:spacing w:after="0"/>
              <w:rPr>
                <w:sz w:val="17"/>
                <w:szCs w:val="17"/>
                <w:color w:val="auto"/>
              </w:rPr>
            </w:pPr>
          </w:p>
        </w:tc>
        <w:tc>
          <w:tcPr>
            <w:tcW w:w="940" w:type="dxa"/>
            <w:vAlign w:val="bottom"/>
            <w:gridSpan w:val="2"/>
          </w:tcPr>
          <w:p>
            <w:pPr>
              <w:jc w:val="center"/>
              <w:ind w:left="699"/>
              <w:spacing w:after="0"/>
              <w:rPr>
                <w:sz w:val="20"/>
                <w:szCs w:val="20"/>
                <w:color w:val="auto"/>
              </w:rPr>
            </w:pPr>
            <w:r>
              <w:rPr>
                <w:rFonts w:ascii="Times New Roman" w:cs="Times New Roman" w:eastAsia="Times New Roman" w:hAnsi="Times New Roman"/>
                <w:sz w:val="16"/>
                <w:szCs w:val="16"/>
                <w:color w:val="0000FF"/>
                <w:w w:val="99"/>
              </w:rPr>
              <w:t>99</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6"/>
        </w:trPr>
        <w:tc>
          <w:tcPr>
            <w:tcW w:w="12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PART IV.</w:t>
            </w:r>
          </w:p>
        </w:tc>
        <w:tc>
          <w:tcPr>
            <w:tcW w:w="5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780" w:type="dxa"/>
            <w:vAlign w:val="bottom"/>
            <w:tcBorders>
              <w:top w:val="single" w:sz="8" w:color="0000FF"/>
            </w:tcBorders>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8"/>
        </w:trPr>
        <w:tc>
          <w:tcPr>
            <w:tcW w:w="1280" w:type="dxa"/>
            <w:vAlign w:val="bottom"/>
          </w:tcPr>
          <w:p>
            <w:pPr>
              <w:spacing w:after="0"/>
              <w:rPr>
                <w:sz w:val="20"/>
                <w:szCs w:val="20"/>
                <w:color w:val="auto"/>
              </w:rPr>
            </w:pPr>
            <w:r>
              <w:rPr>
                <w:rFonts w:ascii="Times New Roman" w:cs="Times New Roman" w:eastAsia="Times New Roman" w:hAnsi="Times New Roman"/>
                <w:sz w:val="16"/>
                <w:szCs w:val="16"/>
                <w:color w:val="auto"/>
              </w:rPr>
              <w:t>ITEM 15.</w:t>
            </w:r>
          </w:p>
        </w:tc>
        <w:tc>
          <w:tcPr>
            <w:tcW w:w="8140" w:type="dxa"/>
            <w:vAlign w:val="bottom"/>
            <w:gridSpan w:val="26"/>
          </w:tcPr>
          <w:p>
            <w:pPr>
              <w:spacing w:after="0"/>
              <w:rPr>
                <w:sz w:val="20"/>
                <w:szCs w:val="20"/>
                <w:color w:val="auto"/>
              </w:rPr>
            </w:pPr>
            <w:r>
              <w:rPr>
                <w:rFonts w:ascii="Times New Roman" w:cs="Times New Roman" w:eastAsia="Times New Roman" w:hAnsi="Times New Roman"/>
                <w:sz w:val="16"/>
                <w:szCs w:val="16"/>
                <w:color w:val="0000FF"/>
              </w:rPr>
              <w:t>EXHIBITS AND FINANCIAL STATEMENT SCHEDULES</w:t>
            </w:r>
          </w:p>
        </w:tc>
        <w:tc>
          <w:tcPr>
            <w:tcW w:w="1800" w:type="dxa"/>
            <w:vAlign w:val="bottom"/>
            <w:gridSpan w:val="4"/>
          </w:tcPr>
          <w:p>
            <w:pPr>
              <w:jc w:val="center"/>
              <w:spacing w:after="0"/>
              <w:rPr>
                <w:sz w:val="20"/>
                <w:szCs w:val="20"/>
                <w:color w:val="auto"/>
              </w:rPr>
            </w:pPr>
            <w:r>
              <w:rPr>
                <w:rFonts w:ascii="Times New Roman" w:cs="Times New Roman" w:eastAsia="Times New Roman" w:hAnsi="Times New Roman"/>
                <w:sz w:val="16"/>
                <w:szCs w:val="16"/>
                <w:color w:val="0000FF"/>
                <w:w w:val="99"/>
              </w:rPr>
              <w:t>100</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920" w:type="dxa"/>
            <w:vAlign w:val="bottom"/>
            <w:gridSpan w:val="3"/>
            <w:shd w:val="clear" w:color="auto" w:fill="0000FF"/>
          </w:tcPr>
          <w:p>
            <w:pPr>
              <w:spacing w:after="0" w:line="20" w:lineRule="exact"/>
              <w:rPr>
                <w:sz w:val="1"/>
                <w:szCs w:val="1"/>
                <w:color w:val="auto"/>
              </w:rPr>
            </w:pPr>
          </w:p>
        </w:tc>
        <w:tc>
          <w:tcPr>
            <w:tcW w:w="780" w:type="dxa"/>
            <w:vAlign w:val="bottom"/>
            <w:tcBorders>
              <w:left w:val="single" w:sz="8" w:color="0000FF"/>
            </w:tcBorders>
            <w:gridSpan w:val="5"/>
            <w:shd w:val="clear" w:color="auto" w:fill="0000FF"/>
          </w:tcPr>
          <w:p>
            <w:pPr>
              <w:spacing w:after="0" w:line="20" w:lineRule="exact"/>
              <w:rPr>
                <w:sz w:val="1"/>
                <w:szCs w:val="1"/>
                <w:color w:val="auto"/>
              </w:rPr>
            </w:pPr>
          </w:p>
        </w:tc>
        <w:tc>
          <w:tcPr>
            <w:tcW w:w="2280" w:type="dxa"/>
            <w:vAlign w:val="bottom"/>
            <w:gridSpan w:val="8"/>
            <w:shd w:val="clear" w:color="auto" w:fill="0000FF"/>
          </w:tcPr>
          <w:p>
            <w:pPr>
              <w:spacing w:after="0" w:line="20" w:lineRule="exact"/>
              <w:rPr>
                <w:sz w:val="1"/>
                <w:szCs w:val="1"/>
                <w:color w:val="auto"/>
              </w:rPr>
            </w:pPr>
          </w:p>
        </w:tc>
        <w:tc>
          <w:tcPr>
            <w:tcW w:w="4160" w:type="dxa"/>
            <w:vAlign w:val="bottom"/>
            <w:gridSpan w:val="10"/>
          </w:tcPr>
          <w:p>
            <w:pPr>
              <w:spacing w:after="0" w:line="20" w:lineRule="exact"/>
              <w:rPr>
                <w:sz w:val="1"/>
                <w:szCs w:val="1"/>
                <w:color w:val="auto"/>
              </w:rPr>
            </w:pPr>
          </w:p>
        </w:tc>
        <w:tc>
          <w:tcPr>
            <w:tcW w:w="860" w:type="dxa"/>
            <w:vAlign w:val="bottom"/>
            <w:tcBorders>
              <w:right w:val="single" w:sz="8" w:color="0000FF"/>
            </w:tcBorders>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spacing w:after="0"/>
              <w:rPr>
                <w:sz w:val="20"/>
                <w:szCs w:val="20"/>
                <w:color w:val="auto"/>
              </w:rPr>
            </w:pPr>
            <w:r>
              <w:rPr>
                <w:rFonts w:ascii="Times New Roman" w:cs="Times New Roman" w:eastAsia="Times New Roman" w:hAnsi="Times New Roman"/>
                <w:sz w:val="16"/>
                <w:szCs w:val="16"/>
                <w:color w:val="auto"/>
              </w:rPr>
              <w:t>ITEM 16.</w:t>
            </w:r>
          </w:p>
        </w:tc>
        <w:tc>
          <w:tcPr>
            <w:tcW w:w="1700" w:type="dxa"/>
            <w:vAlign w:val="bottom"/>
            <w:gridSpan w:val="8"/>
          </w:tcPr>
          <w:p>
            <w:pPr>
              <w:spacing w:after="0"/>
              <w:rPr>
                <w:sz w:val="20"/>
                <w:szCs w:val="20"/>
                <w:color w:val="auto"/>
              </w:rPr>
            </w:pPr>
            <w:r>
              <w:rPr>
                <w:rFonts w:ascii="Times New Roman" w:cs="Times New Roman" w:eastAsia="Times New Roman" w:hAnsi="Times New Roman"/>
                <w:sz w:val="16"/>
                <w:szCs w:val="16"/>
                <w:color w:val="0000FF"/>
                <w:w w:val="99"/>
              </w:rPr>
              <w:t>FORM 10-K SUMMARY</w:t>
            </w:r>
          </w:p>
        </w:tc>
        <w:tc>
          <w:tcPr>
            <w:tcW w:w="2280" w:type="dxa"/>
            <w:vAlign w:val="bottom"/>
            <w:gridSpan w:val="8"/>
          </w:tcPr>
          <w:p>
            <w:pPr>
              <w:spacing w:after="0"/>
              <w:rPr>
                <w:sz w:val="17"/>
                <w:szCs w:val="17"/>
                <w:color w:val="auto"/>
              </w:rPr>
            </w:pPr>
          </w:p>
        </w:tc>
        <w:tc>
          <w:tcPr>
            <w:tcW w:w="4160" w:type="dxa"/>
            <w:vAlign w:val="bottom"/>
            <w:gridSpan w:val="10"/>
          </w:tcPr>
          <w:p>
            <w:pPr>
              <w:spacing w:after="0"/>
              <w:rPr>
                <w:sz w:val="17"/>
                <w:szCs w:val="17"/>
                <w:color w:val="auto"/>
              </w:rPr>
            </w:pPr>
          </w:p>
        </w:tc>
        <w:tc>
          <w:tcPr>
            <w:tcW w:w="1800" w:type="dxa"/>
            <w:vAlign w:val="bottom"/>
            <w:gridSpan w:val="4"/>
          </w:tcPr>
          <w:p>
            <w:pPr>
              <w:jc w:val="center"/>
              <w:spacing w:after="0"/>
              <w:rPr>
                <w:sz w:val="20"/>
                <w:szCs w:val="20"/>
                <w:color w:val="auto"/>
              </w:rPr>
            </w:pPr>
            <w:r>
              <w:rPr>
                <w:rFonts w:ascii="Times New Roman" w:cs="Times New Roman" w:eastAsia="Times New Roman" w:hAnsi="Times New Roman"/>
                <w:sz w:val="16"/>
                <w:szCs w:val="16"/>
                <w:color w:val="0000FF"/>
                <w:w w:val="99"/>
              </w:rPr>
              <w:t>103</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920" w:type="dxa"/>
            <w:vAlign w:val="bottom"/>
            <w:gridSpan w:val="3"/>
            <w:shd w:val="clear" w:color="auto" w:fill="0000FF"/>
          </w:tcPr>
          <w:p>
            <w:pPr>
              <w:spacing w:after="0" w:line="20" w:lineRule="exact"/>
              <w:rPr>
                <w:sz w:val="1"/>
                <w:szCs w:val="1"/>
                <w:color w:val="auto"/>
              </w:rPr>
            </w:pPr>
          </w:p>
        </w:tc>
        <w:tc>
          <w:tcPr>
            <w:tcW w:w="780" w:type="dxa"/>
            <w:vAlign w:val="bottom"/>
            <w:tcBorders>
              <w:left w:val="single" w:sz="8" w:color="0000FF"/>
            </w:tcBorders>
            <w:gridSpan w:val="5"/>
            <w:shd w:val="clear" w:color="auto" w:fill="0000FF"/>
          </w:tcPr>
          <w:p>
            <w:pPr>
              <w:spacing w:after="0" w:line="20" w:lineRule="exact"/>
              <w:rPr>
                <w:sz w:val="1"/>
                <w:szCs w:val="1"/>
                <w:color w:val="auto"/>
              </w:rPr>
            </w:pPr>
          </w:p>
        </w:tc>
        <w:tc>
          <w:tcPr>
            <w:tcW w:w="6440" w:type="dxa"/>
            <w:vAlign w:val="bottom"/>
            <w:gridSpan w:val="18"/>
          </w:tcPr>
          <w:p>
            <w:pPr>
              <w:spacing w:after="0" w:line="20" w:lineRule="exact"/>
              <w:rPr>
                <w:sz w:val="1"/>
                <w:szCs w:val="1"/>
                <w:color w:val="auto"/>
              </w:rPr>
            </w:pPr>
          </w:p>
        </w:tc>
        <w:tc>
          <w:tcPr>
            <w:tcW w:w="860" w:type="dxa"/>
            <w:vAlign w:val="bottom"/>
            <w:tcBorders>
              <w:right w:val="single" w:sz="8" w:color="0000FF"/>
            </w:tcBorders>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280" w:type="dxa"/>
            <w:vAlign w:val="bottom"/>
          </w:tcPr>
          <w:p>
            <w:pPr>
              <w:spacing w:after="0"/>
              <w:rPr>
                <w:sz w:val="24"/>
                <w:szCs w:val="24"/>
                <w:color w:val="auto"/>
              </w:rPr>
            </w:pPr>
          </w:p>
        </w:tc>
        <w:tc>
          <w:tcPr>
            <w:tcW w:w="1700" w:type="dxa"/>
            <w:vAlign w:val="bottom"/>
            <w:gridSpan w:val="8"/>
          </w:tcPr>
          <w:p>
            <w:pPr>
              <w:spacing w:after="0"/>
              <w:rPr>
                <w:sz w:val="20"/>
                <w:szCs w:val="20"/>
                <w:color w:val="auto"/>
              </w:rPr>
            </w:pPr>
            <w:r>
              <w:rPr>
                <w:rFonts w:ascii="Times New Roman" w:cs="Times New Roman" w:eastAsia="Times New Roman" w:hAnsi="Times New Roman"/>
                <w:sz w:val="16"/>
                <w:szCs w:val="16"/>
                <w:color w:val="0000FF"/>
              </w:rPr>
              <w:t>SIGNATURES</w:t>
            </w:r>
          </w:p>
        </w:tc>
        <w:tc>
          <w:tcPr>
            <w:tcW w:w="6440" w:type="dxa"/>
            <w:vAlign w:val="bottom"/>
            <w:gridSpan w:val="18"/>
          </w:tcPr>
          <w:p>
            <w:pPr>
              <w:spacing w:after="0"/>
              <w:rPr>
                <w:sz w:val="24"/>
                <w:szCs w:val="24"/>
                <w:color w:val="auto"/>
              </w:rPr>
            </w:pPr>
          </w:p>
        </w:tc>
        <w:tc>
          <w:tcPr>
            <w:tcW w:w="1800" w:type="dxa"/>
            <w:vAlign w:val="bottom"/>
            <w:gridSpan w:val="4"/>
          </w:tcPr>
          <w:p>
            <w:pPr>
              <w:jc w:val="center"/>
              <w:spacing w:after="0"/>
              <w:rPr>
                <w:sz w:val="20"/>
                <w:szCs w:val="20"/>
                <w:color w:val="auto"/>
              </w:rPr>
            </w:pPr>
            <w:r>
              <w:rPr>
                <w:rFonts w:ascii="Times New Roman" w:cs="Times New Roman" w:eastAsia="Times New Roman" w:hAnsi="Times New Roman"/>
                <w:sz w:val="16"/>
                <w:szCs w:val="16"/>
                <w:color w:val="0000FF"/>
                <w:w w:val="99"/>
              </w:rPr>
              <w:t>104</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220"/>
          </w:cols>
          <w:pgMar w:left="340" w:top="812" w:right="339"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56"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This Annual Report on Form 10-K of Blaize Holdings, Inc. (the “Company,” “we,” “our,” or “us”) contains forward-looking statements within the meaning of Section 27A of the U.S. Securities Act of 1933, as amended (the “Securities Act”), and Section 21E of the U.S. Securities Exchange Act of 1934, as amended (the “Exchange Act”). In some cases, you can identify forward-looking statements by the following words: “may,” “will,” “could,” “would,” “should,” “expect,” “intend,” “plan,” “anticipate,” “believe,” “estimate,” “predict,” “project,” “potential,” “continue,” “ongoing,” “target,” “seek” or the negative or plural of these words, or other similar expressions that are predictions or indicate future events or prospects, although not all forward-looking statements contain these words. Forward-looking statements are predictions, projections, and other statements about future events that are based on current expectations and assumptions and, as a result, are subject to risks and uncertainties. Many factors could cause actual future events to differ materially from the forward-looking statements in this Annual Report on Form 10-K, including but not limited to, changes in domestic and foreign business, market, financial, political and legal conditions; risks related to the Business Combination, as defined in the Glossary of this Annual Report on Form 10-K, including that the expected benefits of the Business Combination are not obtained, whether due to competition, the ability of the combined company to grow and manage growth profitably, maintain relationships with customers and suppliers and retain its management and key employees, among other things, and that the Business Combination disrupts current plans and operations of the Company; the ability to meet the applicable stock exchange listing standards from time to time; changes in applicable law or regulations; changes in global and U.S. economic conditions, including impacts from geopolitical conflicts, recession, inflation, changes in trade policies (including tariffs and other trade measures) of the United States and other countries, interest rate fluctuations, and financial market conditions; prolonged or recurring U.S. federal government shutdowns; the outcome of any legal proceedings that may be instituted against the Company or may involve the Company; the effects of competition on the Company’s future business; the ability of the combined company to issue equity or equity-linked securities or obtain debt financing on favorable terms or at all; the enforceability of our intellectual property rights, including our copyrights, patents, trademarks and trade secrets, and the potential infringement on the intellectual property rights of others; risks related to human capital; risks related to cybersecurity and data privacy; the outcome of any government and regulatory proceedings, investigations and inquiries; and those factors discussed in Part I, Item 1A. Risk Factors herein, elsewhere in this Annual report on Form 10-K and other documents filed by us from time to time with the U.S. Securities and Exchange Commission (“SEC”). These filings identify and address other important risks and uncertainties that could cause actual events and results to differ materially from those contained in the forward-looking statements. Forward-looking statements speak only as of the date they are made, and the Company assumes no obligation to update or revise these forward-looking statements, whether as a result of new information, future events, or otherwise, except as required by law, including the securities laws of the United States and the rules and regulations of the SEC. Readers are cautioned not to put undue reliance on forward-looking statements. The Company does not give any assurance that it will achieve its expectations.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20"/>
          </w:cols>
          <w:pgMar w:left="320" w:top="1413" w:right="359" w:bottom="1440" w:gutter="0" w:footer="0" w:header="0"/>
        </w:sectPr>
      </w:pPr>
    </w:p>
    <w:bookmarkStart w:id="5" w:name="page6"/>
    <w:bookmarkEnd w:id="5"/>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IMPORTANT INFORMATION REGARDING OUR DISCLOSURE TO INVESTORS</w:t>
      </w:r>
    </w:p>
    <w:p>
      <w:pPr>
        <w:spacing w:after="0" w:line="256"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We may use our website (www.blaize.com) to communicate with our investors and disclose company information. The information disclosed through our website may be considered material. Investors should monitor our website in addition to press releases, SEC filings and public conference calls and webcasts. The contents of our website referenced herein are not incorporated by reference into this Annual Report on Form 10-K.</w:t>
      </w:r>
    </w:p>
    <w:p>
      <w:pPr>
        <w:spacing w:after="0" w:line="19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GLOSSARY</w:t>
      </w:r>
    </w:p>
    <w:p>
      <w:pPr>
        <w:spacing w:after="0" w:line="254" w:lineRule="exact"/>
        <w:rPr>
          <w:sz w:val="20"/>
          <w:szCs w:val="20"/>
          <w:color w:val="auto"/>
        </w:rPr>
      </w:pPr>
    </w:p>
    <w:p>
      <w:pPr>
        <w:ind w:right="300"/>
        <w:spacing w:after="0" w:line="284" w:lineRule="auto"/>
        <w:rPr>
          <w:sz w:val="20"/>
          <w:szCs w:val="20"/>
          <w:color w:val="auto"/>
        </w:rPr>
      </w:pPr>
      <w:r>
        <w:rPr>
          <w:rFonts w:ascii="Times New Roman" w:cs="Times New Roman" w:eastAsia="Times New Roman" w:hAnsi="Times New Roman"/>
          <w:sz w:val="18"/>
          <w:szCs w:val="18"/>
          <w:i w:val="1"/>
          <w:iCs w:val="1"/>
          <w:color w:val="auto"/>
        </w:rPr>
        <w:t>This glossary highlights some of the terms that we use elsewhere in this Annual Report on Form 10-K and is not a complete list of all the defined terms used herein.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“AI” means artificial intelligence.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“API” means application programming interface.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“Blaize Holdings, Inc.” means the Company and its subsidiaries, after the Business Combination.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or “Board of Directors” means the board of directors of the Company.</w:t>
      </w:r>
    </w:p>
    <w:p>
      <w:pPr>
        <w:spacing w:after="0" w:line="252"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“BurTech” means BurTech Acquisition Corporation, a SPAC, which was a publicly traded entity existing prior to the Closing Date of the Business Combination.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“Burkhan” means Burkhan Capital LLC, a Delaware limited liability company, an affiliate of BurTech.</w:t>
      </w:r>
    </w:p>
    <w:p>
      <w:pPr>
        <w:spacing w:after="0" w:line="25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“Business Combination” means the transaction pursuant to the Merger Agreement, whereby Merger Sub merged with and into Legacy Blaize, with Legacy Blaize being the surviving company and a wholly owned subsidiary of BurTech. The Business Combination may also be referred to as a “de-SPAC” transaction.</w:t>
      </w:r>
    </w:p>
    <w:p>
      <w:pPr>
        <w:spacing w:after="0" w:line="203"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“CFIUS” means the Committee on Foreign Investment in the United States, which is an inter-governmental agency committee in the United States government that reviews the national security implications of foreign investments in the economy of the United States.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“Closing Date” means January 13, 2025, the date that the Company consummated the transaction contemplated by the Merger Agreement.</w:t>
      </w:r>
    </w:p>
    <w:p>
      <w:pPr>
        <w:spacing w:after="0" w:line="252"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“de-SPAC” transaction means a process where a private operating company (in this case, Legacy Blaize) merges with a SPAC (in this case, BurTech) to become a publicly traded company.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“FCPA” means the U.S. Foreign Corrupt Practices Act of 1977, as amended.</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“GSP” means Graph Streaming Processor, a specialized AI accelerator designed for graph-native computing.</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“JOBS Act” means the Jumpstart Our Business Startups Act of 2012.</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“Legacy Blaize” means Blaize, Inc., which survived the Merger as a wholly owned subsidiary of the Company.</w:t>
      </w:r>
    </w:p>
    <w:p>
      <w:pPr>
        <w:spacing w:after="0" w:line="252"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“Merger” means the transactions contemplated by the Merger Agreement as defined below, and, together with the other transactions contemplated by the Merger Agreement, the “Business Combination”.</w:t>
      </w:r>
    </w:p>
    <w:p>
      <w:pPr>
        <w:spacing w:after="0" w:line="18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“Merger Agreement” means the Agreement and Plan of Merger, dated as of December 22, 2023 (as amended on April 22, 2024, October 24, 2024, and November 21, 2024), by and among BurTech, Merger Sub, Legacy Blaize and, for the limited purposes set forth therein, Burkhan.</w:t>
      </w:r>
    </w:p>
    <w:p>
      <w:pPr>
        <w:sectPr>
          <w:pgSz w:w="11900" w:h="16838" w:orient="portrait"/>
          <w:cols w:equalWidth="0" w:num="1">
            <w:col w:w="11180"/>
          </w:cols>
          <w:pgMar w:left="320" w:top="1413"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11180"/>
          </w:cols>
          <w:pgMar w:left="320" w:top="1413" w:right="399" w:bottom="1440" w:gutter="0" w:footer="0" w:header="0"/>
          <w:type w:val="continuous"/>
        </w:sectPr>
      </w:pPr>
    </w:p>
    <w:bookmarkStart w:id="6" w:name="page7"/>
    <w:bookmarkEnd w:id="6"/>
    <w:p>
      <w:pPr>
        <w:spacing w:after="0" w:line="282" w:lineRule="auto"/>
        <w:rPr>
          <w:sz w:val="20"/>
          <w:szCs w:val="20"/>
          <w:color w:val="auto"/>
        </w:rPr>
      </w:pPr>
      <w:r>
        <w:rPr>
          <w:rFonts w:ascii="Times New Roman" w:cs="Times New Roman" w:eastAsia="Times New Roman" w:hAnsi="Times New Roman"/>
          <w:sz w:val="18"/>
          <w:szCs w:val="18"/>
          <w:color w:val="auto"/>
        </w:rPr>
        <w:t>“Merger Sub” means BurTech Merger Sub, Inc., a former Delaware corporation and former wholly owned subsidiary of BurTech. Merger Sub was a shell company formed by BurTech solely in order to complete the acquisition of Legacy Blaize.</w:t>
      </w:r>
    </w:p>
    <w:p>
      <w:pPr>
        <w:spacing w:after="0" w:line="18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“Nasdaq” means The Nasdaq Stock Market LLC. Both the Nasdaq Global Market (on which the Company’s common stock is listed) and Nasdaq Capital Market (on which the Company’s warrants are listed) are tiers of markets within the broader Nasdaq Stock Market LLC.</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“NRE” means non-recurring engineering engagements, also referred to as strategic consulting services.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“OEM” means original equipment manufacturer.</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“PCIe card” means a peripheral component interconnected express card, an expansion component that upgrades computer functionality.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“RSU” means a restricted stock unit.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Act” means the Securities Act of 1933, as amended.</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“SoC” means System-on-a-Chip products, including our wafer fabrication, assembly, and testing processes.</w:t>
      </w:r>
    </w:p>
    <w:p>
      <w:pPr>
        <w:spacing w:after="0" w:line="252"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“SPAC” means Special Purpose Acquisition Company, which is a blank check, publicly traded shell company that has raised capital through an initial public offering and is formed with the purpose of performing a business combination transaction within a specified timeframe.</w:t>
      </w:r>
    </w:p>
    <w:p>
      <w:pPr>
        <w:spacing w:after="0" w:line="18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“Sponsor” means BurTech LP, LLC, which prior to the Merger was the sponsor of BurTech. After the close of the Merger, the Sponsor and its affiliated entities remained a significant shareholder in the Company and are therefore considered a related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80"/>
          </w:cols>
          <w:pgMar w:left="320" w:top="1417" w:right="499" w:bottom="1440" w:gutter="0" w:footer="0" w:header="0"/>
        </w:sectPr>
      </w:pPr>
    </w:p>
    <w:bookmarkStart w:id="7" w:name="page8"/>
    <w:bookmarkEnd w:id="7"/>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56" w:lineRule="exact"/>
        <w:rPr>
          <w:sz w:val="20"/>
          <w:szCs w:val="20"/>
          <w:color w:val="auto"/>
        </w:rPr>
      </w:pPr>
    </w:p>
    <w:p>
      <w:pPr>
        <w:ind w:right="20"/>
        <w:spacing w:after="0" w:line="277" w:lineRule="auto"/>
        <w:rPr>
          <w:sz w:val="20"/>
          <w:szCs w:val="20"/>
          <w:color w:val="auto"/>
        </w:rPr>
      </w:pPr>
      <w:r>
        <w:rPr>
          <w:rFonts w:ascii="Times New Roman" w:cs="Times New Roman" w:eastAsia="Times New Roman" w:hAnsi="Times New Roman"/>
          <w:sz w:val="17"/>
          <w:szCs w:val="17"/>
          <w:color w:val="auto"/>
        </w:rPr>
        <w:t>Blaize Holdings, Inc. (“Blaize,” the “Company,” “we,” “us,” and “our”) develops purpose-built AI-enabled computing solutions comprised of both our proprietary hardware and software, and complementary third-party hardware solutions, as further described below. Our computing solutions are designed for efficient processing of AI inference workloads across edge and data center environments. Our architecture supports AI workloads where latency, power efficiency, and cost efficiency are important considerations. Our systems can process data locally at the edge or within data center infrastructure, depending on deployment requirements. Local processing can reduce bandwidth usage and support latency-sensitive applications requiring real-time decision making.</w:t>
      </w:r>
    </w:p>
    <w:p>
      <w:pPr>
        <w:spacing w:after="0" w:line="19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addition to our internally developed products, we also deliver third-party hardware solutions that complement and enhance our core offerings. By integrating certain third-party hardware components, we believe that we are able to provide customers with comprehensive and flexible computing solutions tailored to their specific needs. These third-party hardware solutions typically are substantially comprised of servers, which are selected to ensure optimal compatibility and performance with our products and our AI-enabled platforms.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a Delaware corporation, incorporated in 2010, headquartered in El Dorado Hills, California.</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Merger and Reverse Recapitalization</w:t>
      </w:r>
    </w:p>
    <w:p>
      <w:pPr>
        <w:spacing w:after="0" w:line="256"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On January 13, 2025, BurTech completed the Merger, pursuant to the Merger Agreement, whereby Merger Sub merged with and into Legacy Blaize, with Legacy Blaize being the surviving company and a wholly owned subsidiary of BurTech.</w:t>
      </w:r>
    </w:p>
    <w:p>
      <w:pPr>
        <w:spacing w:after="0" w:line="18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connection with the de-SPAC, we changed our name from “BurTech Acquisition Corporation” to “Blaize Holdings, Inc.,” and the Merger was accounted for as a reverse merger and recapitalization, with BurTech considered the acquired company, and Legacy Blaize considered the acquirer, for financial statement reporting purposes.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5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file our annual, periodic and current reports, and other required information, electronically with the SEC. The SEC maintains a website at www.sec.gov that contains reports, proxy and information statements and other information that we file with the SEC electronically. We also make available on our website at https://ir.blaize.com, free of charge, copies of these reports and other information as soon as reasonably practicable after we electronically file such material with, or furnish it to, the SEC. The contents of our website referenced herein are not incorporated by reference into this Annual Report on Form 10-K.</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Principal Products and Services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Hardware</w:t>
      </w:r>
    </w:p>
    <w:p>
      <w:pPr>
        <w:spacing w:after="0" w:line="254"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have created an AI computing accelerator, the GSP. This processor has been designed from the ground up for compute-intensive data parallel workloads, such as computer vision, machine learning, and AI applications. It is fully programmable, making it flexible and adaptable. The GSP leverages a data streaming mechanism to enable efficient parallelism at the data, instruction, task, chip, and system level, streamlining execution processing and enabling low energy consumption, high performance, and scalability.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20"/>
          </w:cols>
          <w:pgMar w:left="320" w:top="1413" w:right="359" w:bottom="1440" w:gutter="0" w:footer="0" w:header="0"/>
        </w:sectPr>
      </w:pPr>
    </w:p>
    <w:bookmarkStart w:id="8" w:name="page9"/>
    <w:bookmarkEnd w:id="8"/>
    <w:p>
      <w:pPr>
        <w:ind w:right="180"/>
        <w:spacing w:after="0" w:line="266" w:lineRule="auto"/>
        <w:rPr>
          <w:sz w:val="20"/>
          <w:szCs w:val="20"/>
          <w:color w:val="auto"/>
        </w:rPr>
      </w:pPr>
      <w:r>
        <w:rPr>
          <w:rFonts w:ascii="Times New Roman" w:cs="Times New Roman" w:eastAsia="Times New Roman" w:hAnsi="Times New Roman"/>
          <w:sz w:val="18"/>
          <w:szCs w:val="18"/>
          <w:color w:val="auto"/>
        </w:rPr>
        <w:t>Additionally, our hardware offerings include compute cards (PCIe cards and other cards) that incorporate our GSP and come in a comprehensive set of commonly used form factors. We work closely with our vendors to qualify these cards to add AI compute acceleration to their systems, with the intention to deliver solutions across a broad spectrum of performance points and deployment verticals, from the edge to the data center.</w:t>
      </w:r>
    </w:p>
    <w:p>
      <w:pPr>
        <w:spacing w:after="0" w:line="203" w:lineRule="exact"/>
        <w:rPr>
          <w:sz w:val="20"/>
          <w:szCs w:val="20"/>
          <w:color w:val="auto"/>
        </w:rPr>
      </w:pPr>
    </w:p>
    <w:p>
      <w:pPr>
        <w:jc w:val="both"/>
        <w:ind w:right="340"/>
        <w:spacing w:after="0" w:line="266" w:lineRule="auto"/>
        <w:rPr>
          <w:sz w:val="20"/>
          <w:szCs w:val="20"/>
          <w:color w:val="auto"/>
        </w:rPr>
      </w:pPr>
      <w:r>
        <w:rPr>
          <w:rFonts w:ascii="Times New Roman" w:cs="Times New Roman" w:eastAsia="Times New Roman" w:hAnsi="Times New Roman"/>
          <w:sz w:val="18"/>
          <w:szCs w:val="18"/>
          <w:color w:val="auto"/>
        </w:rPr>
        <w:t>In addition to our internally developed products, we deliver third-party hardware solutions, primarily comprised of servers and small form factor stand-alone systems, that host our proprietary technology. We support industry standard APIs and frameworks, enabling customers to execute AI models and develop new applications on our hardware.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Software</w:t>
      </w:r>
    </w:p>
    <w:p>
      <w:pPr>
        <w:spacing w:after="0" w:line="254"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Our software suite includes a software development kit which complies with open standards and can be used by customers to program their own models and algorithms. We also provide a comprehensive software suite, Blaize AI Studio (“AI Studio”). AI Studio provides a visual no-code or low-code environment intended to simplify the creation and deployment of AI models and features a robust set of tools and libraries designed to streamline the software development lifecycle.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Services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also offer strategic consulting services to configure our hardware and licensed intellectual property to a customer’s needs.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256"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Our commercial organization utilizes research to identify key markets and sales opportunities across our target markets. Our marketing activities focus on integrating our branded products into complementary hardware, promoting our branded products, and raising awareness of our product offerings to prospects in selected target markets. This includes participation at trade events, demonstrations of our technology, collaborations and co-promotions with ecosystem partners, social campaigns, competitive positioning and other marketing activities.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Customers</w:t>
      </w:r>
    </w:p>
    <w:p>
      <w:pPr>
        <w:spacing w:after="0" w:line="25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revenue has been generated from a limited number of significant customers, some of whom have been, and may in the future be, related parties. For the year ended December 31, 2025, two major customers located in China accounted for 61% and 27% of our total revenue, respectively. Neither of these customers was a related party. In 2025, all of our revenue was attributable to sales of hardware and software products, with no revenue generated from services.</w:t>
      </w:r>
    </w:p>
    <w:p>
      <w:pPr>
        <w:spacing w:after="0" w:line="207"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In 2024, 98% of our revenue was attributable to two different customers, located in the United States and Japan, both of whom were related parties. In 2024, substantially all of our revenue was derived from providing strategic consulting services, and these service contracts have since expired.</w:t>
      </w:r>
    </w:p>
    <w:p>
      <w:pPr>
        <w:spacing w:after="0" w:line="18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Since our revenue is currently concentrated among a small number of customers, revenue recognized from any one significant customer may change the geographical mix of our revenue. Going forward, we expect to derive revenue from sales of third-party solutions and our hardware and software products, as well as from strategic consulting services.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outsource all of our manufacturing in relation to our AI chips and PCIe cards.</w:t>
      </w:r>
    </w:p>
    <w:p>
      <w:pPr>
        <w:spacing w:after="0" w:line="25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Samsung Foundry is our foundry for the current generation SoC. All packaging and testing of the SoC is performed by our partners located in Taiwan. Our design and manufacturing partners closely monitor and reserve raw materials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1417" w:right="339" w:bottom="1440" w:gutter="0" w:footer="0" w:header="0"/>
        </w:sectPr>
      </w:pPr>
    </w:p>
    <w:bookmarkStart w:id="9" w:name="page10"/>
    <w:bookmarkEnd w:id="9"/>
    <w:p>
      <w:pPr>
        <w:ind w:right="120"/>
        <w:spacing w:after="0" w:line="282" w:lineRule="auto"/>
        <w:rPr>
          <w:sz w:val="20"/>
          <w:szCs w:val="20"/>
          <w:color w:val="auto"/>
        </w:rPr>
      </w:pPr>
      <w:r>
        <w:rPr>
          <w:rFonts w:ascii="Times New Roman" w:cs="Times New Roman" w:eastAsia="Times New Roman" w:hAnsi="Times New Roman"/>
          <w:sz w:val="18"/>
          <w:szCs w:val="18"/>
          <w:color w:val="auto"/>
        </w:rPr>
        <w:t>for silicon wafers and related packaging for our finished SoCs. The raw materials and components used in our products include silicon, polymers, copper, aluminum, other metal alloys, and plastics, which are generally available throughout the world but are largely provided by companies in China.</w:t>
      </w:r>
    </w:p>
    <w:p>
      <w:pPr>
        <w:spacing w:after="0" w:line="18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also have manufacturing contracts with Plexus, a contract manufacturer with a facility located in Penang, Malaysia, that provides new product introduction services and mass produces all of our products. In addition to performing printed circuit board assembly, final assembly, and functional testing for our products, Plexus procures raw material components to meet our periodic build forecasts and provides turnaround shipments of our products to our third-party logistics partner and customers around the world. The raw materials and components that we use include integrated circuits, epoxy glass fabric laminate, metals, plastics, resistors, capacitors, inductors, transistors, diodes, and sensors, which are generally available throughout the world, but largely provided by companies in Asia.</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56"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Our scalable and programmable architecture enables us to sell into a broad set of markets and applications. As a result, our competitors vary depending on the target market line of business.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subject to various laws and regulations in the United States (“U.S.”) and internationally. These laws and regulations include, but are not limited to, data privacy and data localization, copyright and other intellectual property laws, anti-spam, consumer protection, employment, export control laws, tariffs, and taxation.</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Data Protection and Privacy</w:t>
      </w:r>
    </w:p>
    <w:p>
      <w:pPr>
        <w:spacing w:after="0" w:line="25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overall regulatory framework for AI and machine learning technologies (“AI Technologies”) is rapidly evolving as many federal, state and foreign governmental bodies and agencies have introduced, or are currently considering, AI laws and regulations. Additionally, existing laws and regulations may be interpreted in ways that could affect the operation of our AI Technologies. As a result, implementation standards and enforcement practices are likely to remain uncertain for the foreseeable future.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Anti-Corruption, Sanctions and CFIUS</w:t>
      </w:r>
    </w:p>
    <w:p>
      <w:pPr>
        <w:spacing w:after="0" w:line="254"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We are subject to the FCPA. The FCPA prohibits corporations and individuals from engaging in improper activities to obtain or retain business or to influence a person working in an official capacity. It prohibits, among other things, providing, offering, or promising, directly or indirectly, anything of value to any foreign government official or employee, or any political party or official thereof, or candidate for political office to improperly influence, induce, obtain or retain business from, expedite or secure the performance of official acts of a routine nature, secure an improper advantage, or otherwise violate any anti-bribery laws, from any such person. Similar laws exist in other countries, such as the UK, which restrict improper payments to persons in the public or private sector. Historically, technology companies have been the target of FCPA and other anti-corruption investigations and penalties.</w:t>
      </w:r>
    </w:p>
    <w:p>
      <w:pPr>
        <w:spacing w:after="0" w:line="214"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In addition, we are subject to U.S. and foreign laws and regulations that restrict our activities in certain countries and with certain persons. These include the economic sanctions regulations administered by the U.S. Treasury Department’s Office of Foreign Assets Control and the export control laws administered by the U.S. Commerce Department’s Bureau of Industry and Security.</w:t>
      </w:r>
    </w:p>
    <w:p>
      <w:pPr>
        <w:spacing w:after="0" w:line="20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Investment in the Company by non-U.S. investors may be subject to the jurisdiction of and review by CFIUS, which has the power to rescind or mitigate transactions or impose monetary penalties for violations of CFIUS regulations. Because we develop technology that is deemed “critical” from a U.S. national security perspective, certain investments by non-U.S. persons or entities could trigger mandatory CFIUS filings before an investment is allowed to close.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00"/>
          </w:cols>
          <w:pgMar w:left="320" w:top="1417" w:right="37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56"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We believe our success depends in part upon our ability to develop and protect our core technology and intellectual property rights. We have built a portfolio of intellectual property rights, including issued patents and registered trademarks, copyrights, confidential technical information, and expertise in the AI and machine learning at the edge sectors.</w:t>
      </w:r>
    </w:p>
    <w:p>
      <w:pPr>
        <w:spacing w:after="0" w:line="20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own numerous issued patents and pending patent applications. As of December 31, 2025, we held 43 patents and had 16 pending patent applications. Our patents are expected to expire between June 16, 2031 and September 24, 2044. We own two issued foreign patents, one in the United Kingdom and one in the Republic of Korea. Our five pending foreign patent applications include patent applications in India. Our patents contain a broad range of claims related to the field of AI and parallel processing architecture.</w:t>
      </w:r>
    </w:p>
    <w:p>
      <w:pPr>
        <w:spacing w:after="0" w:line="207"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In addition to actively seeking patent protection covering inventions originating from us, from time to time we review opportunities to either acquire patents outright, or licenses to use patents, to the extent we believe such patents may be useful or relevant to our business.</w:t>
      </w:r>
    </w:p>
    <w:p>
      <w:pPr>
        <w:spacing w:after="0" w:line="18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We have filed patent and trademark applications in order to further secure these rights and strengthen our ability to defend against third parties who may infringe on our rights. We also rely on trade secrets, design and manufacturing know-how, and continuing technological innovations to maintain and improve our competitive position. Additionally, we protect our proprietary rights through agreements with our commercial partners, supply chain vendors, employees, and consultants, as well as close monitoring of the developments and products in the industry.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256"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As of December 31, 2025, we employed 254 people, of whom 228 were full-time employees. None of our employees are represented by a labor union or covered by collective bargaining agreements.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5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i w:val="1"/>
          <w:iCs w:val="1"/>
          <w:color w:val="auto"/>
        </w:rPr>
        <w:t>The following risk factors should be considered in addition to the other information, including Item 7. and Item 8. of this Annual Report on Form 10-K. The following risks could harm our business, financial condition, results of operations or reputation, which could cause our stock price to decline. Additional risks, trends and uncertainties not presently known to us or that we currently believe are immaterial may also harm our business, financial condition, results of operations or reputation. Our actual results could differ materially and adversely from those anticipated in these forward-looking statements as a result of certain factors, including those set forth below.</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 Summary</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the principal risks and uncertainties described in more detail in this Annual Report on Form 10-K:</w:t>
      </w:r>
    </w:p>
    <w:p>
      <w:pPr>
        <w:spacing w:after="0" w:line="252"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history of operating losses, and we may not be able to generate sufficient revenue to achieve and sustain profitability.</w:t>
      </w:r>
    </w:p>
    <w:p>
      <w:pPr>
        <w:spacing w:after="0" w:line="27" w:lineRule="exact"/>
        <w:rPr>
          <w:rFonts w:ascii="Times New Roman" w:cs="Times New Roman" w:eastAsia="Times New Roman" w:hAnsi="Times New Roman"/>
          <w:sz w:val="18"/>
          <w:szCs w:val="18"/>
          <w:color w:val="auto"/>
        </w:rPr>
      </w:pPr>
    </w:p>
    <w:p>
      <w:pPr>
        <w:ind w:left="660" w:right="640" w:hanging="328"/>
        <w:spacing w:after="0" w:line="250"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a small number of customers, including related parties, for a significant portion of our revenue, and our accounts receivable balances are similarly concentrated.</w:t>
      </w:r>
    </w:p>
    <w:p>
      <w:pPr>
        <w:ind w:left="660" w:right="220" w:hanging="328"/>
        <w:spacing w:after="0" w:line="250"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may depend on our ability to expand sales to customers located outside of the United States, and we may experience difficulties in collections of our accounts receivable, or other matters that could adversely affect our revenue.</w:t>
      </w: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of our next-generation chip may be delayed or may not be feasible due to financial constraints.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customer pipeline may take time to mature and may not result in revenue opportunities.</w:t>
      </w:r>
    </w:p>
    <w:p>
      <w:pPr>
        <w:spacing w:after="0" w:line="9" w:lineRule="exact"/>
        <w:rPr>
          <w:rFonts w:ascii="Times New Roman" w:cs="Times New Roman" w:eastAsia="Times New Roman" w:hAnsi="Times New Roman"/>
          <w:sz w:val="18"/>
          <w:szCs w:val="18"/>
          <w:color w:val="auto"/>
        </w:rPr>
      </w:pPr>
    </w:p>
    <w:p>
      <w:pPr>
        <w:ind w:left="660" w:right="460" w:hanging="328"/>
        <w:spacing w:after="0" w:line="260"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substantial portion of our revenue for the fiscal year ended December 31, 2025 was generated from sales of third-party hardware products. These products generally carry lower gross margins compared to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1413" w:right="339" w:bottom="1440" w:gutter="0" w:footer="0" w:header="0"/>
        </w:sectPr>
      </w:pPr>
    </w:p>
    <w:bookmarkStart w:id="11" w:name="page12"/>
    <w:bookmarkEnd w:id="11"/>
    <w:p>
      <w:pPr>
        <w:ind w:left="328" w:right="220"/>
        <w:spacing w:after="0" w:line="261" w:lineRule="auto"/>
        <w:rPr>
          <w:sz w:val="20"/>
          <w:szCs w:val="20"/>
          <w:color w:val="auto"/>
        </w:rPr>
      </w:pPr>
      <w:r>
        <w:rPr>
          <w:rFonts w:ascii="Times New Roman" w:cs="Times New Roman" w:eastAsia="Times New Roman" w:hAnsi="Times New Roman"/>
          <w:sz w:val="18"/>
          <w:szCs w:val="18"/>
          <w:color w:val="auto"/>
        </w:rPr>
        <w:t>branded offerings. As a result, our overall profitability may be adversely affected if the proportion of third-party hardware sales remains high or increases in future periods.</w:t>
      </w:r>
    </w:p>
    <w:p>
      <w:pPr>
        <w:ind w:left="328" w:right="680" w:hanging="328"/>
        <w:spacing w:after="0" w:line="250" w:lineRule="auto"/>
        <w:tabs>
          <w:tab w:leader="none" w:pos="32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partnerships with certain automotive OEMs and Tier-1 suppliers are long-term in nature, and we will not receive firm purchase order commitments until we deliver our auto-grade chip.</w:t>
      </w:r>
    </w:p>
    <w:p>
      <w:pPr>
        <w:ind w:left="328" w:right="60" w:hanging="328"/>
        <w:spacing w:after="0" w:line="250" w:lineRule="auto"/>
        <w:tabs>
          <w:tab w:leader="none" w:pos="32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revenue and operating results could be harmed if we are unable to acquire new customers, retain existing customers, or expand sales to our existing customers.</w:t>
      </w:r>
    </w:p>
    <w:p>
      <w:pPr>
        <w:ind w:left="328" w:hanging="328"/>
        <w:spacing w:after="0"/>
        <w:tabs>
          <w:tab w:leader="none" w:pos="32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successfully implement our growth strategy on a timely basis or at all.</w:t>
      </w:r>
    </w:p>
    <w:p>
      <w:pPr>
        <w:spacing w:after="0" w:line="9" w:lineRule="exact"/>
        <w:rPr>
          <w:rFonts w:ascii="Times New Roman" w:cs="Times New Roman" w:eastAsia="Times New Roman" w:hAnsi="Times New Roman"/>
          <w:sz w:val="18"/>
          <w:szCs w:val="18"/>
          <w:color w:val="auto"/>
        </w:rPr>
      </w:pPr>
    </w:p>
    <w:p>
      <w:pPr>
        <w:ind w:left="328" w:right="240" w:hanging="328"/>
        <w:spacing w:after="0" w:line="250" w:lineRule="auto"/>
        <w:tabs>
          <w:tab w:leader="none" w:pos="32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effectively develop and expand our marketing and sales capabilities could harm our ability to increase our customer base and achieve broader market acceptance of our platform and products.</w:t>
      </w:r>
    </w:p>
    <w:p>
      <w:pPr>
        <w:ind w:left="328" w:hanging="328"/>
        <w:spacing w:after="0"/>
        <w:tabs>
          <w:tab w:leader="none" w:pos="32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sales cycle with large enterprise customers can be long and unpredictable, and our sales efforts require considerable time and expense.</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offer high quality support, our business and reputation could suffer.</w:t>
      </w:r>
    </w:p>
    <w:p>
      <w:pPr>
        <w:spacing w:after="0" w:line="9" w:lineRule="exact"/>
        <w:rPr>
          <w:rFonts w:ascii="Times New Roman" w:cs="Times New Roman" w:eastAsia="Times New Roman" w:hAnsi="Times New Roman"/>
          <w:sz w:val="18"/>
          <w:szCs w:val="18"/>
          <w:color w:val="auto"/>
        </w:rPr>
      </w:pPr>
    </w:p>
    <w:p>
      <w:pPr>
        <w:ind w:left="328" w:right="160" w:hanging="328"/>
        <w:spacing w:after="0" w:line="250" w:lineRule="auto"/>
        <w:tabs>
          <w:tab w:leader="none" w:pos="32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third-party manufacturers, including Samsung Foundry and Plexus, for producing our AI chips, and in the event of a disruption in our supply chain, any efforts to develop alternative supply sources may not be successful or may take longer to take effect than anticipated.</w:t>
      </w:r>
    </w:p>
    <w:p>
      <w:pPr>
        <w:ind w:left="328" w:right="420" w:hanging="328"/>
        <w:spacing w:after="0" w:line="265" w:lineRule="auto"/>
        <w:tabs>
          <w:tab w:leader="none" w:pos="323"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fail to improve and enhance the functionality, performance, reliability, design, security and scalability of our platform and products and innovate and introduce new solutions in a manner that responds to our customers’ evolving needs, our business may be adversely affected.</w:t>
      </w:r>
    </w:p>
    <w:p>
      <w:pPr>
        <w:ind w:left="328" w:right="280" w:hanging="328"/>
        <w:spacing w:after="0" w:line="250" w:lineRule="auto"/>
        <w:tabs>
          <w:tab w:leader="none" w:pos="32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successful in driving the global deployment and customer adoption of digital offerings characterized by digital applications and solutions.</w:t>
      </w:r>
    </w:p>
    <w:p>
      <w:pPr>
        <w:ind w:left="328" w:right="700" w:hanging="328"/>
        <w:spacing w:after="0" w:line="250" w:lineRule="auto"/>
        <w:tabs>
          <w:tab w:leader="none" w:pos="32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manage our growth effectively, we may be unable to execute our business plan, maintain high levels of service and customer satisfaction or adequately address competitive challenges.</w:t>
      </w:r>
    </w:p>
    <w:p>
      <w:pPr>
        <w:ind w:left="328" w:right="280" w:hanging="328"/>
        <w:spacing w:after="0" w:line="250" w:lineRule="auto"/>
        <w:tabs>
          <w:tab w:leader="none" w:pos="32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intense competition, especially from well-established companies offering solutions and related applications. We may lack sufficient financial or other resources to maintain or improve our competitive position, which may harm our ability to add new customers, retain existing customers and grow our business.</w:t>
      </w:r>
    </w:p>
    <w:p>
      <w:pPr>
        <w:spacing w:after="0" w:line="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need to reduce or change our pricing model to remain competitive.</w:t>
      </w:r>
    </w:p>
    <w:p>
      <w:pPr>
        <w:spacing w:after="0" w:line="9" w:lineRule="exact"/>
        <w:rPr>
          <w:rFonts w:ascii="Times New Roman" w:cs="Times New Roman" w:eastAsia="Times New Roman" w:hAnsi="Times New Roman"/>
          <w:sz w:val="18"/>
          <w:szCs w:val="18"/>
          <w:color w:val="auto"/>
        </w:rPr>
      </w:pPr>
    </w:p>
    <w:p>
      <w:pPr>
        <w:ind w:left="328" w:right="800" w:hanging="328"/>
        <w:spacing w:after="0" w:line="250" w:lineRule="auto"/>
        <w:tabs>
          <w:tab w:leader="none" w:pos="32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adapt and respond effectively to rapidly changing technology, evolving industry standards, and changing customer needs or preferences, our platform and products may become less competitive.</w:t>
      </w:r>
    </w:p>
    <w:p>
      <w:pPr>
        <w:ind w:left="328" w:right="300" w:hanging="328"/>
        <w:spacing w:after="0" w:line="250" w:lineRule="auto"/>
        <w:tabs>
          <w:tab w:leader="none" w:pos="32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estimates of market opportunity and forecasts of market growth included in this Annual Report on Form 10-K may prove to be inaccurate. Even if the market in which we compete achieves the forecasted growth, our business could fail to grow at similar rates, if at all.</w:t>
      </w:r>
    </w:p>
    <w:p>
      <w:pPr>
        <w:ind w:left="328" w:right="80" w:hanging="328"/>
        <w:spacing w:after="0" w:line="250" w:lineRule="auto"/>
        <w:tabs>
          <w:tab w:leader="none" w:pos="32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software or hardware contains serious errors or defects, we may lose revenue and market acceptance and may incur costs to defend or settle claims with our customers.</w:t>
      </w:r>
    </w:p>
    <w:p>
      <w:pPr>
        <w:ind w:left="328" w:right="160" w:hanging="328"/>
        <w:spacing w:after="0" w:line="250" w:lineRule="auto"/>
        <w:tabs>
          <w:tab w:leader="none" w:pos="32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currently optimize, quantize and fine-tune existing AI models and may in the future, use and develop AI, machine learning and automated decision-making technologies throughout our business, which may expose us to certain regulatory and other risks that could adversely affect our results of operations and financial condition.</w:t>
      </w:r>
    </w:p>
    <w:p>
      <w:pPr>
        <w:spacing w:after="0" w:line="1" w:lineRule="exact"/>
        <w:rPr>
          <w:rFonts w:ascii="Times New Roman" w:cs="Times New Roman" w:eastAsia="Times New Roman" w:hAnsi="Times New Roman"/>
          <w:sz w:val="18"/>
          <w:szCs w:val="18"/>
          <w:color w:val="auto"/>
        </w:rPr>
      </w:pPr>
    </w:p>
    <w:p>
      <w:pPr>
        <w:jc w:val="both"/>
        <w:ind w:left="328" w:hanging="328"/>
        <w:spacing w:after="0" w:line="250" w:lineRule="auto"/>
        <w:tabs>
          <w:tab w:leader="none" w:pos="32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third-party data hosting and transmission services. Increases in cost, interruptions in service, latency or poor service from our third-party data center providers could impair the delivery of our platform, which could result in customer dissatisfaction, damage to our reputation, loss of customers, limited growth and reduction in revenue.</w:t>
      </w:r>
    </w:p>
    <w:p>
      <w:pPr>
        <w:spacing w:after="0" w:line="1" w:lineRule="exact"/>
        <w:rPr>
          <w:rFonts w:ascii="Times New Roman" w:cs="Times New Roman" w:eastAsia="Times New Roman" w:hAnsi="Times New Roman"/>
          <w:sz w:val="18"/>
          <w:szCs w:val="18"/>
          <w:color w:val="auto"/>
        </w:rPr>
      </w:pPr>
    </w:p>
    <w:p>
      <w:pPr>
        <w:jc w:val="both"/>
        <w:ind w:left="328" w:right="300" w:hanging="328"/>
        <w:spacing w:after="0" w:line="250" w:lineRule="auto"/>
        <w:tabs>
          <w:tab w:leader="none" w:pos="32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third-party proprietary and open source materials for our platform. Our inability to obtain third-party licenses for such materials, or obtain them on favorable terms, or any errors, bugs, defects or failures caused by such materials could adversely affect our business, results of operations and financial condition.</w:t>
      </w:r>
    </w:p>
    <w:p>
      <w:pPr>
        <w:spacing w:after="0" w:line="1" w:lineRule="exact"/>
        <w:rPr>
          <w:rFonts w:ascii="Times New Roman" w:cs="Times New Roman" w:eastAsia="Times New Roman" w:hAnsi="Times New Roman"/>
          <w:sz w:val="18"/>
          <w:szCs w:val="18"/>
          <w:color w:val="auto"/>
        </w:rPr>
      </w:pPr>
    </w:p>
    <w:p>
      <w:pPr>
        <w:ind w:left="328" w:hanging="328"/>
        <w:spacing w:after="0" w:line="250" w:lineRule="auto"/>
        <w:tabs>
          <w:tab w:leader="none" w:pos="32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use of open source software or datasets could subject us to possible litigation or cause us to subject our platform or products to unwanted open source license conditions that could negatively impact our sales.</w:t>
      </w:r>
    </w:p>
    <w:p>
      <w:pPr>
        <w:ind w:left="328" w:hanging="328"/>
        <w:spacing w:after="0"/>
        <w:tabs>
          <w:tab w:leader="none" w:pos="328"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rely on computer hardware, purchased or leased, and software licensed from and services rendered by third parties in order to run our business.</w:t>
      </w:r>
    </w:p>
    <w:p>
      <w:pPr>
        <w:spacing w:after="0" w:line="20" w:lineRule="exact"/>
        <w:rPr>
          <w:rFonts w:ascii="Times New Roman" w:cs="Times New Roman" w:eastAsia="Times New Roman" w:hAnsi="Times New Roman"/>
          <w:sz w:val="17"/>
          <w:szCs w:val="17"/>
          <w:color w:val="auto"/>
        </w:rPr>
      </w:pPr>
    </w:p>
    <w:p>
      <w:pPr>
        <w:ind w:left="328" w:hanging="328"/>
        <w:spacing w:after="0"/>
        <w:tabs>
          <w:tab w:leader="none" w:pos="32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growth depends in part on the success of our strategic relationships with third parties.</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anticipate that our operations will continue to increase in complexity as we grow, which will create management challenges.</w:t>
      </w:r>
    </w:p>
    <w:p>
      <w:pPr>
        <w:spacing w:after="0" w:line="9" w:lineRule="exact"/>
        <w:rPr>
          <w:rFonts w:ascii="Times New Roman" w:cs="Times New Roman" w:eastAsia="Times New Roman" w:hAnsi="Times New Roman"/>
          <w:sz w:val="18"/>
          <w:szCs w:val="18"/>
          <w:color w:val="auto"/>
        </w:rPr>
      </w:pPr>
    </w:p>
    <w:p>
      <w:pPr>
        <w:ind w:left="328" w:right="760" w:hanging="328"/>
        <w:spacing w:after="0" w:line="260" w:lineRule="auto"/>
        <w:tabs>
          <w:tab w:leader="none" w:pos="32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our senior management team and the loss of one or more key employees or an inability to attract and retain highly skilled employees may adversely affect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292"/>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888"/>
          </w:cols>
          <w:pgMar w:left="652" w:top="1417" w:right="359" w:bottom="1440" w:gutter="0" w:footer="0" w:header="0"/>
        </w:sectPr>
      </w:pPr>
    </w:p>
    <w:bookmarkStart w:id="12" w:name="page13"/>
    <w:bookmarkEnd w:id="12"/>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hire, retain and motivate qualified personnel, our business will suffer.</w:t>
      </w:r>
    </w:p>
    <w:p>
      <w:pPr>
        <w:spacing w:after="0" w:line="27" w:lineRule="exact"/>
        <w:rPr>
          <w:rFonts w:ascii="Times New Roman" w:cs="Times New Roman" w:eastAsia="Times New Roman" w:hAnsi="Times New Roman"/>
          <w:sz w:val="18"/>
          <w:szCs w:val="18"/>
          <w:color w:val="auto"/>
        </w:rPr>
      </w:pPr>
    </w:p>
    <w:p>
      <w:pPr>
        <w:ind w:left="328" w:right="260" w:hanging="328"/>
        <w:spacing w:after="0" w:line="250" w:lineRule="auto"/>
        <w:tabs>
          <w:tab w:leader="none" w:pos="32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maintain our corporate culture as we grow, we could lose the innovation, teamwork, passion and focus on execution that we believe contribute to our success, and our business may be harmed.</w:t>
      </w: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obligations associated with being a public company require significant resources and attention from our senior management team.</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senior management team has limited experience with the complexities of managing a publicly traded company.</w:t>
      </w:r>
    </w:p>
    <w:p>
      <w:pPr>
        <w:spacing w:after="0" w:line="9" w:lineRule="exact"/>
        <w:rPr>
          <w:rFonts w:ascii="Times New Roman" w:cs="Times New Roman" w:eastAsia="Times New Roman" w:hAnsi="Times New Roman"/>
          <w:sz w:val="18"/>
          <w:szCs w:val="18"/>
          <w:color w:val="auto"/>
        </w:rPr>
      </w:pPr>
    </w:p>
    <w:p>
      <w:pPr>
        <w:jc w:val="both"/>
        <w:ind w:left="328" w:right="60" w:hanging="328"/>
        <w:spacing w:after="0" w:line="265" w:lineRule="auto"/>
        <w:tabs>
          <w:tab w:leader="none" w:pos="323"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fail to execute invention assignment agreements with our employees and contractors involved in the development of intellectual property or are unable to protect the confidentiality of our trade secrets, the value of our products and our business and competitive position could be harmed.</w:t>
      </w:r>
    </w:p>
    <w:p>
      <w:pPr>
        <w:ind w:left="328" w:right="620" w:hanging="328"/>
        <w:spacing w:after="0" w:line="250" w:lineRule="auto"/>
        <w:tabs>
          <w:tab w:leader="none" w:pos="32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incur substantial costs in protecting or defending our proprietary rights. Failure to adequately protect our rights could impair our competitive position and we could lose valuable assets, experience reduced revenue and incur costly litigation.</w:t>
      </w:r>
    </w:p>
    <w:p>
      <w:pPr>
        <w:ind w:left="328" w:right="80" w:hanging="328"/>
        <w:spacing w:after="0" w:line="250" w:lineRule="auto"/>
        <w:tabs>
          <w:tab w:leader="none" w:pos="32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general, we are subject to various laws and regulations in the U.S. and internationally, which may expose us to liability, increased costs or have other adverse effects that could harm our business.</w:t>
      </w:r>
    </w:p>
    <w:p>
      <w:pPr>
        <w:ind w:left="328" w:hanging="328"/>
        <w:spacing w:after="0" w:line="250" w:lineRule="auto"/>
        <w:tabs>
          <w:tab w:leader="none" w:pos="32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financial and economic sanctions, export controls and similar laws, and non-compliance with such laws can subject us to administrative, civil, and criminal fines and penalties, collateral consequences, remedial measures and legal expenses, all of which could adversely affect our business, results of operations, financial condition and reputation.</w:t>
      </w:r>
    </w:p>
    <w:p>
      <w:pPr>
        <w:spacing w:after="0" w:line="1" w:lineRule="exact"/>
        <w:rPr>
          <w:rFonts w:ascii="Times New Roman" w:cs="Times New Roman" w:eastAsia="Times New Roman" w:hAnsi="Times New Roman"/>
          <w:sz w:val="18"/>
          <w:szCs w:val="18"/>
          <w:color w:val="auto"/>
        </w:rPr>
      </w:pPr>
    </w:p>
    <w:p>
      <w:pPr>
        <w:ind w:left="328" w:right="420" w:hanging="328"/>
        <w:spacing w:after="0" w:line="250" w:lineRule="auto"/>
        <w:tabs>
          <w:tab w:leader="none" w:pos="32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conduct a portion of our business with third-party ecosystem partners to provide defensive solutions that incorporate our products to various foreign and domestic government agencies, which are subject to unique risks.</w:t>
      </w:r>
    </w:p>
    <w:p>
      <w:pPr>
        <w:ind w:left="328" w:right="40" w:hanging="328"/>
        <w:spacing w:after="0" w:line="250" w:lineRule="auto"/>
        <w:tabs>
          <w:tab w:leader="none" w:pos="32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anti-corruption, anti-bribery, anti-money laundering and similar laws. Non-compliance with such laws can subject us to criminal and/or civil liability and harm our business.</w:t>
      </w:r>
    </w:p>
    <w:p>
      <w:pPr>
        <w:ind w:left="328" w:right="60" w:hanging="328"/>
        <w:spacing w:after="0" w:line="250" w:lineRule="auto"/>
        <w:tabs>
          <w:tab w:leader="none" w:pos="32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process proprietary, confidential and personal information which may subject us to certain laws or other obligations regarding the privacy and security of such information. If we fail to comply with applicable laws or obligations, or if the confidentiality, integrity, or availability of this information or our information technology systems is compromised, our reputation may be harmed and we may be exposed to liability and loss of business.</w:t>
      </w:r>
    </w:p>
    <w:p>
      <w:pPr>
        <w:spacing w:after="0" w:line="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substantial doubt about our ability to continue as a going concern.</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controls may limit our ability to access or repatriate funds.</w:t>
      </w:r>
    </w:p>
    <w:p>
      <w:pPr>
        <w:spacing w:after="0" w:line="9" w:lineRule="exact"/>
        <w:rPr>
          <w:rFonts w:ascii="Times New Roman" w:cs="Times New Roman" w:eastAsia="Times New Roman" w:hAnsi="Times New Roman"/>
          <w:sz w:val="18"/>
          <w:szCs w:val="18"/>
          <w:color w:val="auto"/>
        </w:rPr>
      </w:pPr>
    </w:p>
    <w:p>
      <w:pPr>
        <w:ind w:left="328" w:right="200" w:hanging="328"/>
        <w:spacing w:after="0" w:line="250" w:lineRule="auto"/>
        <w:tabs>
          <w:tab w:leader="none" w:pos="32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issuances of shares of our common stock or other securities convertible into our common stock could cause the market value of shares of our common stock to decline and could result in dilution of your shares.</w:t>
      </w:r>
    </w:p>
    <w:p>
      <w:pPr>
        <w:ind w:left="328" w:right="60" w:hanging="328"/>
        <w:spacing w:after="0" w:line="250" w:lineRule="auto"/>
        <w:tabs>
          <w:tab w:leader="none" w:pos="32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meet the continued listing standards of the Nasdaq from time to time. This could result in our common stock being delisted from the exchange.</w:t>
      </w: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Activist shareholders could disrupt our operations, cause uncertainty, and adversely affect our business and stock price.</w:t>
      </w:r>
    </w:p>
    <w:p>
      <w:pPr>
        <w:spacing w:after="0" w:line="9" w:lineRule="exact"/>
        <w:rPr>
          <w:rFonts w:ascii="Times New Roman" w:cs="Times New Roman" w:eastAsia="Times New Roman" w:hAnsi="Times New Roman"/>
          <w:sz w:val="18"/>
          <w:szCs w:val="18"/>
          <w:color w:val="auto"/>
        </w:rPr>
      </w:pPr>
    </w:p>
    <w:p>
      <w:pPr>
        <w:ind w:left="328" w:right="220" w:hanging="328"/>
        <w:spacing w:after="0" w:line="250" w:lineRule="auto"/>
        <w:tabs>
          <w:tab w:leader="none" w:pos="32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intend to pay dividends on our common stock for the foreseeable future, and investors should plan to rely on stock price appreciation for a return on their investment.</w:t>
      </w:r>
    </w:p>
    <w:p>
      <w:pPr>
        <w:ind w:left="328" w:right="60" w:hanging="328"/>
        <w:spacing w:after="0" w:line="250" w:lineRule="auto"/>
        <w:tabs>
          <w:tab w:leader="none" w:pos="32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timely raise capital in the future may be limited, or may be unavailable on acceptable terms, if at all, and we cannot be certain when or if our operations will generate sufficient cash to fund our ongoing operations or the growth of our business.</w:t>
      </w:r>
    </w:p>
    <w:p>
      <w:pPr>
        <w:ind w:left="328" w:right="160" w:hanging="328"/>
        <w:spacing w:after="0" w:line="250" w:lineRule="auto"/>
        <w:tabs>
          <w:tab w:leader="none" w:pos="32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not possible to predict the actual number of shares we will sell to B. Riley under the Committed Equity Facility, or the actual gross proceeds resulting from those sales. Further, we may not have access to the full amount available under the Committed Equity Facility.</w:t>
      </w:r>
    </w:p>
    <w:p>
      <w:pPr>
        <w:ind w:left="328" w:right="40" w:hanging="328"/>
        <w:spacing w:after="0" w:line="250" w:lineRule="auto"/>
        <w:tabs>
          <w:tab w:leader="none" w:pos="32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Some provisions of Delaware law and our certificate of incorporation and bylaws may deter third parties from acquiring us and diminish the value of our common stock.</w:t>
      </w: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Macroeconomic conditions could materially adversely affect our business, financial condition, results of operations, and prospects.</w:t>
      </w:r>
    </w:p>
    <w:p>
      <w:pPr>
        <w:spacing w:after="0" w:line="9" w:lineRule="exact"/>
        <w:rPr>
          <w:rFonts w:ascii="Times New Roman" w:cs="Times New Roman" w:eastAsia="Times New Roman" w:hAnsi="Times New Roman"/>
          <w:sz w:val="18"/>
          <w:szCs w:val="18"/>
          <w:color w:val="auto"/>
        </w:rPr>
      </w:pPr>
    </w:p>
    <w:p>
      <w:pPr>
        <w:ind w:left="328" w:right="120" w:hanging="328"/>
        <w:spacing w:after="0" w:line="250" w:lineRule="auto"/>
        <w:tabs>
          <w:tab w:leader="none" w:pos="32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supply chain and production process may be affected by tariffs on equipment or materials that we may rely on or use for our products, which could also cause our costs to increase.</w:t>
      </w:r>
    </w:p>
    <w:p>
      <w:pPr>
        <w:ind w:left="328" w:right="20" w:hanging="328"/>
        <w:spacing w:after="0" w:line="260" w:lineRule="auto"/>
        <w:tabs>
          <w:tab w:leader="none" w:pos="32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Reports published by analysts, including projections in those reports that differ from our actual results, could adversely affect the price and trading volume of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292"/>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888"/>
          </w:cols>
          <w:pgMar w:left="652" w:top="1417" w:right="359" w:bottom="1440" w:gutter="0" w:footer="0" w:header="0"/>
        </w:sectPr>
      </w:pPr>
    </w:p>
    <w:bookmarkStart w:id="13" w:name="page14"/>
    <w:bookmarkEnd w:id="13"/>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actual operating results may differ significantly from any guidance that we may provide.</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litigation, claims, investigations, and regulatory actions from time to time.</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Business and Industry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 history of operating losses, and we may not be able to generate sufficient revenue to achieve and sustain profitability.</w:t>
      </w:r>
    </w:p>
    <w:p>
      <w:pPr>
        <w:spacing w:after="0" w:line="25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have not yet achieved profitability. During the years ended December 31, 2025 and 2024, we incurred losses from operations of $103.8 million and $47.6 million, respectively, and used cash in operating activities of $73.8 million and $53.5 million, respectively. In 2025, our revenue was substantially comprised of sales of third-party hardware which supports our hardware products, certain of our hardware products, and our software products. In 2024, our revenue was substantially attributed to NRE engagements with automotive partners. We intend to continue investing heavily in sales and marketing efforts, but we may not be able to sustain or increase our growth or achieve profitability in the future. In addition, we expect to incur significant additional legal, accounting and other expenses related to us being a public company as compared to when we were a private company. While our revenue has grown in recent years, if our revenue declines or fails to grow at a rate faster than these increases in our operating expenses, we will not be able to achieve and maintain profitability in future periods. As a result, we may continue to generate losses. We cannot assure you that we will achieve profitability in the future or that, if we do become profitable, we will be able to sustain profitability.</w:t>
      </w:r>
    </w:p>
    <w:p>
      <w:pPr>
        <w:spacing w:after="0" w:line="211"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a small number of customers, including related parties, for a significant portion of our revenue, and our accounts receivable balances are similarly concentrated.</w:t>
      </w:r>
    </w:p>
    <w:p>
      <w:pPr>
        <w:spacing w:after="0" w:line="18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 relatively small number of customers currently account for, and have historically accounted for, a significant portion of our revenue and accounts receivable balance. This customer concentration exposes us to a material adverse effect if any of these significant customers, for any reason, were to significantly reduce purchases, or favor competitors or new market participants. We can provide no assurance that any of these significant customers, or any of our other customers, will continue to utilize our products or services at current levels. Our customer concentration may also subject us to perceived or actual bargaining leverage that our significant customers may have, given their importance to us. If our significant customers seek to renegotiate their agreements on terms that are less favorable to us, and we accept such unfavorable terms, such unfavorable terms may have a material adverse effect on our business, results of operations and financial condition. Furthermore, industry consolidation and company failures could decrease the number of potential customers for our products and services. A decrease in the number of potential customers will increase our reliance on our current significant customers and, due to their relative importance to us, may further negatively impact our bargaining position with them, and thus our profitability. If we were to lose one or more of our significant customers, or have one or more of our significant customers cancel key programs or otherwise significantly reduce their volumes of business with us, or if one or more of our significant customer were to fail to pay us in full for the goods and services purchased from us, our sales and profitability would be materially reduced and our business and financial condition would be seriously harmed.</w:t>
      </w:r>
    </w:p>
    <w:p>
      <w:pPr>
        <w:spacing w:after="0" w:line="213" w:lineRule="exact"/>
        <w:rPr>
          <w:sz w:val="20"/>
          <w:szCs w:val="20"/>
          <w:color w:val="auto"/>
        </w:rPr>
      </w:pPr>
    </w:p>
    <w:p>
      <w:pPr>
        <w:ind w:right="560"/>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Our business may depend on our ability to expand sales to customers located outside of the United States, and we may experience difficulties in collections of our accounts receivable, or other matters that could adversely affect our revenue.</w:t>
      </w:r>
    </w:p>
    <w:p>
      <w:pPr>
        <w:spacing w:after="0" w:line="1"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8"/>
          <w:szCs w:val="18"/>
          <w:color w:val="auto"/>
        </w:rPr>
        <w:t>A substantial part of our sales is outside of the United States and some of our customers have some or all of their operations in countries other than the United States. Customers located in these markets can present unique challenges compared to other markets, including longer payment cycles, difficulties in enforcing agreements and collecting payments due to us through certain foreign legal systems, higher credit risk, and fluctuations in the timing and amount of purchase orders. For example, several of our current customers have payment practices and may have payment terms that are longer than customary in the United States, which has delayed, and may in the future continue to delay, our ability to collect amounts due to us. Problems with collections from, or sales to, any one of those customers could materially and adversely affect our revenues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60"/>
          </w:cols>
          <w:pgMar w:left="320" w:top="1417" w:right="41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i w:val="1"/>
          <w:iCs w:val="1"/>
          <w:color w:val="auto"/>
        </w:rPr>
        <w:t>Development of our next-generation chip may be delayed or may not be feasible due to financial constraints.</w:t>
      </w:r>
    </w:p>
    <w:p>
      <w:pPr>
        <w:spacing w:after="0" w:line="25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Development of silicon chip products is a highly complex process involving specialized third-party partners, and we cannot guarantee that any next-generation chip will initially perform as designed. Additionally, we may encounter unforeseen operating expenses, difficulties, complications, delays, and other unknown factors that may result in losses in future periods. If these losses exceed our expectations or our revenue growth expectations are not met in future periods, our financial performance will be harmed.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customer pipeline may take time to mature and may not result in revenue opportunities.</w:t>
      </w:r>
    </w:p>
    <w:p>
      <w:pPr>
        <w:spacing w:after="0" w:line="256"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In recent years, we have developed a customer pipeline and expect the delivery of our hardware and software solutions based on our production chip that came to market at the end of 2022. This pipeline may not convert in the timeline we expect or at all. In future periods, we may not be able to sustain customer pipeline growth consistent with recent history, or at all. The conversion of our pipeline is also not guaranteed as there are several external dependencies that we do not control, before a customer or end customer is ready to deploy AI solutions. Furthermore, we believe our revenue growth depends on a number of factors, including our ability to:</w:t>
      </w:r>
    </w:p>
    <w:p>
      <w:pPr>
        <w:spacing w:after="0" w:line="210"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ecosystem of partners for hardware and software solutions;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new customers and retain and increase sales to existing customers;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and expand our relationships with our customers;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our existing platform and products, introduce new functionality to our platform and develop new products;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into new market segments and internationally;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secure long-term revenue commitments from automotive OEMs and Tier-1 suppliers.</w:t>
      </w:r>
    </w:p>
    <w:p>
      <w:pPr>
        <w:spacing w:after="0" w:line="23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may not accomplish any of these objectives and, as a result, it is difficult for us to forecast our future revenue or revenue growth. If our assumptions are incorrect or change in reaction to changes in our market, or if we are unable to maintain consistent revenue or revenue growth, our stock price could be volatile, and it may be difficult to achieve and maintain profitability. You should not rely on our revenue for any prior periods as any indication of our future revenue or revenue growth.</w:t>
      </w:r>
    </w:p>
    <w:p>
      <w:pPr>
        <w:spacing w:after="0" w:line="203"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 substantial portion of our revenue for the fiscal year ended December 31, 2025 was generated from sales of third-party hardware products. These products generally carry lower gross margins compared to our branded offerings. As a result, our overall profitability may be adversely affected if the proportion of third-party hardware sales remains high or increases in future periods.</w:t>
      </w:r>
    </w:p>
    <w:p>
      <w:pPr>
        <w:spacing w:after="0" w:line="202"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Our business strategy has historically emphasized both our strategic consulting services and the development, marketing, and sale of our branded AI chip products, which typically yield higher margins due to proprietary technology and value-added features. However, competitive pressures and supply chain considerations have led to a shift in our sales mix. If we are unable to successfully promote and sell our own branded products, or if market conditions continue to favor third-party hardware, our gross margin and net income could decline.</w:t>
      </w:r>
    </w:p>
    <w:p>
      <w:pPr>
        <w:spacing w:after="0" w:line="207" w:lineRule="exact"/>
        <w:rPr>
          <w:sz w:val="20"/>
          <w:szCs w:val="20"/>
          <w:color w:val="auto"/>
        </w:rPr>
      </w:pPr>
    </w:p>
    <w:p>
      <w:pPr>
        <w:jc w:val="both"/>
        <w:ind w:right="280"/>
        <w:spacing w:after="0" w:line="261" w:lineRule="auto"/>
        <w:rPr>
          <w:sz w:val="20"/>
          <w:szCs w:val="20"/>
          <w:color w:val="auto"/>
        </w:rPr>
      </w:pPr>
      <w:r>
        <w:rPr>
          <w:rFonts w:ascii="Times New Roman" w:cs="Times New Roman" w:eastAsia="Times New Roman" w:hAnsi="Times New Roman"/>
          <w:sz w:val="18"/>
          <w:szCs w:val="18"/>
          <w:color w:val="auto"/>
        </w:rPr>
        <w:t>Additionally, reliance on third-party hardware exposes us to risks related to supplier relationships, product quality, and inventory management. We may have limited control over pricing, product availability, and warranty terms, which could further impact our financial results. If we are unable to mitigate these risks or improve the margin profile of our sales mix, our business, financial condition, and results of operations could be materially and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00"/>
          </w:cols>
          <w:pgMar w:left="320" w:top="1413" w:right="379" w:bottom="1440" w:gutter="0" w:footer="0" w:header="0"/>
        </w:sectPr>
      </w:pPr>
    </w:p>
    <w:bookmarkStart w:id="15" w:name="page16"/>
    <w:bookmarkEnd w:id="15"/>
    <w:p>
      <w:pPr>
        <w:ind w:right="9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partnerships with certain automotive OEMs and Tier-1 suppliers are long-term in nature, and we will not receive firm purchase order commitments until we deliver our automotive-grade chip.</w:t>
      </w:r>
    </w:p>
    <w:p>
      <w:pPr>
        <w:spacing w:after="0" w:line="186"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We have been working with automotive partners for several years and secured long-term joint development agreements for expected revenue predicated upon us delivering automotive-grade chips to these partners. The nature of Advanced Driving Assistance Systems (“ADAS”) is still evolving with OEMs continuing to develop their strategies. We believe that our technology is well positioned to be a key contributor in the solutions that are adopted but we do not control the pace at which the industry is moving to deploy ADAS of increasing complexity into their vehicles. We have not yet entered into any contractual arrangements for any ADAS solutions with any automotive partners based on our technology. This technology is not expected to be in production until 2028 or later.</w:t>
      </w:r>
    </w:p>
    <w:p>
      <w:pPr>
        <w:spacing w:after="0" w:line="214"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Our ability to continue to invest in developing automotive-grade chips and software depends upon having access to a large amount of capital that is expected to be sourced from revenues into other non-automotive markets, based on our current set of products. A shortfall in those revenues will significantly impact our automotive roadmap and automotive OEMs and Tier-1 and Tier-2 partners may choose to adopt competing technologies. If this occurs, it will be extremely difficult to retain our specialist automotive skills and there is a high risk of losing that expertise altogether.</w:t>
      </w:r>
    </w:p>
    <w:p>
      <w:pPr>
        <w:spacing w:after="0" w:line="203"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future revenue and operating results could be harmed if we are unable to acquire new customers, retain existing customers, or expand sales to our existing customers.</w:t>
      </w:r>
    </w:p>
    <w:p>
      <w:pPr>
        <w:spacing w:after="0" w:line="18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majority of revenues that we have generated to date are through sales of third-party hardware and paid proof-of-concepts or NRE concepts. Our ability to increase revenue also depends, in part, on our ability to retain existing customers and to sell additional functionality and adjacent products and services to our existing and new customers. In order for us to maintain or improve our results of operations, it is important that our customers renew their contracts with us on the same or more favorable terms to us, and increase the proportion of our complementary products in relation to other hardware sales such as servers sourced from third parties. Our ability to increase sales to existing customers and prospective customers depends on several factors, including their experience with using our products and our pricing model.</w:t>
      </w:r>
    </w:p>
    <w:p>
      <w:pPr>
        <w:spacing w:after="0" w:line="214" w:lineRule="exact"/>
        <w:rPr>
          <w:sz w:val="20"/>
          <w:szCs w:val="20"/>
          <w:color w:val="auto"/>
        </w:rPr>
      </w:pPr>
    </w:p>
    <w:p>
      <w:pPr>
        <w:ind w:right="480"/>
        <w:spacing w:after="0" w:line="266" w:lineRule="auto"/>
        <w:rPr>
          <w:sz w:val="20"/>
          <w:szCs w:val="20"/>
          <w:color w:val="auto"/>
        </w:rPr>
      </w:pPr>
      <w:r>
        <w:rPr>
          <w:rFonts w:ascii="Times New Roman" w:cs="Times New Roman" w:eastAsia="Times New Roman" w:hAnsi="Times New Roman"/>
          <w:sz w:val="18"/>
          <w:szCs w:val="18"/>
          <w:color w:val="auto"/>
        </w:rPr>
        <w:t>Our ability to generate revenue may be inconsistent across small and midsize businesses, mid-market, and large enterprise customers, including government agencies, both foreign and domestic. If we experience limited or inconsistent growth in any of these customer sets, particularly our large enterprise customers, our business, financial condition and operating results could be adversely affected.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successfully implement our growth strategy on a timely basis or at all.</w:t>
      </w:r>
    </w:p>
    <w:p>
      <w:pPr>
        <w:spacing w:after="0" w:line="256"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Our future growth, profitability and cash flows depend upon our ability to successfully implement our growth strategy, which, in turn, is dependent upon a number of factors, including our ability to:</w:t>
      </w:r>
    </w:p>
    <w:p>
      <w:pPr>
        <w:spacing w:after="0" w:line="189"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eco-system of partners for hardware and software solutions;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 our current customer base;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new customers;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scale our business model;</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customer base and customer location footprint;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ensure a consistent and timely supply chain;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presence within verticals;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innovate our product offerings;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selectively pursue strategic and value-enhancing acquisitions.</w:t>
      </w:r>
    </w:p>
    <w:p>
      <w:pPr>
        <w:spacing w:after="0" w:line="234" w:lineRule="exact"/>
        <w:rPr>
          <w:sz w:val="20"/>
          <w:szCs w:val="20"/>
          <w:color w:val="auto"/>
        </w:rPr>
      </w:pPr>
    </w:p>
    <w:p>
      <w:pPr>
        <w:ind w:right="500"/>
        <w:spacing w:after="0" w:line="266" w:lineRule="auto"/>
        <w:rPr>
          <w:sz w:val="20"/>
          <w:szCs w:val="20"/>
          <w:color w:val="auto"/>
        </w:rPr>
      </w:pPr>
      <w:r>
        <w:rPr>
          <w:rFonts w:ascii="Times New Roman" w:cs="Times New Roman" w:eastAsia="Times New Roman" w:hAnsi="Times New Roman"/>
          <w:sz w:val="18"/>
          <w:szCs w:val="18"/>
          <w:color w:val="auto"/>
        </w:rPr>
        <w:t>We may not be able to successfully achieve any or all of the above initiatives in the manner or time period that we expect. Further, achieving these objectives will require investments which may result in short-term costs without generating any current revenue and therefore may be dilutive to our earnings. We may not be able to realize, in full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00"/>
          </w:cols>
          <w:pgMar w:left="320" w:top="1413" w:right="379" w:bottom="1440" w:gutter="0" w:footer="0" w:header="0"/>
        </w:sectPr>
      </w:pPr>
    </w:p>
    <w:bookmarkStart w:id="16" w:name="page17"/>
    <w:bookmarkEnd w:id="16"/>
    <w:p>
      <w:pPr>
        <w:ind w:right="440"/>
        <w:spacing w:after="0" w:line="282" w:lineRule="auto"/>
        <w:rPr>
          <w:sz w:val="20"/>
          <w:szCs w:val="20"/>
          <w:color w:val="auto"/>
        </w:rPr>
      </w:pPr>
      <w:r>
        <w:rPr>
          <w:rFonts w:ascii="Times New Roman" w:cs="Times New Roman" w:eastAsia="Times New Roman" w:hAnsi="Times New Roman"/>
          <w:sz w:val="18"/>
          <w:szCs w:val="18"/>
          <w:color w:val="auto"/>
        </w:rPr>
        <w:t>or in part, the anticipated benefits we expect our strategy will achieve. The failure to realize those benefits could have a material adverse effect on our business, financial condition and results of operations.</w:t>
      </w:r>
    </w:p>
    <w:p>
      <w:pPr>
        <w:spacing w:after="0" w:line="185"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effectively develop and expand our marketing and sales capabilities could harm our ability to increase our customer base and achieve broader market acceptance of our platform and products.</w:t>
      </w:r>
    </w:p>
    <w:p>
      <w:pPr>
        <w:spacing w:after="0" w:line="18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ability to increase our customer base and achieve broader market acceptance of our platform and products will depend on our ability to expand our marketing and sales operations. We plan to continue increasing the size of our sales force. We also plan to dedicate significant resources to sales and marketing programs, including developing an extensive third-party partner ecosystem. Our business and operating results will be harmed if our sales and marketing efforts do not generate a corresponding increase in revenue. We may not achieve anticipated revenue growth from increasing the size of our sales force if we are unable to hire, develop, and retain talented sales personnel, if our new sales personnel are unable to achieve desired productivity levels in a reasonable period of time, or if our sales and marketing programs are not effective.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sales cycle with large enterprise customers can be long and unpredictable, and our sales efforts require considerable time and expense.</w:t>
      </w:r>
    </w:p>
    <w:p>
      <w:pPr>
        <w:spacing w:after="0" w:line="256"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timing of our sales with our large enterprise customers and related revenue recognition is difficult to predict because of the length and unpredictability of the sales cycle for these customers. Large enterprise customers, particularly those in highly regulated industries and those requiring customized applications, may have a lengthy sales cycle for the evaluation and implementation of our platform and/or sales of products. This may cause a delay between increasing operating expenses for such sales efforts and, upon successful sales, the generation of corresponding revenue.</w:t>
      </w:r>
    </w:p>
    <w:p>
      <w:pPr>
        <w:spacing w:after="0" w:line="20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Customers often view our platform and products as a strategic decision with significant investment. As a result, customers frequently require considerable time to evaluate, test, and qualify our platform and products prior to entering into or expanding a subscription or purchase order. During the sales cycle, we expend significant time and money on sales and marketing and contract negotiation activities, which may not result in a sale. Additional factors that may influence the length and variability of our sales cycle include:</w:t>
      </w:r>
    </w:p>
    <w:p>
      <w:pPr>
        <w:spacing w:after="0" w:line="207"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sales force as we hire and train our new salespeople to sell to large enterprise customers;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discretionary nature of purchasing and budget cycles and decisions;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obstacles placed by customers’ procurement process;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conditions and other factors impacting customer budgets;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customers’ integration complexity;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customers’ familiarity with edge computing solutions;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customers’ evaluation of competing products during the purchasing process;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evolving customer demands;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adoption and implementation of regulations that affect our ability to obtain customers in certain regions of the world outside of the U.S.;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adoption and implementation of regulations within the U.S. that impose supply chain and manufacturing location restrictions.</w:t>
      </w:r>
    </w:p>
    <w:p>
      <w:pPr>
        <w:spacing w:after="0" w:line="234"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Given these factors, it is difficult to predict whether and when a sale will be completed, and when revenue from a sale will be recognized. Consequently, a shortfall in demand for our platform and products or a decline in new or renewed contracts in a given period may not significantly reduce our revenue for that period but could negatively affect our revenue in future periods.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we fail to maintain or grow our brand recognition, our ability to expand our customer base will be impaired and our financial condition may suffer.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40"/>
          </w:cols>
          <w:pgMar w:left="320" w:top="1417" w:right="339" w:bottom="1440" w:gutter="0" w:footer="0" w:header="0"/>
        </w:sectPr>
      </w:pPr>
    </w:p>
    <w:bookmarkStart w:id="17" w:name="page18"/>
    <w:bookmarkEnd w:id="17"/>
    <w:p>
      <w:pPr>
        <w:ind w:right="20"/>
        <w:spacing w:after="0" w:line="254" w:lineRule="auto"/>
        <w:rPr>
          <w:sz w:val="20"/>
          <w:szCs w:val="20"/>
          <w:color w:val="auto"/>
        </w:rPr>
      </w:pPr>
      <w:r>
        <w:rPr>
          <w:rFonts w:ascii="Times New Roman" w:cs="Times New Roman" w:eastAsia="Times New Roman" w:hAnsi="Times New Roman"/>
          <w:sz w:val="18"/>
          <w:szCs w:val="18"/>
          <w:color w:val="auto"/>
        </w:rPr>
        <w:t>We believe maintaining and growing our brand is important to supporting continued acceptance of our existing and future solutions, attracting new customers to our platform and products, and retaining existing customers. We also believe that the importance of brand recognition will increase as competition in our market increases. Successfully maintaining our brand will depend largely on the effectiveness of our marketing efforts, our ability to provide a reliable and useful platform and products to meet the needs of our customers at competitive prices, our ability to maintain our customers’ trust, our ability to continue to develop new functionality and solutions and our ability to successfully differentiate our platform and products. Brand promotion activities may not generate customer awareness or yield increased revenue. Even if they do, any increased revenue may not offset the expenses we incurred in building our brand. If we fail to successfully promote and maintain our brand, we may fail to attract enough new customers or retain our existing customers to realize a sufficient return on our brand-building efforts, and our business could suffer.</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offer high quality support, our business and reputation could suffer.</w:t>
      </w:r>
    </w:p>
    <w:p>
      <w:pPr>
        <w:spacing w:after="0" w:line="25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customers rely on our personnel for support related to our subscription and customer solutions. High-quality support is important for the renewal and expansion of our agreements with existing customers. The importance of high-quality support will increase as we expand our business and pursue new customers, particularly large enterprise customers. If we do not help our customers quickly resolve issues and provide effective ongoing support, our ability to sell new software to existing and new customers could suffer and our reputation with existing or potential customers could be harmed. In many cases, we will rely upon third-party partners to provide first-line support.</w:t>
      </w:r>
    </w:p>
    <w:p>
      <w:pPr>
        <w:spacing w:after="0" w:line="210"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Our inability to hire technical support staff in a timely manner, whether due to market conditions or our own budget constraints, would also affect the quality of support for our customers and partners and could potentially result in business and reputational harms.</w:t>
      </w:r>
    </w:p>
    <w:p>
      <w:pPr>
        <w:spacing w:after="0" w:line="185"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timely supply of materials sourced from a limited number of suppliers, and are directly impacted by unexpected delays or problems from our third-party manufacturers.</w:t>
      </w:r>
    </w:p>
    <w:p>
      <w:pPr>
        <w:spacing w:after="0" w:line="186" w:lineRule="exact"/>
        <w:rPr>
          <w:sz w:val="20"/>
          <w:szCs w:val="20"/>
          <w:color w:val="auto"/>
        </w:rPr>
      </w:pPr>
    </w:p>
    <w:p>
      <w:pPr>
        <w:ind w:right="220"/>
        <w:spacing w:after="0" w:line="289" w:lineRule="auto"/>
        <w:rPr>
          <w:sz w:val="20"/>
          <w:szCs w:val="20"/>
          <w:color w:val="auto"/>
        </w:rPr>
      </w:pPr>
      <w:r>
        <w:rPr>
          <w:rFonts w:ascii="Times New Roman" w:cs="Times New Roman" w:eastAsia="Times New Roman" w:hAnsi="Times New Roman"/>
          <w:sz w:val="17"/>
          <w:szCs w:val="17"/>
          <w:color w:val="auto"/>
        </w:rPr>
        <w:t>Any disruption in the supply chain, such as shortages, unexpected delays or price increases, could significantly impact our manufacturing process and financial stability. Additionally, we are highly dependent on third-party manufacturers for complex processes like wafer fabrication and assembly; therefore, any problems or unexpected delays from these third-party manufacturers could also negatively impact our business and financial performance.</w:t>
      </w:r>
    </w:p>
    <w:p>
      <w:pPr>
        <w:spacing w:after="0" w:line="18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Further, we rely on certain external partners for critical manufacturing steps, including our wafer fabrication and assembly and testing processes which exposes us to significant risks. These processes are highly sensitive, and even minor contamination or technical glitches during wafer fabrication can render a substantial portion of the component unusable. Identifying such problems early in the production cycle and resolving them in a timely manner is often difficult, expensive and time consuming. Therefore, any issues that arise from our third-party chip manufacturers could lead to production delays, increased costs, and could potentially lead to a compromise in the quality and performance of our products, which could significantly impact our business and financial results.</w:t>
      </w:r>
    </w:p>
    <w:p>
      <w:pPr>
        <w:spacing w:after="0" w:line="210"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third-party manufacturers, including Samsung Foundry and Plexus, for producing our AI chips, and in the event of a disruption in our supply chain, any efforts to develop alternative supply sources may not be successful or may take longer to take effect than anticipated.</w:t>
      </w:r>
    </w:p>
    <w:p>
      <w:pPr>
        <w:spacing w:after="0" w:line="18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As a fabless company, we do not manufacture our own semiconductor or SoC products and currently rely on third-party manufacturers, including Samsung Foundry and Plexus, to produce our products. Additionally, we have a design, manufacturing and sales agreement with VeriSilicon, Inc. (“VeriSilicon”) that provides us with design expertise, support and assistance, and certain deliverables, prototypes, products and services from VeriSilicon. We cannot be sure that these manufacturers will remain in business, or that they will not be purchased by one of our competitors or another company that is not interested in continuing to produce these products for our intended purpose. Our reliance on these third-party manufacturers subjects us to a number of risks that include, among other things: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220"/>
          </w:cols>
          <w:pgMar w:left="320" w:top="1417" w:right="359" w:bottom="1440" w:gutter="0" w:footer="0" w:header="0"/>
        </w:sectPr>
      </w:pPr>
    </w:p>
    <w:bookmarkStart w:id="18" w:name="page19"/>
    <w:bookmarkEnd w:id="18"/>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interruption of supply resulting from modifications to or discontinuation of a manufacturer’s operations;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product shipments resulting from uncorrected defects, reliability issues or a manufacturer’s variation in a component;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lack of long-term supply arrangements with our manufacturers;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delay in delivery due to its suppliers’ prioritizing other customer orders over ours;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to our reputation caused by defective products produced by our suppliers;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 in delivery by our suppliers due to changes in demand from our or their other customers;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interruptions, shortages, delivery delays and potential discontinuation of supply as a result of any reasons outside our control;</w:t>
      </w:r>
    </w:p>
    <w:p>
      <w:pPr>
        <w:spacing w:after="0" w:line="9" w:lineRule="exact"/>
        <w:rPr>
          <w:rFonts w:ascii="Times New Roman" w:cs="Times New Roman" w:eastAsia="Times New Roman" w:hAnsi="Times New Roman"/>
          <w:sz w:val="18"/>
          <w:szCs w:val="18"/>
          <w:color w:val="auto"/>
        </w:rPr>
      </w:pPr>
    </w:p>
    <w:p>
      <w:pPr>
        <w:ind w:left="660" w:right="40" w:hanging="328"/>
        <w:spacing w:after="0" w:line="250"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legal and economic changes, crises or instability and civil unrest in the jurisdictions where our manufacturers’ plants are located, such as changes in China-Taiwan relations that may adversely affect our manufacturers’ and suppliers’ operations;</w:t>
      </w: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conversion risks and exchange rate fluctuations;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requirements of U.S. customs and international trade regulations.</w:t>
      </w:r>
    </w:p>
    <w:p>
      <w:pPr>
        <w:spacing w:after="0" w:line="23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Although our semiconductor or SoC products could be produced by other manufacturers, any attempt to transition our supply arrangement to one or more other manufacturers could entail significant coordination and expense and could lead to delays in production. If we are unable to arrange for sufficient production capacity among our contract manufacturers or if our contract manufacturers encounter production, quality, financial, or other difficulties, we may encounter difficulty in meeting customer demands as it seeks alternative sources of supply, or we may have to make financial accommodations to such contract manufacturers or otherwise take steps to mitigate supply disruption. Any alternative manufacturers may be unable or unwilling to meet our and our customers’ specifications. In addition, we may experience supply shortages from some of our suppliers. Any disruption in supply from any supplier or manufacturing location could lead to supply delays or interruptions that could damage our business or financial condition. If any of the risks discussed above materialize, costs could significantly increase, and our ability to meet demand for our products could be impacted.</w:t>
      </w:r>
    </w:p>
    <w:p>
      <w:pPr>
        <w:spacing w:after="0" w:line="215"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improve and enhance the functionality, performance, reliability, design, security and scalability of our platform and products and innovate and introduce new solutions in a manner that responds to our customers’ evolving needs, our business may be adversely affected.</w:t>
      </w:r>
    </w:p>
    <w:p>
      <w:pPr>
        <w:spacing w:after="0" w:line="186"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markets in which we compete are characterized by constant change and innovation and we expect them to continue to evolve rapidly, including the potential that our industry transitions to alternative algorithmic approaches to machine learning and artificial intelligence, such as Transformer models. Our success has been based on our ability to identify and anticipate the needs of our customers and design a platform and products that provide them with the breadth of tools that are required. Our ability to attract new customers, retain revenue from existing customers and increase sales to both new and existing customers will depend in large part on our ability to continue to improve and enhance the functionality, performance, reliability, design, security and scalability of our platform and products and to innovate and introduce new solutions. Additionally, our investment in the design of new chips depends on our ability to anticipate market trends and the competitive landscape more than two years in advance.</w:t>
      </w:r>
    </w:p>
    <w:p>
      <w:pPr>
        <w:spacing w:after="0" w:line="216"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We expect that new services and technologies applicable to the industries in which we operate will continue to emerge and evolve, including developments in artificial intelligence and edge computing. These new products and technologies may be superior to, impair or render obsolete our platform and the products we currently offer or the technologies we currently use to provide them. We have in the past, and may experience in the future, difficulties with software development that could delay or prevent the development, introduction or implementation of new solutions and enhancements. Software development involves a significant amount of time, resources and cost for our research and development team, as it can take our developers months to update, code and test new and upgraded solutions and integrate them into our platform and products. We must also continually update, test and enhance our software platforms. The continual improvement and enhancement of our platform and products requires significant investment and we may not have the resources to make such investment. Our improvements and enhancements may not result in our ability to recoup our investments in a timely manner or at all. We may make significant investments in new solutions or enhancements that may not achieve expected returns. The success of any enhancement or new solution depends on several factors, including the timely completion and market acceptance of the enhancement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220"/>
          </w:cols>
          <w:pgMar w:left="320" w:top="1417" w:right="359" w:bottom="1440" w:gutter="0" w:footer="0" w:header="0"/>
        </w:sectPr>
      </w:pPr>
    </w:p>
    <w:bookmarkStart w:id="19" w:name="page20"/>
    <w:bookmarkEnd w:id="19"/>
    <w:p>
      <w:pPr>
        <w:jc w:val="both"/>
        <w:ind w:right="140"/>
        <w:spacing w:after="0" w:line="312" w:lineRule="auto"/>
        <w:rPr>
          <w:sz w:val="20"/>
          <w:szCs w:val="20"/>
          <w:color w:val="auto"/>
        </w:rPr>
      </w:pPr>
      <w:r>
        <w:rPr>
          <w:rFonts w:ascii="Times New Roman" w:cs="Times New Roman" w:eastAsia="Times New Roman" w:hAnsi="Times New Roman"/>
          <w:sz w:val="17"/>
          <w:szCs w:val="17"/>
          <w:color w:val="auto"/>
        </w:rPr>
        <w:t>new solution. Our ability to develop new enhancements or solutions may also be inhibited by industry-wide standards, laws and regulations, resistance to change by customers, difficulties relating to integration or compatibility with third-party software or hardware or third parties’ intellectual property rights.</w:t>
      </w:r>
    </w:p>
    <w:p>
      <w:pPr>
        <w:spacing w:after="0" w:line="167"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Any new solution we develop or acquire might not be introduced in a timely or cost-effective manner and might not achieve the broad market acceptance necessary to generate significant revenue. Improving and enhancing the functionality, performance, reliability, design, security and scalability of our platform and products is expensive, time-consuming and complex, and to the extent we are not able to do so in a manner that responds to our customers’ evolving needs, our business, operating results and financial condition will be adversely affected.</w:t>
      </w:r>
    </w:p>
    <w:p>
      <w:pPr>
        <w:spacing w:after="0" w:line="203" w:lineRule="exact"/>
        <w:rPr>
          <w:sz w:val="20"/>
          <w:szCs w:val="20"/>
          <w:color w:val="auto"/>
        </w:rPr>
      </w:pPr>
    </w:p>
    <w:p>
      <w:pPr>
        <w:ind w:right="7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successful in driving the global deployment and customer adoption of digital offerings characterized by digital applications and solutions.</w:t>
      </w:r>
    </w:p>
    <w:p>
      <w:pPr>
        <w:spacing w:after="0" w:line="186"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Our business involves cloud, edge, AI (including generative AI) and software solutions based on existing AI models, and we are devoting significant resources to develop and deploy such strategies. Our success with these solutions will depend on the level of adoption of our offerings. We incur costs to develop cloud, edge, AI and software solutions and to build and maintain infrastructure to support cloud and edge computing offerings. Success with these solutions depends on execution in many areas, including:</w:t>
      </w:r>
    </w:p>
    <w:p>
      <w:pPr>
        <w:spacing w:after="0" w:line="207" w:lineRule="exact"/>
        <w:rPr>
          <w:sz w:val="20"/>
          <w:szCs w:val="20"/>
          <w:color w:val="auto"/>
        </w:rPr>
      </w:pPr>
    </w:p>
    <w:p>
      <w:pPr>
        <w:ind w:left="660" w:right="160" w:hanging="328"/>
        <w:spacing w:after="0" w:line="261"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and maintaining the utility, compatibility, and performance of our cloud, edge, AI and software solutions (including the reliability of our third-party software vendors, network and cloud providers) on a growing array of medical devices, software and equipment;</w:t>
      </w:r>
    </w:p>
    <w:p>
      <w:pPr>
        <w:ind w:left="660" w:right="500" w:hanging="328"/>
        <w:spacing w:after="0" w:line="250"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to enhance the attractiveness of our solutions to our customers in the face of increasing competition from a significant number of existing and new entrants in the market, while ensuring these solutions meet their reliability and security expectations;</w:t>
      </w: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lasting relationships with key server and edge-AI box manufacturers;</w:t>
      </w:r>
    </w:p>
    <w:p>
      <w:pPr>
        <w:spacing w:after="0" w:line="9" w:lineRule="exact"/>
        <w:rPr>
          <w:rFonts w:ascii="Times New Roman" w:cs="Times New Roman" w:eastAsia="Times New Roman" w:hAnsi="Times New Roman"/>
          <w:sz w:val="18"/>
          <w:szCs w:val="18"/>
          <w:color w:val="auto"/>
        </w:rPr>
      </w:pPr>
    </w:p>
    <w:p>
      <w:pPr>
        <w:ind w:left="660" w:right="120" w:hanging="328"/>
        <w:spacing w:after="0" w:line="250"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ensuring these solutions meet regulatory requirements in a fast-moving space disrupted by changing regulations around data privacy and the need for innovation, including obtaining marketing authorizations when required; and</w:t>
      </w: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adapting to ever-changing geopolitical regulations on advanced technologies, including AI Technologies.</w:t>
      </w:r>
    </w:p>
    <w:p>
      <w:pPr>
        <w:spacing w:after="0" w:line="234"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7"/>
          <w:szCs w:val="17"/>
          <w:color w:val="auto"/>
        </w:rPr>
        <w:t>It is uncertain whether our strategies will attract customers or generate revenue required to succeed in this highly competitive and rapidly changing global market. We have committed and continue to commit substantial efforts, funds, and other resources to research and development and information technology infrastructure for our digital offerings, and the risk of failure is inherent. Even where our digital offerings satisfy applicable regulations and reimbursement policies, customers may not adopt them due to concerns about the security of personal data or the absence of digital infrastructure to support and effectively use the offerings, a hesitancy to embrace new technology, or for other reasons. We also may not effectively execute organizational and technical changes to accelerate innovation and execution. In a number of countries, certain cloud, edge, AI and software solutions are restricted areas of foreign investment. Collaborating with a domestic, qualified third party will increase costs and may create uncertainties in such jurisdictions. The legality or validity of any collaboration may be challenged or subjected to scrutiny in such jurisdictions and the relevant governmental authorities have broad discretion in addressing such arrangements. Any of these risks could have a material adverse effect on our business results, cash flows, financial condition, or prospects.</w:t>
      </w:r>
    </w:p>
    <w:p>
      <w:pPr>
        <w:spacing w:after="0" w:line="20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Additionally, we may be making significant investments in AI initiatives and are building AI into many of our digital offerings. We are planning to leverage generative AI such as large language models across our portfolios to build differentiated products and solutions and deploy those solutions through various modalities for our customers, including on the device, via edge or data centers, and/or via the cloud. Using AI in this manner presents risks and challenges that could affect its adoption, acceptance and effectiveness, including flawed AI algorithms, insufficient, overly broad or biased datasets, unauthorized access to personal data, lack of acceptance from our customers or failure to deliver positive outcomes. We contract with numerous third parties to offer our digital content to customers as well as to assist with the development of their own software applications and services, and our reliance on access to these third parties’ digital applications, which may not continue to be available to us on commercially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240"/>
          </w:cols>
          <w:pgMar w:left="320" w:top="1417" w:right="339" w:bottom="1440" w:gutter="0" w:footer="0" w:header="0"/>
        </w:sectPr>
      </w:pPr>
    </w:p>
    <w:bookmarkStart w:id="20" w:name="page21"/>
    <w:bookmarkEnd w:id="20"/>
    <w:p>
      <w:pPr>
        <w:ind w:right="180"/>
        <w:spacing w:after="0" w:line="266" w:lineRule="auto"/>
        <w:rPr>
          <w:sz w:val="20"/>
          <w:szCs w:val="20"/>
          <w:color w:val="auto"/>
        </w:rPr>
      </w:pPr>
      <w:r>
        <w:rPr>
          <w:rFonts w:ascii="Times New Roman" w:cs="Times New Roman" w:eastAsia="Times New Roman" w:hAnsi="Times New Roman"/>
          <w:sz w:val="18"/>
          <w:szCs w:val="18"/>
          <w:color w:val="auto"/>
        </w:rPr>
        <w:t>reasonable terms, or at all, could impact our ability to offer a wide variety of our own digital offerings at reasonable prices with acceptable usage tools, or continue to expand our geographic reach. The occurrence of any of the above could have a material adverse effect on our business results, cash flows, financial condition or prospects.</w:t>
      </w:r>
    </w:p>
    <w:p>
      <w:pPr>
        <w:spacing w:after="0" w:line="199"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manage our growth effectively, we may be unable to execute our business plan, maintain high levels of service and customer satisfaction or adequately address competitive challenges.</w:t>
      </w:r>
    </w:p>
    <w:p>
      <w:pPr>
        <w:spacing w:after="0" w:line="186" w:lineRule="exact"/>
        <w:rPr>
          <w:sz w:val="20"/>
          <w:szCs w:val="20"/>
          <w:color w:val="auto"/>
        </w:rPr>
      </w:pPr>
    </w:p>
    <w:p>
      <w:pPr>
        <w:ind w:right="220"/>
        <w:spacing w:after="0" w:line="281" w:lineRule="auto"/>
        <w:rPr>
          <w:sz w:val="20"/>
          <w:szCs w:val="20"/>
          <w:color w:val="auto"/>
        </w:rPr>
      </w:pPr>
      <w:r>
        <w:rPr>
          <w:rFonts w:ascii="Times New Roman" w:cs="Times New Roman" w:eastAsia="Times New Roman" w:hAnsi="Times New Roman"/>
          <w:sz w:val="17"/>
          <w:szCs w:val="17"/>
          <w:color w:val="auto"/>
        </w:rPr>
        <w:t>We may experience rapid growth and organizational change, which may place significant demands on our management and our operational and financial resources. We may also experience growth in the number of customers and the amount of data that our hosting infrastructure supports. Our ability to manage our business will depend in part on our ability to manage this growth effectively. If we fail to manage our anticipated growth and change in a manner that preserves our corporate culture, it could negatively affect our reputation and ability to retain and attract customers and employees.</w:t>
      </w:r>
    </w:p>
    <w:p>
      <w:pPr>
        <w:spacing w:after="0" w:line="19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intend to expand our international operations in the future. Our expansion may place a significant strain on our managerial, administrative, financial and other resources. If we are unable to manage our growth successfully, our business and results of operations could suffer. It is important that we maintain a high level of customer service and satisfaction as we expand our business. As our customer base continues to grow, we will need to expand our account management, customer service and other personnel. Failure to manage growth could result in difficulty or delays in launching improvements to our platform or our products, declines in quality or customer satisfaction, increases in costs, difficulties in introducing new features or other operational difficulties. Any of these could adversely impact our business performance and results of operations.</w:t>
      </w:r>
    </w:p>
    <w:p>
      <w:pPr>
        <w:spacing w:after="0" w:line="210"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face intense competition, especially from well-established companies offering solutions and related applications. We may lack sufficient financial or other resources to maintain or improve our competitive position, which may harm our ability to add new customers, retain existing customers and grow our business.</w:t>
      </w:r>
    </w:p>
    <w:p>
      <w:pPr>
        <w:spacing w:after="0" w:line="202"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semiconductor sector is intensely competitive, marked by swift technological advancements, short product lifecycles, price erosion, and constantly evolving benchmarks. Maintaining or improving our business requires constant innovation and timely, cost-effective launches. Our success hinges on our ability to innovate and launch new products and affordably meet shifting industry demands.</w:t>
      </w:r>
    </w:p>
    <w:p>
      <w:pPr>
        <w:spacing w:after="0" w:line="203"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However, significant investment is needed to develop cutting-edge technologies and products, and some of our competitors may have greater resources than us. If these competitors ramp up their research and development and marketing efforts, we may struggle to compete effectively.</w:t>
      </w:r>
    </w:p>
    <w:p>
      <w:pPr>
        <w:spacing w:after="0" w:line="18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market for edge computing solutions is also evolving and highly competitive. We expect competition to increase in the future from established competitors and new market entrants. With the introduction of new technologies and the entry of new companies into the market, we expect competition to persist and intensify in the future. This could harm our ability to increase sales, maintain or increase renewals, and maintain our prices. We face intense competition from other companies that may offer related platforms and products.</w:t>
      </w:r>
    </w:p>
    <w:p>
      <w:pPr>
        <w:spacing w:after="0" w:line="20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Merger and acquisition activity in the technology industry could increase the likelihood that we compete with large technology companies. Many of our existing competitors have, and our potential competitors could have, substantial competitive advantages such as greater name recognition, longer operating histories, larger sales and marketing budgets and resources, greater customer support resources, lower labor and development costs, better terms and pricing from Electronic Design Automation suppliers, design partners, part suppliers and chip, board and system manufacturers, larger and more mature intellectual property portfolios and substantially greater financial, technical and other resources.</w:t>
      </w:r>
    </w:p>
    <w:p>
      <w:pPr>
        <w:spacing w:after="0" w:line="21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Some of our larger competitors also have substantially broader product lines and market focus and will therefore not be as susceptible to downturns in a particular market. Conditions in our market could change rapidly and significantly as a result of technological advancements, partnering by our competitors or continuing market consolidation. New start-up companies that innovate, and large companies that are making significant investments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240"/>
          </w:cols>
          <w:pgMar w:left="320" w:top="1417" w:right="339" w:bottom="1440" w:gutter="0" w:footer="0" w:header="0"/>
        </w:sectPr>
      </w:pPr>
    </w:p>
    <w:bookmarkStart w:id="21" w:name="page22"/>
    <w:bookmarkEnd w:id="21"/>
    <w:p>
      <w:pPr>
        <w:ind w:right="20"/>
        <w:spacing w:after="0" w:line="258" w:lineRule="auto"/>
        <w:rPr>
          <w:sz w:val="20"/>
          <w:szCs w:val="20"/>
          <w:color w:val="auto"/>
        </w:rPr>
      </w:pPr>
      <w:r>
        <w:rPr>
          <w:rFonts w:ascii="Times New Roman" w:cs="Times New Roman" w:eastAsia="Times New Roman" w:hAnsi="Times New Roman"/>
          <w:sz w:val="18"/>
          <w:szCs w:val="18"/>
          <w:color w:val="auto"/>
        </w:rPr>
        <w:t>research and development, may invent similar or superior products and technologies that compete with our platform and products. In addition, some of our competitors may enter into new alliances with each other or may establish or strengthen cooperative relationships with agency partners, technology and application providers in complementary categories or other parties. Any such consolidation, acquisition, alliance or cooperative relationship could lead to pricing pressure, a loss of market share or a smaller addressable share of the market. It could also result in a competitor with greater financial, technical, marketing, service and other resources, all of which could harm our ability to compete.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need to reduce or change our pricing model to remain competitive.</w:t>
      </w:r>
    </w:p>
    <w:p>
      <w:pPr>
        <w:spacing w:after="0" w:line="256"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price our platform and products based on delivering what we believe to be a compelling Total Cost of Ownership (“TCO”) advantage to customers. However, the completed product may have hardware and software components from our third-party ecosystem partners which affects our ability to control pricing. We expect that we may need to change our pricing from time to time. As new or existing competitors introduce products that compete with ours or reduce their prices, we may be unable to attract new customers or retain existing customers. We also must determine the appropriate price to enable us to compete effectively internationally. Large enterprise customers may demand substantial price discounts as part of the negotiation of sales contracts. As a result, we may be required or choose to reduce our prices or otherwise change our pricing model, which could adversely affect our business, operating results and financial condition.</w:t>
      </w:r>
    </w:p>
    <w:p>
      <w:pPr>
        <w:spacing w:after="0" w:line="212"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adapt and respond effectively to rapidly changing technology, evolving industry standards, and changing customer needs or preferences, our platform and products may become less competitive.</w:t>
      </w:r>
    </w:p>
    <w:p>
      <w:pPr>
        <w:spacing w:after="0" w:line="186"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edge computing industry is subject to rapid technological change, evolving industry standards and practices and changing customer needs and preferences. The success of our business will depend, in part, on our ability to adapt and respond effectively to these changes on a timely basis. We may introduce significant changes to our platform and products or develop and introduce new and unproven products, including using technologies with which we have little or no prior development or operating experience. If we are unable to develop and sell new technology, features and functionality for our platform and products that satisfy our customers and that keep pace with rapid technological and industry change, our revenue and operating results could be adversely affected. If new technologies emerge that deliver competitive solutions at lower prices, more efficiently, more conveniently or more securely, it could adversely impact our ability to compete.</w:t>
      </w:r>
    </w:p>
    <w:p>
      <w:pPr>
        <w:spacing w:after="0" w:line="21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dominant market-leader in AI has proprietary software around which existing customers have developed and deployed their applications. We acknowledge that our platform must also integrate with a variety of network, hardware, mobile and software platforms and technologies. Customers may choose to continue to operate with the incumbent software which will make it hard for us to break into the market. We may decide to modify and enhance our platform and AI models to adapt to changes and innovation in these technologies. If businesses widely adopt new technologies, we would have to develop new functionality for our platform to work with those new technologies. This development effort may require significant engineering, marketing and sales resources, all of which would affect our business and operating results. Any failure of our platform to operate effectively with future technologies could reduce the demand for our platform. If we are unable to respond to these changes in a cost-effective manner, our platform may become less marketable and less competitive or obsolete, and our operating results may be negatively affected.</w:t>
      </w:r>
    </w:p>
    <w:p>
      <w:pPr>
        <w:spacing w:after="0" w:line="219"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The novelty of AI, especially as it relates to regulatory matters, safety of AI-driven technology, and security of AI-driven products, exposes us to a higher risk of unforeseen liabilities that can represent a substantial burden on our finances to defend against lawsuits or detrimental publicity, or to comply with new regulations imposed on AI technologies or products.</w:t>
      </w:r>
    </w:p>
    <w:p>
      <w:pPr>
        <w:spacing w:after="0" w:line="203"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Our current chip was designed over four years ago and it is possible that in certain situations, it may not be competitive in performance and features. This will impact our ability to deliver the revenue forecast until our next-generation chip is available and we may lose key customer opportunities in the meantime.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80"/>
          </w:cols>
          <w:pgMar w:left="320" w:top="1417" w:right="399" w:bottom="1440" w:gutter="0" w:footer="0" w:header="0"/>
        </w:sectPr>
      </w:pPr>
    </w:p>
    <w:bookmarkStart w:id="22" w:name="page23"/>
    <w:bookmarkEnd w:id="22"/>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estimates of market opportunity and forecasts of market growth included in this Annual Report on Form 10-K may prove to be inaccurate. Even if the market in which we compete achieves the forecasted growth, our business could fail to grow at similar rates, if at all.</w:t>
      </w:r>
    </w:p>
    <w:p>
      <w:pPr>
        <w:spacing w:after="0" w:line="186"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market for edge computing solutions is relatively new and will experience changes over time. Edge computing market estimates and growth forecasts are uncertain and based on assumptions and estimates that may be inaccurate. Our addressable market depends on a number of factors, including businesses’ desire to differentiate themselves through partnership opportunities, changes in the competitive landscape, technological changes, data security or privacy concerns, customer budgetary constraints, changes in business practices, changes in the regulatory environment and changes in economic conditions. Even if the market in which we compete meets the size estimates and growth rates we forecast, our business could fail to grow at similar rates, if at all.</w:t>
      </w:r>
    </w:p>
    <w:p>
      <w:pPr>
        <w:spacing w:after="0" w:line="210"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software or hardware contains serious errors or defects, we may lose revenue and market acceptance and may incur costs to defend or settle claims with our customers.</w:t>
      </w:r>
    </w:p>
    <w:p>
      <w:pPr>
        <w:spacing w:after="0" w:line="18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Software and hardware such as ours often contain errors, defects, security vulnerabilities or software bugs that are difficult to detect and correct, particularly when first introduced or when new versions or enhancements are released. Despite internal testing, our platform and products may contain serious errors or defects, security vulnerabilities or software bugs that we may be unable to successfully correct in a timely manner or at all, which could result in lost revenue, significant expenditures of capital, a delay or loss in market acceptance and damage to our reputation and brand, any of which could have an adverse effect on our business, financial condition and results of operations. To the extent we deploy new versions or enhancements to our platform or products that contain errors, defects, security vulnerabilities or software bugs, the consequences may be severe. Such defects could expose us to product liability claims, litigation or regulatory action.</w:t>
      </w:r>
    </w:p>
    <w:p>
      <w:pPr>
        <w:spacing w:after="0" w:line="21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Errors, defects, security vulnerabilities, service interruptions or software bugs in our platform or products could result in losses to our customers. Our customers may seek significant compensation from us for any losses they suffer or cease conducting business with us altogether. Further, a customer could share information about bad experiences on social media, which could result in damage to our reputation and loss of future sales. Further, provisions typically included in our agreements with our customers that attempt to limit our exposure to claims may not be enforceable or adequate or otherwise protect us from liabilities or damages with respect to any particular claim. Even if not successful, a claim brought against us by any of our customers would likely be time-consuming and costly to defend and could seriously damage our reputation and brand, making it harder for us to sell our solutions.</w:t>
      </w:r>
    </w:p>
    <w:p>
      <w:pPr>
        <w:spacing w:after="0" w:line="210" w:lineRule="exact"/>
        <w:rPr>
          <w:sz w:val="20"/>
          <w:szCs w:val="20"/>
          <w:color w:val="auto"/>
        </w:rPr>
      </w:pPr>
    </w:p>
    <w:p>
      <w:pPr>
        <w:ind w:right="4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currently optimize, quantize and fine-tune existing AI models and may in the future, use and develop AI, machine learning and automated decision-making technologies throughout our business, which may expose us to certain regulatory and other risks that could adversely affect our results of operations and financial condition.</w:t>
      </w:r>
    </w:p>
    <w:p>
      <w:pPr>
        <w:spacing w:after="0" w:line="202"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We use AI Technologies throughout our business and are making significant investments in this area. For example, we use AI Technologies internally to prepare data provided by customers for assisting such customers with AI development when using AI Studio.</w:t>
      </w:r>
    </w:p>
    <w:p>
      <w:pPr>
        <w:spacing w:after="0" w:line="18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As with many technological innovations, there are significant risks involved in developing, maintaining and deploying these technologies and the usage of, or our investments in, such technologies may not ultimately enhance our products or services or be beneficial to our business, including our efficiency or profitability. In particular, if the models underlying our AI Technologies are incorrectly designed or implemented; trained or reliant on incomplete, inadequate, inaccurate, biased or otherwise poor quality data or on data to which we do not have sufficient rights or in relation to which we and/or the providers of such data have not implemented sufficient legal compliance measures; used without sufficient oversight and governance to ensure their responsible use; and/or adversely impacted by unforeseen defects, technical challenges, cybersecurity threats or material performance issues, the performance of our products, services and business, as well as our reputation, and the reputations of our customers, could suffer or we could incur liability resulting from the violation of laws or contracts to which we are party or civil claims.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220"/>
          </w:cols>
          <w:pgMar w:left="320" w:top="1413" w:right="359" w:bottom="1440" w:gutter="0" w:footer="0" w:header="0"/>
        </w:sectPr>
      </w:pPr>
    </w:p>
    <w:bookmarkStart w:id="23" w:name="page24"/>
    <w:bookmarkEnd w:id="23"/>
    <w:p>
      <w:pPr>
        <w:spacing w:after="0" w:line="2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expect that increased investment will be required in the future to continuously improve our use of AI Technologies, and we may plan to increase our investment in this area to continuously improve our use of AI Technologies and our products. In particular, we will be working to incorporate generative AI Technologies (i.e., AI Technologies that can produce and output new content, software code, data and information) into our solutions. There is a risk that generative AI Technologies could produce inaccurate or misleading content or other discriminatory or unexpected results or behaviors, such as hallucinatory behavior that can generate irrelevant, nonsensical or factually incorrect results, all of which could harm our reputation, business or customer relationships. Any measures we take to reduce such risks may not always be successful, and in some cases, we may need to rely on end users to report such inaccuracies. In addition, our ability to develop proprietary AI models may be limited by our access to processing infrastructure or training data and we may be dependent on third-party providers for such resources. As such, we may not be successful in our ongoing development and maintenance of these technologies in the face of novel and evolving technical, reputational and market factors.</w:t>
      </w:r>
    </w:p>
    <w:p>
      <w:pPr>
        <w:spacing w:after="0" w:line="215"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Further, a number of aspects of intellectual property rights protection in the field of AI and machine learning are currently under development and there is uncertainty and ongoing litigation in different jurisdictions as to the degree and extent of protection warranted for AI and machine learning systems and relevant system input and outputs. If we fail to obtain protection for the intellectual property rights concerning our AI Technologies, or later have our intellectual property rights invalidated or otherwise diminished, our competitors may be able to take advantage of our research and development efforts to develop competing products that could adversely affect our business, reputation and financial condition. Further, given the long history of development of AI Technologies, other parties may have (or in the future may obtain) patents or other proprietary rights that would prevent, limit or interfere with our ability to make, use or sell our own AI Technologies.</w:t>
      </w:r>
    </w:p>
    <w:p>
      <w:pPr>
        <w:spacing w:after="0" w:line="21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Finally, the overall regulatory framework for AI Technologies is rapidly evolving as many federal, state and foreign government bodies and agencies have introduced, or are currently considering, additional laws and regulations. Additionally, existing laws and regulations may be interpreted in ways that would affect the operation of our AI Technologies. As a result, implementation standards and enforcement practices are likely to remain uncertain for the foreseeable future.</w:t>
      </w:r>
    </w:p>
    <w:p>
      <w:pPr>
        <w:spacing w:after="0" w:line="207"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The developing landscape, and the uncertain interpretation of such landscape, may affect our use of AI Technologies and our ability to provide, improve or commercialize our services, require additional compliance measures and changes to our operations and processes, result in increased compliance costs and potential increases in civil claims against us and could adversely affect our business, operations and financial condition.</w:t>
      </w:r>
    </w:p>
    <w:p>
      <w:pPr>
        <w:spacing w:after="0" w:line="199"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depend on third-party data hosting and transmission services. Increases in cost, interruptions in service, latency or poor service from our third-party data center providers could impair the delivery of our platform, which could result in customer dissatisfaction, damage to our reputation, loss of customers, limited growth and reduction in revenue.</w:t>
      </w:r>
    </w:p>
    <w:p>
      <w:pPr>
        <w:spacing w:after="0" w:line="20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currently serve the majority of our platform functions from third-party data center hosting facilities operated by a company located in the southeastern United States. Our platform is deployed to multiple data centers within this geography, with additional geographies available for disaster recovery. Our operations depend, in part, on our third-party providers’ protection of these facilities from natural disasters, power or telecommunications failures, criminal acts or similar events. If any third-party facility’s arrangement is terminated, or its service lapses, we could experience interruptions in our platform or higher latency, as well as delays and additional expenses in arranging new facilities and services.</w:t>
      </w:r>
    </w:p>
    <w:p>
      <w:pPr>
        <w:spacing w:after="0" w:line="210"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A significant portion of our operating cost is from our third-party data hosting and transmission services. If the costs for such services increase due to vendor consolidation, regulation, contract renegotiation or otherwise, we may not be able to increase the fees for our ecommerce platform or professional services to cover the changes. As a result, our operating results may be significantly worse than forecasted. Our servers may be unable to achieve or maintain data transmission capacity sufficient for timely service of increased traffic or order processing. Our failure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220"/>
          </w:cols>
          <w:pgMar w:left="320" w:top="1440" w:right="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color w:val="auto"/>
        </w:rPr>
        <w:t>achieve or maintain sufficient and performance data transmission capacity could significantly reduce demand for our platform.</w:t>
      </w:r>
    </w:p>
    <w:p>
      <w:pPr>
        <w:spacing w:after="0" w:line="25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Despite precautions taken at our data centers, spikes in usage volume, a natural disaster, an act of terrorism, vandalism or sabotage, civil unrest in the area, and/or the closure of a facility without adequate notice or other unanticipated problems could result in lengthy interruptions or performance degradation of our platform. Any damage to, or failure of, the systems of our third-party providers could result in interruptions to our platform. Even with current and planned disaster recovery arrangements, our business could be harmed. If we experience damage or interruption, our insurance policies may not adequately compensate us for or protect us against any losses, liabilities and costs that we may incur. These factors in turn could further reduce our revenue, subject us to liability or cause customers to terminate their subscriptions, any of which could materially adversely affect our business.</w:t>
      </w:r>
    </w:p>
    <w:p>
      <w:pPr>
        <w:spacing w:after="0" w:line="210" w:lineRule="exact"/>
        <w:rPr>
          <w:sz w:val="20"/>
          <w:szCs w:val="20"/>
          <w:color w:val="auto"/>
        </w:rPr>
      </w:pPr>
    </w:p>
    <w:p>
      <w:pPr>
        <w:jc w:val="both"/>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on third-party proprietary and open source materials for our platform. Our inability to obtain third-party licenses for such materials, or obtain them on favorable terms, or any errors, bugs, defects or failures caused by such materials could adversely affect our business, results of operations and financial condition.</w:t>
      </w:r>
    </w:p>
    <w:p>
      <w:pPr>
        <w:spacing w:after="0" w:line="20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Some of our offerings include software or other intellectual property rights licensed from third parties. It may be necessary in the future to renew licenses relating to various aspects of these applications or to seek new licenses for existing or new applications. Necessary licenses may not be available on acceptable terms or under open source licenses permitting redistribution in commercial offerings, if at all. Our inability to obtain certain licenses or other rights or to obtain such licenses or rights on favorable terms could result in delays in product releases until equivalent technology can be identified, licensed or developed, if at all, and integrated into our platform and products, which therefore may have a material adverse effect on our business, results of operations and financial condition. In addition, third parties may allege that additional licenses are required for our use of their software or intellectual property. We may be unable to obtain such licenses on commercially reasonable terms or at all. The inclusion in our offerings of software or other intellectual property licensed from third parties on a non-exclusive basis could limit our ability to differentiate our offerings from those of our competitors. To the extent that our platform or products depend upon the successful operation of third-party software, any undetected errors, bugs, defects or failures in such third-party software could impair the functionality of our platform and products, delay new feature introductions or result in a failure of our platform, which could adversely affect our business, results of operations and financial condition.</w:t>
      </w:r>
    </w:p>
    <w:p>
      <w:pPr>
        <w:spacing w:after="0" w:line="215"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use of open source software or datasets could subject us to possible litigation or cause us to subject our platform or products to unwanted open source license conditions that could negatively impact our sales.</w:t>
      </w:r>
    </w:p>
    <w:p>
      <w:pPr>
        <w:spacing w:after="0" w:line="186"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Our platform and products incorporate open source software and datasets, and we expect to incorporate open source software and datasets into other offerings or solutions in the future. Such open source material is generally licensed by its authors or other third parties under open source licenses. Little legal precedent governs the interpretation of these licenses; therefore, the potential impact of these terms on our business is unknown and may result in unanticipated obligations regarding our technologies. If a distributor of open source material were to allege that we had not complied with its license, we could be required to incur significant legal expenses. If we combine our proprietary technology with open source material or utilize open source material in a certain manner, we could, under certain open source licenses, be required to disclose part or all of the source code of our proprietary technology publicly and to allow further modification and redistribution on potentially unfavorable terms or at no cost, or otherwise be limited in the licensing of our services. This could provide an advantage to our competitors or other entrants to the market, allow them to create similar products with lower development effort and time, and ultimately result in a loss of sales for us.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rely on computer hardware, purchased or leased, and software licensed from and services rendered by third parties in order to run our business.</w:t>
      </w:r>
    </w:p>
    <w:p>
      <w:pPr>
        <w:spacing w:after="0" w:line="256"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We rely on computer hardware, purchased or leased, and software licensed from and services rendered by third parties in order to run our business, which we have incorporated into our platform and products. Third-party hardware, software and services may not continue to be available on commercially reasonable terms, or at all. Some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240"/>
          </w:cols>
          <w:pgMar w:left="320" w:top="1417" w:right="339" w:bottom="1440" w:gutter="0" w:footer="0" w:header="0"/>
        </w:sectPr>
      </w:pPr>
    </w:p>
    <w:bookmarkStart w:id="25" w:name="page26"/>
    <w:bookmarkEnd w:id="25"/>
    <w:p>
      <w:pPr>
        <w:ind w:right="160"/>
        <w:spacing w:after="0" w:line="255" w:lineRule="auto"/>
        <w:rPr>
          <w:sz w:val="20"/>
          <w:szCs w:val="20"/>
          <w:color w:val="auto"/>
        </w:rPr>
      </w:pPr>
      <w:r>
        <w:rPr>
          <w:rFonts w:ascii="Times New Roman" w:cs="Times New Roman" w:eastAsia="Times New Roman" w:hAnsi="Times New Roman"/>
          <w:sz w:val="18"/>
          <w:szCs w:val="18"/>
          <w:color w:val="auto"/>
        </w:rPr>
        <w:t>of our agreements with our licensors may be terminated by them for convenience, or otherwise provide for a limited term. Any loss of the right to use or any failures of third-party hardware, software or services could result in delays in our ability to run our business until equivalent hardware, software or services are developed by us or, if available, identified, obtained and integrated, which could be costly and time-consuming and may not result in an equivalent solution, any of which could cause an adverse effect on our business and operating results. Further, customers could assert claims against us in connection with service disruptions or cease conducting business with us altogether. Even if not successful, a claim brought against us by any of our customers would likely be time-consuming and costly to defend and could seriously damage our reputation and brand, making it harder for us to sell our solutions.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growth depends in part on the success of our strategic relationships with third parties.</w:t>
      </w:r>
    </w:p>
    <w:p>
      <w:pPr>
        <w:spacing w:after="0" w:line="256"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We anticipate that the growth of our business will continue to depend on third-party relationships, including strategic partnerships and relationships with our service providers and suppliers, consultants, app developers, theme designers, referral sources, payments processors, installation partners and other partners. In addition to growing our third-party partner ecosystem, we have entered into agreements with, and intend to pursue additional relationships with, other third parties, such as shipping partners and technology and content providers. Identifying, negotiating and documenting relationships with third parties requires significant time and resources as does integrating third-party technology and content. Some of the third parties that sell our services have direct contractual relationships with the customers, and in these circumstances, we risk the loss of such customers if those third parties fail to perform their contractual obligations, including in the event of any such third party’s business failure. Our agreements with providers of cloud hosting, technology, content and consulting services are typically non-exclusive and do not prohibit such service providers from working with our competitors or from offering competing services. In particular, we have limited providers of cloud hosting services. These third-party providers may choose to terminate their relationship with us or to make material changes to their businesses, products or services in a manner that is adverse to us.</w:t>
      </w:r>
    </w:p>
    <w:p>
      <w:pPr>
        <w:spacing w:after="0" w:line="22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success of our platform and products depends, in part, on our ability to integrate third-party applications, themes and other offerings into our third-party ecosystem. Third-party developers may also change the features of their offering of applications or alter the terms governing the use of their offerings in a manner that is adverse to us. If third-party applications change such that we do not or cannot maintain the compatibility of our platform and products with these applications, demand for our platform could decline. If we are unable to maintain technical interoperation, our customers may not be able to effectively integrate our platform with other systems and services they use. We may also be unable to maintain our relationships with certain third-party vendors if we are unable to integrate our platform and products with their offerings. In addition, third-party developers may refuse to partner with us or limit or restrict our access to their offerings. Partners may also impose additional restrictions on the ability of third parties like us and our customers to access or use data from their consumers. Such changes could functionally limit or terminate our ability to use these third-party offerings with our platform or products, which could negatively impact our solution offerings and harm our business. If we fail to integrate our platform and products with new third-party offerings that our customers need for their businesses, or to adapt to the data transfer requirements of such third-party offerings, we may not be able to offer the functionality that our customers and their clients expect, which would negatively impact our offerings and, as a result, harm our business.</w:t>
      </w:r>
    </w:p>
    <w:p>
      <w:pPr>
        <w:spacing w:after="0" w:line="21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Further, our competitors may effectively incentivize third-party developers to favor our competitors’ products or services, which could diminish our prospects for collaborations with third-parties and reduce subscriptions to our platform or purchases of our products. In addition, providers of third-party offerings may not perform as expected under our agreements or under their agreements with our customers, and we or our customers may in the future have disagreements or disputes with such providers. If any such disagreements or disputes cause us to lose access to products or services from a particular supplier, or lead us to experience a significant disruption in the supply of products or services from a current supplier, especially a single-source supplier, they could have an adverse effect on our business and operating results.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Human Capital Risks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220"/>
          </w:cols>
          <w:pgMar w:left="320" w:top="1417" w:right="3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i w:val="1"/>
          <w:iCs w:val="1"/>
          <w:color w:val="auto"/>
        </w:rPr>
        <w:t>We anticipate that our operations will continue to increase in complexity as we grow, which will create management challenges.</w:t>
      </w:r>
    </w:p>
    <w:p>
      <w:pPr>
        <w:spacing w:after="0" w:line="25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Our business is expected to experience growth and is complex. We expect this growth would cause our operations to become increasingly complex. To manage this expected growth, we continue to make substantial investments to improve our operational, financial and management controls, as well as our reporting systems and procedures. We may not be able to implement and scale improvements to our systems and processes in a timely or efficient manner or in a manner that does not negatively affect our operating results. For example, we may not be able to effectively monitor certain extraordinary contract requirements or individually negotiated provisions as the number of transactions grows. Our systems and processes may not prevent or detect all errors, omissions or fraud. We may have difficulty managing improvements to our systems, processes and controls or in connection with third-party software. This could impair our ability to provide our platform or products to our customers, causing us to lose customers, limiting our platform or products to less significant updates or increasing our technical support costs. If we are unable to manage this complexity, our business, operations, operating results and financial condition may suffer.</w:t>
      </w:r>
    </w:p>
    <w:p>
      <w:pPr>
        <w:spacing w:after="0" w:line="21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As our customer base grows, we will need to expand our services and other personnel, and maintain and enhance our partnerships, to provide a high level of customer service. We also will need to manage our sales processes as our sales personnel and partner network continue to grow and become more complex, and as we continue to expand into new geographies and market segments. If we do not effectively manage this increasing complexity, the quality of our platform, products and customer service could suffer, and we may not be able to adequately address competitive challenges. These factors could impair our ability to attract and retain customers and expand our customers’ use of our platform and products.</w:t>
      </w:r>
    </w:p>
    <w:p>
      <w:pPr>
        <w:spacing w:after="0" w:line="206"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our senior management team and the loss of one or more key employees or an inability to attract and retain highly skilled employees may adversely affect our business.</w:t>
      </w:r>
    </w:p>
    <w:p>
      <w:pPr>
        <w:spacing w:after="0" w:line="18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Our success depends largely upon the continued services of our executive officers and certain key employees, whom we rely on for research and development, marketing, sales, services and general and administrative functions. From time to time, our executive management team may change from the hiring or departure of executives, which could disrupt our business. Our executive officers and key employees are employed “at will” and could choose to terminate their employment with us at any time. The loss of one or more of our executive officers or key employees could have a serious adverse effect on our business.</w:t>
      </w:r>
    </w:p>
    <w:p>
      <w:pPr>
        <w:spacing w:after="0" w:line="210"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To execute our growth plan, we must attract and retain highly qualified personnel. Competition for these personnel is intense. If we are unable to attract such personnel in cities where we are located, we may need to hire in other locations, which may add to the complexity and costs of our business operations. We expect to continue to experience difficulty in hiring and retaining employees with appropriate qualifications. Many of the companies with which we compete for experienced personnel have greater resources than we have. If we hire employees from competitors or other companies, their former employers may attempt to assert that these employees or we have breached legal obligations, resulting in a diversion of our time and resources. In addition, candidates for employment and existing employees often consider the value of the stock awards they may receive in connection with their employment. If the perceived value of our stock awards declines, it may adversely affect our ability to recruit and retain highly skilled employees. If we fail to attract new personnel or fail to retain and motivate our current personnel, it could adversely affect our business and future growth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240"/>
          </w:cols>
          <w:pgMar w:left="320" w:top="1413"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hire, retain and motivate qualified personnel, our business will suffer.</w:t>
      </w:r>
    </w:p>
    <w:p>
      <w:pPr>
        <w:spacing w:after="0" w:line="256"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Our future success depends, in part, on our ability to continue to attract and retain highly skilled personnel. Our ability to identify, hire, develop, motivate and retain qualified personnel will directly affect our ability to maintain and grow our business, and such efforts will require significant time, expense and attention. The inability to attract or retain qualified personnel or delays in hiring required personnel may seriously harm our business, financial condition and operating results. Our ability to continue to attract and retain highly skilled personnel, specifically employees with technical and engineering skills and employees with high levels of experience in designing and developing software and automotive solutions, will be critical to our future success. In addition, to the extent we hire personnel from competitors, we may be subject to allegations that they have been improperly solicited or have divulged proprietary or other confidential information.</w:t>
      </w:r>
    </w:p>
    <w:p>
      <w:pPr>
        <w:spacing w:after="0" w:line="216"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Wage inflation in certain geographies in which we compete for highly skilled talent has been extremely high in the past few years. Although we have managed to retain our key employees, we may experience some level of employee attrition or turnover, and there is no guarantee that we will be able to continue to retain key employees or respond to these conditions in these locations if these trends continue.</w:t>
      </w:r>
    </w:p>
    <w:p>
      <w:pPr>
        <w:spacing w:after="0" w:line="20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While we have in the past and intend to continue to issue equity awards as key components of our overall compensation and employee attraction and retention efforts, we are required under GAAP to recognize compensation expense in our operating results for employee stock-based compensation under our equity grant programs, which may increase the pressure to limit stock-based compensation. Further, the dilutive effect of substantial equity awards may have a negative effect upon our stock, which could increase the pressure to limit stock-based compensation, or, conversely, should we fail to effectively limit the dilutive effects of stock based compensation, our stockholders may experience a decline in the stock price from such dilution.</w:t>
      </w:r>
    </w:p>
    <w:p>
      <w:pPr>
        <w:spacing w:after="0" w:line="206"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maintain our corporate culture as we grow, we could lose the innovation, teamwork, passion and focus on execution that we believe contribute to our success, and our business may be harmed.</w:t>
      </w:r>
    </w:p>
    <w:p>
      <w:pPr>
        <w:spacing w:after="0" w:line="186"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We believe a portion of our success has been our corporate culture. We have invested substantial time and resources in building our team and cultivating a corporate culture which we believe motivates employees and is attractive to potential employees. As we grow and develop our infrastructure as a public company, our operations may become increasingly complex. We may find it difficult to maintain important aspects of our corporate culture. Any failure to preserve our corporate culture could negatively affect our future success, including our ability to retain and recruit personnel, and to effectively focus on and pursue our corporate objectives.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obligations associated with being a public company require significant resources and attention from our senior management team.</w:t>
      </w:r>
    </w:p>
    <w:p>
      <w:pPr>
        <w:spacing w:after="0" w:line="25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As a public company with listed common stock, we are required to comply with various laws, regulations and requirements, including the requirements of the Exchange Act, certain corporate governance provisions of the Sarbanes-Oxley Act, related regulations of the SEC and requirements of the Nasdaq. The Exchange Act requires that we file annual, quarterly and current reports with respect to our business and financial condition. The Sarbanes-Oxley Act requires, among other things, that we establish and maintain effective internal control over financial reporting. While Section 404 of the Sarbanes-Oxley Act requires, among other things, that we assess the effectiveness of our internal control structure and procedures for financial reporting on an annual basis, for as long as we are a non-accelerated filer or an Emerging Growth Company, the registered public accounting firm that issues an audit report on our financial statements will not be required to attest to or report on the effectiveness of our internal control over financial reporting pursuant to Section 404(b) of the Sarbanes-Oxley Act. An independent assessment of the effectiveness of our internal controls could detect problems that our management’s assessment might not. We cannot be certain if the scaled SEC reporting options available to Smaller Reporting Companies or the delay in implementing new accounting standards available to us as an Emerging Growth Company will make our common stock less attractive to investors, possibly making the market price of our common stock decline and the trading volume more volatile.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200"/>
          </w:cols>
          <w:pgMar w:left="320" w:top="1413" w:right="37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i w:val="1"/>
          <w:iCs w:val="1"/>
          <w:color w:val="auto"/>
        </w:rPr>
        <w:t>Our senior management team has limited experience with the complexities of managing a publicly traded company.</w:t>
      </w:r>
    </w:p>
    <w:p>
      <w:pPr>
        <w:spacing w:after="0" w:line="256"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Since completing the Merger in 2025, we have been required, on an ongoing basis, to comply with various laws, regulations and requirements, including the requirements of the Exchange Act, related regulations of the SEC, and continued listing requirements of the Nasdaq, along with certain extremely technical and complex accounting requirements of GAAP, and reports required under these laws, regulations, and requirements, which must be communicated to the market on a timely basis. Our senior management team has limited experience with these laws, regulations, and requirements, and a failure to timely identify any potential for noncompliance with the foregoing may result in a material adverse event, and have significant consequences to our stockholders.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Regulatory, and Compliance Risks</w:t>
      </w:r>
    </w:p>
    <w:p>
      <w:pPr>
        <w:spacing w:after="0" w:line="252"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execute invention assignment agreements with our employees and contractors involved in the development of intellectual property or are unable to protect the confidentiality of our trade secrets, the value of our products and our business and competitive position could be harmed.</w:t>
      </w:r>
    </w:p>
    <w:p>
      <w:pPr>
        <w:spacing w:after="0" w:line="186"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We generally enter into confidentiality and invention assignment agreements with our employees, consultants and third parties upon their commencement of a relationship with us. However, we may not enter into such agreements with all employees, consultants and third parties who are or have been involved in the development of our intellectual property rights. In addition, these agreements may not provide meaningful protection against the unauthorized use or disclosure of our trade secrets or other confidential information, and adequate remedies may not exist if unauthorized use or disclosure were to occur. The exposure of our trade secrets and other proprietary information would impair our competitive advantages and could have a material adverse effect on our business, financial condition and results of operations. In particular, a failure to protect our proprietary rights may allow competitors to copy our technology, which could adversely affect our pricing and market share. Further, other parties may independently develop substantially equivalent know-how and technology.</w:t>
      </w:r>
    </w:p>
    <w:p>
      <w:pPr>
        <w:spacing w:after="0" w:line="21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In addition to contractual measures, we try to protect the confidential nature of our proprietary information using commonly accepted physical and technological security measures. Such measures may not, for example, in the case of misappropriation of a trade secret by an employee or third party with authorized access, provide adequate protection for our proprietary information. Our security measures may not prevent an employee or consultant from misappropriating our trade secrets and providing them to a competitor, and recourse we take against such misconduct may not provide an adequate remedy to protect our interests fully. Unauthorized parties may also attempt to copy or reverse engineer certain aspects of our products that we consider proprietary. Enforcing a claim that a party illegally disclosed or misappropriated a trade secret can be difficult, expensive and time-consuming, and the outcome is unpredictable. Even though we use commonly accepted security measures, trade secret violations are often a matter of state law, and the criteria for protection of trade secrets can vary among different jurisdictions. In addition, trade secrets may be independently developed by others in a manner that could prevent legal recourse by us. We also have agreements with our employees, consultants and third parties that obligate them to assign their inventions to us; however, these agreements may not be self-executing, not all employees or consultants may enter into such agreements or employees or consultants may breach or violate the terms of these agreements, and we may not have adequate remedies for any such breach or violation. If any of our intellectual property or confidential or proprietary information, such as our trade secrets, were to be disclosed or misappropriated, or if any such information was independently developed by a competitor, it could have a material adverse effect on our competitive position, business, financial condition, results of operations and prospects.</w:t>
      </w:r>
    </w:p>
    <w:p>
      <w:pPr>
        <w:spacing w:after="0" w:line="220"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could incur substantial costs in protecting or defending our proprietary rights. Failure to adequately protect our rights could impair our competitive position and we could lose valuable assets, experience reduced revenue and incur costly litigation.</w:t>
      </w:r>
    </w:p>
    <w:p>
      <w:pPr>
        <w:spacing w:after="0" w:line="186"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Our success is dependent, in part, upon protecting our proprietary technology. We rely on our confidentiality, non-compete, non-solicitation and nondisclosure agreements and a combination of trade secret laws, contractual provisions, trademarks, service marks, copyrights and patents in an effort to establish and protect our proprietary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220"/>
          </w:cols>
          <w:pgMar w:left="320" w:top="1413" w:right="359" w:bottom="1440" w:gutter="0" w:footer="0" w:header="0"/>
        </w:sectPr>
      </w:pPr>
    </w:p>
    <w:bookmarkStart w:id="29" w:name="page30"/>
    <w:bookmarkEnd w:id="29"/>
    <w:p>
      <w:pPr>
        <w:ind w:right="20"/>
        <w:spacing w:after="0" w:line="282" w:lineRule="auto"/>
        <w:rPr>
          <w:sz w:val="20"/>
          <w:szCs w:val="20"/>
          <w:color w:val="auto"/>
        </w:rPr>
      </w:pPr>
      <w:r>
        <w:rPr>
          <w:rFonts w:ascii="Times New Roman" w:cs="Times New Roman" w:eastAsia="Times New Roman" w:hAnsi="Times New Roman"/>
          <w:sz w:val="18"/>
          <w:szCs w:val="18"/>
          <w:color w:val="auto"/>
        </w:rPr>
        <w:t>rights. However, the steps we take to protect our intellectual property may be inadequate. We make business decisions about when to seek patent protection for a particular technology and when to rely upon trade secret protection. The approach we select may ultimately prove to be inadequate.</w:t>
      </w:r>
    </w:p>
    <w:p>
      <w:pPr>
        <w:spacing w:after="0" w:line="18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Our patents or patents issued in the future may not provide us with competitive advantages, or may be successfully challenged by third parties. Any of our patents, trademarks or other intellectual property rights may be challenged or circumvented by others or invalidated through administrative process or litigation. Others may independently develop similar products, duplicate any of our solutions or design around our intellectual property rights or adopt similar or identical brands for competing platforms. Legal standards relating to the validity, enforceability and scope of protection of intellectual property rights are uncertain. Despite our precautions, it may be possible for unauthorized third parties to copy our platform and products and use information that we regard as proprietary to create products and services that compete with ours. Some license provisions restricting unauthorized use, copying, transfer and disclosure of our intellectual property rights may be unenforceable under the laws of jurisdictions outside the U.S.</w:t>
      </w:r>
    </w:p>
    <w:p>
      <w:pPr>
        <w:spacing w:after="0" w:line="216"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To the extent we expand our international activities, our exposure to unauthorized copying and use of our platform, products and proprietary information may increase. Moreover, effective trademark, copyright, patent and trade secret protection may not be available or commercially feasible in every country in which we conduct business. Further, intellectual property law, including statutory and case law, particularly in the U.S., is constantly developing. Changes in the law could make it harder for us to enforce our rights.</w:t>
      </w:r>
    </w:p>
    <w:p>
      <w:pPr>
        <w:spacing w:after="0" w:line="203"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 general, we are subject to various laws and regulations in the U.S. and internationally, which may expose us to liability, increased costs or have other adverse effects that could harm our business.</w:t>
      </w:r>
    </w:p>
    <w:p>
      <w:pPr>
        <w:spacing w:after="0" w:line="186"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18"/>
          <w:szCs w:val="18"/>
          <w:color w:val="auto"/>
        </w:rPr>
        <w:t>Our business is subject to a variety of laws and regulations. These laws and regulations include but are not limited to data privacy and data localization, copyright or similar laws, export controls and sanctions, anti-spam, consumer protection, employment, and taxation. Compliance with such laws can require changes to our business practices and significant management time and effort. Additionally, as we continue to develop and improve consumer-facing products and services, and as those offerings may grow in popularity, the risk that additional laws and regulations will impact our business will continue to increase.</w:t>
      </w:r>
    </w:p>
    <w:p>
      <w:pPr>
        <w:spacing w:after="0" w:line="21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For example, privacy laws and regulations, cross-border data transfer restrictions, data localization requirements, and other domestic or foreign laws or regulations may expose us to liability, or otherwise adversely affect our business. Laws and regulations related to data privacy and the collection, processing, and disclosure of consumer personal information are constantly evolving. Such laws and regulations could restrict our ability to store and process personal data (in particular, our ability to use certain data for purposes such as risk or fraud avoidance, marketing, or advertising), to control our costs by using certain vendors or service providers in certain jurisdictions and could limit our ability to effectively market or advertise to interested buyers and, in general, increase the resources required to operate our business. Additionally, such laws and regulations are often inconsistent and may be subject to amendment or reinterpretation, which may cause us to incur significant costs and expend significant effort to ensure compliance.</w:t>
      </w:r>
    </w:p>
    <w:p>
      <w:pPr>
        <w:spacing w:after="0" w:line="216" w:lineRule="exact"/>
        <w:rPr>
          <w:sz w:val="20"/>
          <w:szCs w:val="20"/>
          <w:color w:val="auto"/>
        </w:rPr>
      </w:pPr>
    </w:p>
    <w:p>
      <w:pPr>
        <w:jc w:val="both"/>
        <w:ind w:right="160"/>
        <w:spacing w:after="0" w:line="261" w:lineRule="auto"/>
        <w:rPr>
          <w:sz w:val="20"/>
          <w:szCs w:val="20"/>
          <w:color w:val="auto"/>
        </w:rPr>
      </w:pPr>
      <w:r>
        <w:rPr>
          <w:rFonts w:ascii="Times New Roman" w:cs="Times New Roman" w:eastAsia="Times New Roman" w:hAnsi="Times New Roman"/>
          <w:sz w:val="18"/>
          <w:szCs w:val="18"/>
          <w:color w:val="auto"/>
        </w:rPr>
        <w:t>In addition, the overall regulatory framework for AI Technologies is rapidly evolving as many federal, state and foreign government bodies and agencies have introduced, or are currently considering, additional laws and regulations. Additionally, existing laws and regulations may be interpreted in ways that would affect the operation of our AI Technologies. As a result, implementation standards and enforcement practices are likely to remain uncertain for the foreseeable future.</w:t>
      </w:r>
    </w:p>
    <w:p>
      <w:pPr>
        <w:spacing w:after="0" w:line="203" w:lineRule="exact"/>
        <w:rPr>
          <w:sz w:val="20"/>
          <w:szCs w:val="20"/>
          <w:color w:val="auto"/>
        </w:rPr>
      </w:pPr>
    </w:p>
    <w:p>
      <w:pPr>
        <w:ind w:right="3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financial and economic sanctions, export controls and similar laws, and non-compliance with such laws can subject us to administrative, civil, and criminal fines and penalties, collateral consequences, remedial measures and legal expenses, all of which could adversely affect our business, results of operations, financial condition and reputation.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220"/>
          </w:cols>
          <w:pgMar w:left="320" w:top="1417" w:right="359" w:bottom="1440" w:gutter="0" w:footer="0" w:header="0"/>
        </w:sectPr>
      </w:pPr>
    </w:p>
    <w:bookmarkStart w:id="30" w:name="page31"/>
    <w:bookmarkEnd w:id="30"/>
    <w:p>
      <w:pPr>
        <w:ind w:right="100"/>
        <w:spacing w:after="0" w:line="261" w:lineRule="auto"/>
        <w:rPr>
          <w:sz w:val="20"/>
          <w:szCs w:val="20"/>
          <w:color w:val="auto"/>
        </w:rPr>
      </w:pPr>
      <w:r>
        <w:rPr>
          <w:rFonts w:ascii="Times New Roman" w:cs="Times New Roman" w:eastAsia="Times New Roman" w:hAnsi="Times New Roman"/>
          <w:sz w:val="18"/>
          <w:szCs w:val="18"/>
          <w:color w:val="auto"/>
        </w:rPr>
        <w:t>Our platform and products are subject to U.S. export controls, including the Export Administration Regulations and economic sanctions administered by the U.S. Treasury Department’s Office of Foreign Assets Control. We incorporate encryption technology into our platform. These encryption products and the underlying technology may be exported outside of the U.S. only with the required export authorizations, including by license, a license exception or other appropriate government authorizations.</w:t>
      </w:r>
    </w:p>
    <w:p>
      <w:pPr>
        <w:spacing w:after="0" w:line="20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Furthermore, our activities are subject to U.S. economic sanctions laws and regulations that restrict regulated persons from conducting transactions or dealings with certain countries, regions, governments and persons, and are subject to U.S. export control laws that regulate (and in some cases prohibit) the export, re-export, or transfer of items subject to the U.S. Export Administration Regulations. A violation of these laws or regulations could adversely affect our business, results of operations, financial condition and reputation.</w:t>
      </w:r>
    </w:p>
    <w:p>
      <w:pPr>
        <w:spacing w:after="0" w:line="20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Recent administrations have been critical of existing trade agreements and may impose more stringent sanctions, export and import controls. Obtaining the necessary export license or other authorization for a particular sale may be time-consuming and may result in the delay or loss of sales opportunities even if the export license ultimately may be granted. While we take precautions to prevent our AI Studio platform and hardware from being exported in violation of these laws, including obtaining authorizations for our platform, performing geolocation IP blocking and screenings against U.S. and other lists of restricted and prohibited persons, we cannot guarantee that the precautions we take will prevent violations or allegations of violations of export control and sanctions laws. In addition, our employees, representatives, or other third parties acting on our behalf may engage in conduct for which we might be held responsible. Violations of U.S. sanctions or export control laws can expose us to reputational harm as well as significant fines or penalties, and possible incarceration for responsible employees and managers could be imposed for criminal violations of these laws, which could adversely affect our business, results of operations, financial condition and reputation.</w:t>
      </w:r>
    </w:p>
    <w:p>
      <w:pPr>
        <w:spacing w:after="0" w:line="215"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If our partners fail to obtain appropriate import, export or re-export licenses or permits, we may also be adversely affected, through reputational harm as well as other negative consequences, including government investigations and penalties. We are in the process of incorporating export control compliance requirements into our strategic partner agreements; however, no assurance can be given that our partners will comply with such requirements.</w:t>
      </w:r>
    </w:p>
    <w:p>
      <w:pPr>
        <w:spacing w:after="0" w:line="203"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Various countries regulate the import and export of certain encryption and other technology, including import and export licensing requirements. Some countries have enacted laws that could limit our ability to distribute our AI Studio platform or could limit our customers’ ability to implement our platform in those countries. Changes in our AI Studio platform or future changes in export and import regulations may create delays in the introduction of our AI Studio platform in international markets, prevent our customers with international operations from launching our platform globally or, in some cases, prevent the export or import of our platform to certain countries, governments or persons altogether. Various governmental agencies have proposed additional regulation of encryption technology, including the escrow and government recovery of private encryption keys. Any change in export or import regulations, economic sanctions or related legislation, or change in the countries, governments, persons or technologies targeted by such regulations, could limit our ability to export or sell our platform to existing or potential customers with international operations. Any decreased use of our platform or limitation on our ability to export or sell our AI Studio platform would adversely affect our business, operating results and prospects.</w:t>
      </w:r>
    </w:p>
    <w:p>
      <w:pPr>
        <w:spacing w:after="0" w:line="21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Investment in the Company by non-U.S. investors may be subject to the jurisdiction of and review by CFIUS, which has the power to rescind or mitigate transactions, or impose monetary penalties for violations of CFIUS regulations. Because we develop technology that is deemed “critical” from a U.S. national security perspective, certain investments by non-U.S. persons or entities could trigger mandatory CFIUS filings before an investment is allowed to close.</w:t>
      </w:r>
    </w:p>
    <w:p>
      <w:pPr>
        <w:spacing w:after="0" w:line="203"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conduct a portion of our business with third-party ecosystem partners to provide defensive solutions that incorporate our products to various foreign and domestic government agencies, which are subject to unique risks.</w:t>
      </w:r>
    </w:p>
    <w:p>
      <w:pPr>
        <w:spacing w:after="0" w:line="186"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Contracts with the U.S. or foreign governments are subject to extensive regulations, and new regulations, or changes to existing regulations, could increase our or any third-party ecosystem partners’ compliance costs, including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220"/>
          </w:cols>
          <w:pgMar w:left="320" w:top="1417" w:right="359" w:bottom="1440" w:gutter="0" w:footer="0" w:header="0"/>
        </w:sectPr>
      </w:pPr>
    </w:p>
    <w:bookmarkStart w:id="31" w:name="page32"/>
    <w:bookmarkEnd w:id="31"/>
    <w:p>
      <w:pPr>
        <w:ind w:right="100"/>
        <w:spacing w:after="0" w:line="266" w:lineRule="auto"/>
        <w:rPr>
          <w:sz w:val="20"/>
          <w:szCs w:val="20"/>
          <w:color w:val="auto"/>
        </w:rPr>
      </w:pPr>
      <w:r>
        <w:rPr>
          <w:rFonts w:ascii="Times New Roman" w:cs="Times New Roman" w:eastAsia="Times New Roman" w:hAnsi="Times New Roman"/>
          <w:sz w:val="18"/>
          <w:szCs w:val="18"/>
          <w:color w:val="auto"/>
        </w:rPr>
        <w:t>form of withheld payments and/or reduced future business if we or any third-party ecosystem partners fail to comply with these requirements in the future, or otherwise have a material impact on our or any third-party ecosystem partners’ business, which could negatively impact our financial condition and operating results.</w:t>
      </w:r>
    </w:p>
    <w:p>
      <w:pPr>
        <w:spacing w:after="0" w:line="203"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Contracts with the U.S. or foreign governments are also subject to a variety of other requirements and risks including government reviews, audits, investigations, False Claims Act cases, suspensions and debarments as well as other legal actions and proceedings that generally do not apply to purely commercial contracts. In addition, transactions involving government contractors may be subject to government review and approvals and may require the contractor to hold certain national security clearances in order to perform them.</w:t>
      </w:r>
    </w:p>
    <w:p>
      <w:pPr>
        <w:spacing w:after="0" w:line="203"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anti-corruption, anti-bribery, anti-money laundering and similar laws. Non-compliance with such laws can subject us to criminal and/or civil liability and harm our business.</w:t>
      </w:r>
    </w:p>
    <w:p>
      <w:pPr>
        <w:spacing w:after="0" w:line="18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are subject to FCPA, the U.S. domestic bribery statute contained in 18 U.S.C. § 201, the U.S. Travel Act, the UK Bribery Act of 2010, the UK Proceeds of Crime Act 2002, and other anti-bribery and anti-money laundering laws in the countries in which we conduct activities. Anti-corruption and anti-bribery laws have been enforced aggressively in recent years. These laws are interpreted broadly and prohibits, among other things, providing, offering, or promising, directly or indirectly, anything of value to any foreign government official or employee, or any political party or official thereof, or candidate for political office to improperly influence, induce, obtain and retain business from, expedite or secure the performance of official acts of a routine nature, secure an improper advantage, or otherwise violate any of the anti-bribery laws, from such or any person.</w:t>
      </w:r>
    </w:p>
    <w:p>
      <w:pPr>
        <w:spacing w:after="0" w:line="21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As we increase our international sales and business and sales to the public sector, we may engage with partners and third-party intermediaries to market our services and to obtain necessary permits, licenses, and other regulatory approvals. In addition, we or our third-party intermediaries may have direct or indirect interactions with officials and employees of government agencies or state-owned or affiliated entities. Due to the expansive nature of the FCPA and other anti-corruption and anti-bribery laws, we can be held liable for corrupt or other illegal actions, even if seemingly innocent, of these third-party intermediaries, our employees, representatives, contractors, partners and agents, even if we do not explicitly authorize such activities.</w:t>
      </w:r>
    </w:p>
    <w:p>
      <w:pPr>
        <w:spacing w:after="0" w:line="210"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While we have policies and procedures to address compliance with such laws, our employees and agents could violate our policies and applicable law, for which we may be ultimately held responsible. As we increase our international sales and business, our risks under these laws may increase. Additionally, the FCPA requires that we keep accurate books and records and maintain a system of adequate internal controls. Although we have taken precautions to prevent violations of these laws, we cannot provide assurance that our internal controls and compliance systems will always prevent misconduct by our employees, agents, third parties, or business partners.</w:t>
      </w:r>
    </w:p>
    <w:p>
      <w:pPr>
        <w:spacing w:after="0" w:line="210"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Noncompliance with anti-corruption, anti-bribery or anti-money laundering laws could subject us to whistleblower complaints, investigations, sanctions, settlements, criminal prosecution, other enforcement actions, disgorgement of profits, significant fines, damages, including treble damages, other civil and criminal penalties or injunctions, suspension and/or debarment from contracting with certain persons, the loss of export privileges, reputational harm, adverse media coverage, and other collateral consequences. If any subpoenas or investigations are launched, or governmental or other sanctions imposed, or if we do not prevail in any possible civil or criminal litigation, our business, results of operations, and financial condition could be materially harmed. Responding to any action will likely result in a materially significant diversion of management’s attention and resources and significant defense costs and other professional fees. Enforcement actions and sanctions could further harm our business, results of operations, and financial condition.</w:t>
      </w:r>
    </w:p>
    <w:p>
      <w:pPr>
        <w:spacing w:after="0" w:line="212" w:lineRule="exact"/>
        <w:rPr>
          <w:sz w:val="20"/>
          <w:szCs w:val="20"/>
          <w:color w:val="auto"/>
        </w:rPr>
      </w:pPr>
    </w:p>
    <w:p>
      <w:pPr>
        <w:ind w:right="40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process proprietary, confidential and personal information which may subject us to certain laws or other obligations regarding the privacy and security of such information. If we fail to comply with applicable laws or obligations, or if the confidentiality, integrity, or availability of this information or our information technology systems is compromised, our reputation may be harmed and we may be exposed to liability and loss of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240"/>
          </w:cols>
          <w:pgMar w:left="320" w:top="1417" w:right="339" w:bottom="1440" w:gutter="0" w:footer="0" w:header="0"/>
        </w:sectPr>
      </w:pPr>
    </w:p>
    <w:bookmarkStart w:id="32" w:name="page33"/>
    <w:bookmarkEnd w:id="32"/>
    <w:p>
      <w:pPr>
        <w:spacing w:after="0" w:line="254" w:lineRule="auto"/>
        <w:rPr>
          <w:sz w:val="20"/>
          <w:szCs w:val="20"/>
          <w:color w:val="auto"/>
        </w:rPr>
      </w:pPr>
      <w:r>
        <w:rPr>
          <w:rFonts w:ascii="Times New Roman" w:cs="Times New Roman" w:eastAsia="Times New Roman" w:hAnsi="Times New Roman"/>
          <w:sz w:val="18"/>
          <w:szCs w:val="18"/>
          <w:color w:val="auto"/>
        </w:rPr>
        <w:t>As part of our normal business activities, we collect, transmit, use, disclose, store and otherwise process proprietary, confidential and personal information (“Confidential Information”) including of our employees, employees of our customers and other third parties with which we do business and any personal information that may be uploaded to our services by our customers. As such, we are subject to federal, state, and foreign laws regarding cybersecurity, privacy, and the processing of personal information. For example, the EU/UK General Data Protection Regulation, the California Consumer Privacy Act, and related laws in other jurisdictions require us to adhere to certain disclosure restrictions and deletion obligations with respect to the personal information of their residents, and allow for penalties for violations and, in some cases, a private right of action. These laws also impose transparency and other obligations with respect to personal information of their respective residents and provide residents with similar rights with respect to their personal information. Moreover, many jurisdictions have enacted laws requiring companies to notify individuals of security breaches involving certain types of personal information.</w:t>
      </w:r>
    </w:p>
    <w:p>
      <w:pPr>
        <w:spacing w:after="0" w:line="21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regulatory environment surrounding information security, privacy, and the processing of personal information is increasingly demanding, with frequent imposition of new and changing requirements that are subject to differing interpretations and create a complex compliance environment. In some cases, these requirements may be either unclear in their interpretation and application or they may have inconsistent or conflicting requirements with each other. Further, there has been a substantial increase in legislative activity and regulatory focus on data privacy and security in the U.S., Europe, and elsewhere, including in relation to cybersecurity incidents.</w:t>
      </w:r>
    </w:p>
    <w:p>
      <w:pPr>
        <w:spacing w:after="0" w:line="210"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We use third-party service providers and subprocessors to help us deliver services to our customers. These service providers and subprocessors may also collect, transmit, use, disclose, store and otherwise process Confidential Information. Such Confidential Information, and the information technology systems (“IT Systems”) that store such information, face numerous and evolving cybersecurity risks that threaten the confidentiality, integrity and availability of such IT Systems and Confidential Information, including as a result of third-party action, employee or contractor error or malfeasance, nation state malfeasance, malware, phishing, computer hackers, system error, software, viruses, bugs or defects, process failure or otherwise. Any of these could result in the failure of our IT Systems or the loss of Confidential Information. Further, because our products and services are integrated with our customers’ systems and processes, any circumvention or failure of our cybersecurity defenses or measures could compromise the confidentiality, integrity, and availability of our customers’ own IT Systems and/or Confidential Information as well.</w:t>
      </w:r>
    </w:p>
    <w:p>
      <w:pPr>
        <w:spacing w:after="0" w:line="21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Information security risks for companies such as ours have significantly increased in recent years in part because of the proliferation of new technologies, the use of internet and telecommunications technologies to conduct financial transactions and the increased sophistication and activities of organized crime, hackers, terrorists and other external parties, as well as nation-state and nation-state-supported actors.</w:t>
      </w:r>
    </w:p>
    <w:p>
      <w:pPr>
        <w:spacing w:after="0" w:line="203"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Because the techniques and tools (including AI) used to obtain unauthorized access or sabotage systems change frequently, may originate from less regulated and remote areas of the world and be difficult to detect and generally are not identified until they are launched against a target, we may be unable to anticipate these techniques or to implement adequate preventative measures. Even if such a data breach did not arise out of our action or inaction, or even if it were to solely affect one or more of our competitors or our customers, the resulting concern could negatively affect our customers and our business. Concerns regarding data privacy and security may cause some of our customers to stop using our platform or products. In addition, failures to meet our customers’ expectations with respect to security and confidentiality of their data and information could damage our reputation and affect our ability to retain customers, attract new customers and grow our business.</w:t>
      </w:r>
    </w:p>
    <w:p>
      <w:pPr>
        <w:spacing w:after="0" w:line="216"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We may fail to properly assess and understand the risks of information security breaches and cannot guarantee that any measures we take to ameliorate these risks will be effective. Like other companies, we have been the subject of various cyber incidents. While we believe these incidents have not been material, we cannot guarantee that any future will not have a material impact.</w:t>
      </w:r>
    </w:p>
    <w:p>
      <w:pPr>
        <w:spacing w:after="0" w:line="203"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Our failure to comply with legal, contractual or standards-based requirements around the privacy or security of Confidential Information (including personal information) could lead to significant fines and penalties, exposure to indemnification obligations, governmental investigations and enforcement actions, litigation (including class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220"/>
          </w:cols>
          <w:pgMar w:left="320" w:top="1417" w:right="359" w:bottom="1440" w:gutter="0" w:footer="0" w:header="0"/>
        </w:sectPr>
      </w:pPr>
    </w:p>
    <w:bookmarkStart w:id="33" w:name="page34"/>
    <w:bookmarkEnd w:id="33"/>
    <w:p>
      <w:pPr>
        <w:ind w:right="100"/>
        <w:spacing w:after="0" w:line="254" w:lineRule="auto"/>
        <w:rPr>
          <w:sz w:val="20"/>
          <w:szCs w:val="20"/>
          <w:color w:val="auto"/>
        </w:rPr>
      </w:pPr>
      <w:r>
        <w:rPr>
          <w:rFonts w:ascii="Times New Roman" w:cs="Times New Roman" w:eastAsia="Times New Roman" w:hAnsi="Times New Roman"/>
          <w:sz w:val="18"/>
          <w:szCs w:val="18"/>
          <w:color w:val="auto"/>
        </w:rPr>
        <w:t>actions) or adverse publicity. Additionally, it is possible that new laws, regulations and other requirements, or amendments to or changes in interpretations of existing laws, regulations and other requirements, may require us to incur significant costs, implement new processes, or change our handling of information and business operations, which could ultimately hinder our ability to grow our business by extracting value from our data assets. Further, any adverse impact to the availability, integrity or confidentiality of our IT Systems or Confidential Information can result in legal claims or proceedings (such as class actions), regulatory investigations and enforcement actions, fines and penalties, negative reputational impacts that cause us to lose existing or future customers, and/or significant incident response, system restoration or remediation and future compliance costs. Any of the foregoing could force us to spend money in defense or settlement of proceedings, result in the imposition of monetary liability or injunctive relief, divert management’s time and attention, increase our costs of doing business and adversely affect our reputation and the demand for our platform and products, which could materially adversely affect our business, results of operations, and financial condition.</w:t>
      </w:r>
    </w:p>
    <w:p>
      <w:pPr>
        <w:spacing w:after="0" w:line="215"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Further, our insurance coverage, including coverage for errors and omissions and cyber liability, may not continue to be available on acceptable terms or may not be available in sufficient amounts to cover one or more large claims. Our insurers could deny coverage as to any future claim and our cyber liability coverage may not adequately protect us against any losses, liabilities and costs that we may incur. The successful assertion of one or more large claims against us, or changes in our insurance policies, including premium increases or the imposition of large deductible or co-insurance requirements, could have an adverse effect on our business, financial condition and results of operations.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and Market Risks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is substantial doubt about our ability to continue as a going concern.</w:t>
      </w:r>
    </w:p>
    <w:p>
      <w:pPr>
        <w:spacing w:after="0" w:line="25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consolidated financial statements have been prepared on a going concern basis, which contemplates the realization of assets and the discharge of liabilities in the normal course of business. Our ability to continue to meet our obligations, achieve our business objectives, and continue as a going concern is dependent upon several factors, including our revenue growth rate and the timing and extent of spending to support further sales, marketing and research and development efforts. Although we intend to raise additional capital through issuances of additional debt and/or equity, additional financing may not be available at terms acceptable to us or at all. These factors raise substantial doubt about our ability to continue as a going concern. If we cannot continue as a viable entity, this could materially adversely affect the value of our securities.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Currency controls may limit our ability to access or repatriate funds</w:t>
      </w:r>
    </w:p>
    <w:p>
      <w:pPr>
        <w:spacing w:after="0" w:line="25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A portion of our business operations, customers, or suppliers are located in China, and we may continue to expand our presence in the region. The Chinese government maintains strict currency controls and regulations on the convertibility of the Renminbi (RMB) into foreign currencies. These controls can restrict the free flow of capital into and out of China and may limit our ability to access, transfer, or repatriate funds generated from our operations or sales in China.</w:t>
      </w:r>
    </w:p>
    <w:p>
      <w:pPr>
        <w:spacing w:after="0" w:line="207"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Approval from or registration with appropriate government authorities is required for the conversion of RMB into foreign currency and remittance of such foreign currency out of China for capital account items, such as direct investment, loans, and repatriation of investment proceeds.</w:t>
      </w:r>
    </w:p>
    <w:p>
      <w:pPr>
        <w:spacing w:after="0" w:line="189"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If we are unable to obtain the necessary government approvals or complete the required registration processes, or if the Chinese government tightens its currency controls, we may be unable to repatriate funds from China or finance our operations. In addition, changes in foreign exchange policies or fluctuations in the value of the RMB could adversely affect our financial condition, results of operations, and cash flows.</w:t>
      </w:r>
    </w:p>
    <w:p>
      <w:pPr>
        <w:spacing w:after="0" w:line="203"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Furthermore, any future restrictions on currency exchange or capital outflows imposed by the Chinese government could limit our ability to use cash generated in China to fund our business activities outside of China or to service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240"/>
          </w:cols>
          <w:pgMar w:left="320" w:top="1417" w:right="339" w:bottom="1440" w:gutter="0" w:footer="0" w:header="0"/>
        </w:sectPr>
      </w:pPr>
    </w:p>
    <w:bookmarkStart w:id="34" w:name="page35"/>
    <w:bookmarkEnd w:id="34"/>
    <w:p>
      <w:pPr>
        <w:ind w:right="540"/>
        <w:spacing w:after="0" w:line="282" w:lineRule="auto"/>
        <w:rPr>
          <w:sz w:val="20"/>
          <w:szCs w:val="20"/>
          <w:color w:val="auto"/>
        </w:rPr>
      </w:pPr>
      <w:r>
        <w:rPr>
          <w:rFonts w:ascii="Times New Roman" w:cs="Times New Roman" w:eastAsia="Times New Roman" w:hAnsi="Times New Roman"/>
          <w:sz w:val="18"/>
          <w:szCs w:val="18"/>
          <w:color w:val="auto"/>
        </w:rPr>
        <w:t>our obligations denominated in foreign currencies. These risks could materially and adversely affect our business, financial condition, and results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Common Stock</w:t>
      </w:r>
    </w:p>
    <w:p>
      <w:pPr>
        <w:spacing w:after="0" w:line="252"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issuances of shares of our common stock or other securities convertible into our common stock could cause the market value of shares of our common stock to decline and could result in dilution of your shares.</w:t>
      </w:r>
    </w:p>
    <w:p>
      <w:pPr>
        <w:spacing w:after="0" w:line="186"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A substantial number of warrants and equity awards are outstanding, each of which are convertible into common stock in the case of warrants, exercisable for shares of our common stock in the case of stock options, or become common stock after the passage of time in the case of RSUs.</w:t>
      </w:r>
    </w:p>
    <w:p>
      <w:pPr>
        <w:spacing w:after="0" w:line="18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Sales of substantial amounts of shares of our common stock, issuances of common stock upon the conversion or exercise of warrants, issuances of additional equity awards, issuances of other classes of stock, or issuances of preferred stock could cause the market price of shares of our common stock to decrease significantly. We cannot predict the effect, if any, of future sales of shares of our common stock, or the availability of shares of our common stock for future sales, on the value of shares of our common stock. Sales of substantial amounts of shares of our common stock, or the perception that such sales could occur, may adversely affect prevailing market prices for shares of our common stock.</w:t>
      </w:r>
    </w:p>
    <w:p>
      <w:pPr>
        <w:spacing w:after="0" w:line="206"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meet the continued listing standards of the Nasdaq from time to time. This could result in our common stock being delisted from the exchange.</w:t>
      </w:r>
    </w:p>
    <w:p>
      <w:pPr>
        <w:spacing w:after="0" w:line="186"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Delisting could have several adverse consequences for our company and our shareholders. It would likely reduce the liquidity and marketability of our common stock, making it more difficult for shareholders to buy or sell shares. Delisting may also negatively impact our ability to raise capital, attract and retain employees, and pursue strategic transactions. Furthermore, it could diminish our visibility and credibility in the marketplace, potentially affecting relationships with customers, suppliers, and other business partners.</w:t>
      </w:r>
    </w:p>
    <w:p>
      <w:pPr>
        <w:spacing w:after="0" w:line="207"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If we are unable to improve our stock price or otherwise comply with the listing requirements, and our common stock is delisted, it may only be traded on the over-the-counter market, which is generally less liquid and more volatile. This could further depress the market price of our common stock and adversely affect the value of your investment. You could lose some or all of your investment.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Activist shareholders could disrupt our operations, cause uncertainty, and adversely affect our business and stock price.</w:t>
      </w:r>
    </w:p>
    <w:p>
      <w:pPr>
        <w:spacing w:after="0" w:line="256" w:lineRule="exact"/>
        <w:rPr>
          <w:sz w:val="20"/>
          <w:szCs w:val="20"/>
          <w:color w:val="auto"/>
        </w:rPr>
      </w:pPr>
    </w:p>
    <w:p>
      <w:pPr>
        <w:jc w:val="both"/>
        <w:ind w:right="200"/>
        <w:spacing w:after="0" w:line="261" w:lineRule="auto"/>
        <w:rPr>
          <w:sz w:val="20"/>
          <w:szCs w:val="20"/>
          <w:color w:val="auto"/>
        </w:rPr>
      </w:pPr>
      <w:r>
        <w:rPr>
          <w:rFonts w:ascii="Times New Roman" w:cs="Times New Roman" w:eastAsia="Times New Roman" w:hAnsi="Times New Roman"/>
          <w:sz w:val="18"/>
          <w:szCs w:val="18"/>
          <w:color w:val="auto"/>
        </w:rPr>
        <w:t>We may be subject to actions or proposals from activist shareholders, including unsolicited offers to acquire control, proposals to change our governance structure, or demands for strategic, operational, or financial changes. Activist shareholders may seek to effect changes in how the Company is governed, managed, or operated, or may seek to acquire control of the Company without paying a premium for all of our outstanding shares. Such activities could include public campaigns, proxy contests, or litigation.</w:t>
      </w:r>
    </w:p>
    <w:p>
      <w:pPr>
        <w:spacing w:after="0" w:line="20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Responding to activist shareholders can be costly and time-consuming, may divert the attention of our Board of Directors and management from the operation of our business, and could disrupt our ability to execute our strategic plans. Even if activist campaigns are not successful, the process of engaging with activist shareholders and responding to their proposals can create uncertainty among employees, customers, suppliers, and other stakeholders, potentially harming our business relationships and reputation.</w:t>
      </w:r>
    </w:p>
    <w:p>
      <w:pPr>
        <w:spacing w:after="0" w:line="207"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In addition, perceived or actual actions by activist shareholders may cause volatility in the market price of our common stock, particularly if activist campaigns are accompanied by negative publicity or speculation regarding the Company’s future. If activist shareholders are successful in electing directors or effecting changes in management or strategy, such changes may not be in the best interests of all shareholders and could adversely affect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200"/>
          </w:cols>
          <w:pgMar w:left="320" w:top="1417" w:right="379" w:bottom="1440" w:gutter="0" w:footer="0" w:header="0"/>
        </w:sectPr>
      </w:pPr>
    </w:p>
    <w:bookmarkStart w:id="35" w:name="page36"/>
    <w:bookmarkEnd w:id="35"/>
    <w:p>
      <w:pPr>
        <w:spacing w:after="0" w:line="22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actions of activist shareholders may adversely impact our ability to achieve our business objectives, maintain stable operations, and deliver long-term value to our shareholders.</w:t>
      </w:r>
    </w:p>
    <w:p>
      <w:pPr>
        <w:spacing w:after="0" w:line="185"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intend to pay dividends on our common stock for the foreseeable future, and investors should intend to rely on stock price appreciation for a return on their investment.</w:t>
      </w:r>
    </w:p>
    <w:p>
      <w:pPr>
        <w:spacing w:after="0" w:line="186"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We have never declared or paid any cash dividends on our common stock, and we do not anticipate paying any cash dividends in the foreseeable future. Our current policy is to retain all available funds and future earnings, if any, to fund the development and growth of our business, support our working capital needs, and for general corporate purposes. As a result, investors seeking cash dividends should not purchase our common stock.</w:t>
      </w:r>
    </w:p>
    <w:p>
      <w:pPr>
        <w:spacing w:after="0" w:line="203"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Any future determination to pay dividends will be at the discretion of our Board of Directors and will depend on a number of factors, including our financial condition, results of operations, capital requirements, contractual restrictions, and other factors that the Board of Directors may deem relevant. In addition, our ability to pay dividends may be limited by covenants in any future debt agreements or other financing arrangements.</w:t>
      </w:r>
    </w:p>
    <w:p>
      <w:pPr>
        <w:spacing w:after="0" w:line="203"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Accordingly, investors should intend to rely on sales of their shares of our common stock after price appreciation, which may never occur, as the only way to realize any future gains on their investment. If our common stock does not appreciate in value, or if it declines in value, investors may lose part or all of their investment.</w:t>
      </w:r>
    </w:p>
    <w:p>
      <w:pPr>
        <w:spacing w:after="0" w:line="199"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timely raise capital in the future may be limited, or may be unavailable on acceptable terms, if at all, and we cannot be certain when or if our operations will generate sufficient cash to fund our ongoing operations or the growth of our business.</w:t>
      </w:r>
    </w:p>
    <w:p>
      <w:pPr>
        <w:spacing w:after="0" w:line="186"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Our ability to timely raise capital in the future may be limited, or may be unavailable on acceptable terms, if at all. Our failure to raise capital when needed could harm our business, operating results and financial condition. Debt issued to raise additional capital may reduce the value of our common stock. Furthermore, if we were to incur debt, the terms of such debt, including the accrual and payment of interest at fixed or variable interest rates, could restrict our operations. Moreover, as a result of widespread inflation in the global economy, certain governmental authorities responsible for administering monetary policy have recently increased, and may continue to increase, applicable central bank interest rates, which could increase the costs required to obtain debt financing in the future or refinance any such future indebtedness Furthermore, if we incur debt, the debt holders could have rights senior to holders of common stock to make claims on our assets. As a result, our stockholders bear the risk of future issuances of debt securities reducing the value of our common stock.</w:t>
      </w:r>
    </w:p>
    <w:p>
      <w:pPr>
        <w:spacing w:after="0" w:line="215"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It is not possible to predict the actual number of shares we will sell to B. Riley under the Committed Equity Facility, or the actual gross proceeds resulting from those sales. Further, we may not have access to the full amount available under the Committed Equity Facility.</w:t>
      </w:r>
    </w:p>
    <w:p>
      <w:pPr>
        <w:spacing w:after="0" w:line="186"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On July 14, 2025, we entered into a common stock purchase agreement (the “Committed Equity Facility”) with B. Riley Principal Capital, LLC (“B. Riley”), pursuant to which B. Riley has committed to purchase up to $50.0 million of our common stock, subject to certain limitations and conditions set forth in the Committed Equity Facility. The shares of our common stock that may be issued under the Committed Equity Facility may be sold by us to B. Riley at our discretion from time to time over an approximately 36-month period. As of October 17, 2025, the most recent date of such a sale, we had sold a total of 8,410,321 shares of our common stock to B. Riley for net proceeds of $33.2 million.</w:t>
      </w:r>
    </w:p>
    <w:p>
      <w:pPr>
        <w:spacing w:after="0" w:line="21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generally have the right to control the timing and amount of any sales of our shares of common stock to B. Riley under the Committed Equity Facility. Sales of our common stock, if any, to B. Riley under the Committed Equity Facility depend upon market conditions and other factors to be determined by us. We may ultimately decide to sell to B. Riley all or only a portion of the shares of our common stock that may be available for us to sell to B. Riley pursuant to the Committed Equity Facility. Depending on market liquidity at the time, resales of those shares by B. Riley may cause the public trading price of our common stock to decrease.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220"/>
          </w:cols>
          <w:pgMar w:left="320" w:top="1440" w:right="359" w:bottom="1440" w:gutter="0" w:footer="0" w:header="0"/>
        </w:sectPr>
      </w:pPr>
    </w:p>
    <w:bookmarkStart w:id="36" w:name="page37"/>
    <w:bookmarkEnd w:id="36"/>
    <w:p>
      <w:pPr>
        <w:spacing w:after="0" w:line="2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Because the purchase price per share to be paid by B. Riley for the shares of common stock that we may elect to sell to B. Riley under the Committed Equity Facility will fluctuate based on the market prices of our common stock during the applicable purchase valuation period for each purchase made pursuant to the Committed Equity Facility, it is not possible for us to predict, as of the date of this filing and prior to any such sales, the number of shares of common stock that we will ultimately sell to B. Riley under the Committed Equity Facility, the purchase price per share that B. Riley will pay for shares purchased from us under the Committed Equity Facility, or the aggregate gross proceeds that we will receive from those purchases by B. Riley under the Committed Equity Facility.</w:t>
      </w:r>
    </w:p>
    <w:p>
      <w:pPr>
        <w:spacing w:after="0" w:line="214"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Moreover, although the Committed Equity Facility provides that we may, in our discretion, from time to time during the term of the Committed Equity Facility direct B. Riley to purchase shares of our common stock from us, for a maximum aggregate purchase price of up to $50.0 million, only 20,326,159 shares of common stock of which 83,353 represent the commitment shares we issued to B. Riley upon our execution of the Committed Equity Facility on July 14, 2025 were registered for resale under a registration statement on Form S-1. Accordingly, only 20,242,806 of such shares represent shares that we may elect, in our sole discretion, to issue and sell to B. Riley, from time to time under the Committed Equity Facility. Because the market price of our common stock fluctuates, the actual purchase prices to be paid by B. Riley for shares of our common stock that we direct it to purchase under the Committed Equity Facility also fluctuate because they will be based on the current market price of our common stock at the time of each purchase. In order to receive aggregate gross proceeds equal to B. Riley’s $50.0 million total aggregate purchase commitment under the Committed Equity Facility, we would have to register additional shares of common stock.</w:t>
      </w:r>
    </w:p>
    <w:p>
      <w:pPr>
        <w:spacing w:after="0" w:line="215"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In addition, under the applicable Nasdaq rules, we may not issue to B. Riley more than 20,326,159 shares of common stock without stockholder approval, which number of shares is equal to 19.99% of the shares of the common stock outstanding immediately prior to the execution of the Committed Equity Facility. As a result, if it becomes necessary for us to issue and sell to B. Riley an aggregate number of shares that would exceed that limit (excluding certain issuances), then before we could issue any shares of common stock in excess of the share issuance limit under the Committed Equity Facility, we would also need to obtain the requisite stockholder approval.</w:t>
      </w:r>
    </w:p>
    <w:p>
      <w:pPr>
        <w:spacing w:after="0" w:line="210"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Any issuance and sale by us under the Committed Equity Facility of a substantial amount of shares of common stock could cause additional substantial dilution to our stockholders, which may not be in your best interest as a stockholder.</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inability to access a portion or the full amount available under the Committed Equity Facility, in the absence of any other financing sources, could have a material adverse effect on our business.</w:t>
      </w:r>
    </w:p>
    <w:p>
      <w:pPr>
        <w:spacing w:after="0" w:line="185"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Some provisions of Delaware law and our certificate of incorporation and bylaws may deter third parties from acquiring us and diminish the value of our common stock.</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certificate of incorporation and bylaws provide for, among other things:</w:t>
      </w:r>
    </w:p>
    <w:p>
      <w:pPr>
        <w:spacing w:after="0" w:line="252" w:lineRule="exact"/>
        <w:rPr>
          <w:sz w:val="20"/>
          <w:szCs w:val="20"/>
          <w:color w:val="auto"/>
        </w:rPr>
      </w:pPr>
    </w:p>
    <w:p>
      <w:pPr>
        <w:ind w:left="660" w:right="300" w:hanging="328"/>
        <w:spacing w:after="0" w:line="261"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Board of Directors to issue one or more series of preferred stock with voting or other rights or preferences that could have the effect of impeding the success of an attempt to acquire us or otherwise effect a change in control;</w:t>
      </w: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cumulative voting in the election of directors, which limits the ability of minority stockholders to elect director candidates;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for nominations of directors by stockholders and for stockholders to include matters to be considered at stockholder meetings;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limitations on convening special stockholder meetings.</w:t>
      </w:r>
    </w:p>
    <w:p>
      <w:pPr>
        <w:spacing w:after="0" w:line="234" w:lineRule="exact"/>
        <w:rPr>
          <w:sz w:val="20"/>
          <w:szCs w:val="20"/>
          <w:color w:val="auto"/>
        </w:rPr>
      </w:pPr>
    </w:p>
    <w:p>
      <w:pPr>
        <w:ind w:right="40"/>
        <w:spacing w:after="0" w:line="222" w:lineRule="exact"/>
        <w:rPr>
          <w:sz w:val="20"/>
          <w:szCs w:val="20"/>
          <w:color w:val="auto"/>
        </w:rPr>
      </w:pPr>
      <w:r>
        <w:rPr>
          <w:rFonts w:ascii="Times New Roman" w:cs="Times New Roman" w:eastAsia="Times New Roman" w:hAnsi="Times New Roman"/>
          <w:sz w:val="18"/>
          <w:szCs w:val="18"/>
          <w:color w:val="auto"/>
        </w:rPr>
        <w:t>In addition, in our certificate of incorporation, we have not opted out of Section 203 of the Delaware General Corporation Law, which prohibits a Delaware corporation from engaging in certain “business combinations” with any “interested stockholder” for a three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year period following the time that the stockholder became an interested stockholder, unless: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240"/>
          </w:cols>
          <w:pgMar w:left="320" w:top="1440" w:right="339" w:bottom="1440" w:gutter="0" w:footer="0" w:header="0"/>
        </w:sectPr>
      </w:pPr>
    </w:p>
    <w:bookmarkStart w:id="37" w:name="page38"/>
    <w:bookmarkEnd w:id="37"/>
    <w:p>
      <w:pPr>
        <w:spacing w:after="0" w:line="221" w:lineRule="exact"/>
        <w:rPr>
          <w:sz w:val="20"/>
          <w:szCs w:val="20"/>
          <w:color w:val="auto"/>
        </w:rPr>
      </w:pPr>
    </w:p>
    <w:p>
      <w:pPr>
        <w:ind w:left="660" w:right="40" w:hanging="328"/>
        <w:spacing w:after="0" w:line="261"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such time, the Board of Directors approved either the business combination or the transaction that resulted in the stockholder becoming an interested stockholder;</w:t>
      </w:r>
    </w:p>
    <w:p>
      <w:pPr>
        <w:ind w:left="660" w:right="320" w:hanging="328"/>
        <w:spacing w:after="0" w:line="250"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consummation of the transaction that resulted in the stockholder becoming an interested stockholder, the interested stockholder owned at least 85% of voting stock outstanding at the time the transaction commenced, excluding certain shares; or</w:t>
      </w:r>
    </w:p>
    <w:p>
      <w:pPr>
        <w:ind w:left="660" w:hanging="328"/>
        <w:spacing w:after="0" w:line="216" w:lineRule="exact"/>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or subsequent to that time, the business combination is approved by our Board and by the affirmative vote of holders of at least two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thirds of the votes of our outstanding voting stock that is not owned by the interested stockholder.</w:t>
      </w:r>
    </w:p>
    <w:p>
      <w:pPr>
        <w:spacing w:after="0" w:line="22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Generally, a “business combination” includes a merger, asset or stock sale or other transaction resulting in a financial benefit to the interested stockholder. Subject to certain exceptions, an “interested stockholder” is a person who, together with that person’s affiliates and associates, owns, or within the previous three years owned, 15% or more of the votes of our outstanding voting stock. For purposes of this provision, “voting stock” means any class or series of stock entitled to vote generally in the election of directors.</w:t>
      </w:r>
    </w:p>
    <w:p>
      <w:pPr>
        <w:spacing w:after="0" w:line="207" w:lineRule="exact"/>
        <w:rPr>
          <w:sz w:val="20"/>
          <w:szCs w:val="20"/>
          <w:color w:val="auto"/>
        </w:rPr>
      </w:pPr>
    </w:p>
    <w:p>
      <w:pPr>
        <w:ind w:right="20"/>
        <w:spacing w:after="0" w:line="220" w:lineRule="exact"/>
        <w:rPr>
          <w:sz w:val="20"/>
          <w:szCs w:val="20"/>
          <w:color w:val="auto"/>
        </w:rPr>
      </w:pPr>
      <w:r>
        <w:rPr>
          <w:rFonts w:ascii="Times New Roman" w:cs="Times New Roman" w:eastAsia="Times New Roman" w:hAnsi="Times New Roman"/>
          <w:sz w:val="18"/>
          <w:szCs w:val="18"/>
          <w:color w:val="auto"/>
        </w:rPr>
        <w:t>Under certain circumstances, this provision will make it more difficult for a person who would be an “interested stockholder” to effect various business combinations with us for a three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year period. This provision may encourage companies interested in acquiring us to negotiate in advance with our Board of Directors because the stockholder approval requirement would be avoided if our Board approves either the business combination or the transaction that results in the stockholder becoming an interested stockholder. These provisions also may have the effect of preventing changes in our Board and may make it more difficult to accomplish transactions that stockholders may otherwise deem to be in their best interests.</w:t>
      </w:r>
    </w:p>
    <w:p>
      <w:pPr>
        <w:spacing w:after="0" w:line="228"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These provisions in our certificate of incorporation and our bylaws, as well as Delaware law, may discourage, delay or prevent a transaction involving a change in control of us that is in the best interest of its minority stockholders. Even in the absence of a takeover attempt, the existence of these provisions may adversely affect the prevailing market price of our common stock if they are viewed as discouraging future takeover attempts. These provisions could also make it more difficult for stockholders to nominate directors for election to our Board of Directors and take other corporate actions.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Risk Factors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Macroeconomic conditions could materially adversely affect our business, financial condition, results of operations, and prospects.</w:t>
      </w:r>
    </w:p>
    <w:p>
      <w:pPr>
        <w:spacing w:after="0" w:line="256"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Macroeconomic conditions, such as persistent inflation, changes to monetary policy, high interest rates, volatile currency exchange rates, credit and debt concerns, decreasing consumer confidence and spending, including capital spending, concerns about the stability and liquidity of certain financial institutions, prolonged or recurring U.S. federal government shutdowns, epidemics, pandemics and other health crises, and global recessions can adversely impact demand for our products, which could negatively impact our business, financial condition, results of operations, and prospects. Recent macroeconomic conditions have been adversely impacted by geopolitical instability and military hostilities in multiple geographies, including tariffs, the Russian invasion of Ukraine and the conflicts in the Middle East, and monetary and financial uncertainties.</w:t>
      </w:r>
    </w:p>
    <w:p>
      <w:pPr>
        <w:spacing w:after="0" w:line="214"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impacts of these macroeconomic conditions, and the actions taken by governments, central banks, companies, and consumers in response, have resulted in, and may continue to result in, higher inflation in the United States and globally, which is likely, in turn, to lead to an increase in costs and may cause changes in fiscal and monetary policy, including additional increases in interest rates. Tariffs on equipment or materials that we may rely on or use for our products could cause our costs to increase. Other adverse impacts of recent macroeconomic conditions have been, and may continue to be, supply chain constraints, logistics challenges, liquidity concerns in the broader financial services industry, and fluctuations in labor availability.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220"/>
          </w:cols>
          <w:pgMar w:left="320" w:top="1440" w:right="359" w:bottom="1440" w:gutter="0" w:footer="0" w:header="0"/>
        </w:sectPr>
      </w:pPr>
    </w:p>
    <w:bookmarkStart w:id="38" w:name="page39"/>
    <w:bookmarkEnd w:id="38"/>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supply chain and production process may be affected by tariffs on equipment or materials that we may rely on or use for our products, which could also cause our costs to increase.</w:t>
      </w:r>
    </w:p>
    <w:p>
      <w:pPr>
        <w:spacing w:after="0" w:line="18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cannot predict what actions, if any, may be taken with respect to tariffs or trade relations between the United States and China, what products may be subject to the imposition of tariffs by the United States, or what actions may be taken by China in retaliation. The adoption and expansion of trade restrictions, the occurrence of a trade war, or other governmental action related to tariffs, trade agreements or related policies have the potential to adversely impact our supply chain and access to equipment, and our costs. Tariffs imposed on components or equipment that we source from China will increase our costs and could have an adverse impact on our operating results and financial conditions in future periods. Our supply chain and product assembly is global in nature. While most of the goods movement, including imports and exports, required to manufacture and test our products is restricted to Asian countries, there are certain components that are often required to enter or exit the United States. Those components are at the highest risk of being affected by the aforementioned changes, and in turn disrupting the supply chain and our product pipeline.</w:t>
      </w:r>
    </w:p>
    <w:p>
      <w:pPr>
        <w:spacing w:after="0" w:line="219" w:lineRule="exact"/>
        <w:rPr>
          <w:sz w:val="20"/>
          <w:szCs w:val="20"/>
          <w:color w:val="auto"/>
        </w:rPr>
      </w:pPr>
    </w:p>
    <w:p>
      <w:pPr>
        <w:ind w:right="600"/>
        <w:spacing w:after="0" w:line="266" w:lineRule="auto"/>
        <w:rPr>
          <w:sz w:val="20"/>
          <w:szCs w:val="20"/>
          <w:color w:val="auto"/>
        </w:rPr>
      </w:pPr>
      <w:r>
        <w:rPr>
          <w:rFonts w:ascii="Times New Roman" w:cs="Times New Roman" w:eastAsia="Times New Roman" w:hAnsi="Times New Roman"/>
          <w:sz w:val="18"/>
          <w:szCs w:val="18"/>
          <w:color w:val="auto"/>
        </w:rPr>
        <w:t>In a higher inflationary environment, we may be unable to raise the prices of our products sufficiently to keep up with the rate of inflation. A higher inflationary environment can also negatively impact equipment, material, and logistics costs that, in turn, may increase the costs of producing and distributing our products.</w:t>
      </w:r>
    </w:p>
    <w:p>
      <w:pPr>
        <w:spacing w:after="0" w:line="199"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Reports published by analysts, including projections in those reports that differ from our actual results, could adversely affect the price and trading volume of our common stock.</w:t>
      </w:r>
    </w:p>
    <w:p>
      <w:pPr>
        <w:spacing w:after="0" w:line="186"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Securities research analysts may establish and publish their own periodic projections for us. These projections may vary widely and may not accurately predict the results we actually achieve. Our share price may decline if our actual results do not match the projections of these securities research analysts. Similarly, if one or more of the analysts write reports and downgrade our stock or publish inaccurate or unfavorable research about our business, our share price could decline. If one or more of these analysts cease coverage of us or fail to publish reports on us regularly, our securities price or trading volume could decline.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actual operating results may differ significantly from any guidance that we may provide.</w:t>
      </w:r>
    </w:p>
    <w:p>
      <w:pPr>
        <w:spacing w:after="0" w:line="256"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From time to time, we may release projections or guidance in our quarterly earnings releases, quarterly earnings conference calls, or otherwise regarding our future performance that represents our management’s estimates as of the date of release. Any guidance we provide is based on certain assumptions, which may or may not prove to be correct. Failure to meet announced guidance or market expectations going forward, particularly with respect to our operational and financial results, shareholder returns, and expectations regarding the success of our business initiatives, whether due to our assumptions not being met or the impact of various risks and uncertainties, is likely to result in either or both a decline in or increased volatility in the market price of our stock. In addition, price and volume fluctuations in the stock market as a whole may affect the market price of our stock in ways that may be unrelated to our financial performance.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litigation, claims, investigations, and regulatory actions from time to time.</w:t>
      </w:r>
    </w:p>
    <w:p>
      <w:pPr>
        <w:spacing w:after="0" w:line="256"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From time to time, we may be involved in various legal proceedings, claims, investigations, and regulatory actions arising in the ordinary course of our business. These matters may include, but are not limited to, commercial disputes, employment-related claims, intellectual property matters, product liability, contractual obligations, and regulatory compliance issues. The outcome of litigation and other legal proceedings is inherently uncertain, and regardless of the merits of the claims, defending against such actions can be costly, time-consuming, and may divert management’s attention from our core business operations.</w:t>
      </w:r>
    </w:p>
    <w:p>
      <w:pPr>
        <w:spacing w:after="0" w:line="210"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Adverse outcomes in one or more of these proceedings could result in significant monetary damages, penalties, or injunctive relief against us, which could negatively impact our financial condition, results of operations, and reputation. Even if we ultimately prevail in any such matters, the costs of defense and the potential impact on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240"/>
          </w:cols>
          <w:pgMar w:left="320" w:top="1413" w:right="339" w:bottom="1440" w:gutter="0" w:footer="0" w:header="0"/>
        </w:sectPr>
      </w:pPr>
    </w:p>
    <w:bookmarkStart w:id="39" w:name="page40"/>
    <w:bookmarkEnd w:id="39"/>
    <w:p>
      <w:pPr>
        <w:ind w:right="60"/>
        <w:spacing w:after="0" w:line="282" w:lineRule="auto"/>
        <w:rPr>
          <w:sz w:val="20"/>
          <w:szCs w:val="20"/>
          <w:color w:val="auto"/>
        </w:rPr>
      </w:pPr>
      <w:r>
        <w:rPr>
          <w:rFonts w:ascii="Times New Roman" w:cs="Times New Roman" w:eastAsia="Times New Roman" w:hAnsi="Times New Roman"/>
          <w:sz w:val="18"/>
          <w:szCs w:val="18"/>
          <w:color w:val="auto"/>
        </w:rPr>
        <w:t>business relationships and reputation could be material. Additionally, the initiation of litigation or regulatory actions, or the announcement of such matters, could result in negative publicity and harm our brand or market position.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56"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We recognize the critical importance of maintaining the safety and security of our systems and data and have a program for overseeing and managing cybersecurity and related risks, which is supported by both management and our Board of Directors.</w:t>
      </w:r>
    </w:p>
    <w:p>
      <w:pPr>
        <w:spacing w:after="0" w:line="18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cybersecurity functions are led by our Chief Scientist and Chief Operating Officer (“CSCOO”), who is one of the Company’s founders and reports to our Chief Executive Officer. Our CSCOO has delegated the overall responsibility for overseeing our cybersecurity management program and the protection and defense of our networks and systems to the Director of IT and Information Security (“DITIS”). The DITIS’s relevant experience in cybersecurity includes over 25 years of extensive experience, including six years with us, and roles including Director of Information Technology and Chief Information Officer at various other companies. The DITIS manages a team of IT professionals with broad experience and expertise, including in cybersecurity threat assessments, corporate firewall installation and management, enterprise infrastructure engineering, and network analysis, and who also support our cybersecurity incident response and vulnerability management efforts.</w:t>
      </w:r>
    </w:p>
    <w:p>
      <w:pPr>
        <w:spacing w:after="0" w:line="2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Board is responsible for overseeing our enterprise risk management activities in general, and the Audit Committee of the Board (“Audit Committee”), also reviews the adequacy and effectiveness of our information security policies and practices and the internal controls regarding information security risks. The Audit Committee receives regular information security updates from management. The full Board receives an update on our risk management process and the risk trends related to cybersecurity at least annually from management.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also consult with external parties, such as cybersecurity firms and risk management and governance experts, on risk management and strategy.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cybersecurity strategy includes but is not limited to the following key elements:</w:t>
      </w:r>
    </w:p>
    <w:p>
      <w:pPr>
        <w:spacing w:after="0" w:line="25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Risk Assessment and Management </w:t>
      </w:r>
      <w:r>
        <w:rPr>
          <w:rFonts w:ascii="Times New Roman" w:cs="Times New Roman" w:eastAsia="Times New Roman" w:hAnsi="Times New Roman"/>
          <w:sz w:val="18"/>
          <w:szCs w:val="18"/>
          <w:color w:val="auto"/>
        </w:rPr>
        <w:t>– We follow processes outlined in the international standard ISO 27001, an Information Security Management System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(ISMS), which helps safeguard the confidentiality, integrity, and availability of information through a structured risk management process. We believe that this approach helps us to manage cybersecurity risks by using a structured framework. However, as with any risk management program, absolute assurance cannot be provided.</w:t>
      </w:r>
    </w:p>
    <w:p>
      <w:pPr>
        <w:spacing w:after="0" w:line="207" w:lineRule="exact"/>
        <w:rPr>
          <w:sz w:val="20"/>
          <w:szCs w:val="20"/>
          <w:color w:val="auto"/>
        </w:rPr>
      </w:pPr>
    </w:p>
    <w:p>
      <w:pPr>
        <w:ind w:right="48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Technical Security Controls </w:t>
      </w:r>
      <w:r>
        <w:rPr>
          <w:rFonts w:ascii="Times New Roman" w:cs="Times New Roman" w:eastAsia="Times New Roman" w:hAnsi="Times New Roman"/>
          <w:sz w:val="18"/>
          <w:szCs w:val="18"/>
          <w:color w:val="auto"/>
        </w:rPr>
        <w:t>– We employ layered security controls, including firewalls, identity and access management software and/or multi-factor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authentication requirements for access to internal applications, and encryption technologies.</w:t>
      </w:r>
    </w:p>
    <w:p>
      <w:pPr>
        <w:spacing w:after="0" w:line="185" w:lineRule="exact"/>
        <w:rPr>
          <w:sz w:val="20"/>
          <w:szCs w:val="20"/>
          <w:color w:val="auto"/>
        </w:rPr>
      </w:pPr>
    </w:p>
    <w:p>
      <w:pPr>
        <w:jc w:val="both"/>
        <w:ind w:right="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Vendor Risk Management Program </w:t>
      </w:r>
      <w:r>
        <w:rPr>
          <w:rFonts w:ascii="Times New Roman" w:cs="Times New Roman" w:eastAsia="Times New Roman" w:hAnsi="Times New Roman"/>
          <w:sz w:val="18"/>
          <w:szCs w:val="18"/>
          <w:color w:val="auto"/>
        </w:rPr>
        <w:t>– We have implemented processes to oversee, identify and manage risks from cybersecurity threats associated with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use of third-party service providers. Our vendor risk management program establishes governance, processes and tools for managing various risks related to third-party service providers, including information security and supplier-related risks.</w:t>
      </w:r>
    </w:p>
    <w:p>
      <w:pPr>
        <w:spacing w:after="0" w:line="202"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As of December 31, 2025, we have not identified risks from cybersecurity threats, including as a result of any previous cybersecurity incidents, that have materially affected or are reasonably likely to materially affect us, including our business strategy, results of operations or financial condition. For more information regarding the risks we face from cybersecurity threats, please see Part I, Item 1A, — “Risk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220"/>
          </w:cols>
          <w:pgMar w:left="320" w:top="1417" w:right="3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corporate headquarters is located in leased office space located in El Dorado Hills, California. All of our facilities are substantially comprised of leased premises for office space.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56"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From time to time, we may become subject to various legal proceedings, lawsuits, disputes and claims arising in the ordinary course of our business. We are not currently a party to any litigation or legal proceedings that, in the opinion of our management, may have a material adverse effect on our business.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220"/>
          </w:cols>
          <w:pgMar w:left="320" w:top="1413" w:right="359" w:bottom="1440" w:gutter="0" w:footer="0" w:header="0"/>
        </w:sectPr>
      </w:pPr>
    </w:p>
    <w:bookmarkStart w:id="41" w:name="page42"/>
    <w:bookmarkEnd w:id="41"/>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52"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Information for Common Equity</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stock is listed on The Nasdaq Global Market under the symbol “BZAI”.</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Holders of Record</w:t>
      </w:r>
    </w:p>
    <w:p>
      <w:pPr>
        <w:spacing w:after="0" w:line="25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As of March 20, 2026, there were approximately 122,744,509 shares of our common stock outstanding with 105 holders of record of our common stock. The actual number of stockholders is greater than this number of record holders and includes stockholders who are beneficial owners but whose shares are held in “street name” accounts by brokers and other nominees.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not paid any cash dividends on our common stock to date and we have no current plans to pay cash dividends to holders of our common stock.</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Repurchases of Equity Securities By the Issuer and Affiliated Purchasers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of Unregistered Securities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120"/>
          </w:cols>
          <w:pgMar w:left="320" w:top="1413" w:right="4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5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i w:val="1"/>
          <w:iCs w:val="1"/>
          <w:color w:val="auto"/>
        </w:rPr>
        <w:t>Unless otherwise indicated, references to “we”, “us”, “our”, “Blaize” or the “Company” in this Management’s Discussion and Analysis of Financial Condition and Results of Operations are to Blaize Holdings, Inc. The following discussion and analysis of our financial condition and results of operations should be read in conjunction with our consolidated financial statements and related notes thereto, included in Part 1I, Item 8. of this Annual Report on Form 10-K, and risk factors, included in Part I, Item 1A. of this Annual Report on Form 10-K.</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56"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We provide purpose-built, transformative AI-enabled edge computing solutions comprised of both our proprietary hardware and software, and complementary third-party hardware solutions, as further described below. Our computing solutions are designed for efficient processing of AI inference workloads across edge and data center environments. Our architecture supports AI workloads where latency, power efficiency, and cost efficiency are important considerations. Our systems can process data locally at the edge or within data center infrastructure, depending on deployment requirements. Local processing can reduce bandwidth usage and support latency-sensitive applications requiring real-time decision making.</w:t>
      </w:r>
    </w:p>
    <w:p>
      <w:pPr>
        <w:spacing w:after="0" w:line="21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addition to our internally developed products, we also deliver third-party hardware solutions that complement and enhance our core offerings. By integrating certain third-party hardware components, we believe that we are able to provide customers with comprehensive and flexible computing solutions tailored to their specific needs. These third-party hardware solutions typically are substantially comprised of servers, which are selected to ensure optimal compatibility and performance with our products and our AI-enabled platforms.</w:t>
      </w:r>
    </w:p>
    <w:p>
      <w:pPr>
        <w:spacing w:after="0" w:line="20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portfolio includes highly efficient, programmable AI processors in a broad range of form factors, deployable across several verticals, including smart city, defense, retail and enterprise markets. Our accelerated AI computing platforms enable applications such as computer vision, advanced video analytics, and AI inference, and our software tools allow non-expert practitioners to deploy existing and novel AI applications on our hardware without the need to learn or use source code.</w:t>
      </w:r>
    </w:p>
    <w:p>
      <w:pPr>
        <w:spacing w:after="0" w:line="207"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On January 13, 2025, BurTech completed the Merger, pursuant to the Merger Agreement, whereby Merger Sub merged with and into Legacy Blaize, with Legacy Blaize being the surviving company and a wholly owned subsidiary of BurTech.</w:t>
      </w:r>
    </w:p>
    <w:p>
      <w:pPr>
        <w:spacing w:after="0" w:line="18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In connection with the de-SPAC, we changed our name from “BurTech Acquisition Corporation” to “Blaize Holdings, Inc.”. BurTech was considered the acquired company and Legacy Blaize was considered the acquirer for financial statement reporting purposes, and the Merger was accounted for as a reverse merger and recapitalization.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Trends and Recent Developments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Developments in Our Business</w:t>
      </w:r>
    </w:p>
    <w:p>
      <w:pPr>
        <w:spacing w:after="0" w:line="254"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On July 16, 2025, we entered into a Strategic Cooperation Agreement (the “Starshine Agreement”) with Starshine Computing Power Technology Limited, a Hong Kong company (“Starshine”). Pursuant to the terms of the Starshine Agreement, we entered into a strategic partnership with Starshine to develop business opportunities for the sale of our hybrid AI platform and other products and services through Starshine in the Asia Pacific region. Starshine agreed to deliver a minimum of $120.0 million in revenue to us over the first 18 months of the Starshine Agreement. Any such commitments made by Starshine are subject to issuance of purchase orders by Starshine. Starshine initiated one purchase order to us in the third quarter of 2025 for $10.4 million. Starshine paid $1.6 million to us in regards to its account receivable, and the remainder of $8.8 million of its account receivable remains outstanding as of March 24, 2026. As of March 24, 2026, we have not received any further purchase orders from Starshine.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200"/>
          </w:cols>
          <w:pgMar w:left="320" w:top="1413" w:right="379" w:bottom="1440" w:gutter="0" w:footer="0" w:header="0"/>
        </w:sectPr>
      </w:pPr>
    </w:p>
    <w:bookmarkStart w:id="43" w:name="page44"/>
    <w:bookmarkEnd w:id="43"/>
    <w:p>
      <w:pPr>
        <w:ind w:right="20"/>
        <w:spacing w:after="0" w:line="258" w:lineRule="auto"/>
        <w:rPr>
          <w:sz w:val="20"/>
          <w:szCs w:val="20"/>
          <w:color w:val="auto"/>
        </w:rPr>
      </w:pPr>
      <w:r>
        <w:rPr>
          <w:rFonts w:ascii="Times New Roman" w:cs="Times New Roman" w:eastAsia="Times New Roman" w:hAnsi="Times New Roman"/>
          <w:sz w:val="18"/>
          <w:szCs w:val="18"/>
          <w:color w:val="auto"/>
        </w:rPr>
        <w:t>On November 10, 2025, Blaize and affiliates of Polar Asset Management Partners Inc. (“Polar”) entered into a Securities Purchase Agreement (the “Polar Private Placement”). Pursuant to the Polar Private Placement, we agreed to the direct sale of 9,375,000 shares of our common stock at a purchase price of $3.20 per share and the issuance of 9,375,000 warrants to purchase additional shares of our common stock, resulting in aggregate gross proceeds of approximately $30.0 million, before deducting offering expenses. The warrants have a term of five years and are immediately exercisable, with an exercise price of $5.00 per share.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Business Metrics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Pipeline</w:t>
      </w:r>
    </w:p>
    <w:p>
      <w:pPr>
        <w:spacing w:after="0" w:line="256"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We have identified potential future business opportunities that we believe could accelerate our growth through near-term customer implementations. Although we have no contractual arrangement(s) with respect to such pipeline and we cannot predict with certainty any future contractual arrangement(s), the pipeline contains target accounts and opportunities that have been identified as potential customers for our products and services. We classify certain key metrics related to our pipeline into the following categories: proof of concept stage, partners, and design wins.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Proof of Concept Stage</w:t>
      </w:r>
    </w:p>
    <w:p>
      <w:pPr>
        <w:spacing w:after="0" w:line="25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 proof-of-concept stage (“POC”) represents that a proposal for a proof of concept has either been initiated or is in progress with a potential customer or partner. We utilize POCs to demonstrate our technology’s value proposition along with its tailored use scenarios and satisfaction of customer and/or partner requirements. As of December 31, 2025, 25 POCs were initiated or in progress with a potential customer.</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Partners</w:t>
      </w:r>
    </w:p>
    <w:p>
      <w:pPr>
        <w:spacing w:after="0" w:line="254"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A partner (“Partner”) consists of either an independent software vendor or independent hardware vendor with whom we are working to integrate our products and services into the vendor’s offerings for their customers. Such vendors may include original equipment manufacturers (“OEMs”), original design manufacturers, system integrators, or hardware resellers or distributors, among others. As of December 31, 2025, we had a total of 30 Partners.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Design Wins</w:t>
      </w:r>
    </w:p>
    <w:p>
      <w:pPr>
        <w:spacing w:after="0" w:line="254"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A design win (“Design Win”) represents that a Partner or a customer has selected our products and/or services to be incorporated into a product that it intends to produce or consume, as applicable, and has confirmed that our offerings integrate into such product accordingly. As of December 31, 2025, 20 Design Wins had been confirmed with a Partner or customer.</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currently derive revenue through a combination of:</w:t>
      </w:r>
    </w:p>
    <w:p>
      <w:pPr>
        <w:spacing w:after="0" w:line="252" w:lineRule="exact"/>
        <w:rPr>
          <w:sz w:val="20"/>
          <w:szCs w:val="20"/>
          <w:color w:val="auto"/>
        </w:rPr>
      </w:pPr>
    </w:p>
    <w:p>
      <w:pPr>
        <w:ind w:left="660" w:right="20" w:hanging="328"/>
        <w:spacing w:after="0" w:line="261"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Hardware revenue — encompasses the sale of our semiconductor products and/or third-party hardware products which support our semiconductor products through various supply agreements.</w:t>
      </w: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Software revenue — encompasses the sale of our applications and other software products through various licensing agreements.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consulting services revenue — providing customized design services to our customers, tailored to their specific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200"/>
          </w:cols>
          <w:pgMar w:left="320" w:top="1417" w:right="37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color w:val="auto"/>
        </w:rPr>
        <w:t>The following table sets forth our revenue for the years ended December 31, 2025 and 2024:</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120" w:type="dxa"/>
            <w:vAlign w:val="bottom"/>
          </w:tcPr>
          <w:p>
            <w:pPr>
              <w:spacing w:after="0"/>
              <w:rPr>
                <w:sz w:val="18"/>
                <w:szCs w:val="18"/>
                <w:color w:val="auto"/>
              </w:rPr>
            </w:pPr>
          </w:p>
        </w:tc>
        <w:tc>
          <w:tcPr>
            <w:tcW w:w="29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For the Year Ended December 31,</w:t>
            </w:r>
          </w:p>
        </w:tc>
        <w:tc>
          <w:tcPr>
            <w:tcW w:w="5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3"/>
          </w:tcPr>
          <w:p>
            <w:pPr>
              <w:ind w:left="10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200" w:type="dxa"/>
            <w:vAlign w:val="bottom"/>
            <w:tcBorders>
              <w:bottom w:val="single" w:sz="8" w:color="auto"/>
            </w:tcBorders>
          </w:tcPr>
          <w:p>
            <w:pPr>
              <w:spacing w:after="0"/>
              <w:rPr>
                <w:sz w:val="18"/>
                <w:szCs w:val="18"/>
                <w:color w:val="auto"/>
              </w:rPr>
            </w:pPr>
          </w:p>
        </w:tc>
      </w:tr>
      <w:tr>
        <w:trPr>
          <w:trHeight w:val="211"/>
        </w:trPr>
        <w:tc>
          <w:tcPr>
            <w:tcW w:w="4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(Amounts in thousands, except for percentages)</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62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6"/>
                <w:szCs w:val="16"/>
                <w:b w:val="1"/>
                <w:bCs w:val="1"/>
                <w:color w:val="auto"/>
              </w:rPr>
              <w:t>2024</w:t>
            </w:r>
          </w:p>
        </w:tc>
        <w:tc>
          <w:tcPr>
            <w:tcW w:w="52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716"/>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675"/>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25"/>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1040" w:type="dxa"/>
            <w:vAlign w:val="bottom"/>
            <w:shd w:val="clear" w:color="auto" w:fill="CCEEFF"/>
          </w:tcPr>
          <w:p>
            <w:pPr>
              <w:jc w:val="right"/>
              <w:ind w:right="85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38,632</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975"/>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1,554</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37,078</w:t>
            </w: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Percentage change is not meaningful.</w:t>
      </w:r>
    </w:p>
    <w:p>
      <w:pPr>
        <w:spacing w:after="0" w:line="25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2025, revenue increased to $38.6 million compared to $1.6 million for the year ended December 31, 2024. The increase was due to hardware sales in 2025, primarily comprised of hardware sales to third parties, while revenue from the comparable period in 2024 was derived primarily from strategic consulting services provided to related parties. Strategic consulting services revenue with the related party is no longer expected, as the development contract with this party has been completed.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our revenue by the geographical location of our customers for years ended December 31, 2025 and 2024:</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120" w:type="dxa"/>
            <w:vAlign w:val="bottom"/>
          </w:tcPr>
          <w:p>
            <w:pPr>
              <w:spacing w:after="0"/>
              <w:rPr>
                <w:sz w:val="18"/>
                <w:szCs w:val="18"/>
                <w:color w:val="auto"/>
              </w:rPr>
            </w:pPr>
          </w:p>
        </w:tc>
        <w:tc>
          <w:tcPr>
            <w:tcW w:w="29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For the Year Ended December 31,</w:t>
            </w:r>
          </w:p>
        </w:tc>
        <w:tc>
          <w:tcPr>
            <w:tcW w:w="5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3"/>
          </w:tcPr>
          <w:p>
            <w:pPr>
              <w:ind w:left="10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200" w:type="dxa"/>
            <w:vAlign w:val="bottom"/>
            <w:tcBorders>
              <w:bottom w:val="single" w:sz="8" w:color="auto"/>
            </w:tcBorders>
          </w:tcPr>
          <w:p>
            <w:pPr>
              <w:spacing w:after="0"/>
              <w:rPr>
                <w:sz w:val="18"/>
                <w:szCs w:val="18"/>
                <w:color w:val="auto"/>
              </w:rPr>
            </w:pPr>
          </w:p>
        </w:tc>
      </w:tr>
      <w:tr>
        <w:trPr>
          <w:trHeight w:val="211"/>
        </w:trPr>
        <w:tc>
          <w:tcPr>
            <w:tcW w:w="4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(Amounts in thousands, except for percentages)</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62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6"/>
                <w:szCs w:val="16"/>
                <w:b w:val="1"/>
                <w:bCs w:val="1"/>
                <w:color w:val="auto"/>
              </w:rPr>
              <w:t>2024</w:t>
            </w:r>
          </w:p>
        </w:tc>
        <w:tc>
          <w:tcPr>
            <w:tcW w:w="52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713"/>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672"/>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25"/>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040" w:type="dxa"/>
            <w:vAlign w:val="bottom"/>
            <w:shd w:val="clear" w:color="auto" w:fill="CCEEFF"/>
          </w:tcPr>
          <w:p>
            <w:pPr>
              <w:jc w:val="right"/>
              <w:ind w:right="855"/>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35,155</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973"/>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35,155</w:t>
            </w: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10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3,327</w:t>
            </w: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1,215</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2,112</w:t>
            </w: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10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0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4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tcBorders>
              <w:bottom w:val="single" w:sz="8" w:color="CCEEFF"/>
            </w:tcBorders>
          </w:tcPr>
          <w:p>
            <w:pPr>
              <w:spacing w:after="0"/>
              <w:rPr>
                <w:sz w:val="19"/>
                <w:szCs w:val="19"/>
                <w:color w:val="auto"/>
              </w:rPr>
            </w:pPr>
          </w:p>
        </w:tc>
        <w:tc>
          <w:tcPr>
            <w:tcW w:w="46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40" w:type="dxa"/>
            <w:vAlign w:val="bottom"/>
            <w:tcBorders>
              <w:bottom w:val="single" w:sz="8" w:color="CCEEFF"/>
            </w:tcBorders>
          </w:tcPr>
          <w:p>
            <w:pPr>
              <w:spacing w:after="0"/>
              <w:rPr>
                <w:sz w:val="19"/>
                <w:szCs w:val="19"/>
                <w:color w:val="auto"/>
              </w:rPr>
            </w:pPr>
          </w:p>
        </w:tc>
        <w:tc>
          <w:tcPr>
            <w:tcW w:w="48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4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1040" w:type="dxa"/>
            <w:vAlign w:val="bottom"/>
            <w:tcBorders>
              <w:bottom w:val="single" w:sz="8" w:color="auto"/>
            </w:tcBorders>
            <w:shd w:val="clear" w:color="auto" w:fill="CCEEFF"/>
          </w:tcPr>
          <w:p>
            <w:pPr>
              <w:jc w:val="right"/>
              <w:ind w:right="855"/>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38,632</w:t>
            </w: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973"/>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1,554</w:t>
            </w:r>
          </w:p>
        </w:tc>
        <w:tc>
          <w:tcPr>
            <w:tcW w:w="1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Percentage change is not meaningful.</w:t>
      </w:r>
    </w:p>
    <w:p>
      <w:pPr>
        <w:spacing w:after="0" w:line="252" w:lineRule="exact"/>
        <w:rPr>
          <w:sz w:val="20"/>
          <w:szCs w:val="20"/>
          <w:color w:val="auto"/>
        </w:rPr>
      </w:pPr>
    </w:p>
    <w:p>
      <w:pPr>
        <w:ind w:right="860"/>
        <w:spacing w:after="0" w:line="282" w:lineRule="auto"/>
        <w:rPr>
          <w:sz w:val="20"/>
          <w:szCs w:val="20"/>
          <w:color w:val="auto"/>
        </w:rPr>
      </w:pPr>
      <w:r>
        <w:rPr>
          <w:rFonts w:ascii="Times New Roman" w:cs="Times New Roman" w:eastAsia="Times New Roman" w:hAnsi="Times New Roman"/>
          <w:sz w:val="18"/>
          <w:szCs w:val="18"/>
          <w:color w:val="auto"/>
        </w:rPr>
        <w:t>Since our revenue is concentrated among a small number of customers, revenue from any one significant customer may significantly change the geographical mix of our revenue. Customer C and Customer D, below, are both located in China, along with a customer in “Others,” below.</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a summary of our revenue by customer for the years ended December 31, 2025 and 2024:</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60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6"/>
                <w:szCs w:val="16"/>
                <w:b w:val="1"/>
                <w:bCs w:val="1"/>
                <w:color w:val="auto"/>
              </w:rPr>
              <w:t>For the Year Ended December 31,</w:t>
            </w:r>
          </w:p>
        </w:tc>
        <w:tc>
          <w:tcPr>
            <w:tcW w:w="7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r>
      <w:tr>
        <w:trPr>
          <w:trHeight w:val="214"/>
        </w:trPr>
        <w:tc>
          <w:tcPr>
            <w:tcW w:w="4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(Amounts in thousands, except for percentages)</w:t>
            </w:r>
          </w:p>
        </w:tc>
        <w:tc>
          <w:tcPr>
            <w:tcW w:w="5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83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10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Borders>
              <w:bottom w:val="single" w:sz="8" w:color="CCEEFF"/>
            </w:tcBorders>
          </w:tcPr>
          <w:p>
            <w:pPr>
              <w:spacing w:after="0"/>
              <w:rPr>
                <w:sz w:val="18"/>
                <w:szCs w:val="18"/>
                <w:color w:val="auto"/>
              </w:rPr>
            </w:pPr>
          </w:p>
        </w:tc>
        <w:tc>
          <w:tcPr>
            <w:tcW w:w="146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6"/>
                <w:szCs w:val="16"/>
                <w:b w:val="1"/>
                <w:bCs w:val="1"/>
                <w:color w:val="auto"/>
              </w:rPr>
              <w:t>2024</w:t>
            </w:r>
          </w:p>
        </w:tc>
        <w:tc>
          <w:tcPr>
            <w:tcW w:w="7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25"/>
        </w:trPr>
        <w:tc>
          <w:tcPr>
            <w:tcW w:w="4600" w:type="dxa"/>
            <w:vAlign w:val="bottom"/>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 xml:space="preserve">Customer A </w:t>
            </w:r>
            <w:r>
              <w:rPr>
                <w:rFonts w:ascii="Times New Roman" w:cs="Times New Roman" w:eastAsia="Times New Roman" w:hAnsi="Times New Roman"/>
                <w:sz w:val="23"/>
                <w:szCs w:val="23"/>
                <w:color w:val="auto"/>
                <w:vertAlign w:val="superscript"/>
              </w:rPr>
              <w:t>(1)</w:t>
            </w: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253"/>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w:t>
            </w:r>
          </w:p>
        </w:tc>
        <w:tc>
          <w:tcPr>
            <w:tcW w:w="1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76.8%</w:t>
            </w:r>
          </w:p>
        </w:tc>
      </w:tr>
      <w:tr>
        <w:trPr>
          <w:trHeight w:val="230"/>
        </w:trPr>
        <w:tc>
          <w:tcPr>
            <w:tcW w:w="46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Customer B </w:t>
            </w:r>
            <w:r>
              <w:rPr>
                <w:rFonts w:ascii="Times New Roman" w:cs="Times New Roman" w:eastAsia="Times New Roman" w:hAnsi="Times New Roman"/>
                <w:sz w:val="23"/>
                <w:szCs w:val="23"/>
                <w:color w:val="auto"/>
                <w:vertAlign w:val="superscript"/>
              </w:rPr>
              <w:t>(1)</w:t>
            </w:r>
          </w:p>
        </w:tc>
        <w:tc>
          <w:tcPr>
            <w:tcW w:w="5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1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21.4%</w:t>
            </w:r>
          </w:p>
        </w:tc>
      </w:tr>
      <w:tr>
        <w:trPr>
          <w:trHeight w:val="229"/>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C</w:t>
            </w:r>
          </w:p>
        </w:tc>
        <w:tc>
          <w:tcPr>
            <w:tcW w:w="5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10,444</w:t>
            </w:r>
          </w:p>
        </w:tc>
        <w:tc>
          <w:tcPr>
            <w:tcW w:w="1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27.0%</w:t>
            </w: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D</w:t>
            </w:r>
          </w:p>
        </w:tc>
        <w:tc>
          <w:tcPr>
            <w:tcW w:w="5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23,750</w:t>
            </w:r>
          </w:p>
        </w:tc>
        <w:tc>
          <w:tcPr>
            <w:tcW w:w="1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61.5%</w:t>
            </w:r>
          </w:p>
        </w:tc>
        <w:tc>
          <w:tcPr>
            <w:tcW w:w="1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6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26"/>
                <w:szCs w:val="26"/>
                <w:color w:val="auto"/>
                <w:vertAlign w:val="subscript"/>
              </w:rPr>
              <w:t>Others</w:t>
            </w:r>
            <w:r>
              <w:rPr>
                <w:rFonts w:ascii="Times New Roman" w:cs="Times New Roman" w:eastAsia="Times New Roman" w:hAnsi="Times New Roman"/>
                <w:sz w:val="10"/>
                <w:szCs w:val="10"/>
                <w:color w:val="auto"/>
              </w:rPr>
              <w:t xml:space="preserve"> (2) (3)</w:t>
            </w:r>
          </w:p>
        </w:tc>
        <w:tc>
          <w:tcPr>
            <w:tcW w:w="50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4,438</w:t>
            </w:r>
          </w:p>
        </w:tc>
        <w:tc>
          <w:tcPr>
            <w:tcW w:w="1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11.5%</w:t>
            </w:r>
          </w:p>
        </w:tc>
        <w:tc>
          <w:tcPr>
            <w:tcW w:w="140" w:type="dxa"/>
            <w:vAlign w:val="bottom"/>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1.9%</w:t>
            </w:r>
          </w:p>
        </w:tc>
      </w:tr>
      <w:tr>
        <w:trPr>
          <w:trHeight w:val="223"/>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38,632</w:t>
            </w: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Borders>
              <w:bottom w:val="single" w:sz="8" w:color="auto"/>
            </w:tcBorders>
          </w:tcPr>
          <w:p>
            <w:pPr>
              <w:jc w:val="right"/>
              <w:ind w:right="1253"/>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1,554</w:t>
            </w:r>
          </w:p>
        </w:tc>
        <w:tc>
          <w:tcPr>
            <w:tcW w:w="1100" w:type="dxa"/>
            <w:vAlign w:val="bottom"/>
          </w:tcPr>
          <w:p>
            <w:pPr>
              <w:spacing w:after="0"/>
              <w:rPr>
                <w:sz w:val="19"/>
                <w:szCs w:val="19"/>
                <w:color w:val="auto"/>
              </w:rPr>
            </w:pPr>
          </w:p>
        </w:tc>
      </w:tr>
      <w:tr>
        <w:trPr>
          <w:trHeight w:val="20"/>
        </w:trPr>
        <w:tc>
          <w:tcPr>
            <w:tcW w:w="46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bl>
    <w:p>
      <w:pPr>
        <w:spacing w:after="0" w:line="301" w:lineRule="exact"/>
        <w:rPr>
          <w:sz w:val="20"/>
          <w:szCs w:val="20"/>
          <w:color w:val="auto"/>
        </w:rPr>
      </w:pPr>
    </w:p>
    <w:p>
      <w:pPr>
        <w:ind w:left="180" w:hanging="172"/>
        <w:spacing w:after="0"/>
        <w:tabs>
          <w:tab w:leader="none" w:pos="180" w:val="left"/>
        </w:tabs>
        <w:numPr>
          <w:ilvl w:val="0"/>
          <w:numId w:val="1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Customers A and B are both related parties.</w:t>
      </w:r>
    </w:p>
    <w:p>
      <w:pPr>
        <w:spacing w:after="0" w:line="1" w:lineRule="exact"/>
        <w:rPr>
          <w:rFonts w:ascii="Times New Roman" w:cs="Times New Roman" w:eastAsia="Times New Roman" w:hAnsi="Times New Roman"/>
          <w:sz w:val="22"/>
          <w:szCs w:val="22"/>
          <w:color w:val="auto"/>
          <w:vertAlign w:val="superscript"/>
        </w:rPr>
      </w:pPr>
    </w:p>
    <w:p>
      <w:pPr>
        <w:ind w:left="180" w:hanging="172"/>
        <w:spacing w:after="0" w:line="203" w:lineRule="auto"/>
        <w:tabs>
          <w:tab w:leader="none" w:pos="180" w:val="left"/>
        </w:tabs>
        <w:numPr>
          <w:ilvl w:val="0"/>
          <w:numId w:val="1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Each customer within “Others” comprised less than 10% of revenue each.</w:t>
      </w:r>
    </w:p>
    <w:p>
      <w:pPr>
        <w:spacing w:after="0" w:line="2" w:lineRule="exact"/>
        <w:rPr>
          <w:rFonts w:ascii="Times New Roman" w:cs="Times New Roman" w:eastAsia="Times New Roman" w:hAnsi="Times New Roman"/>
          <w:sz w:val="22"/>
          <w:szCs w:val="22"/>
          <w:color w:val="auto"/>
          <w:vertAlign w:val="superscript"/>
        </w:rPr>
      </w:pPr>
    </w:p>
    <w:p>
      <w:pPr>
        <w:ind w:left="180" w:hanging="172"/>
        <w:spacing w:after="0" w:line="203" w:lineRule="auto"/>
        <w:tabs>
          <w:tab w:leader="none" w:pos="180" w:val="left"/>
        </w:tabs>
        <w:numPr>
          <w:ilvl w:val="0"/>
          <w:numId w:val="1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 2025, “Others” included $3.4 million in revenue from a related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240"/>
          </w:cols>
          <w:pgMar w:left="320" w:top="1417"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color w:val="auto"/>
        </w:rPr>
        <w:t>Costs and Expenses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w:t>
      </w:r>
    </w:p>
    <w:p>
      <w:pPr>
        <w:spacing w:after="0" w:line="254"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Cost of revenue is currently primarily comprised of the cost of purchase of hardware from third parties (servers into which our GSP products can be placed and can otherwise enhance our branded products), and also includes Blaize-designed semiconductors purchased from foundries and various edge form factors supplied to us by contract manufacturers as well as indirect costs such as inventory carrying costs and inventory valuation reserves.</w:t>
      </w:r>
    </w:p>
    <w:p>
      <w:pPr>
        <w:spacing w:after="0" w:line="20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addition, cost of revenue has historically also included direct labor costs associated with the servicing of our strategic consulting services revenue contracts with a related party. Strategic consulting services revenue with the related party is no longer expected, as the development contract with this party has been completed. There is no depreciation allocable to cost of revenue; however, if such depreciation expense were to be incurred, it would be allocated to cost of revenue.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54"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Research and development (“R&amp;D”) expense primarily consists of personnel costs for our research and development activities. R&amp;D expense includes costs associated with the design and development of our application-specific integrated circuit and intellectual property (“IP”) solutions, such as third-party foundry costs, third party computer-aided tools and software licenses, third party IP licenses, and reference design development.</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w:t>
      </w:r>
    </w:p>
    <w:p>
      <w:pPr>
        <w:spacing w:after="0" w:line="254"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(“SG&amp;A”) expense primarily consists of personnel-related expenses for our sales and marketing teams, finance, human resources, information technology, and legal organizations. These expenses also include non-personnel costs, such as legal, audit, accounting services, advertising expenses, other professional fees as well as certain tax, corporate software licenses, and insurance-related expenses.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Depreciation</w:t>
      </w:r>
    </w:p>
    <w:p>
      <w:pPr>
        <w:spacing w:after="0" w:line="254"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Depreciation consists of ordinary depreciation on long-lived assets such as computer equipment, furniture and fixtures, leasehold improvements, and office equipment and is generally not material to us.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Transaction Costs</w:t>
      </w:r>
    </w:p>
    <w:p>
      <w:pPr>
        <w:spacing w:after="0" w:line="25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Transaction costs consisted of direct incremental legal, consulting, and banking fees related to the consummation of the Merger which was completed in the first quarter of 2025. No additional costs relating to the Merger are expected to be incurred.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240"/>
          </w:cols>
          <w:pgMar w:left="320" w:top="1413"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i w:val="1"/>
          <w:iCs w:val="1"/>
          <w:color w:val="auto"/>
        </w:rPr>
        <w:t>Detail of Costs and Expenses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our costs and expenses, as described above, for the years ended December 31, 2025 and 2024:</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0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120" w:type="dxa"/>
            <w:vAlign w:val="bottom"/>
            <w:tcBorders>
              <w:bottom w:val="single" w:sz="8" w:color="auto"/>
            </w:tcBorders>
            <w:gridSpan w:val="4"/>
          </w:tcPr>
          <w:p>
            <w:pPr>
              <w:jc w:val="right"/>
              <w:ind w:right="451"/>
              <w:spacing w:after="0"/>
              <w:rPr>
                <w:sz w:val="20"/>
                <w:szCs w:val="20"/>
                <w:color w:val="auto"/>
              </w:rPr>
            </w:pPr>
            <w:r>
              <w:rPr>
                <w:rFonts w:ascii="Times New Roman" w:cs="Times New Roman" w:eastAsia="Times New Roman" w:hAnsi="Times New Roman"/>
                <w:sz w:val="16"/>
                <w:szCs w:val="16"/>
                <w:b w:val="1"/>
                <w:bCs w:val="1"/>
                <w:color w:val="auto"/>
              </w:rPr>
              <w:t>For the Year Ended December 31,</w:t>
            </w:r>
          </w:p>
        </w:tc>
        <w:tc>
          <w:tcPr>
            <w:tcW w:w="14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3"/>
          </w:tcPr>
          <w:p>
            <w:pPr>
              <w:ind w:left="108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260" w:type="dxa"/>
            <w:vAlign w:val="bottom"/>
            <w:tcBorders>
              <w:bottom w:val="single" w:sz="8" w:color="auto"/>
            </w:tcBorders>
          </w:tcPr>
          <w:p>
            <w:pPr>
              <w:spacing w:after="0"/>
              <w:rPr>
                <w:sz w:val="18"/>
                <w:szCs w:val="18"/>
                <w:color w:val="auto"/>
              </w:rPr>
            </w:pPr>
          </w:p>
        </w:tc>
      </w:tr>
      <w:tr>
        <w:trPr>
          <w:trHeight w:val="211"/>
        </w:trPr>
        <w:tc>
          <w:tcPr>
            <w:tcW w:w="4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(Amounts in thousands, except for percentages)</w:t>
            </w:r>
          </w:p>
        </w:tc>
        <w:tc>
          <w:tcPr>
            <w:tcW w:w="3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6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692"/>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731"/>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25"/>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32,438</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31,859</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40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30"/>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29"/>
        </w:trPr>
        <w:tc>
          <w:tcPr>
            <w:tcW w:w="4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42,523</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25,094</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17,429</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69.5 %</w:t>
            </w:r>
          </w:p>
        </w:tc>
      </w:tr>
      <w:tr>
        <w:trPr>
          <w:trHeight w:val="230"/>
        </w:trPr>
        <w:tc>
          <w:tcPr>
            <w:tcW w:w="4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53,501</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22,228</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31,273</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140.7 %</w:t>
            </w:r>
          </w:p>
        </w:tc>
      </w:tr>
      <w:tr>
        <w:trPr>
          <w:trHeight w:val="229"/>
        </w:trPr>
        <w:tc>
          <w:tcPr>
            <w:tcW w:w="4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Selling, general and administrative - related party</w:t>
            </w:r>
          </w:p>
        </w:tc>
        <w:tc>
          <w:tcPr>
            <w:tcW w:w="3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Depreciation</w:t>
            </w: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1,195</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34.9 %</w:t>
            </w:r>
          </w:p>
        </w:tc>
      </w:tr>
      <w:tr>
        <w:trPr>
          <w:trHeight w:val="230"/>
        </w:trPr>
        <w:tc>
          <w:tcPr>
            <w:tcW w:w="40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Transaction costs</w:t>
            </w:r>
          </w:p>
        </w:tc>
        <w:tc>
          <w:tcPr>
            <w:tcW w:w="3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12,043</w:t>
            </w:r>
          </w:p>
        </w:tc>
        <w:tc>
          <w:tcPr>
            <w:tcW w:w="16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40" w:type="dxa"/>
            <w:vAlign w:val="bottom"/>
            <w:tcBorders>
              <w:bottom w:val="single" w:sz="8" w:color="CCEEFF"/>
            </w:tcBorders>
          </w:tcPr>
          <w:p>
            <w:pPr>
              <w:spacing w:after="0"/>
              <w:rPr>
                <w:sz w:val="19"/>
                <w:szCs w:val="19"/>
                <w:color w:val="auto"/>
              </w:rPr>
            </w:pPr>
          </w:p>
        </w:tc>
        <w:tc>
          <w:tcPr>
            <w:tcW w:w="46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11,826</w:t>
            </w:r>
          </w:p>
        </w:tc>
        <w:tc>
          <w:tcPr>
            <w:tcW w:w="140" w:type="dxa"/>
            <w:vAlign w:val="bottom"/>
            <w:tcBorders>
              <w:bottom w:val="single" w:sz="8" w:color="CCEEFF"/>
            </w:tcBorders>
          </w:tcPr>
          <w:p>
            <w:pPr>
              <w:spacing w:after="0"/>
              <w:rPr>
                <w:sz w:val="19"/>
                <w:szCs w:val="19"/>
                <w:color w:val="auto"/>
              </w:rPr>
            </w:pPr>
          </w:p>
        </w:tc>
        <w:tc>
          <w:tcPr>
            <w:tcW w:w="54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4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110,035</w:t>
            </w:r>
          </w:p>
        </w:tc>
        <w:tc>
          <w:tcPr>
            <w:tcW w:w="1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48,610</w:t>
            </w:r>
          </w:p>
        </w:tc>
        <w:tc>
          <w:tcPr>
            <w:tcW w:w="1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Percentage change is not meaningful.</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w:t>
      </w:r>
    </w:p>
    <w:p>
      <w:pPr>
        <w:spacing w:after="0" w:line="254"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2025, cost of revenue increased by $31.9 million to $32.4 million, compared to $0.6 million for the year ended December 31, 2024. The increase was primarily driven by purchases of hardware from third party vendors in order to fulfil sales contracts.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R&amp;D</w:t>
      </w:r>
    </w:p>
    <w:p>
      <w:pPr>
        <w:spacing w:after="0" w:line="254"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2025, R&amp;D expense increased by $17.4 million, or 69.5%, to $42.5 million</w:t>
      </w:r>
      <w:r>
        <w:rPr>
          <w:rFonts w:ascii="Times New Roman" w:cs="Times New Roman" w:eastAsia="Times New Roman" w:hAnsi="Times New Roman"/>
          <w:sz w:val="18"/>
          <w:szCs w:val="18"/>
          <w:color w:val="EE2724"/>
        </w:rPr>
        <w:t>,</w:t>
      </w:r>
      <w:r>
        <w:rPr>
          <w:rFonts w:ascii="Times New Roman" w:cs="Times New Roman" w:eastAsia="Times New Roman" w:hAnsi="Times New Roman"/>
          <w:sz w:val="18"/>
          <w:szCs w:val="18"/>
          <w:color w:val="auto"/>
        </w:rPr>
        <w:t xml:space="preserve"> compared to $25.1 million for the year ended December 31, 2024. The increase during the year ended December 31, 2025 was primarily due to higher stock-based compensation expenses allocated to R&amp;D of $17.1 million and the acquisition of third-party intellectual property for new chip development.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increases in R&amp;D expenses described above are expected to continue as we support the development of our next generation of products.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SG&amp;A</w:t>
      </w:r>
    </w:p>
    <w:p>
      <w:pPr>
        <w:spacing w:after="0" w:line="254"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2025, SG&amp;A expense increased by $31.3 million, or 140.7%, to $53.5 million, up from $22.2 million for the year ended December 31, 2024. This increase during the year ended December 31, 2025 was primarily due to stock-based compensation expense of $20.5 million, which is the largest component of payroll expense, which is, in turn, the largest component of SG&amp;A.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240"/>
          </w:cols>
          <w:pgMar w:left="320" w:top="1415"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 net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details of our total other expense, net, for the years ended December 31, 2025 and 2024:</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0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100" w:type="dxa"/>
            <w:vAlign w:val="bottom"/>
            <w:tcBorders>
              <w:bottom w:val="single" w:sz="8" w:color="auto"/>
            </w:tcBorders>
            <w:gridSpan w:val="4"/>
          </w:tcPr>
          <w:p>
            <w:pPr>
              <w:jc w:val="right"/>
              <w:ind w:right="451"/>
              <w:spacing w:after="0"/>
              <w:rPr>
                <w:sz w:val="20"/>
                <w:szCs w:val="20"/>
                <w:color w:val="auto"/>
              </w:rPr>
            </w:pPr>
            <w:r>
              <w:rPr>
                <w:rFonts w:ascii="Times New Roman" w:cs="Times New Roman" w:eastAsia="Times New Roman" w:hAnsi="Times New Roman"/>
                <w:sz w:val="16"/>
                <w:szCs w:val="16"/>
                <w:b w:val="1"/>
                <w:bCs w:val="1"/>
                <w:color w:val="auto"/>
              </w:rPr>
              <w:t>For the Year Ended December 31,</w:t>
            </w:r>
          </w:p>
        </w:tc>
        <w:tc>
          <w:tcPr>
            <w:tcW w:w="16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gridSpan w:val="3"/>
          </w:tcPr>
          <w:p>
            <w:pPr>
              <w:ind w:left="11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260" w:type="dxa"/>
            <w:vAlign w:val="bottom"/>
            <w:tcBorders>
              <w:bottom w:val="single" w:sz="8" w:color="auto"/>
            </w:tcBorders>
          </w:tcPr>
          <w:p>
            <w:pPr>
              <w:spacing w:after="0"/>
              <w:rPr>
                <w:sz w:val="18"/>
                <w:szCs w:val="18"/>
                <w:color w:val="auto"/>
              </w:rPr>
            </w:pPr>
          </w:p>
        </w:tc>
      </w:tr>
      <w:tr>
        <w:trPr>
          <w:trHeight w:val="211"/>
        </w:trPr>
        <w:tc>
          <w:tcPr>
            <w:tcW w:w="4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(Amounts in thousands, except for percentages)</w:t>
            </w:r>
          </w:p>
        </w:tc>
        <w:tc>
          <w:tcPr>
            <w:tcW w:w="3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4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6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712"/>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731"/>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157"/>
        </w:trPr>
        <w:tc>
          <w:tcPr>
            <w:tcW w:w="4040" w:type="dxa"/>
            <w:vAlign w:val="bottom"/>
            <w:shd w:val="clear" w:color="auto" w:fill="CCEEFF"/>
          </w:tcPr>
          <w:p>
            <w:pPr>
              <w:ind w:left="20"/>
              <w:spacing w:after="0" w:line="157" w:lineRule="exact"/>
              <w:rPr>
                <w:sz w:val="20"/>
                <w:szCs w:val="20"/>
                <w:color w:val="auto"/>
              </w:rPr>
            </w:pPr>
            <w:r>
              <w:rPr>
                <w:rFonts w:ascii="Times New Roman" w:cs="Times New Roman" w:eastAsia="Times New Roman" w:hAnsi="Times New Roman"/>
                <w:sz w:val="18"/>
                <w:szCs w:val="18"/>
                <w:color w:val="auto"/>
              </w:rPr>
              <w:t>Change in fair value of Legacy Blaize convertible</w:t>
            </w:r>
          </w:p>
        </w:tc>
        <w:tc>
          <w:tcPr>
            <w:tcW w:w="34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r>
      <w:tr>
        <w:trPr>
          <w:trHeight w:val="243"/>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 and warrants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(226,048)</w:t>
            </w:r>
          </w:p>
        </w:tc>
        <w:tc>
          <w:tcPr>
            <w:tcW w:w="14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(15,723)</w:t>
            </w:r>
          </w:p>
        </w:tc>
        <w:tc>
          <w:tcPr>
            <w:tcW w:w="6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(210,325)</w:t>
            </w:r>
          </w:p>
        </w:tc>
        <w:tc>
          <w:tcPr>
            <w:tcW w:w="14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fair value of Polar warrants</w:t>
            </w:r>
          </w:p>
        </w:tc>
        <w:tc>
          <w:tcPr>
            <w:tcW w:w="3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4,125</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4,125</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fair value of other earnout shares</w:t>
            </w: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117,113</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117,113</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6"/>
        </w:trPr>
        <w:tc>
          <w:tcPr>
            <w:tcW w:w="40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Change in fair value of unissued shares of common</w:t>
            </w:r>
          </w:p>
        </w:tc>
        <w:tc>
          <w:tcPr>
            <w:tcW w:w="3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243"/>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w:t>
            </w:r>
          </w:p>
        </w:tc>
        <w:tc>
          <w:tcPr>
            <w:tcW w:w="3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fair value of committed equity facility, net</w:t>
            </w: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1,210</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1,210</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3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992</w:t>
            </w: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1,211</w:t>
            </w:r>
          </w:p>
        </w:tc>
        <w:tc>
          <w:tcPr>
            <w:tcW w:w="16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40" w:type="dxa"/>
            <w:vAlign w:val="bottom"/>
            <w:tcBorders>
              <w:bottom w:val="single" w:sz="8" w:color="CCEEFF"/>
            </w:tcBorders>
          </w:tcPr>
          <w:p>
            <w:pPr>
              <w:spacing w:after="0"/>
              <w:rPr>
                <w:sz w:val="19"/>
                <w:szCs w:val="19"/>
                <w:color w:val="auto"/>
              </w:rPr>
            </w:pPr>
          </w:p>
        </w:tc>
        <w:tc>
          <w:tcPr>
            <w:tcW w:w="54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(18.1)%</w:t>
            </w:r>
          </w:p>
        </w:tc>
      </w:tr>
      <w:tr>
        <w:trPr>
          <w:trHeight w:val="248"/>
        </w:trPr>
        <w:tc>
          <w:tcPr>
            <w:tcW w:w="4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expense, net</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(102,846)</w:t>
            </w: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(14,512)</w:t>
            </w:r>
          </w:p>
        </w:tc>
        <w:tc>
          <w:tcPr>
            <w:tcW w:w="1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Percentage change is not meaningful.</w:t>
      </w:r>
    </w:p>
    <w:p>
      <w:pPr>
        <w:spacing w:after="0" w:line="252"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8"/>
          <w:szCs w:val="18"/>
          <w:color w:val="auto"/>
        </w:rPr>
        <w:t>Our “total other expense, net” for the year ended December 31, 2025 compared to the year ended December 31, 2024 was driven by the fair value changes in the different financial instruments in place during each period. In the first quarter of 2025, as a result of the Merger, the Legacy Blaize convertible notes and warrants were all converted into shares of our common stock. These instruments were, therefore, only outstanding fully during the comparative period for 2024.</w:t>
      </w:r>
    </w:p>
    <w:p>
      <w:pPr>
        <w:spacing w:after="0" w:line="207"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After the Merger, the earnout awards issued to Burkhan that were classified as a derivative liability, and the derivative asset (fair value of the initial put option) and liability (forward contracts at each date of purchase of common stock by B. Riley) associated with the Committed Equity Facility were recorded, and subsequently marked to market at the end of each quarterly period. The derivatives associated with the Committed Equity Facility were marked to zero as of December 31, 2025, due to the immateriality of the remaining balances. “Other, net” includes fines and penalties (and the reversal of the same) regarding non-income tax based tax positions as well as the Committed Equity Facility transaction fees.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Non-GAAP Measures</w:t>
      </w:r>
    </w:p>
    <w:p>
      <w:pPr>
        <w:spacing w:after="0" w:line="25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addition to financial measures presented in accordance with accounting principles generally accepted in the U.S. (“GAAP”), we report certain key financial measures that are not required by, or presented in accordance with, GAAP. Non-GAAP financial information is presented for supplemental informational purposes only, should not be considered in isolation of, or as a substitute for or superior to, financial information presented in accordance with GAAP, and may be different from similarly-titled non-GAAP measures used by other companies. Accordingly, you are cautioned not to place undue reliance on this information. We believe that along with our GAAP financial information, our non-GAAP financial information when taken collectively and evaluated appropriately, is helpful to investors in assessing our operating performance.</w:t>
      </w:r>
    </w:p>
    <w:p>
      <w:pPr>
        <w:spacing w:after="0" w:line="214"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In conjunction with net loss calculated in accordance with GAAP, we also use EBITDA and Adjusted EBITDA, as defined below, to evaluate our ongoing operations and for internal planning and forecasting purposes.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EBITDA and Adjusted EBITDA</w:t>
      </w:r>
    </w:p>
    <w:p>
      <w:pPr>
        <w:spacing w:after="0" w:line="254"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EBITDA is defined as “Earnings before interest, income taxes, depreciation, and amortization”. Adjusted EBITDA is defined as EBITDA further adjusted for non-cash items such as stock-based compensation, changes in fair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240"/>
          </w:cols>
          <w:pgMar w:left="320" w:top="1413"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color w:val="auto"/>
        </w:rPr>
        <w:t>and operational income and expenses that are not expected to be ongoing, as discussed below in the footnote to “other adjustments”.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a reconciliation of net loss to EBITDA and Adjusted EBITDA for the years ended December 31, 2025 and 2024:</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60" w:type="dxa"/>
            <w:vAlign w:val="bottom"/>
            <w:gridSpan w:val="5"/>
          </w:tcPr>
          <w:p>
            <w:pPr>
              <w:ind w:left="220"/>
              <w:spacing w:after="0"/>
              <w:rPr>
                <w:sz w:val="20"/>
                <w:szCs w:val="20"/>
                <w:color w:val="auto"/>
              </w:rPr>
            </w:pPr>
            <w:r>
              <w:rPr>
                <w:rFonts w:ascii="Times New Roman" w:cs="Times New Roman" w:eastAsia="Times New Roman" w:hAnsi="Times New Roman"/>
                <w:sz w:val="16"/>
                <w:szCs w:val="16"/>
                <w:b w:val="1"/>
                <w:bCs w:val="1"/>
                <w:color w:val="auto"/>
              </w:rPr>
              <w:t>For the Year Ended December 31,</w:t>
            </w:r>
          </w:p>
        </w:tc>
        <w:tc>
          <w:tcPr>
            <w:tcW w:w="900" w:type="dxa"/>
            <w:vAlign w:val="bottom"/>
          </w:tcPr>
          <w:p>
            <w:pPr>
              <w:spacing w:after="0"/>
              <w:rPr>
                <w:sz w:val="18"/>
                <w:szCs w:val="18"/>
                <w:color w:val="auto"/>
              </w:rPr>
            </w:pPr>
          </w:p>
        </w:tc>
        <w:tc>
          <w:tcPr>
            <w:tcW w:w="1440" w:type="dxa"/>
            <w:vAlign w:val="bottom"/>
            <w:gridSpan w:val="3"/>
          </w:tcPr>
          <w:p>
            <w:pPr>
              <w:ind w:left="64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260" w:type="dxa"/>
            <w:vAlign w:val="bottom"/>
          </w:tcPr>
          <w:p>
            <w:pPr>
              <w:spacing w:after="0"/>
              <w:rPr>
                <w:sz w:val="18"/>
                <w:szCs w:val="18"/>
                <w:color w:val="auto"/>
              </w:rPr>
            </w:pPr>
          </w:p>
        </w:tc>
      </w:tr>
      <w:tr>
        <w:trPr>
          <w:trHeight w:val="211"/>
        </w:trPr>
        <w:tc>
          <w:tcPr>
            <w:tcW w:w="4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(Amounts in thousands, except for percentages)</w:t>
            </w:r>
          </w:p>
        </w:tc>
        <w:tc>
          <w:tcPr>
            <w:tcW w:w="32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57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60" w:type="dxa"/>
            <w:vAlign w:val="bottom"/>
            <w:tcBorders>
              <w:top w:val="single" w:sz="8" w:color="auto"/>
              <w:bottom w:val="single" w:sz="8" w:color="CCEEFF"/>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660" w:type="dxa"/>
            <w:vAlign w:val="bottom"/>
            <w:tcBorders>
              <w:top w:val="single" w:sz="8" w:color="auto"/>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76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CCEEFF"/>
            </w:tcBorders>
          </w:tcPr>
          <w:p>
            <w:pPr>
              <w:spacing w:after="0"/>
              <w:rPr>
                <w:sz w:val="18"/>
                <w:szCs w:val="18"/>
                <w:color w:val="auto"/>
              </w:rPr>
            </w:pPr>
          </w:p>
        </w:tc>
        <w:tc>
          <w:tcPr>
            <w:tcW w:w="54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731"/>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25"/>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(206,904)</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93"/>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(61,195)</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693"/>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(145,709)</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238.1 %</w:t>
            </w:r>
          </w:p>
        </w:tc>
      </w:tr>
      <w:tr>
        <w:trPr>
          <w:trHeight w:val="229"/>
        </w:trPr>
        <w:tc>
          <w:tcPr>
            <w:tcW w:w="4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Depreciation</w:t>
            </w:r>
          </w:p>
        </w:tc>
        <w:tc>
          <w:tcPr>
            <w:tcW w:w="3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1,195</w:t>
            </w: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886</w:t>
            </w: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34.9 %</w:t>
            </w:r>
          </w:p>
        </w:tc>
      </w:tr>
      <w:tr>
        <w:trPr>
          <w:trHeight w:val="230"/>
        </w:trPr>
        <w:tc>
          <w:tcPr>
            <w:tcW w:w="4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Provision for (benefit from) for income taxes</w:t>
            </w: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(122.8)%</w:t>
            </w:r>
          </w:p>
        </w:tc>
      </w:tr>
      <w:tr>
        <w:trPr>
          <w:trHeight w:val="229"/>
        </w:trPr>
        <w:tc>
          <w:tcPr>
            <w:tcW w:w="40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Interest income, net</w:t>
            </w:r>
          </w:p>
        </w:tc>
        <w:tc>
          <w:tcPr>
            <w:tcW w:w="3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(1,752)</w:t>
            </w:r>
          </w:p>
        </w:tc>
        <w:tc>
          <w:tcPr>
            <w:tcW w:w="16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(1,904)</w:t>
            </w:r>
          </w:p>
        </w:tc>
        <w:tc>
          <w:tcPr>
            <w:tcW w:w="14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4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23"/>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EBITDA</w:t>
            </w: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(207,244)</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(63,165)</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(144,079)</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228.1 %</w:t>
            </w:r>
          </w:p>
        </w:tc>
      </w:tr>
      <w:tr>
        <w:trPr>
          <w:trHeight w:val="230"/>
        </w:trPr>
        <w:tc>
          <w:tcPr>
            <w:tcW w:w="4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Stock-based compensation</w:t>
            </w:r>
          </w:p>
        </w:tc>
        <w:tc>
          <w:tcPr>
            <w:tcW w:w="3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37,546</w:t>
            </w: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3,847</w:t>
            </w: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33,699</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876.0 %</w:t>
            </w:r>
          </w:p>
        </w:tc>
      </w:tr>
      <w:tr>
        <w:trPr>
          <w:trHeight w:val="229"/>
        </w:trPr>
        <w:tc>
          <w:tcPr>
            <w:tcW w:w="4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Fair value changes and financing charges</w:t>
            </w: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104,872</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16,187</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88,685</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547.9 %</w:t>
            </w:r>
          </w:p>
        </w:tc>
      </w:tr>
      <w:tr>
        <w:trPr>
          <w:trHeight w:val="230"/>
        </w:trPr>
        <w:tc>
          <w:tcPr>
            <w:tcW w:w="4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Transaction costs</w:t>
            </w:r>
          </w:p>
        </w:tc>
        <w:tc>
          <w:tcPr>
            <w:tcW w:w="3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12,043</w:t>
            </w: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11,826</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Non-cash inventory cost realignment adjustments</w:t>
            </w: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125.2 %</w:t>
            </w:r>
          </w:p>
        </w:tc>
      </w:tr>
      <w:tr>
        <w:trPr>
          <w:trHeight w:val="229"/>
        </w:trPr>
        <w:tc>
          <w:tcPr>
            <w:tcW w:w="4060" w:type="dxa"/>
            <w:vAlign w:val="bottom"/>
            <w:tcBorders>
              <w:bottom w:val="single" w:sz="8" w:color="CCEEFF"/>
            </w:tcBorders>
          </w:tcPr>
          <w:p>
            <w:pPr>
              <w:ind w:left="240"/>
              <w:spacing w:after="0" w:line="230" w:lineRule="exact"/>
              <w:rPr>
                <w:sz w:val="20"/>
                <w:szCs w:val="20"/>
                <w:color w:val="auto"/>
              </w:rPr>
            </w:pPr>
            <w:r>
              <w:rPr>
                <w:rFonts w:ascii="Times New Roman" w:cs="Times New Roman" w:eastAsia="Times New Roman" w:hAnsi="Times New Roman"/>
                <w:sz w:val="18"/>
                <w:szCs w:val="18"/>
                <w:color w:val="auto"/>
              </w:rPr>
              <w:t xml:space="preserve">Other adjustments </w:t>
            </w:r>
            <w:r>
              <w:rPr>
                <w:rFonts w:ascii="Times New Roman" w:cs="Times New Roman" w:eastAsia="Times New Roman" w:hAnsi="Times New Roman"/>
                <w:sz w:val="23"/>
                <w:szCs w:val="23"/>
                <w:color w:val="auto"/>
                <w:vertAlign w:val="superscript"/>
              </w:rPr>
              <w:t>(1)</w:t>
            </w:r>
          </w:p>
        </w:tc>
        <w:tc>
          <w:tcPr>
            <w:tcW w:w="3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3,091</w:t>
            </w:r>
          </w:p>
        </w:tc>
        <w:tc>
          <w:tcPr>
            <w:tcW w:w="16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14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2,524</w:t>
            </w:r>
          </w:p>
        </w:tc>
        <w:tc>
          <w:tcPr>
            <w:tcW w:w="14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445.1 %</w:t>
            </w:r>
          </w:p>
        </w:tc>
      </w:tr>
      <w:tr>
        <w:trPr>
          <w:trHeight w:val="248"/>
        </w:trPr>
        <w:tc>
          <w:tcPr>
            <w:tcW w:w="4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(50,478)</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793"/>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(42,696)</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693"/>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(7,782)</w:t>
            </w:r>
          </w:p>
        </w:tc>
        <w:tc>
          <w:tcPr>
            <w:tcW w:w="1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18.2 %</w:t>
            </w: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Percentage change is not meaningful.</w:t>
      </w:r>
    </w:p>
    <w:p>
      <w:pPr>
        <w:spacing w:after="0" w:line="252" w:lineRule="exact"/>
        <w:rPr>
          <w:sz w:val="20"/>
          <w:szCs w:val="20"/>
          <w:color w:val="auto"/>
        </w:rPr>
      </w:pPr>
    </w:p>
    <w:p>
      <w:pPr>
        <w:jc w:val="both"/>
        <w:ind w:right="80" w:firstLine="8"/>
        <w:spacing w:after="0" w:line="255" w:lineRule="auto"/>
        <w:tabs>
          <w:tab w:leader="none" w:pos="181" w:val="left"/>
        </w:tabs>
        <w:numPr>
          <w:ilvl w:val="0"/>
          <w:numId w:val="1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“Other adjustments” includes, but is not limited to, other non-cash expenses, including foreign exchange gains and losses, and income and expenses that are not expected to be ongoing, including litigation expenses, financing advisory fees, and fines and penalties (or the recoveries and reversals of such). We believe that these items are not reflective of our ongoing operating performance and excluding these items provides a more meaningful comparison of our results of operations over comparative periods.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5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primary sources of cash flows have historically been from financing activities. We expect our primary sources of liquidity to continue to be cash flows from financing activities, as our expenses continue to exceed our revenues, and therefore, we cannot satisfy our cash needs through operations. We intend to raise such capital through issuances of additional equity and/or debt. As discussed below, our liquidity condition raises substantial doubt about our ability to continue as a going concern through a year from the issuance date of our consolidated financial statements, as we cannot expect that the sources of financing currently available to us will be sufficient to fund our ongoing cash requirements for at least the next twelve months and/or into the foreseeable future.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Going Concern</w:t>
      </w:r>
    </w:p>
    <w:p>
      <w:pPr>
        <w:spacing w:after="0" w:line="256"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As described in Item 8 — “Financial Statements and Supplementary Data,” in Note 2 — “Liquidity and Going Concern,” our consolidated financial statements accompanying this Annual Report on Form 10-K have been prepared on a “going concern” basis, which assumes that we will be able to meet our obligations and continue our operations for the foreseeable future. Our consolidated financial statements do not include any adjustments to reflect the possible future effects on the recoverability and classification of assets or the amounts and classifications of liabilities that may result should we be unable to continue as a going concern.</w:t>
      </w:r>
    </w:p>
    <w:p>
      <w:pPr>
        <w:spacing w:after="0" w:line="210"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Our ability to continue to meet our obligations, to achieve our business objectives and continue as a going concern is dependent upon several factors, including our revenue growth rate, the timing and extent of spending to support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240"/>
          </w:cols>
          <w:pgMar w:left="320" w:top="1417" w:right="339" w:bottom="1440" w:gutter="0" w:footer="0" w:header="0"/>
        </w:sectPr>
      </w:pPr>
    </w:p>
    <w:bookmarkStart w:id="49" w:name="page50"/>
    <w:bookmarkEnd w:id="49"/>
    <w:p>
      <w:pPr>
        <w:ind w:right="80"/>
        <w:spacing w:after="0" w:line="282" w:lineRule="auto"/>
        <w:rPr>
          <w:sz w:val="20"/>
          <w:szCs w:val="20"/>
          <w:color w:val="auto"/>
        </w:rPr>
      </w:pPr>
      <w:r>
        <w:rPr>
          <w:rFonts w:ascii="Times New Roman" w:cs="Times New Roman" w:eastAsia="Times New Roman" w:hAnsi="Times New Roman"/>
          <w:sz w:val="18"/>
          <w:szCs w:val="18"/>
          <w:color w:val="auto"/>
        </w:rPr>
        <w:t>further sales and marketing initiatives, as well as our research and development efforts. In order to continue to finance our operations, we will need to raise additional financing, if such financing is available at all.</w:t>
      </w:r>
    </w:p>
    <w:p>
      <w:pPr>
        <w:spacing w:after="0" w:line="189"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As a result of the above considerations, we have determined that our liquidity condition raises substantial doubt about our ability to continue as a going concern through a year from the date of issuance of our consolidated financial statements.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Issuance of Common Stock During the Current Year</w:t>
      </w:r>
    </w:p>
    <w:p>
      <w:pPr>
        <w:spacing w:after="0" w:line="256"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table below sets forth a description of our issuance of common stock during the year ended December 31, 2025, commencing from the Closing Date of the Merger:</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 outstanding immediately after the Merger</w:t>
            </w:r>
          </w:p>
        </w:tc>
        <w:tc>
          <w:tcPr>
            <w:tcW w:w="2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98,881,886</w:t>
            </w:r>
          </w:p>
        </w:tc>
      </w:tr>
      <w:tr>
        <w:trPr>
          <w:trHeight w:val="229"/>
        </w:trPr>
        <w:tc>
          <w:tcPr>
            <w:tcW w:w="8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Vesting of restricted stock units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3,961,729</w:t>
            </w:r>
          </w:p>
        </w:tc>
      </w:tr>
      <w:tr>
        <w:trPr>
          <w:trHeight w:val="230"/>
        </w:trPr>
        <w:tc>
          <w:tcPr>
            <w:tcW w:w="8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2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562,446</w:t>
            </w:r>
          </w:p>
        </w:tc>
      </w:tr>
      <w:tr>
        <w:trPr>
          <w:trHeight w:val="229"/>
        </w:trPr>
        <w:tc>
          <w:tcPr>
            <w:tcW w:w="8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issued under Committed Equity Facility</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8,493,674</w:t>
            </w:r>
          </w:p>
        </w:tc>
      </w:tr>
      <w:tr>
        <w:trPr>
          <w:trHeight w:val="229"/>
        </w:trPr>
        <w:tc>
          <w:tcPr>
            <w:tcW w:w="8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issued in Polar Private Placement</w:t>
            </w:r>
          </w:p>
        </w:tc>
        <w:tc>
          <w:tcPr>
            <w:tcW w:w="2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9,375,000</w:t>
            </w:r>
          </w:p>
        </w:tc>
      </w:tr>
      <w:tr>
        <w:trPr>
          <w:trHeight w:val="230"/>
        </w:trPr>
        <w:tc>
          <w:tcPr>
            <w:tcW w:w="8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Shares issued to Cantor Fitzgerald &amp; Co.</w:t>
            </w:r>
          </w:p>
        </w:tc>
        <w:tc>
          <w:tcPr>
            <w:tcW w:w="2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769,231</w:t>
            </w:r>
          </w:p>
        </w:tc>
      </w:tr>
      <w:tr>
        <w:trPr>
          <w:trHeight w:val="248"/>
        </w:trPr>
        <w:tc>
          <w:tcPr>
            <w:tcW w:w="8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 outstanding as of December 31, 2025</w:t>
            </w:r>
          </w:p>
        </w:tc>
        <w:tc>
          <w:tcPr>
            <w:tcW w:w="2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122,043,966</w:t>
            </w:r>
          </w:p>
        </w:tc>
      </w:tr>
      <w:tr>
        <w:trPr>
          <w:trHeight w:val="20"/>
        </w:trPr>
        <w:tc>
          <w:tcPr>
            <w:tcW w:w="8880" w:type="dxa"/>
            <w:vAlign w:val="bottom"/>
            <w:tcBorders>
              <w:top w:val="single" w:sz="8" w:color="CCEEFF"/>
            </w:tcBorders>
          </w:tcPr>
          <w:p>
            <w:pPr>
              <w:spacing w:after="0" w:line="20" w:lineRule="exact"/>
              <w:rPr>
                <w:sz w:val="1"/>
                <w:szCs w:val="1"/>
                <w:color w:val="auto"/>
              </w:rPr>
            </w:pPr>
          </w:p>
        </w:tc>
        <w:tc>
          <w:tcPr>
            <w:tcW w:w="2360" w:type="dxa"/>
            <w:vAlign w:val="bottom"/>
            <w:tcBorders>
              <w:top w:val="single" w:sz="8" w:color="CCEEFF"/>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Committed Equity Facility</w:t>
      </w:r>
    </w:p>
    <w:p>
      <w:pPr>
        <w:spacing w:after="0" w:line="25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On July 14, 2025, the Company entered into the Committed Equity Facility with B. Riley Principal Capital II, LLC (“B. Riley”). Pursuant to the agreement governing the Committed Equity Facility, the Company has the right, but not the obligation, to direct B. Riley to purchase newly issued shares of the Company’s common stock up to an aggregate value of $50.0 million over a defined 36-month period in distinct individual transactions (each a “Purchase”), subject to certain limitations and conditions set forth in the agreement governing the Committed Equity Facility, as further described below. Without prior stockholder approval, the total aggregate shares of common stock issued to B. Riley under the Committed Equity Facility cannot exceed 20,326,159 shares of common stock, representing 19.99% of the aggregate number of shares issued and outstanding immediately prior to the execution of the Committed Equity Facility.</w:t>
      </w:r>
    </w:p>
    <w:p>
      <w:pPr>
        <w:spacing w:after="0" w:line="216"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2025, the Company sold a total of 8,493,674 shares of its common stock to B. Riley under the Committed Equity Facility for net proceeds of $33.2 million.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Shares issued in Polar Private Placement</w:t>
      </w:r>
    </w:p>
    <w:p>
      <w:pPr>
        <w:spacing w:after="0" w:line="252" w:lineRule="exact"/>
        <w:rPr>
          <w:sz w:val="20"/>
          <w:szCs w:val="20"/>
          <w:color w:val="auto"/>
        </w:rPr>
      </w:pPr>
    </w:p>
    <w:p>
      <w:pPr>
        <w:ind w:right="180"/>
        <w:spacing w:after="0" w:line="284" w:lineRule="auto"/>
        <w:rPr>
          <w:sz w:val="20"/>
          <w:szCs w:val="20"/>
          <w:color w:val="auto"/>
        </w:rPr>
      </w:pPr>
      <w:r>
        <w:rPr>
          <w:rFonts w:ascii="Times New Roman" w:cs="Times New Roman" w:eastAsia="Times New Roman" w:hAnsi="Times New Roman"/>
          <w:sz w:val="18"/>
          <w:szCs w:val="18"/>
          <w:color w:val="auto"/>
        </w:rPr>
        <w:t xml:space="preserve">See “Trends and Recent Developments — </w:t>
      </w:r>
      <w:r>
        <w:rPr>
          <w:rFonts w:ascii="Times New Roman" w:cs="Times New Roman" w:eastAsia="Times New Roman" w:hAnsi="Times New Roman"/>
          <w:sz w:val="18"/>
          <w:szCs w:val="18"/>
          <w:i w:val="1"/>
          <w:iCs w:val="1"/>
          <w:color w:val="auto"/>
        </w:rPr>
        <w:t>Recent Developments in Our Business”</w:t>
      </w:r>
      <w:r>
        <w:rPr>
          <w:rFonts w:ascii="Times New Roman" w:cs="Times New Roman" w:eastAsia="Times New Roman" w:hAnsi="Times New Roman"/>
          <w:sz w:val="18"/>
          <w:szCs w:val="18"/>
          <w:color w:val="auto"/>
        </w:rPr>
        <w:t xml:space="preserve"> for a description of the shares of our common stock issued in the Polar Private Placement.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Shares issued to Cantor Fitzgerald &amp; Co.</w:t>
      </w:r>
    </w:p>
    <w:p>
      <w:pPr>
        <w:spacing w:after="0" w:line="254"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In April 2025, the Company entered into an engagement letter with Cantor Fitzgerald &amp; Co. (“Cantor”), which required a non-refundable advisory fee in the form of 769,231 shares of common stock. In July 2025, the Company issued the shares of common stock due to Cantor.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240"/>
          </w:cols>
          <w:pgMar w:left="320" w:top="1417"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i w:val="1"/>
          <w:iCs w:val="1"/>
          <w:color w:val="auto"/>
        </w:rPr>
        <w:t>Future Commitments to Issue Shares of Our Common Stock</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880" w:type="dxa"/>
            <w:vAlign w:val="bottom"/>
          </w:tcPr>
          <w:p>
            <w:pPr>
              <w:spacing w:after="0"/>
              <w:rPr>
                <w:sz w:val="18"/>
                <w:szCs w:val="18"/>
                <w:color w:val="auto"/>
              </w:rPr>
            </w:pPr>
          </w:p>
        </w:tc>
        <w:tc>
          <w:tcPr>
            <w:tcW w:w="2360" w:type="dxa"/>
            <w:vAlign w:val="bottom"/>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As of December 31,</w:t>
            </w:r>
          </w:p>
        </w:tc>
      </w:tr>
      <w:tr>
        <w:trPr>
          <w:trHeight w:val="219"/>
        </w:trPr>
        <w:tc>
          <w:tcPr>
            <w:tcW w:w="8880" w:type="dxa"/>
            <w:vAlign w:val="bottom"/>
            <w:tcBorders>
              <w:bottom w:val="single" w:sz="8" w:color="CCEEFF"/>
            </w:tcBorders>
          </w:tcPr>
          <w:p>
            <w:pPr>
              <w:spacing w:after="0"/>
              <w:rPr>
                <w:sz w:val="19"/>
                <w:szCs w:val="19"/>
                <w:color w:val="auto"/>
              </w:rPr>
            </w:pPr>
          </w:p>
        </w:tc>
        <w:tc>
          <w:tcPr>
            <w:tcW w:w="2360" w:type="dxa"/>
            <w:vAlign w:val="bottom"/>
            <w:tcBorders>
              <w:bottom w:val="single" w:sz="8" w:color="auto"/>
            </w:tcBorders>
          </w:tcPr>
          <w:p>
            <w:pPr>
              <w:jc w:val="right"/>
              <w:ind w:right="932"/>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26"/>
        </w:trPr>
        <w:tc>
          <w:tcPr>
            <w:tcW w:w="8880" w:type="dxa"/>
            <w:vAlign w:val="bottom"/>
            <w:shd w:val="clear" w:color="auto" w:fill="CCEEFF"/>
          </w:tcPr>
          <w:p>
            <w:pPr>
              <w:ind w:left="20"/>
              <w:spacing w:after="0" w:line="226" w:lineRule="exact"/>
              <w:rPr>
                <w:sz w:val="20"/>
                <w:szCs w:val="20"/>
                <w:color w:val="auto"/>
              </w:rPr>
            </w:pPr>
            <w:r>
              <w:rPr>
                <w:rFonts w:ascii="Times New Roman" w:cs="Times New Roman" w:eastAsia="Times New Roman" w:hAnsi="Times New Roman"/>
                <w:sz w:val="18"/>
                <w:szCs w:val="18"/>
                <w:color w:val="auto"/>
              </w:rPr>
              <w:t xml:space="preserve">Stock options </w:t>
            </w:r>
            <w:r>
              <w:rPr>
                <w:rFonts w:ascii="Times New Roman" w:cs="Times New Roman" w:eastAsia="Times New Roman" w:hAnsi="Times New Roman"/>
                <w:sz w:val="23"/>
                <w:szCs w:val="23"/>
                <w:color w:val="auto"/>
                <w:vertAlign w:val="superscript"/>
              </w:rPr>
              <w:t>(1)</w:t>
            </w:r>
          </w:p>
        </w:tc>
        <w:tc>
          <w:tcPr>
            <w:tcW w:w="2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28,746,278</w:t>
            </w:r>
          </w:p>
        </w:tc>
      </w:tr>
      <w:tr>
        <w:trPr>
          <w:trHeight w:val="229"/>
        </w:trPr>
        <w:tc>
          <w:tcPr>
            <w:tcW w:w="88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RSUs </w:t>
            </w:r>
            <w:r>
              <w:rPr>
                <w:rFonts w:ascii="Times New Roman" w:cs="Times New Roman" w:eastAsia="Times New Roman" w:hAnsi="Times New Roman"/>
                <w:sz w:val="23"/>
                <w:szCs w:val="23"/>
                <w:color w:val="auto"/>
                <w:vertAlign w:val="superscript"/>
              </w:rPr>
              <w:t>(1)</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9,359,499</w:t>
            </w:r>
          </w:p>
        </w:tc>
      </w:tr>
      <w:tr>
        <w:trPr>
          <w:trHeight w:val="229"/>
        </w:trPr>
        <w:tc>
          <w:tcPr>
            <w:tcW w:w="88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Employee stock purchase plan shares available for future purchase </w:t>
            </w:r>
            <w:r>
              <w:rPr>
                <w:rFonts w:ascii="Times New Roman" w:cs="Times New Roman" w:eastAsia="Times New Roman" w:hAnsi="Times New Roman"/>
                <w:sz w:val="23"/>
                <w:szCs w:val="23"/>
                <w:color w:val="auto"/>
                <w:vertAlign w:val="superscript"/>
              </w:rPr>
              <w:t>(1)</w:t>
            </w:r>
          </w:p>
        </w:tc>
        <w:tc>
          <w:tcPr>
            <w:tcW w:w="2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3,047,669</w:t>
            </w:r>
          </w:p>
        </w:tc>
      </w:tr>
      <w:tr>
        <w:trPr>
          <w:trHeight w:val="230"/>
        </w:trPr>
        <w:tc>
          <w:tcPr>
            <w:tcW w:w="88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Earnout shares </w:t>
            </w:r>
            <w:r>
              <w:rPr>
                <w:rFonts w:ascii="Times New Roman" w:cs="Times New Roman" w:eastAsia="Times New Roman" w:hAnsi="Times New Roman"/>
                <w:sz w:val="23"/>
                <w:szCs w:val="23"/>
                <w:color w:val="auto"/>
                <w:vertAlign w:val="superscript"/>
              </w:rPr>
              <w:t>(2)</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17,600,000</w:t>
            </w:r>
          </w:p>
        </w:tc>
      </w:tr>
      <w:tr>
        <w:trPr>
          <w:trHeight w:val="229"/>
        </w:trPr>
        <w:tc>
          <w:tcPr>
            <w:tcW w:w="88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BZAI warrants </w:t>
            </w:r>
            <w:r>
              <w:rPr>
                <w:rFonts w:ascii="Times New Roman" w:cs="Times New Roman" w:eastAsia="Times New Roman" w:hAnsi="Times New Roman"/>
                <w:sz w:val="23"/>
                <w:szCs w:val="23"/>
                <w:color w:val="auto"/>
                <w:vertAlign w:val="superscript"/>
              </w:rPr>
              <w:t>(3)</w:t>
            </w:r>
          </w:p>
        </w:tc>
        <w:tc>
          <w:tcPr>
            <w:tcW w:w="2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29,648,250</w:t>
            </w:r>
          </w:p>
        </w:tc>
      </w:tr>
      <w:tr>
        <w:trPr>
          <w:trHeight w:val="230"/>
        </w:trPr>
        <w:tc>
          <w:tcPr>
            <w:tcW w:w="88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Warrants issued to an advisor </w:t>
            </w:r>
            <w:r>
              <w:rPr>
                <w:rFonts w:ascii="Times New Roman" w:cs="Times New Roman" w:eastAsia="Times New Roman" w:hAnsi="Times New Roman"/>
                <w:sz w:val="23"/>
                <w:szCs w:val="23"/>
                <w:color w:val="auto"/>
                <w:vertAlign w:val="superscript"/>
              </w:rPr>
              <w:t>(3)</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r>
      <w:tr>
        <w:trPr>
          <w:trHeight w:val="229"/>
        </w:trPr>
        <w:tc>
          <w:tcPr>
            <w:tcW w:w="88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Polar warrants </w:t>
            </w:r>
            <w:r>
              <w:rPr>
                <w:rFonts w:ascii="Times New Roman" w:cs="Times New Roman" w:eastAsia="Times New Roman" w:hAnsi="Times New Roman"/>
                <w:sz w:val="23"/>
                <w:szCs w:val="23"/>
                <w:color w:val="auto"/>
                <w:vertAlign w:val="superscript"/>
              </w:rPr>
              <w:t>(3)</w:t>
            </w:r>
          </w:p>
        </w:tc>
        <w:tc>
          <w:tcPr>
            <w:tcW w:w="2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9,375,000</w:t>
            </w:r>
          </w:p>
        </w:tc>
      </w:tr>
      <w:tr>
        <w:trPr>
          <w:trHeight w:val="229"/>
        </w:trPr>
        <w:tc>
          <w:tcPr>
            <w:tcW w:w="88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Issuable under Sales Partner Referral Agreement </w:t>
            </w:r>
            <w:r>
              <w:rPr>
                <w:rFonts w:ascii="Times New Roman" w:cs="Times New Roman" w:eastAsia="Times New Roman" w:hAnsi="Times New Roman"/>
                <w:sz w:val="23"/>
                <w:szCs w:val="23"/>
                <w:color w:val="auto"/>
                <w:vertAlign w:val="superscript"/>
              </w:rPr>
              <w:t>(4)</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8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Issuable under Committed Equity Facility </w:t>
            </w:r>
            <w:r>
              <w:rPr>
                <w:rFonts w:ascii="Times New Roman" w:cs="Times New Roman" w:eastAsia="Times New Roman" w:hAnsi="Times New Roman"/>
                <w:sz w:val="23"/>
                <w:szCs w:val="23"/>
                <w:color w:val="auto"/>
                <w:vertAlign w:val="superscript"/>
              </w:rPr>
              <w:t>(5)</w:t>
            </w:r>
          </w:p>
        </w:tc>
        <w:tc>
          <w:tcPr>
            <w:tcW w:w="2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potential commitments to issue common stock</w:t>
            </w:r>
          </w:p>
        </w:tc>
        <w:tc>
          <w:tcPr>
            <w:tcW w:w="2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97,826,696</w:t>
            </w:r>
          </w:p>
        </w:tc>
      </w:tr>
      <w:tr>
        <w:trPr>
          <w:trHeight w:val="21"/>
        </w:trPr>
        <w:tc>
          <w:tcPr>
            <w:tcW w:w="8880" w:type="dxa"/>
            <w:vAlign w:val="bottom"/>
          </w:tcPr>
          <w:p>
            <w:pPr>
              <w:spacing w:after="0" w:line="20" w:lineRule="exact"/>
              <w:rPr>
                <w:sz w:val="1"/>
                <w:szCs w:val="1"/>
                <w:color w:val="auto"/>
              </w:rPr>
            </w:pPr>
          </w:p>
        </w:tc>
        <w:tc>
          <w:tcPr>
            <w:tcW w:w="236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Variable number of shares not determinable as of December 31, 2025.</w:t>
      </w:r>
    </w:p>
    <w:p>
      <w:pPr>
        <w:spacing w:after="0" w:line="252" w:lineRule="exact"/>
        <w:rPr>
          <w:sz w:val="20"/>
          <w:szCs w:val="20"/>
          <w:color w:val="auto"/>
        </w:rPr>
      </w:pPr>
    </w:p>
    <w:p>
      <w:pPr>
        <w:jc w:val="both"/>
        <w:ind w:right="40" w:firstLine="8"/>
        <w:spacing w:after="0" w:line="251" w:lineRule="auto"/>
        <w:tabs>
          <w:tab w:leader="none" w:pos="181" w:val="left"/>
        </w:tabs>
        <w:numPr>
          <w:ilvl w:val="0"/>
          <w:numId w:val="1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As of December 31, 2025, we had commitments to issue 28,746,278 shares of common stock to employees and others under stock option awards, and an additional 9,359,499 shares of our common stock under employee and other RSU awards. We have further reserved 3,047,669 shares of our common stock under an employee stock purchase plan, which has not yet commenced.</w:t>
      </w:r>
    </w:p>
    <w:p>
      <w:pPr>
        <w:spacing w:after="0" w:line="217" w:lineRule="exact"/>
        <w:rPr>
          <w:rFonts w:ascii="Times New Roman" w:cs="Times New Roman" w:eastAsia="Times New Roman" w:hAnsi="Times New Roman"/>
          <w:sz w:val="22"/>
          <w:szCs w:val="22"/>
          <w:color w:val="auto"/>
          <w:vertAlign w:val="superscript"/>
        </w:rPr>
      </w:pPr>
    </w:p>
    <w:p>
      <w:pPr>
        <w:ind w:right="140" w:firstLine="8"/>
        <w:spacing w:after="0" w:line="255" w:lineRule="auto"/>
        <w:tabs>
          <w:tab w:leader="none" w:pos="181" w:val="left"/>
        </w:tabs>
        <w:numPr>
          <w:ilvl w:val="0"/>
          <w:numId w:val="1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We have commitments in respect of the Earnout Shares to issue up to 15,000,000 shares of our common stock, primarily to Legacy Blaize shareholders and also to then-outstanding Legacy Blaize employee equity award holders, and 2,600,000 shares of our common stock to Burkhan, subject to our share price achieving certain thresholds over a period of time. These Earnout Shares are dependent upon, among other things, changes in the closing share price of our common stock, the expected timing of settlement, and the probability of achieving certain triggering events.</w:t>
      </w:r>
    </w:p>
    <w:p>
      <w:pPr>
        <w:spacing w:after="0" w:line="215" w:lineRule="exact"/>
        <w:rPr>
          <w:rFonts w:ascii="Times New Roman" w:cs="Times New Roman" w:eastAsia="Times New Roman" w:hAnsi="Times New Roman"/>
          <w:sz w:val="22"/>
          <w:szCs w:val="22"/>
          <w:color w:val="auto"/>
          <w:vertAlign w:val="superscript"/>
        </w:rPr>
      </w:pPr>
    </w:p>
    <w:p>
      <w:pPr>
        <w:ind w:right="20" w:firstLine="8"/>
        <w:spacing w:after="0" w:line="255" w:lineRule="auto"/>
        <w:tabs>
          <w:tab w:leader="none" w:pos="181" w:val="left"/>
        </w:tabs>
        <w:numPr>
          <w:ilvl w:val="0"/>
          <w:numId w:val="1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 xml:space="preserve">We have a total of 29,648,250 warrants to purchase shares of our common stock outstanding, exercisable at $11.50 per share (the “BZAI warrants”), which expire on January 13, 2030. Additionally, shortly after the Merger, we issued, to an advisor, 50,000 warrants to purchase shares of our common stock outstanding, exercisable at $11.50 per share, which expire in the first quarter of 2030. See “Trends and Recent Developments — </w:t>
      </w:r>
      <w:r>
        <w:rPr>
          <w:rFonts w:ascii="Times New Roman" w:cs="Times New Roman" w:eastAsia="Times New Roman" w:hAnsi="Times New Roman"/>
          <w:sz w:val="17"/>
          <w:szCs w:val="17"/>
          <w:i w:val="1"/>
          <w:iCs w:val="1"/>
          <w:color w:val="auto"/>
        </w:rPr>
        <w:t>Recent Developments in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Our Business” </w:t>
      </w:r>
      <w:r>
        <w:rPr>
          <w:rFonts w:ascii="Times New Roman" w:cs="Times New Roman" w:eastAsia="Times New Roman" w:hAnsi="Times New Roman"/>
          <w:sz w:val="17"/>
          <w:szCs w:val="17"/>
          <w:color w:val="auto"/>
        </w:rPr>
        <w:t>for a description of the warrants issued in the Polar Private Placement (the “Polar warrants”).</w:t>
      </w:r>
    </w:p>
    <w:p>
      <w:pPr>
        <w:spacing w:after="0" w:line="215" w:lineRule="exact"/>
        <w:rPr>
          <w:rFonts w:ascii="Times New Roman" w:cs="Times New Roman" w:eastAsia="Times New Roman" w:hAnsi="Times New Roman"/>
          <w:sz w:val="22"/>
          <w:szCs w:val="22"/>
          <w:color w:val="auto"/>
          <w:vertAlign w:val="superscript"/>
        </w:rPr>
      </w:pPr>
    </w:p>
    <w:p>
      <w:pPr>
        <w:ind w:right="160" w:firstLine="8"/>
        <w:spacing w:after="0" w:line="259" w:lineRule="auto"/>
        <w:tabs>
          <w:tab w:leader="none" w:pos="181" w:val="left"/>
        </w:tabs>
        <w:numPr>
          <w:ilvl w:val="0"/>
          <w:numId w:val="1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We have a Sales Partner Referral Agreement with Burkhan LLC (the “Sales Partner”), an affiliate of the Sponsor, that allows partially for shares of our common stock to be issued to that affiliate in respect of a sales commission, at our discretion. Cash or shares of stock for commission payments are to be released upon our receipt of cash on the sales made under the Sales Partner Referral Agreement. During the year ended December 31, 2025, sales were made to an affiliate of the Sales Partner, but no payments were made on amounts due to us, and therefore, no cash or shares of stock relating to the sales commission were released during the year ended December 31, 2025. Subsequent to December 31, 2025, we received the payment from the Sales Partner and then paid the sales commission in cash, although future sales commissions may be partially payable in shares of our common stock at our discretion.</w:t>
      </w:r>
    </w:p>
    <w:p>
      <w:pPr>
        <w:spacing w:after="0" w:line="192" w:lineRule="exact"/>
        <w:rPr>
          <w:rFonts w:ascii="Times New Roman" w:cs="Times New Roman" w:eastAsia="Times New Roman" w:hAnsi="Times New Roman"/>
          <w:sz w:val="22"/>
          <w:szCs w:val="22"/>
          <w:color w:val="auto"/>
          <w:vertAlign w:val="superscript"/>
        </w:rPr>
      </w:pPr>
    </w:p>
    <w:p>
      <w:pPr>
        <w:ind w:left="180" w:hanging="172"/>
        <w:spacing w:after="0"/>
        <w:tabs>
          <w:tab w:leader="none" w:pos="180" w:val="left"/>
        </w:tabs>
        <w:numPr>
          <w:ilvl w:val="0"/>
          <w:numId w:val="1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The remaining number of shares that we may sell under the Committed Equity Facility varies in relation to our stock price.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Previously Utilized Financing Facilities</w:t>
      </w:r>
    </w:p>
    <w:p>
      <w:pPr>
        <w:spacing w:after="0" w:line="256"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Prior to the Merger, certain arrangements such as Legacy Blaize convertible notes, Legacy Blaize convertible preferred stock, and Legacy Blaize warrants provided us with funding. Upon the consummation of the Merger, these agreements all converted to equity (shares of our common stock or warrants to purchase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240"/>
          </w:cols>
          <w:pgMar w:left="320" w:top="1413" w:right="339" w:bottom="1440" w:gutter="0" w:footer="0" w:header="0"/>
        </w:sectPr>
      </w:pPr>
    </w:p>
    <w:bookmarkStart w:id="51" w:name="page52"/>
    <w:bookmarkEnd w:id="51"/>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for the Years Ended December 31, 2025 and 2024</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used in Operating Activities</w:t>
      </w:r>
    </w:p>
    <w:p>
      <w:pPr>
        <w:spacing w:after="0" w:line="25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Net cash used in operating activities was $73.8 million for the year ended December 31, 2025, compared to $53.5 million for the year ended December 31, 2024. The increase in cash used in operating activities was primarily due to an increase of $145.7 million in net loss, partially offset by an increase in adjustments to reconcile net loss to net cash used in operating expenses of $126.4 million and an increase in changes in operating assets and liabilities of $0.9 million.</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used in Investing Activities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years ended December 31, 2025 and 2024, we used $0.8 million and $0.9 million, respectively, of cash to purchase property and equipment.</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provided by Financing Activities</w:t>
      </w:r>
    </w:p>
    <w:p>
      <w:pPr>
        <w:spacing w:after="0" w:line="254"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For the year ended December 31, 2025, net cash provided by financing activities was $70.1 million, which primarily consisted of $33.2 million of net proceeds from the Committed Equity Facility, $27.9 million of net proceeds from the issuance of common stock to Polar, and $15.9 million of proceeds from the Merger and PIPE financing, partially offset by the $7.7 million payment of deferred offering costs. Net cash provided by financing activities for the year ended December 31, 2024 of $101.7 million primarily consisted of $110.7 million in proceeds from the issuance of secured convertible notes, partially offset by the payment of demand notes of $4.8 million and deferred offering costs of $4.4 million.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Material Cash Requirements, Cash Collections, and Cash Availability</w:t>
      </w:r>
    </w:p>
    <w:p>
      <w:pPr>
        <w:spacing w:after="0" w:line="256"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Material cash requirements as of December 31, 2025 included trade accounts payable of $22.8 million for the purchase of finished goods hardware as described below, along with the near-term general corporate expenses of the business, such as employee payroll and consulting fees.</w:t>
      </w:r>
    </w:p>
    <w:p>
      <w:pPr>
        <w:spacing w:after="0" w:line="189"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During the fourth quarter of 2025, we sold certain hardware in the amount of $23.8 million, and at the same time, purchased hardware from a third-party vendor in order to fulfil that sales contract, recording the trade account payable referred to, above. During the first quarter of 2026, we received payments of $15.2 million from our customer, and paid our vendor $15.8 million. The remainder of $8.6 million is due from our customer on March 31, 2026.</w:t>
      </w:r>
    </w:p>
    <w:p>
      <w:pPr>
        <w:spacing w:after="0" w:line="20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Subsequent to the year ended December 31, 2025, we collected cash from a related party in the amount of $6.4 million, which fully settled the related party’s outstanding accounts receivable balance as of December 31, 2025 of $3.4 million. The remaining $3.0 million was recorded as deferred revenue as of the date of receipt within the first quarter of 2026 and will be recognized as revenue in the first quarter of 2026 as we fulfilled our performance obligations to the related party at that time.</w:t>
      </w:r>
    </w:p>
    <w:p>
      <w:pPr>
        <w:spacing w:after="0" w:line="207"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As of December 31, 2025, we had cash and cash equivalents on hand of $45.8 million, and we had approximately $16.6 million remaining available to draw on the Committed Equity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160"/>
          </w:cols>
          <w:pgMar w:left="320" w:top="1440" w:right="41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color w:val="auto"/>
        </w:rPr>
        <w:t>Emerging Growth Company and Smaller Reporting Company Status</w:t>
      </w:r>
    </w:p>
    <w:p>
      <w:pPr>
        <w:spacing w:after="0" w:line="256"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We are an emerging growth company (“EGC”) as defined in the JOBS Act. The JOBS Act permits companies with EGC status to take advantage of an extended transition period to comply with new or revised accounting standards, delaying the adoption of these accounting standards until they apply to private companies. We have elected to use this extended transition period to enable us to comply with new or revised accounting standards that have different effective dates for public and private companies until the earlier of the date we are (i) no longer an emerging growth company or (ii) affirmatively and irrevocably opt out of the extended transition period provided in the JOBS Act. As a result, our consolidated financial statements may not be comparable to companies that comply with the new or revised accounting standards as of public company effective dates.</w:t>
      </w:r>
    </w:p>
    <w:p>
      <w:pPr>
        <w:spacing w:after="0" w:line="214"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addition, we intend to rely on the other exemptions and reduced reporting requirements provided by the JOBS Act. Subject to certain conditions set forth in the JOBS Act, if, as an EGC, we intend to rely on such exemptions, we are not required to, among other things: (i) provide an auditor’s attestation report on our system of internal controls over financial reporting pursuant to Section 404(b) of the Sarbanes-Oxley Act; (ii) provide all of the compensation disclosure that may be required of non-emerging growth public companies under the Dodd-Frank Wall Street Reform and Consumer Protection Act; (iii) comply with any requirement that may be adopted by the Public Company Accounting Oversight Board regarding mandatory audit firm rotation or a supplement to the auditor’s report providing additional information about the audit and the consolidated financial statements (auditor discussion and analysis); and (iv) disclose certain executive compensation-related items such as the correlation between executive compensation and performance and comparisons of the Chief Executive Officer’s compensation to median employee compensation.</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will remain an EGC under the JOBS Act until the earliest of (i) December 31, 2026, which is the last day of our first fiscal year following the fifth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anniversary of the closing of BurTech’s initial public offering, (ii) the last date of our fiscal year in which we have total annual gross revenue of at least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$1.235 billion, (iii) the date on which we are deemed to be a “large accelerated filer” under the rules of the SEC with at least $700.0 million of outstanding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held by non-affiliates or (iv) the date on which we have issued more than $1.0 billion in non-convertible debt securities during the previous three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years.</w:t>
      </w:r>
    </w:p>
    <w:p>
      <w:pPr>
        <w:spacing w:after="0" w:line="23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have also elected to avail ourselves of smaller reporting company (“SRC”) status, which is currently available to us as our annual revenues are less than $100.0 million, while at the same time, our public float is less than $700.0 million. Should our annual revenues exceed $100.0 million, then we may continue to elect SRC status if our public float is less than $250.0 million. Annual revenues are determined with reference to our full year revenues as reported on Form 10-K each year, and public float is determined annually at a measurement date of June 30 of each year by multiplying the number of shares of common stock held by non-affiliates by the closing share price of our common stock on June 30 of that year. SRC status allows us, but does not require us, to provide scaled disclosures in our annual reports on Form 10-K and our quarterly reports on Form 10-Q.</w:t>
      </w:r>
    </w:p>
    <w:p>
      <w:pPr>
        <w:spacing w:after="0" w:line="21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public float and revenue calculations described above also determine our status as an accelerated or non-accelerated filer. Currently, as our revenues are less than $100.0 million, we are a non-accelerated filer, and as long as we are a non-accelerated filer (as determined each year on June 30 as described above) we are not required to provide an auditor’s attestation report on our system of internal controls over financial reporting pursuant to Section 404(b) of the Sarbanes-Oxley Act. Should our revenues exceed $100.0 million and should our public float continue to be in excess of $75.0 million, we would then become an accelerated filer, commencing with our next Annual Report on Form 10-K.</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56"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us to make estimates and assumptions that affect the reported amounts of assets and liabilities at the date of the consolidated financial statements and the reported amounts of revenues and expenses during the reported periods. Actual results could differ from those estimates. We expect quarter-to-quarter GAAP earnings volatility from our business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240"/>
          </w:cols>
          <w:pgMar w:left="320" w:top="1413" w:right="339" w:bottom="1440" w:gutter="0" w:footer="0" w:header="0"/>
        </w:sectPr>
      </w:pPr>
    </w:p>
    <w:bookmarkStart w:id="53" w:name="page54"/>
    <w:bookmarkEnd w:id="53"/>
    <w:p>
      <w:pPr>
        <w:spacing w:after="0" w:line="255" w:lineRule="auto"/>
        <w:rPr>
          <w:sz w:val="20"/>
          <w:szCs w:val="20"/>
          <w:color w:val="auto"/>
        </w:rPr>
      </w:pPr>
      <w:r>
        <w:rPr>
          <w:rFonts w:ascii="Times New Roman" w:cs="Times New Roman" w:eastAsia="Times New Roman" w:hAnsi="Times New Roman"/>
          <w:sz w:val="18"/>
          <w:szCs w:val="18"/>
          <w:color w:val="auto"/>
        </w:rPr>
        <w:t>Our critical accounting estimates include estimates related to accounting for the Merger and reverse recapitalization, revenue recognition, valuation of accounts receivable, the net realizable value of inventories, and the liability or equity classification and/or valuation of financial instruments, which may be complex financial instruments. Our financial instruments subject to valuation other than a Level 1 valuation technique currently include the earnout shares, stock-based compensation awards such as stock options, and the valuation of the Polar warrants; and historically have included the pre-Merger convertible notes, pre-Merger warrants, and pre-Merger stock-based compensation awards. These estimates and assumptions are based on historical experience and on various other factors which we believe to be reasonable under the circumstances. We engage third-party valuation specialists to assist with estimates related to the valuation of derivative assets or liabilities arising from complex financial instruments.</w:t>
      </w:r>
    </w:p>
    <w:p>
      <w:pPr>
        <w:spacing w:after="0" w:line="21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Management discusses the ongoing development and selection of these critical accounting policies and estimates with the Audit Committee of our Board of Directors.</w:t>
      </w:r>
    </w:p>
    <w:p>
      <w:pPr>
        <w:spacing w:after="0" w:line="18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Refer to Note 3 — “Summary of Significant Accounting Policies,” in the Notes to the Consolidated Financial Statements in Part II, Item 8 of this Annual Report on Form 10-K for a summary of significant accounting policies.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Merger and Reverse Recapitalization</w:t>
      </w:r>
    </w:p>
    <w:p>
      <w:pPr>
        <w:spacing w:after="0" w:line="256" w:lineRule="exact"/>
        <w:rPr>
          <w:sz w:val="20"/>
          <w:szCs w:val="20"/>
          <w:color w:val="auto"/>
        </w:rPr>
      </w:pPr>
    </w:p>
    <w:p>
      <w:pPr>
        <w:jc w:val="both"/>
        <w:ind w:right="500"/>
        <w:spacing w:after="0" w:line="266" w:lineRule="auto"/>
        <w:rPr>
          <w:sz w:val="20"/>
          <w:szCs w:val="20"/>
          <w:color w:val="auto"/>
        </w:rPr>
      </w:pPr>
      <w:r>
        <w:rPr>
          <w:rFonts w:ascii="Times New Roman" w:cs="Times New Roman" w:eastAsia="Times New Roman" w:hAnsi="Times New Roman"/>
          <w:sz w:val="18"/>
          <w:szCs w:val="18"/>
          <w:color w:val="auto"/>
        </w:rPr>
        <w:t>Our consolidated financial statements reflect the results of the Merger, which was accounted for as a reverse recapitalization in accordance with U.S. GAAP. The accounting for the Merger required management to make significant estimates and judgments, particularly in identifying the accounting acquirer, determining the fair value of financial instruments issued, and evaluating the classification of certain financial instruments.</w:t>
      </w:r>
    </w:p>
    <w:p>
      <w:pPr>
        <w:spacing w:after="0" w:line="203"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Under the guidance in ASC 805 — “Business Combinations,” the determination of the accounting acquirer required management to consider a variety of factors, including the relative voting rights of the pre-combination shareholders, the composition of the board of directors and senior management of the combined entity, and the intended purpose and substance of the transaction. After considering this guidance, the Merger was accounted for as a reverse recapitalization, with no goodwill or intangible assets recognized. The net assets of the combined entity are stated at historical cost, and the shares and per-share information presented in the consolidated financial statements were retroactively adjusted to reflect the exchange ratio established in the merger agreement.</w:t>
      </w:r>
    </w:p>
    <w:p>
      <w:pPr>
        <w:spacing w:after="0" w:line="214"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In addition, management evaluated the appropriate classification of certain financial instruments such as contingent earnout liabilities under ASC 480, “Distinguishing Liabilities from Equity,” and ASC 815, “Derivatives and Hedging”. This assessment required complex analysis of contractual terms and applicable accounting guidance to determine whether instruments should be recorded as equity or liability-classified. Liability-classified instruments are subsequently remeasured at fair value each reporting period end, with changes recognized in earnings, which may result in significant volatility in our results of operations.</w:t>
      </w:r>
    </w:p>
    <w:p>
      <w:pPr>
        <w:spacing w:after="0" w:line="210"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Because the accounting for the Merger and reverse recapitalization involved estimates that relied on management’s assumptions regarding market conditions, valuation methodologies, and the interpretation of complex contractual terms, it represents a critical accounting estimate.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56" w:lineRule="exact"/>
        <w:rPr>
          <w:sz w:val="20"/>
          <w:szCs w:val="20"/>
          <w:color w:val="auto"/>
        </w:rPr>
      </w:pPr>
    </w:p>
    <w:p>
      <w:pPr>
        <w:jc w:val="both"/>
        <w:ind w:right="240"/>
        <w:spacing w:after="0" w:line="261" w:lineRule="auto"/>
        <w:rPr>
          <w:sz w:val="20"/>
          <w:szCs w:val="20"/>
          <w:color w:val="auto"/>
        </w:rPr>
      </w:pPr>
      <w:r>
        <w:rPr>
          <w:rFonts w:ascii="Times New Roman" w:cs="Times New Roman" w:eastAsia="Times New Roman" w:hAnsi="Times New Roman"/>
          <w:sz w:val="18"/>
          <w:szCs w:val="18"/>
          <w:color w:val="auto"/>
        </w:rPr>
        <w:t>We make significant estimates and assumptions as we follow the revenue accounting model of ASC 606 — “Revenue from Contracts with Customers,” (“ASC 606”) to (i) identify the contract(s) with a customer; (ii) identify the performance obligations in the contract; (iii) determine the transaction price;</w:t>
      </w:r>
    </w:p>
    <w:p>
      <w:pPr>
        <w:ind w:right="760" w:firstLine="8"/>
        <w:spacing w:after="0" w:line="260" w:lineRule="auto"/>
        <w:tabs>
          <w:tab w:leader="none" w:pos="30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 the transaction price to the performance obligations in the contract; and (v) recognize revenue when (or as) we satisfy a performance obligation.</w:t>
      </w:r>
    </w:p>
    <w:p>
      <w:pPr>
        <w:spacing w:after="0" w:line="208"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Our contracts may contain more than one performance obligation. Judgment is required in determining whether each performance obligation within a customer contract is distinct. Some of our products and services function on a standalone basis and do not require a significant amount of integration or interdependency. Therefore, multiple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220"/>
          </w:cols>
          <w:pgMar w:left="320" w:top="1417" w:right="359" w:bottom="1440" w:gutter="0" w:footer="0" w:header="0"/>
        </w:sectPr>
      </w:pPr>
    </w:p>
    <w:bookmarkStart w:id="54" w:name="page55"/>
    <w:bookmarkEnd w:id="54"/>
    <w:p>
      <w:pPr>
        <w:ind w:right="80"/>
        <w:spacing w:after="0" w:line="258" w:lineRule="auto"/>
        <w:rPr>
          <w:sz w:val="20"/>
          <w:szCs w:val="20"/>
          <w:color w:val="auto"/>
        </w:rPr>
      </w:pPr>
      <w:r>
        <w:rPr>
          <w:rFonts w:ascii="Times New Roman" w:cs="Times New Roman" w:eastAsia="Times New Roman" w:hAnsi="Times New Roman"/>
          <w:sz w:val="18"/>
          <w:szCs w:val="18"/>
          <w:color w:val="auto"/>
        </w:rPr>
        <w:t>performance obligations contained within a customer contract are considered distinct and are not combined for revenue recognition purposes. We allocate the total transaction price to each distinct performance obligation in an arrangement with multiple performance obligations on a relative standalone selling price basis. In certain cases, we can establish standalone selling price based on directly observable prices of products or services sold separately in comparable circumstances to similar customers. If standalone selling price is not directly observable, such as when we do not sell a product or service separately, we determine standalone selling price based on market data and other observable inputs.</w:t>
      </w:r>
    </w:p>
    <w:p>
      <w:pPr>
        <w:spacing w:after="0" w:line="21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Further, the concept of “probability of collection” of revenue is a significant estimate in the step of “identifying a valid contract,” in ASC 606, as collection need be assessed as “probable,” which is generally considered to be over 75% likely to occur, before revenue can be recognized. Probability estimates hinge upon the management’s assessment of a customer’s financial ability to pay, credit history or past history of payments, and intent to pay. If there is uncertainty regarding the ability of collecting potential revenue in accordance with the terms of a credit agreement at the time of a sale, it may be appropriate to defer revenue recognition or apply a constraint against revenue recognition until payment is received from the customer. Since we have a concentration in our customer base, management carefully assesses the probability of collection from each customer at the time of sale.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Valuation of Accounts Receivable</w:t>
      </w:r>
    </w:p>
    <w:p>
      <w:pPr>
        <w:spacing w:after="0" w:line="256" w:lineRule="exact"/>
        <w:rPr>
          <w:sz w:val="20"/>
          <w:szCs w:val="20"/>
          <w:color w:val="auto"/>
        </w:rPr>
      </w:pPr>
    </w:p>
    <w:p>
      <w:pPr>
        <w:jc w:val="both"/>
        <w:ind w:right="560"/>
        <w:spacing w:after="0" w:line="266" w:lineRule="auto"/>
        <w:rPr>
          <w:sz w:val="20"/>
          <w:szCs w:val="20"/>
          <w:color w:val="auto"/>
        </w:rPr>
      </w:pPr>
      <w:r>
        <w:rPr>
          <w:rFonts w:ascii="Times New Roman" w:cs="Times New Roman" w:eastAsia="Times New Roman" w:hAnsi="Times New Roman"/>
          <w:sz w:val="18"/>
          <w:szCs w:val="18"/>
          <w:color w:val="auto"/>
        </w:rPr>
        <w:t>The “current expected credit loss” accounting standard, or “CECL” is the accounting model that is used to measure the valuation of trade accounts receivable. Estimates of expected credit losses on trade receivables are required to be recorded at inception, based on historical information, current conditions, and reasonable and supportable forecasts.</w:t>
      </w:r>
    </w:p>
    <w:p>
      <w:pPr>
        <w:spacing w:after="0" w:line="20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Management makes complex judgments about future economic conditions, borrower creditworthiness, and historical loss experience. Our customer base is highly concentrated, and many of our customers have limited or no established credit history. As a result, the estimation of expected credit losses involves significant judgment and is subject to a high degree of uncertainty.</w:t>
      </w:r>
    </w:p>
    <w:p>
      <w:pPr>
        <w:spacing w:after="0" w:line="203"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The allowance for credit losses is particularly sensitive to changes in the financial condition or payment behavior of individual customers. A default by a single significant customer could have a material impact on our results of operations and financial position. We regularly review and update our estimates as new information becomes available and as economic conditions evolve.</w:t>
      </w:r>
    </w:p>
    <w:p>
      <w:pPr>
        <w:spacing w:after="0" w:line="203"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Given the inherent limitations in the available data and the significant judgment required, actual credit losses may differ materially from our estimates. We believe our approach is reasonable and appropriate given the unique characteristics of our customer base, and we continue to refine our methodology as more information becomes available.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Realizable Value of Inventories</w:t>
      </w:r>
    </w:p>
    <w:p>
      <w:pPr>
        <w:spacing w:after="0" w:line="25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determination of the net realizable value (“NRV”) of inventory is a critical accounting estimate that requires management judgment. Inventories are stated at the lower of cost or NRV. Cost is determined using the first-in, first-out method. NRV represents the estimated selling price in the ordinary course of business, less reasonably predictable costs of completion, disposal, and transportation.</w:t>
      </w:r>
    </w:p>
    <w:p>
      <w:pPr>
        <w:spacing w:after="0" w:line="203"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Management regularly reviews inventory quantities on hand and compares these amounts to forecasted demand, historical usage, and market conditions to identify excess, slow-moving, obsolete, or otherwise impaired items. When indicators are present that the cost of the inventory exceeds its NRV, we record a write-down. These estimates inherently involve significant judgment, particularly in assessing future demand and technological changes.</w:t>
      </w:r>
    </w:p>
    <w:p>
      <w:pPr>
        <w:spacing w:after="0" w:line="203"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Changes in assumptions or market conditions could materially affect the carrying value of our inventory. Once recorded, write-downs to NRV establish a new cost basis and are not subsequently reversed.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200"/>
          </w:cols>
          <w:pgMar w:left="320" w:top="1417" w:right="379" w:bottom="1440" w:gutter="0" w:footer="0" w:header="0"/>
        </w:sectPr>
      </w:pPr>
    </w:p>
    <w:bookmarkStart w:id="55" w:name="page56"/>
    <w:bookmarkEnd w:id="55"/>
    <w:p>
      <w:pPr>
        <w:ind w:right="280"/>
        <w:spacing w:after="0" w:line="282" w:lineRule="auto"/>
        <w:rPr>
          <w:sz w:val="20"/>
          <w:szCs w:val="20"/>
          <w:color w:val="auto"/>
        </w:rPr>
      </w:pPr>
      <w:r>
        <w:rPr>
          <w:rFonts w:ascii="Times New Roman" w:cs="Times New Roman" w:eastAsia="Times New Roman" w:hAnsi="Times New Roman"/>
          <w:sz w:val="18"/>
          <w:szCs w:val="18"/>
          <w:color w:val="auto"/>
        </w:rPr>
        <w:t>Management believes the assumptions and methodologies used in estimating NRV are reasonable and consistent with industry practice; however, actual results may differ materially from these estimates, which could have a significant impact on our results of operations and financial condition.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Classification of Complex Financial Instruments</w:t>
      </w:r>
    </w:p>
    <w:p>
      <w:pPr>
        <w:spacing w:after="0" w:line="256"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Our financial statements include various instruments with characteristics of both debt and equity, currently including the Committed Equity Facility, earnout shares, warrants trading under the ticker symbol “BZAIW”, and the Polar warrants, and historically have included convertible notes, redeemable preferred stock, and legacy warrants. The determination of whether these instruments should be classified as liabilities or equity requires significant judgment and the application of complex accounting guidance under ASC 480 — “Distinguishing Liabilities from Equity,” and ASC 815 — “Derivatives and Hedging”.</w:t>
      </w:r>
    </w:p>
    <w:p>
      <w:pPr>
        <w:spacing w:after="0" w:line="21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Management evaluates the specific terms and features of each instrument, including redemption provisions, conversion features, participation rights, and contingencies that could require cash settlement. Instruments that contain certain cash settlement features are generally classified as liabilities and recorded at fair value, with changes in fair value recognized through earnings. Instruments that are not mandatorily redeemable for cash and that meet the criteria for equity classification are recorded in equity.</w:t>
      </w:r>
    </w:p>
    <w:p>
      <w:pPr>
        <w:spacing w:after="0" w:line="20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Determining the appropriate classification requires assessing the likelihood and timing of redemption or conversion events, evaluating embedded derivative features where an instrument embedded in a contract is issued for nominal or no apparent consideration, along with the essential characteristics inherent in a derivative instrument of a notional amount, an underlying security, and a mechanism for net settlement, and estimating fair values where bifurcation is required. These assessments rely on market-based assumptions, volatility estimates, discount rates, and, in certain cases, management’s expectations regarding future financing and settlement outcomes. Because these judgments involve estimates that are inherently uncertain, subsequent changes in facts or circumstances could materially impact the classification and measurement of these instruments.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Valuation of Financial Instruments</w:t>
      </w:r>
    </w:p>
    <w:p>
      <w:pPr>
        <w:spacing w:after="0" w:line="25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Valuation of any financial instrument depends on the underlying characteristics of the instrument, which generally dictate the valuation model to be used. Currently outstanding instruments subject to valuation include the earnout shares, stock options, and the Polar warrants. Previously outstanding instruments subject to valuation have included the Committed Equity Facility, convertible notes and previously outstanding warrants.</w:t>
      </w:r>
    </w:p>
    <w:p>
      <w:pPr>
        <w:spacing w:after="0" w:line="203"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earnout shares are valued on a quarterly basis using a Monte Carlo simulation model. This methodology captures the probabilistic nature of mechanisms for our future exercise of the instrument, share price volatility, and contractual constraints, providing a reasonable estimate of the put option’s expected economic benefit over its remaining term. Monte Carlo simulation is a numerical method used to estimate the value of uncertain outcomes by repeatedly generating random variables to mimic the behavior of a stochastic (i.e., random) process.</w:t>
      </w:r>
    </w:p>
    <w:p>
      <w:pPr>
        <w:spacing w:after="0" w:line="207"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The fair value of stock options granted is determined using the Black-Scholes-Merton (“Black-Scholes”) option pricing model using various inputs, including management’s estimates of expected share price volatility, term, risk-free rate and future dividends. We have elected the simplified method to determine the expected term of the option grants.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 of the Polar warrants is determined using the Black-Scholes option pricing model as described above.</w:t>
      </w:r>
    </w:p>
    <w:p>
      <w:pPr>
        <w:spacing w:after="0" w:line="252"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 fair value of the put option embedded in the Committed Equity Facility at its inception was determined using a Monte Carlo simulation model, as described above. As of December 31, 2025, the fair value of this put option was deemed to be de minimis and was therefore written down to zero.</w:t>
      </w:r>
    </w:p>
    <w:p>
      <w:pPr>
        <w:spacing w:after="0" w:line="189"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The fair value of the forward contract embedded in the Committed Equity Facility at each point of issuance of our common stock to B. Riley is the difference between a volume-weighted average purchase price and the settlement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220"/>
          </w:cols>
          <w:pgMar w:left="320" w:top="1417" w:right="359" w:bottom="1440" w:gutter="0" w:footer="0" w:header="0"/>
        </w:sectPr>
      </w:pPr>
    </w:p>
    <w:bookmarkStart w:id="56" w:name="page57"/>
    <w:bookmarkEnd w:id="56"/>
    <w:p>
      <w:pPr>
        <w:spacing w:after="0" w:line="282" w:lineRule="auto"/>
        <w:rPr>
          <w:sz w:val="20"/>
          <w:szCs w:val="20"/>
          <w:color w:val="auto"/>
        </w:rPr>
      </w:pPr>
      <w:r>
        <w:rPr>
          <w:rFonts w:ascii="Times New Roman" w:cs="Times New Roman" w:eastAsia="Times New Roman" w:hAnsi="Times New Roman"/>
          <w:sz w:val="18"/>
          <w:szCs w:val="18"/>
          <w:color w:val="auto"/>
        </w:rPr>
        <w:t>date closing share price of our common stock. The embedded derivative of the forward contract does not involve a complex valuation model. The fair value of this forward contract as of December 31, 2025 was de minimis.</w:t>
      </w:r>
    </w:p>
    <w:p>
      <w:pPr>
        <w:spacing w:after="0" w:line="189"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Our previous issuance of legacy warrants was recorded at estimated fair value calculated using the Black-Scholes option pricing model as described above; wherein, depending on the terms of the legacy warrants, certain parameters within the Black-Scholes option pricing model were required to be determined using a Monte Carlo simulation model, as described above.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previous issuance of convertible notes was valued at an assumed market price, and did not involve a complex valuation model.</w:t>
      </w:r>
    </w:p>
    <w:p>
      <w:pPr>
        <w:spacing w:after="0" w:line="252"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value of our pre-Merger stock-based compensation awards was determined based on the estimated fair value of shares of common stock at the date of grant, as determined by the Board of Directors, and did not involve a complex valuation model.</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smaller reporting company, we are not required to provide this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220"/>
          </w:cols>
          <w:pgMar w:left="320" w:top="1417" w:right="359"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238"/>
        </w:trPr>
        <w:tc>
          <w:tcPr>
            <w:tcW w:w="10020" w:type="dxa"/>
            <w:vAlign w:val="bottom"/>
            <w:gridSpan w:val="20"/>
          </w:tcPr>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459"/>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0" w:type="dxa"/>
            <w:vAlign w:val="bottom"/>
            <w:gridSpan w:val="11"/>
          </w:tcPr>
          <w:p>
            <w:pPr>
              <w:ind w:left="60"/>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499"/>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2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7"/>
              </w:rPr>
              <w:t>Page</w:t>
            </w:r>
          </w:p>
        </w:tc>
      </w:tr>
      <w:tr>
        <w:trPr>
          <w:trHeight w:val="182"/>
        </w:trPr>
        <w:tc>
          <w:tcPr>
            <w:tcW w:w="20" w:type="dxa"/>
            <w:vAlign w:val="bottom"/>
          </w:tcPr>
          <w:p>
            <w:pPr>
              <w:spacing w:after="0"/>
              <w:rPr>
                <w:sz w:val="15"/>
                <w:szCs w:val="15"/>
                <w:color w:val="auto"/>
              </w:rPr>
            </w:pPr>
          </w:p>
        </w:tc>
        <w:tc>
          <w:tcPr>
            <w:tcW w:w="4320" w:type="dxa"/>
            <w:vAlign w:val="bottom"/>
            <w:tcBorders>
              <w:bottom w:val="single" w:sz="8" w:color="0000FF"/>
            </w:tcBorders>
            <w:gridSpan w:val="12"/>
          </w:tcPr>
          <w:p>
            <w:pPr>
              <w:spacing w:after="0" w:line="163" w:lineRule="exact"/>
              <w:rPr>
                <w:sz w:val="20"/>
                <w:szCs w:val="20"/>
                <w:color w:val="auto"/>
              </w:rPr>
            </w:pPr>
            <w:r>
              <w:rPr>
                <w:rFonts w:ascii="Times New Roman" w:cs="Times New Roman" w:eastAsia="Times New Roman" w:hAnsi="Times New Roman"/>
                <w:sz w:val="18"/>
                <w:szCs w:val="18"/>
                <w:color w:val="0000FF"/>
              </w:rPr>
              <w:t>Report of Independent Registered Public Accounting Firm</w:t>
            </w:r>
          </w:p>
        </w:tc>
        <w:tc>
          <w:tcPr>
            <w:tcW w:w="5680" w:type="dxa"/>
            <w:vAlign w:val="bottom"/>
            <w:gridSpan w:val="7"/>
          </w:tcPr>
          <w:p>
            <w:pPr>
              <w:spacing w:after="0" w:line="176" w:lineRule="exact"/>
              <w:rPr>
                <w:sz w:val="20"/>
                <w:szCs w:val="20"/>
                <w:color w:val="auto"/>
              </w:rPr>
            </w:pPr>
            <w:r>
              <w:rPr>
                <w:rFonts w:ascii="Times New Roman" w:cs="Times New Roman" w:eastAsia="Times New Roman" w:hAnsi="Times New Roman"/>
                <w:sz w:val="18"/>
                <w:szCs w:val="18"/>
                <w:color w:val="auto"/>
              </w:rPr>
              <w:t>(PCAOB ID 1195)</w:t>
            </w:r>
          </w:p>
        </w:tc>
        <w:tc>
          <w:tcPr>
            <w:tcW w:w="1220" w:type="dxa"/>
            <w:vAlign w:val="bottom"/>
            <w:gridSpan w:val="3"/>
          </w:tcPr>
          <w:p>
            <w:pPr>
              <w:jc w:val="center"/>
              <w:spacing w:after="0" w:line="182" w:lineRule="exact"/>
              <w:rPr>
                <w:sz w:val="20"/>
                <w:szCs w:val="20"/>
                <w:color w:val="auto"/>
              </w:rPr>
            </w:pPr>
            <w:r>
              <w:rPr>
                <w:rFonts w:ascii="Times New Roman" w:cs="Times New Roman" w:eastAsia="Times New Roman" w:hAnsi="Times New Roman"/>
                <w:sz w:val="18"/>
                <w:szCs w:val="18"/>
                <w:color w:val="0000FF"/>
                <w:w w:val="99"/>
              </w:rPr>
              <w:t>55</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20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7"/>
              </w:rPr>
              <w:t>Consolidated Balance Sheets</w:t>
            </w:r>
          </w:p>
        </w:tc>
        <w:tc>
          <w:tcPr>
            <w:tcW w:w="7920" w:type="dxa"/>
            <w:vAlign w:val="bottom"/>
            <w:gridSpan w:val="17"/>
          </w:tcPr>
          <w:p>
            <w:pPr>
              <w:spacing w:after="0"/>
              <w:rPr>
                <w:sz w:val="17"/>
                <w:szCs w:val="17"/>
                <w:color w:val="auto"/>
              </w:rPr>
            </w:pPr>
          </w:p>
        </w:tc>
        <w:tc>
          <w:tcPr>
            <w:tcW w:w="520" w:type="dxa"/>
            <w:vAlign w:val="bottom"/>
          </w:tcPr>
          <w:p>
            <w:pPr>
              <w:spacing w:after="0"/>
              <w:rPr>
                <w:sz w:val="17"/>
                <w:szCs w:val="17"/>
                <w:color w:val="auto"/>
              </w:rPr>
            </w:pPr>
          </w:p>
        </w:tc>
        <w:tc>
          <w:tcPr>
            <w:tcW w:w="700" w:type="dxa"/>
            <w:vAlign w:val="bottom"/>
            <w:gridSpan w:val="2"/>
          </w:tcPr>
          <w:p>
            <w:pPr>
              <w:jc w:val="center"/>
              <w:ind w:right="520"/>
              <w:spacing w:after="0" w:line="196" w:lineRule="exact"/>
              <w:rPr>
                <w:sz w:val="20"/>
                <w:szCs w:val="20"/>
                <w:color w:val="auto"/>
              </w:rPr>
            </w:pPr>
            <w:r>
              <w:rPr>
                <w:rFonts w:ascii="Times New Roman" w:cs="Times New Roman" w:eastAsia="Times New Roman" w:hAnsi="Times New Roman"/>
                <w:sz w:val="18"/>
                <w:szCs w:val="18"/>
                <w:color w:val="0000FF"/>
                <w:w w:val="99"/>
              </w:rPr>
              <w:t>56</w:t>
            </w: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82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9"/>
              </w:rPr>
              <w:t>Consolidated Statements of Operations</w:t>
            </w:r>
          </w:p>
        </w:tc>
        <w:tc>
          <w:tcPr>
            <w:tcW w:w="7180" w:type="dxa"/>
            <w:vAlign w:val="bottom"/>
            <w:gridSpan w:val="15"/>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color w:val="0000FF"/>
                <w:w w:val="99"/>
              </w:rPr>
              <w:t>57</w:t>
            </w: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88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9"/>
              </w:rPr>
              <w:t>Consolidated Statements of Cash Flows</w:t>
            </w:r>
          </w:p>
        </w:tc>
        <w:tc>
          <w:tcPr>
            <w:tcW w:w="7120" w:type="dxa"/>
            <w:vAlign w:val="bottom"/>
            <w:gridSpan w:val="14"/>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color w:val="0000FF"/>
                <w:w w:val="99"/>
              </w:rPr>
              <w:t>59</w:t>
            </w: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tcBorders>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00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Consolidated Statements of Changes in Stockholders’ Equity (Deficit)</w:t>
            </w:r>
          </w:p>
        </w:tc>
        <w:tc>
          <w:tcPr>
            <w:tcW w:w="12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58</w:t>
            </w:r>
          </w:p>
        </w:tc>
      </w:tr>
      <w:tr>
        <w:trPr>
          <w:trHeight w:val="210"/>
        </w:trPr>
        <w:tc>
          <w:tcPr>
            <w:tcW w:w="20" w:type="dxa"/>
            <w:vAlign w:val="bottom"/>
          </w:tcPr>
          <w:p>
            <w:pPr>
              <w:spacing w:after="0"/>
              <w:rPr>
                <w:sz w:val="18"/>
                <w:szCs w:val="18"/>
                <w:color w:val="auto"/>
              </w:rPr>
            </w:pPr>
          </w:p>
        </w:tc>
        <w:tc>
          <w:tcPr>
            <w:tcW w:w="3200" w:type="dxa"/>
            <w:vAlign w:val="bottom"/>
            <w:tcBorders>
              <w:top w:val="single" w:sz="8" w:color="0000FF"/>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1860" w:type="dxa"/>
            <w:vAlign w:val="bottom"/>
            <w:tcBorders>
              <w:top w:val="single" w:sz="8" w:color="0000FF"/>
            </w:tcBorders>
            <w:gridSpan w:val="8"/>
          </w:tcPr>
          <w:p>
            <w:pPr>
              <w:spacing w:after="0"/>
              <w:rPr>
                <w:sz w:val="18"/>
                <w:szCs w:val="18"/>
                <w:color w:val="auto"/>
              </w:rPr>
            </w:pPr>
          </w:p>
        </w:tc>
        <w:tc>
          <w:tcPr>
            <w:tcW w:w="4940" w:type="dxa"/>
            <w:vAlign w:val="bottom"/>
            <w:gridSpan w:val="3"/>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5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80" w:type="dxa"/>
            <w:vAlign w:val="bottom"/>
            <w:gridSpan w:val="18"/>
          </w:tcPr>
          <w:p>
            <w:pPr>
              <w:ind w:left="20"/>
              <w:spacing w:after="0"/>
              <w:rPr>
                <w:sz w:val="20"/>
                <w:szCs w:val="20"/>
                <w:color w:val="auto"/>
              </w:rPr>
            </w:pPr>
            <w:r>
              <w:rPr>
                <w:rFonts w:ascii="Times New Roman" w:cs="Times New Roman" w:eastAsia="Times New Roman" w:hAnsi="Times New Roman"/>
                <w:sz w:val="18"/>
                <w:szCs w:val="18"/>
                <w:color w:val="0000FF"/>
              </w:rPr>
              <w:t>Note 1 — Organization and Description of Business</w:t>
            </w:r>
          </w:p>
        </w:tc>
        <w:tc>
          <w:tcPr>
            <w:tcW w:w="12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61</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760" w:type="dxa"/>
            <w:vAlign w:val="bottom"/>
            <w:gridSpan w:val="10"/>
          </w:tcPr>
          <w:p>
            <w:pPr>
              <w:ind w:left="20"/>
              <w:spacing w:after="0"/>
              <w:rPr>
                <w:sz w:val="20"/>
                <w:szCs w:val="20"/>
                <w:color w:val="auto"/>
              </w:rPr>
            </w:pPr>
            <w:r>
              <w:rPr>
                <w:rFonts w:ascii="Times New Roman" w:cs="Times New Roman" w:eastAsia="Times New Roman" w:hAnsi="Times New Roman"/>
                <w:sz w:val="18"/>
                <w:szCs w:val="18"/>
                <w:color w:val="0000FF"/>
              </w:rPr>
              <w:t>Note 2 — Liquidity and Going Concern</w:t>
            </w:r>
          </w:p>
        </w:tc>
        <w:tc>
          <w:tcPr>
            <w:tcW w:w="5920" w:type="dxa"/>
            <w:vAlign w:val="bottom"/>
            <w:gridSpan w:val="8"/>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color w:val="0000FF"/>
                <w:w w:val="99"/>
              </w:rPr>
              <w:t>62</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0" w:type="dxa"/>
            <w:vAlign w:val="bottom"/>
            <w:gridSpan w:val="11"/>
          </w:tcPr>
          <w:p>
            <w:pPr>
              <w:ind w:left="20"/>
              <w:spacing w:after="0"/>
              <w:rPr>
                <w:sz w:val="20"/>
                <w:szCs w:val="20"/>
                <w:color w:val="auto"/>
              </w:rPr>
            </w:pPr>
            <w:r>
              <w:rPr>
                <w:rFonts w:ascii="Times New Roman" w:cs="Times New Roman" w:eastAsia="Times New Roman" w:hAnsi="Times New Roman"/>
                <w:sz w:val="18"/>
                <w:szCs w:val="18"/>
                <w:color w:val="0000FF"/>
                <w:w w:val="98"/>
              </w:rPr>
              <w:t>Note 3 — Summary of Significant Accounting Policies</w:t>
            </w:r>
          </w:p>
        </w:tc>
        <w:tc>
          <w:tcPr>
            <w:tcW w:w="5680" w:type="dxa"/>
            <w:vAlign w:val="bottom"/>
            <w:gridSpan w:val="7"/>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color w:val="0000FF"/>
                <w:w w:val="99"/>
              </w:rPr>
              <w:t>63</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60" w:type="dxa"/>
            <w:vAlign w:val="bottom"/>
            <w:gridSpan w:val="8"/>
          </w:tcPr>
          <w:p>
            <w:pPr>
              <w:ind w:left="20"/>
              <w:spacing w:after="0"/>
              <w:rPr>
                <w:sz w:val="20"/>
                <w:szCs w:val="20"/>
                <w:color w:val="auto"/>
              </w:rPr>
            </w:pPr>
            <w:r>
              <w:rPr>
                <w:rFonts w:ascii="Times New Roman" w:cs="Times New Roman" w:eastAsia="Times New Roman" w:hAnsi="Times New Roman"/>
                <w:sz w:val="18"/>
                <w:szCs w:val="18"/>
                <w:color w:val="0000FF"/>
                <w:w w:val="98"/>
              </w:rPr>
              <w:t>Note 4 — Revenue and Accounts Receivable</w:t>
            </w:r>
          </w:p>
        </w:tc>
        <w:tc>
          <w:tcPr>
            <w:tcW w:w="740" w:type="dxa"/>
            <w:vAlign w:val="bottom"/>
            <w:gridSpan w:val="3"/>
          </w:tcPr>
          <w:p>
            <w:pPr>
              <w:spacing w:after="0"/>
              <w:rPr>
                <w:sz w:val="18"/>
                <w:szCs w:val="18"/>
                <w:color w:val="auto"/>
              </w:rPr>
            </w:pPr>
          </w:p>
        </w:tc>
        <w:tc>
          <w:tcPr>
            <w:tcW w:w="5680" w:type="dxa"/>
            <w:vAlign w:val="bottom"/>
            <w:gridSpan w:val="7"/>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color w:val="0000FF"/>
                <w:w w:val="99"/>
              </w:rPr>
              <w:t>70</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tcBorders>
              <w:left w:val="single" w:sz="8" w:color="0000FF"/>
            </w:tcBorders>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80" w:type="dxa"/>
            <w:vAlign w:val="bottom"/>
            <w:gridSpan w:val="18"/>
          </w:tcPr>
          <w:p>
            <w:pPr>
              <w:ind w:left="20"/>
              <w:spacing w:after="0"/>
              <w:rPr>
                <w:sz w:val="20"/>
                <w:szCs w:val="20"/>
                <w:color w:val="auto"/>
              </w:rPr>
            </w:pPr>
            <w:r>
              <w:rPr>
                <w:rFonts w:ascii="Times New Roman" w:cs="Times New Roman" w:eastAsia="Times New Roman" w:hAnsi="Times New Roman"/>
                <w:sz w:val="18"/>
                <w:szCs w:val="18"/>
                <w:color w:val="0000FF"/>
              </w:rPr>
              <w:t>Note 5 — Fair Value Measurements and Derivative Instruments</w:t>
            </w:r>
          </w:p>
        </w:tc>
        <w:tc>
          <w:tcPr>
            <w:tcW w:w="12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72</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tcBorders>
              <w:left w:val="single" w:sz="8" w:color="0000FF"/>
            </w:tcBorders>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6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0000FF"/>
                <w:w w:val="99"/>
              </w:rPr>
              <w:t>Note 6 — Financial Statement Details</w:t>
            </w:r>
          </w:p>
        </w:tc>
        <w:tc>
          <w:tcPr>
            <w:tcW w:w="1840" w:type="dxa"/>
            <w:vAlign w:val="bottom"/>
            <w:gridSpan w:val="9"/>
          </w:tcPr>
          <w:p>
            <w:pPr>
              <w:spacing w:after="0"/>
              <w:rPr>
                <w:sz w:val="18"/>
                <w:szCs w:val="18"/>
                <w:color w:val="auto"/>
              </w:rPr>
            </w:pPr>
          </w:p>
        </w:tc>
        <w:tc>
          <w:tcPr>
            <w:tcW w:w="5080" w:type="dxa"/>
            <w:vAlign w:val="bottom"/>
            <w:gridSpan w:val="4"/>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color w:val="0000FF"/>
                <w:w w:val="99"/>
              </w:rPr>
              <w:t>76</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tcBorders>
              <w:left w:val="single" w:sz="8" w:color="0000FF"/>
            </w:tcBorders>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6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0000FF"/>
              </w:rPr>
              <w:t>Note 7 — Income Taxes</w:t>
            </w:r>
          </w:p>
        </w:tc>
        <w:tc>
          <w:tcPr>
            <w:tcW w:w="6920" w:type="dxa"/>
            <w:vAlign w:val="bottom"/>
            <w:gridSpan w:val="13"/>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color w:val="0000FF"/>
                <w:w w:val="99"/>
              </w:rPr>
              <w:t>77</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80" w:type="dxa"/>
            <w:vAlign w:val="bottom"/>
            <w:gridSpan w:val="18"/>
          </w:tcPr>
          <w:p>
            <w:pPr>
              <w:ind w:left="20"/>
              <w:spacing w:after="0"/>
              <w:rPr>
                <w:sz w:val="20"/>
                <w:szCs w:val="20"/>
                <w:color w:val="auto"/>
              </w:rPr>
            </w:pPr>
            <w:r>
              <w:rPr>
                <w:rFonts w:ascii="Times New Roman" w:cs="Times New Roman" w:eastAsia="Times New Roman" w:hAnsi="Times New Roman"/>
                <w:sz w:val="18"/>
                <w:szCs w:val="18"/>
                <w:color w:val="0000FF"/>
              </w:rPr>
              <w:t>Note 8 — Leases and Geographic Location of ROU Assets</w:t>
            </w:r>
          </w:p>
        </w:tc>
        <w:tc>
          <w:tcPr>
            <w:tcW w:w="12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80</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20" w:type="dxa"/>
            <w:vAlign w:val="bottom"/>
            <w:gridSpan w:val="2"/>
            <w:shd w:val="clear" w:color="auto" w:fill="0000FF"/>
          </w:tcPr>
          <w:p>
            <w:pPr>
              <w:spacing w:after="0" w:line="20" w:lineRule="exact"/>
              <w:rPr>
                <w:sz w:val="1"/>
                <w:szCs w:val="1"/>
                <w:color w:val="auto"/>
              </w:rPr>
            </w:pPr>
          </w:p>
        </w:tc>
        <w:tc>
          <w:tcPr>
            <w:tcW w:w="620" w:type="dxa"/>
            <w:vAlign w:val="bottom"/>
            <w:tcBorders>
              <w:left w:val="single" w:sz="8" w:color="0000FF"/>
            </w:tcBorders>
            <w:gridSpan w:val="4"/>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960" w:type="dxa"/>
            <w:vAlign w:val="bottom"/>
            <w:gridSpan w:val="16"/>
          </w:tcPr>
          <w:p>
            <w:pPr>
              <w:ind w:left="20"/>
              <w:spacing w:after="0"/>
              <w:rPr>
                <w:sz w:val="20"/>
                <w:szCs w:val="20"/>
                <w:color w:val="auto"/>
              </w:rPr>
            </w:pPr>
            <w:r>
              <w:rPr>
                <w:rFonts w:ascii="Times New Roman" w:cs="Times New Roman" w:eastAsia="Times New Roman" w:hAnsi="Times New Roman"/>
                <w:sz w:val="18"/>
                <w:szCs w:val="18"/>
                <w:color w:val="0000FF"/>
                <w:w w:val="99"/>
              </w:rPr>
              <w:t>Note 9 — Property and Equipment Details and Geographic Location</w:t>
            </w:r>
          </w:p>
        </w:tc>
        <w:tc>
          <w:tcPr>
            <w:tcW w:w="4720" w:type="dxa"/>
            <w:vAlign w:val="bottom"/>
            <w:gridSpan w:val="2"/>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color w:val="0000FF"/>
                <w:w w:val="99"/>
              </w:rPr>
              <w:t>81</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960" w:type="dxa"/>
            <w:vAlign w:val="bottom"/>
            <w:gridSpan w:val="16"/>
          </w:tcPr>
          <w:p>
            <w:pPr>
              <w:ind w:left="20"/>
              <w:spacing w:after="0"/>
              <w:rPr>
                <w:sz w:val="20"/>
                <w:szCs w:val="20"/>
                <w:color w:val="auto"/>
              </w:rPr>
            </w:pPr>
            <w:r>
              <w:rPr>
                <w:rFonts w:ascii="Times New Roman" w:cs="Times New Roman" w:eastAsia="Times New Roman" w:hAnsi="Times New Roman"/>
                <w:sz w:val="18"/>
                <w:szCs w:val="18"/>
                <w:color w:val="0000FF"/>
              </w:rPr>
              <w:t>Note 10 — Financial Instruments Existing Prior to the Merger</w:t>
            </w:r>
          </w:p>
        </w:tc>
        <w:tc>
          <w:tcPr>
            <w:tcW w:w="4720" w:type="dxa"/>
            <w:vAlign w:val="bottom"/>
            <w:gridSpan w:val="2"/>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color w:val="0000FF"/>
                <w:w w:val="99"/>
              </w:rPr>
              <w:t>82</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80" w:type="dxa"/>
            <w:vAlign w:val="bottom"/>
            <w:gridSpan w:val="18"/>
          </w:tcPr>
          <w:p>
            <w:pPr>
              <w:ind w:left="20"/>
              <w:spacing w:after="0"/>
              <w:rPr>
                <w:sz w:val="20"/>
                <w:szCs w:val="20"/>
                <w:color w:val="auto"/>
              </w:rPr>
            </w:pPr>
            <w:r>
              <w:rPr>
                <w:rFonts w:ascii="Times New Roman" w:cs="Times New Roman" w:eastAsia="Times New Roman" w:hAnsi="Times New Roman"/>
                <w:sz w:val="18"/>
                <w:szCs w:val="18"/>
                <w:color w:val="0000FF"/>
              </w:rPr>
              <w:t>Note 11 — Common Stock, Currently Outstanding Warrants to Purchase Common Stock, and Earnout Shares</w:t>
            </w:r>
          </w:p>
        </w:tc>
        <w:tc>
          <w:tcPr>
            <w:tcW w:w="12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83</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940" w:type="dxa"/>
            <w:vAlign w:val="bottom"/>
            <w:shd w:val="clear" w:color="auto" w:fill="0000FF"/>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4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0000FF"/>
                <w:w w:val="99"/>
              </w:rPr>
              <w:t>Note 12 — Stock Based Compensation</w:t>
            </w:r>
          </w:p>
        </w:tc>
        <w:tc>
          <w:tcPr>
            <w:tcW w:w="5060" w:type="dxa"/>
            <w:vAlign w:val="bottom"/>
            <w:gridSpan w:val="11"/>
          </w:tcPr>
          <w:p>
            <w:pPr>
              <w:spacing w:after="0"/>
              <w:rPr>
                <w:sz w:val="18"/>
                <w:szCs w:val="18"/>
                <w:color w:val="auto"/>
              </w:rPr>
            </w:pPr>
          </w:p>
        </w:tc>
        <w:tc>
          <w:tcPr>
            <w:tcW w:w="1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color w:val="0000FF"/>
                <w:w w:val="99"/>
              </w:rPr>
              <w:t>87</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20" w:type="dxa"/>
            <w:vAlign w:val="bottom"/>
            <w:gridSpan w:val="2"/>
            <w:shd w:val="clear" w:color="auto" w:fill="0000FF"/>
          </w:tcPr>
          <w:p>
            <w:pPr>
              <w:spacing w:after="0" w:line="20" w:lineRule="exact"/>
              <w:rPr>
                <w:sz w:val="1"/>
                <w:szCs w:val="1"/>
                <w:color w:val="auto"/>
              </w:rPr>
            </w:pPr>
          </w:p>
        </w:tc>
        <w:tc>
          <w:tcPr>
            <w:tcW w:w="620" w:type="dxa"/>
            <w:vAlign w:val="bottom"/>
            <w:tcBorders>
              <w:left w:val="single" w:sz="8" w:color="0000FF"/>
            </w:tcBorders>
            <w:gridSpan w:val="4"/>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920" w:type="dxa"/>
            <w:vAlign w:val="bottom"/>
            <w:gridSpan w:val="8"/>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0" w:type="dxa"/>
            <w:vAlign w:val="bottom"/>
            <w:gridSpan w:val="9"/>
          </w:tcPr>
          <w:p>
            <w:pPr>
              <w:ind w:left="20"/>
              <w:spacing w:after="0"/>
              <w:rPr>
                <w:sz w:val="20"/>
                <w:szCs w:val="20"/>
                <w:color w:val="auto"/>
              </w:rPr>
            </w:pPr>
            <w:r>
              <w:rPr>
                <w:rFonts w:ascii="Times New Roman" w:cs="Times New Roman" w:eastAsia="Times New Roman" w:hAnsi="Times New Roman"/>
                <w:sz w:val="18"/>
                <w:szCs w:val="18"/>
                <w:color w:val="0000FF"/>
                <w:w w:val="99"/>
              </w:rPr>
              <w:t>Note 13 — Net Loss per Share of Common Stock</w:t>
            </w:r>
          </w:p>
        </w:tc>
        <w:tc>
          <w:tcPr>
            <w:tcW w:w="6080" w:type="dxa"/>
            <w:vAlign w:val="bottom"/>
            <w:gridSpan w:val="9"/>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color w:val="0000FF"/>
                <w:w w:val="99"/>
              </w:rPr>
              <w:t>90</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20" w:type="dxa"/>
            <w:vAlign w:val="bottom"/>
            <w:gridSpan w:val="2"/>
            <w:shd w:val="clear" w:color="auto" w:fill="0000FF"/>
          </w:tcPr>
          <w:p>
            <w:pPr>
              <w:spacing w:after="0" w:line="20" w:lineRule="exact"/>
              <w:rPr>
                <w:sz w:val="1"/>
                <w:szCs w:val="1"/>
                <w:color w:val="auto"/>
              </w:rPr>
            </w:pPr>
          </w:p>
        </w:tc>
        <w:tc>
          <w:tcPr>
            <w:tcW w:w="1040" w:type="dxa"/>
            <w:vAlign w:val="bottom"/>
            <w:tcBorders>
              <w:left w:val="single" w:sz="8" w:color="0000FF"/>
            </w:tcBorders>
            <w:gridSpan w:val="6"/>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920" w:type="dxa"/>
            <w:vAlign w:val="bottom"/>
            <w:gridSpan w:val="8"/>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0" w:type="dxa"/>
            <w:vAlign w:val="bottom"/>
            <w:gridSpan w:val="9"/>
          </w:tcPr>
          <w:p>
            <w:pPr>
              <w:ind w:left="20"/>
              <w:spacing w:after="0"/>
              <w:rPr>
                <w:sz w:val="20"/>
                <w:szCs w:val="20"/>
                <w:color w:val="auto"/>
              </w:rPr>
            </w:pPr>
            <w:r>
              <w:rPr>
                <w:rFonts w:ascii="Times New Roman" w:cs="Times New Roman" w:eastAsia="Times New Roman" w:hAnsi="Times New Roman"/>
                <w:sz w:val="18"/>
                <w:szCs w:val="18"/>
                <w:color w:val="0000FF"/>
              </w:rPr>
              <w:t>Note 14 — Segment Reporting</w:t>
            </w:r>
          </w:p>
        </w:tc>
        <w:tc>
          <w:tcPr>
            <w:tcW w:w="6080" w:type="dxa"/>
            <w:vAlign w:val="bottom"/>
            <w:gridSpan w:val="9"/>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color w:val="0000FF"/>
                <w:w w:val="99"/>
              </w:rPr>
              <w:t>91</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80" w:type="dxa"/>
            <w:vAlign w:val="bottom"/>
            <w:gridSpan w:val="18"/>
          </w:tcPr>
          <w:p>
            <w:pPr>
              <w:ind w:left="20"/>
              <w:spacing w:after="0"/>
              <w:rPr>
                <w:sz w:val="20"/>
                <w:szCs w:val="20"/>
                <w:color w:val="auto"/>
              </w:rPr>
            </w:pPr>
            <w:r>
              <w:rPr>
                <w:rFonts w:ascii="Times New Roman" w:cs="Times New Roman" w:eastAsia="Times New Roman" w:hAnsi="Times New Roman"/>
                <w:sz w:val="18"/>
                <w:szCs w:val="18"/>
                <w:color w:val="0000FF"/>
              </w:rPr>
              <w:t>Note 15 — Related Party Transactions and Balances</w:t>
            </w:r>
          </w:p>
        </w:tc>
        <w:tc>
          <w:tcPr>
            <w:tcW w:w="12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92</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60" w:type="dxa"/>
            <w:vAlign w:val="bottom"/>
            <w:gridSpan w:val="8"/>
          </w:tcPr>
          <w:p>
            <w:pPr>
              <w:ind w:left="20"/>
              <w:spacing w:after="0"/>
              <w:rPr>
                <w:sz w:val="20"/>
                <w:szCs w:val="20"/>
                <w:color w:val="auto"/>
              </w:rPr>
            </w:pPr>
            <w:r>
              <w:rPr>
                <w:rFonts w:ascii="Times New Roman" w:cs="Times New Roman" w:eastAsia="Times New Roman" w:hAnsi="Times New Roman"/>
                <w:sz w:val="18"/>
                <w:szCs w:val="18"/>
                <w:color w:val="0000FF"/>
                <w:w w:val="98"/>
              </w:rPr>
              <w:t>Note 16 — Commitments and Contingencies</w:t>
            </w:r>
          </w:p>
        </w:tc>
        <w:tc>
          <w:tcPr>
            <w:tcW w:w="500" w:type="dxa"/>
            <w:vAlign w:val="bottom"/>
            <w:gridSpan w:val="2"/>
          </w:tcPr>
          <w:p>
            <w:pPr>
              <w:spacing w:after="0"/>
              <w:rPr>
                <w:sz w:val="18"/>
                <w:szCs w:val="18"/>
                <w:color w:val="auto"/>
              </w:rPr>
            </w:pPr>
          </w:p>
        </w:tc>
        <w:tc>
          <w:tcPr>
            <w:tcW w:w="5920" w:type="dxa"/>
            <w:vAlign w:val="bottom"/>
            <w:gridSpan w:val="8"/>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color w:val="0000FF"/>
                <w:w w:val="99"/>
              </w:rPr>
              <w:t>94</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20" w:type="dxa"/>
            <w:vAlign w:val="bottom"/>
            <w:gridSpan w:val="2"/>
            <w:shd w:val="clear" w:color="auto" w:fill="0000FF"/>
          </w:tcPr>
          <w:p>
            <w:pPr>
              <w:spacing w:after="0" w:line="20" w:lineRule="exact"/>
              <w:rPr>
                <w:sz w:val="1"/>
                <w:szCs w:val="1"/>
                <w:color w:val="auto"/>
              </w:rPr>
            </w:pPr>
          </w:p>
        </w:tc>
        <w:tc>
          <w:tcPr>
            <w:tcW w:w="1040" w:type="dxa"/>
            <w:vAlign w:val="bottom"/>
            <w:tcBorders>
              <w:left w:val="single" w:sz="8" w:color="0000FF"/>
            </w:tcBorders>
            <w:gridSpan w:val="6"/>
            <w:shd w:val="clear" w:color="auto" w:fill="0000FF"/>
          </w:tcPr>
          <w:p>
            <w:pPr>
              <w:spacing w:after="0" w:line="20" w:lineRule="exact"/>
              <w:rPr>
                <w:sz w:val="1"/>
                <w:szCs w:val="1"/>
                <w:color w:val="auto"/>
              </w:rPr>
            </w:pPr>
          </w:p>
        </w:tc>
        <w:tc>
          <w:tcPr>
            <w:tcW w:w="6420" w:type="dxa"/>
            <w:vAlign w:val="bottom"/>
            <w:gridSpan w:val="1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w w:val="97"/>
              </w:rPr>
              <w:t>Note 17 — Subsequent Events</w:t>
            </w:r>
          </w:p>
        </w:tc>
        <w:tc>
          <w:tcPr>
            <w:tcW w:w="1040" w:type="dxa"/>
            <w:vAlign w:val="bottom"/>
            <w:gridSpan w:val="6"/>
          </w:tcPr>
          <w:p>
            <w:pPr>
              <w:spacing w:after="0"/>
              <w:rPr>
                <w:sz w:val="18"/>
                <w:szCs w:val="18"/>
                <w:color w:val="auto"/>
              </w:rPr>
            </w:pPr>
          </w:p>
        </w:tc>
        <w:tc>
          <w:tcPr>
            <w:tcW w:w="6420" w:type="dxa"/>
            <w:vAlign w:val="bottom"/>
            <w:gridSpan w:val="10"/>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color w:val="0000FF"/>
                <w:w w:val="99"/>
              </w:rPr>
              <w:t>95</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240"/>
          </w:cols>
          <w:pgMar w:left="320" w:top="1413" w:right="339" w:bottom="1440" w:gutter="0" w:footer="0" w:header="0"/>
        </w:sectPr>
      </w:pPr>
    </w:p>
    <w:bookmarkStart w:id="58" w:name="page59"/>
    <w:bookmarkEnd w:id="58"/>
    <w:p>
      <w:pPr>
        <w:ind w:left="25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Stockholders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Blaize Holdings, Inc.</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56"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Blaize Holdings, Inc. (the “Company”) as of December 31, 2025 and 2024, and the related consolidated statements of operations, changes in stockholders’ equity (deficit), and cash flows for each of the years in the two-year period ended December 31, 2025, and the related notes thereto (collectively referred to as the “consolidated financial statements”). In our opinion, the consolidated financial statements present fairly, in all material respects, the financial position of the Company as of December 31, 2025 and 2024, and the results of its operations and its cash flows for each of the years in the two-year period ended December 31, 2025, in conformity with accounting principles generally accepted in the United States of America.</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Substantial Doubt about the Company’s Ability to Continue as a Going Concern</w:t>
      </w:r>
    </w:p>
    <w:p>
      <w:pPr>
        <w:spacing w:after="0" w:line="25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assuming that the Company will continue as a going concern. As more fully described in Note 2 to the consolidated financial statements, the Company has incurred recurring operating losses and negative cash flows from operations, has an accumulated deficit, and has historically relied on cash flows from financing activities to fund its operations. These conditions raise substantial doubt about its ability to continue as a going concern. Management’s plans regarding these matters are also described in Note 2. The consolidated financial statements do not include any adjustments that might result from the outcome of this uncertainty.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5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0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210"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2023.</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u w:val="single" w:color="auto"/>
          <w:color w:val="auto"/>
        </w:rPr>
        <w:t>UHY LLP</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Melville, New York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24,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200"/>
          </w:cols>
          <w:pgMar w:left="320" w:top="1413" w:right="379" w:bottom="1440" w:gutter="0" w:footer="0" w:header="0"/>
        </w:sectPr>
      </w:pPr>
    </w:p>
    <w:bookmarkStart w:id="59" w:name="page60"/>
    <w:bookmarkEnd w:id="5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(Amounts in thousands, except shares and per share amounts, or unless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left="7100"/>
        <w:spacing w:after="0"/>
        <w:rPr>
          <w:sz w:val="20"/>
          <w:szCs w:val="20"/>
          <w:color w:val="auto"/>
        </w:rPr>
      </w:pPr>
      <w:r>
        <w:rPr>
          <w:rFonts w:ascii="Times New Roman" w:cs="Times New Roman" w:eastAsia="Times New Roman" w:hAnsi="Times New Roman"/>
          <w:sz w:val="16"/>
          <w:szCs w:val="16"/>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4522470</wp:posOffset>
            </wp:positionH>
            <wp:positionV relativeFrom="paragraph">
              <wp:posOffset>21590</wp:posOffset>
            </wp:positionV>
            <wp:extent cx="261429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614295" cy="8255"/>
                    </a:xfrm>
                    <a:prstGeom prst="rect">
                      <a:avLst/>
                    </a:prstGeom>
                    <a:noFill/>
                  </pic:spPr>
                </pic:pic>
              </a:graphicData>
            </a:graphic>
          </wp:anchor>
        </w:drawing>
      </w:r>
    </w:p>
    <w:p>
      <w:pPr>
        <w:spacing w:after="0" w:line="26" w:lineRule="exact"/>
        <w:rPr>
          <w:sz w:val="20"/>
          <w:szCs w:val="20"/>
          <w:color w:val="auto"/>
        </w:rPr>
      </w:pPr>
    </w:p>
    <w:p>
      <w:pPr>
        <w:jc w:val="both"/>
        <w:ind w:left="7960"/>
        <w:spacing w:after="0"/>
        <w:tabs>
          <w:tab w:leader="none" w:pos="10060" w:val="left"/>
        </w:tabs>
        <w:rPr>
          <w:sz w:val="20"/>
          <w:szCs w:val="20"/>
          <w:color w:val="auto"/>
        </w:rPr>
      </w:pPr>
      <w:r>
        <w:rPr>
          <w:rFonts w:ascii="Times New Roman" w:cs="Times New Roman" w:eastAsia="Times New Roman" w:hAnsi="Times New Roman"/>
          <w:sz w:val="16"/>
          <w:szCs w:val="16"/>
          <w:b w:val="1"/>
          <w:bCs w:val="1"/>
          <w:color w:val="auto"/>
        </w:rPr>
        <w:t>2025</w:t>
      </w:r>
      <w:r>
        <w:rPr>
          <w:sz w:val="20"/>
          <w:szCs w:val="20"/>
          <w:color w:val="auto"/>
        </w:rPr>
        <w:tab/>
      </w:r>
      <w:r>
        <w:rPr>
          <w:rFonts w:ascii="Times New Roman" w:cs="Times New Roman" w:eastAsia="Times New Roman" w:hAnsi="Times New Roman"/>
          <w:sz w:val="16"/>
          <w:szCs w:val="16"/>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4522470</wp:posOffset>
            </wp:positionH>
            <wp:positionV relativeFrom="paragraph">
              <wp:posOffset>21590</wp:posOffset>
            </wp:positionV>
            <wp:extent cx="261429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614295" cy="8890"/>
                    </a:xfrm>
                    <a:prstGeom prst="rect">
                      <a:avLst/>
                    </a:prstGeom>
                    <a:noFill/>
                  </pic:spPr>
                </pic:pic>
              </a:graphicData>
            </a:graphic>
          </wp:anchor>
        </w:drawing>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p>
      <w:pPr>
        <w:spacing w:after="0" w:line="3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p>
      <w:pPr>
        <w:spacing w:after="0" w:line="31" w:lineRule="exact"/>
        <w:rPr>
          <w:sz w:val="20"/>
          <w:szCs w:val="20"/>
          <w:color w:val="auto"/>
        </w:rPr>
      </w:pPr>
    </w:p>
    <w:tbl>
      <w:tblPr>
        <w:tblLayout w:type="fixed"/>
        <w:tblInd w:w="140" w:type="dxa"/>
        <w:tblCellMar>
          <w:top w:w="0" w:type="dxa"/>
          <w:left w:w="0" w:type="dxa"/>
          <w:bottom w:w="0" w:type="dxa"/>
          <w:right w:w="0" w:type="dxa"/>
        </w:tblCellMar>
      </w:tblPr>
      <w:tr>
        <w:trPr>
          <w:trHeight w:val="261"/>
        </w:trPr>
        <w:tc>
          <w:tcPr>
            <w:tcW w:w="6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74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45,781</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5"/>
        </w:trPr>
        <w:tc>
          <w:tcPr>
            <w:tcW w:w="6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Accounts receivable, net of allowance for credit losses of $523 and $420, respectively</w:t>
            </w:r>
          </w:p>
        </w:tc>
        <w:tc>
          <w:tcPr>
            <w:tcW w:w="740" w:type="dxa"/>
            <w:vAlign w:val="bottom"/>
          </w:tcPr>
          <w:p>
            <w:pPr>
              <w:spacing w:after="0"/>
              <w:rPr>
                <w:sz w:val="23"/>
                <w:szCs w:val="23"/>
                <w:color w:val="auto"/>
              </w:rPr>
            </w:pPr>
          </w:p>
        </w:tc>
        <w:tc>
          <w:tcPr>
            <w:tcW w:w="1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33,363</w:t>
            </w: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0"/>
        </w:trPr>
        <w:tc>
          <w:tcPr>
            <w:tcW w:w="6980" w:type="dxa"/>
            <w:vAlign w:val="bottom"/>
          </w:tcPr>
          <w:p>
            <w:pPr>
              <w:ind w:left="100"/>
              <w:spacing w:after="0" w:line="181" w:lineRule="exact"/>
              <w:rPr>
                <w:sz w:val="20"/>
                <w:szCs w:val="20"/>
                <w:color w:val="auto"/>
              </w:rPr>
            </w:pPr>
            <w:r>
              <w:rPr>
                <w:rFonts w:ascii="Times New Roman" w:cs="Times New Roman" w:eastAsia="Times New Roman" w:hAnsi="Times New Roman"/>
                <w:sz w:val="18"/>
                <w:szCs w:val="18"/>
                <w:color w:val="auto"/>
              </w:rPr>
              <w:t>Accounts receivable - related party, net of allowance for credit losses of $34 and $—,</w:t>
            </w:r>
          </w:p>
        </w:tc>
        <w:tc>
          <w:tcPr>
            <w:tcW w:w="740" w:type="dxa"/>
            <w:vAlign w:val="bottom"/>
          </w:tcPr>
          <w:p>
            <w:pPr>
              <w:spacing w:after="0"/>
              <w:rPr>
                <w:sz w:val="15"/>
                <w:szCs w:val="15"/>
                <w:color w:val="auto"/>
              </w:rPr>
            </w:pPr>
          </w:p>
        </w:tc>
        <w:tc>
          <w:tcPr>
            <w:tcW w:w="128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3,330</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6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respectively</w:t>
            </w:r>
          </w:p>
        </w:tc>
        <w:tc>
          <w:tcPr>
            <w:tcW w:w="740" w:type="dxa"/>
            <w:vAlign w:val="bottom"/>
          </w:tcPr>
          <w:p>
            <w:pPr>
              <w:spacing w:after="0"/>
              <w:rPr>
                <w:sz w:val="20"/>
                <w:szCs w:val="20"/>
                <w:color w:val="auto"/>
              </w:rPr>
            </w:pPr>
          </w:p>
        </w:tc>
        <w:tc>
          <w:tcPr>
            <w:tcW w:w="128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9"/>
        </w:trPr>
        <w:tc>
          <w:tcPr>
            <w:tcW w:w="6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Inventories, net</w:t>
            </w:r>
          </w:p>
        </w:tc>
        <w:tc>
          <w:tcPr>
            <w:tcW w:w="740" w:type="dxa"/>
            <w:vAlign w:val="bottom"/>
          </w:tcPr>
          <w:p>
            <w:pPr>
              <w:spacing w:after="0"/>
              <w:rPr>
                <w:sz w:val="24"/>
                <w:szCs w:val="24"/>
                <w:color w:val="auto"/>
              </w:rPr>
            </w:pPr>
          </w:p>
        </w:tc>
        <w:tc>
          <w:tcPr>
            <w:tcW w:w="1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10,130</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740" w:type="dxa"/>
            <w:vAlign w:val="bottom"/>
          </w:tcPr>
          <w:p>
            <w:pPr>
              <w:spacing w:after="0"/>
              <w:rPr>
                <w:sz w:val="23"/>
                <w:szCs w:val="23"/>
                <w:color w:val="auto"/>
              </w:rPr>
            </w:pPr>
          </w:p>
        </w:tc>
        <w:tc>
          <w:tcPr>
            <w:tcW w:w="1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4,003</w:t>
            </w: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Prepaid expenses and other current assets - related parties</w:t>
            </w:r>
          </w:p>
        </w:tc>
        <w:tc>
          <w:tcPr>
            <w:tcW w:w="74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740" w:type="dxa"/>
            <w:vAlign w:val="bottom"/>
          </w:tcPr>
          <w:p>
            <w:pPr>
              <w:spacing w:after="0"/>
              <w:rPr>
                <w:sz w:val="22"/>
                <w:szCs w:val="22"/>
                <w:color w:val="auto"/>
              </w:rPr>
            </w:pPr>
          </w:p>
        </w:tc>
        <w:tc>
          <w:tcPr>
            <w:tcW w:w="1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96,607</w:t>
            </w: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6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740" w:type="dxa"/>
            <w:vAlign w:val="bottom"/>
          </w:tcPr>
          <w:p>
            <w:pPr>
              <w:spacing w:after="0"/>
              <w:rPr>
                <w:sz w:val="23"/>
                <w:szCs w:val="23"/>
                <w:color w:val="auto"/>
              </w:rPr>
            </w:pPr>
          </w:p>
        </w:tc>
        <w:tc>
          <w:tcPr>
            <w:tcW w:w="1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1,226</w:t>
            </w: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Deferred income tax assets</w:t>
            </w:r>
          </w:p>
        </w:tc>
        <w:tc>
          <w:tcPr>
            <w:tcW w:w="740" w:type="dxa"/>
            <w:vAlign w:val="bottom"/>
          </w:tcPr>
          <w:p>
            <w:pPr>
              <w:spacing w:after="0"/>
              <w:rPr>
                <w:sz w:val="23"/>
                <w:szCs w:val="23"/>
                <w:color w:val="auto"/>
              </w:rPr>
            </w:pPr>
          </w:p>
        </w:tc>
        <w:tc>
          <w:tcPr>
            <w:tcW w:w="1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2,123</w:t>
            </w: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740" w:type="dxa"/>
            <w:vAlign w:val="bottom"/>
          </w:tcPr>
          <w:p>
            <w:pPr>
              <w:spacing w:after="0"/>
              <w:rPr>
                <w:sz w:val="23"/>
                <w:szCs w:val="23"/>
                <w:color w:val="auto"/>
              </w:rPr>
            </w:pPr>
          </w:p>
        </w:tc>
        <w:tc>
          <w:tcPr>
            <w:tcW w:w="1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1,516</w:t>
            </w: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assets</w:t>
            </w:r>
          </w:p>
        </w:tc>
        <w:tc>
          <w:tcPr>
            <w:tcW w:w="740" w:type="dxa"/>
            <w:vAlign w:val="bottom"/>
          </w:tcPr>
          <w:p>
            <w:pPr>
              <w:spacing w:after="0"/>
              <w:rPr>
                <w:sz w:val="23"/>
                <w:szCs w:val="23"/>
                <w:color w:val="auto"/>
              </w:rPr>
            </w:pPr>
          </w:p>
        </w:tc>
        <w:tc>
          <w:tcPr>
            <w:tcW w:w="1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739</w:t>
            </w: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-1645285</wp:posOffset>
            </wp:positionV>
            <wp:extent cx="7132320" cy="2654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2654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-1208405</wp:posOffset>
            </wp:positionV>
            <wp:extent cx="71323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-513715</wp:posOffset>
            </wp:positionV>
            <wp:extent cx="71323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-170815</wp:posOffset>
            </wp:positionV>
            <wp:extent cx="7132320" cy="1797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-865505</wp:posOffset>
            </wp:positionV>
            <wp:extent cx="7132320" cy="1803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8" w:lineRule="exact"/>
        <w:rPr>
          <w:sz w:val="20"/>
          <w:szCs w:val="20"/>
          <w:color w:val="auto"/>
        </w:rPr>
      </w:pPr>
    </w:p>
    <w:p>
      <w:pPr>
        <w:jc w:val="right"/>
        <w:ind w:right="160"/>
        <w:spacing w:after="0"/>
        <w:rPr>
          <w:sz w:val="20"/>
          <w:szCs w:val="20"/>
          <w:color w:val="auto"/>
        </w:rPr>
      </w:pPr>
      <w:r>
        <w:rPr>
          <w:rFonts w:ascii="Times New Roman" w:cs="Times New Roman" w:eastAsia="Times New Roman" w:hAnsi="Times New Roman"/>
          <w:sz w:val="18"/>
          <w:szCs w:val="18"/>
          <w:color w:val="auto"/>
        </w:rPr>
        <w:t>50,237</w:t>
      </w:r>
    </w:p>
    <w:p>
      <w:pPr>
        <w:spacing w:after="0" w:line="63" w:lineRule="exact"/>
        <w:rPr>
          <w:sz w:val="20"/>
          <w:szCs w:val="20"/>
          <w:color w:val="auto"/>
        </w:rPr>
      </w:pPr>
    </w:p>
    <w:p>
      <w:pPr>
        <w:jc w:val="right"/>
        <w:ind w:right="160"/>
        <w:spacing w:after="0"/>
        <w:rPr>
          <w:sz w:val="20"/>
          <w:szCs w:val="20"/>
          <w:color w:val="auto"/>
        </w:rPr>
      </w:pPr>
      <w:r>
        <w:rPr>
          <w:rFonts w:ascii="Times New Roman" w:cs="Times New Roman" w:eastAsia="Times New Roman" w:hAnsi="Times New Roman"/>
          <w:sz w:val="18"/>
          <w:szCs w:val="18"/>
          <w:color w:val="auto"/>
        </w:rPr>
        <w:t>—</w:t>
      </w:r>
    </w:p>
    <w:p>
      <w:pPr>
        <w:spacing w:after="0" w:line="21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8,561</w:t>
      </w:r>
    </w:p>
    <w:p>
      <w:pPr>
        <w:spacing w:after="0" w:line="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12,621</w:t>
      </w:r>
    </w:p>
    <w:p>
      <w:pPr>
        <w:spacing w:after="0" w:line="4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250</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71,669</w:t>
      </w:r>
    </w:p>
    <w:p>
      <w:pPr>
        <w:spacing w:after="0" w:line="9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2,081</w:t>
      </w:r>
    </w:p>
    <w:p>
      <w:pPr>
        <w:spacing w:after="0" w:line="75" w:lineRule="exact"/>
        <w:rPr>
          <w:sz w:val="20"/>
          <w:szCs w:val="20"/>
          <w:color w:val="auto"/>
        </w:rPr>
      </w:pPr>
    </w:p>
    <w:p>
      <w:pPr>
        <w:jc w:val="right"/>
        <w:ind w:right="160"/>
        <w:spacing w:after="0"/>
        <w:rPr>
          <w:sz w:val="20"/>
          <w:szCs w:val="20"/>
          <w:color w:val="auto"/>
        </w:rPr>
      </w:pPr>
      <w:r>
        <w:rPr>
          <w:rFonts w:ascii="Times New Roman" w:cs="Times New Roman" w:eastAsia="Times New Roman" w:hAnsi="Times New Roman"/>
          <w:sz w:val="18"/>
          <w:szCs w:val="18"/>
          <w:color w:val="auto"/>
        </w:rPr>
        <w:t>2,157</w:t>
      </w:r>
    </w:p>
    <w:p>
      <w:pPr>
        <w:spacing w:after="0" w:line="63" w:lineRule="exact"/>
        <w:rPr>
          <w:sz w:val="20"/>
          <w:szCs w:val="20"/>
          <w:color w:val="auto"/>
        </w:rPr>
      </w:pPr>
    </w:p>
    <w:p>
      <w:pPr>
        <w:jc w:val="right"/>
        <w:ind w:right="160"/>
        <w:spacing w:after="0"/>
        <w:rPr>
          <w:sz w:val="20"/>
          <w:szCs w:val="20"/>
          <w:color w:val="auto"/>
        </w:rPr>
      </w:pPr>
      <w:r>
        <w:rPr>
          <w:rFonts w:ascii="Times New Roman" w:cs="Times New Roman" w:eastAsia="Times New Roman" w:hAnsi="Times New Roman"/>
          <w:sz w:val="18"/>
          <w:szCs w:val="18"/>
          <w:color w:val="auto"/>
        </w:rPr>
        <w:t>1,773</w:t>
      </w:r>
    </w:p>
    <w:p>
      <w:pPr>
        <w:spacing w:after="0" w:line="63" w:lineRule="exact"/>
        <w:rPr>
          <w:sz w:val="20"/>
          <w:szCs w:val="20"/>
          <w:color w:val="auto"/>
        </w:rPr>
      </w:pPr>
    </w:p>
    <w:p>
      <w:pPr>
        <w:jc w:val="right"/>
        <w:ind w:right="160"/>
        <w:spacing w:after="0"/>
        <w:rPr>
          <w:sz w:val="20"/>
          <w:szCs w:val="20"/>
          <w:color w:val="auto"/>
        </w:rPr>
      </w:pPr>
      <w:r>
        <w:rPr>
          <w:rFonts w:ascii="Times New Roman" w:cs="Times New Roman" w:eastAsia="Times New Roman" w:hAnsi="Times New Roman"/>
          <w:sz w:val="18"/>
          <w:szCs w:val="18"/>
          <w:color w:val="auto"/>
        </w:rPr>
        <w:t>815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-857885</wp:posOffset>
            </wp:positionH>
            <wp:positionV relativeFrom="paragraph">
              <wp:posOffset>17145</wp:posOffset>
            </wp:positionV>
            <wp:extent cx="127698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6985" cy="8890"/>
                    </a:xfrm>
                    <a:prstGeom prst="rect">
                      <a:avLst/>
                    </a:prstGeom>
                    <a:noFill/>
                  </pic:spPr>
                </pic:pic>
              </a:graphicData>
            </a:graphic>
          </wp:anchor>
        </w:drawing>
      </w:r>
    </w:p>
    <w:p>
      <w:pPr>
        <w:spacing w:after="0" w:line="45" w:lineRule="exact"/>
        <w:rPr>
          <w:sz w:val="20"/>
          <w:szCs w:val="20"/>
          <w:color w:val="auto"/>
        </w:rPr>
      </w:pPr>
    </w:p>
    <w:p>
      <w:pPr>
        <w:sectPr>
          <w:pgSz w:w="11900" w:h="16838" w:orient="portrait"/>
          <w:cols w:equalWidth="0" w:num="2">
            <w:col w:w="9860" w:space="720"/>
            <w:col w:w="660"/>
          </w:cols>
          <w:pgMar w:left="320" w:top="117" w:right="339" w:bottom="1440" w:gutter="0" w:footer="0" w:header="0"/>
          <w:type w:val="continuous"/>
        </w:sectPr>
      </w:pPr>
    </w:p>
    <w:p>
      <w:pPr>
        <w:spacing w:after="0" w:line="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631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 (deficit)</w:t>
      </w:r>
    </w:p>
    <w:p>
      <w:pPr>
        <w:spacing w:after="0" w:line="3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Accounts payable</w:t>
      </w:r>
    </w:p>
    <w:p>
      <w:pPr>
        <w:spacing w:after="0" w:line="6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Accounts payable - related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Accrued trade payables</w:t>
      </w:r>
    </w:p>
    <w:p>
      <w:pPr>
        <w:spacing w:after="0" w:line="6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Accrued expenses - related party</w:t>
      </w:r>
    </w:p>
    <w:p>
      <w:pPr>
        <w:spacing w:after="0" w:line="6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Operating lease liabilities - 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Working capital loan - related party</w:t>
      </w:r>
    </w:p>
    <w:p>
      <w:pPr>
        <w:spacing w:after="0" w:line="2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Advances from related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Legacy Blaize convertible notes and warrants</w:t>
      </w:r>
    </w:p>
    <w:p>
      <w:pPr>
        <w:spacing w:after="0" w:line="3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Total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460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Operating lease liabilities</w:t>
      </w:r>
    </w:p>
    <w:p>
      <w:pPr>
        <w:spacing w:after="0" w:line="2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Other earnout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Other earnout shares - related party</w:t>
      </w:r>
    </w:p>
    <w:p>
      <w:pPr>
        <w:spacing w:after="0" w:line="2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Polar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Other liabilities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454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Commitments and contingencies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Stockholders’ equity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3771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377190"/>
                    </a:xfrm>
                    <a:prstGeom prst="rect">
                      <a:avLst/>
                    </a:prstGeom>
                    <a:noFill/>
                  </pic:spPr>
                </pic:pic>
              </a:graphicData>
            </a:graphic>
          </wp:anchor>
        </w:drawing>
      </w:r>
    </w:p>
    <w:p>
      <w:pPr>
        <w:spacing w:after="0" w:line="3" w:lineRule="exact"/>
        <w:rPr>
          <w:sz w:val="20"/>
          <w:szCs w:val="20"/>
          <w:color w:val="auto"/>
        </w:rPr>
      </w:pPr>
    </w:p>
    <w:p>
      <w:pPr>
        <w:ind w:left="240"/>
        <w:spacing w:after="0" w:line="233" w:lineRule="auto"/>
        <w:rPr>
          <w:sz w:val="20"/>
          <w:szCs w:val="20"/>
          <w:color w:val="auto"/>
        </w:rPr>
      </w:pPr>
      <w:r>
        <w:rPr>
          <w:rFonts w:ascii="Times New Roman" w:cs="Times New Roman" w:eastAsia="Times New Roman" w:hAnsi="Times New Roman"/>
          <w:sz w:val="17"/>
          <w:szCs w:val="17"/>
          <w:color w:val="auto"/>
        </w:rPr>
        <w:t>Common stock - $0.0001 par value; 600,000,000 and 136,562,809 shares authorized as of December 31, 2025 and 2024, respectively, and 122,043,966 and 48,376,052 shares issued</w:t>
      </w:r>
    </w:p>
    <w:p>
      <w:pPr>
        <w:ind w:left="240"/>
        <w:spacing w:after="0"/>
        <w:rPr>
          <w:sz w:val="20"/>
          <w:szCs w:val="20"/>
          <w:color w:val="auto"/>
        </w:rPr>
      </w:pPr>
      <w:r>
        <w:rPr>
          <w:rFonts w:ascii="Times New Roman" w:cs="Times New Roman" w:eastAsia="Times New Roman" w:hAnsi="Times New Roman"/>
          <w:sz w:val="18"/>
          <w:szCs w:val="18"/>
          <w:color w:val="auto"/>
        </w:rPr>
        <w:t>and outstanding as of December 31, 2025 and 2024, respectively</w:t>
      </w:r>
    </w:p>
    <w:p>
      <w:pPr>
        <w:spacing w:after="0" w:line="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Additional paid-in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Accumulated deficit</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70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102,211</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
        </w:trPr>
        <w:tc>
          <w:tcPr>
            <w:tcW w:w="7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r>
      <w:tr>
        <w:trPr>
          <w:trHeight w:val="20"/>
        </w:trPr>
        <w:tc>
          <w:tcPr>
            <w:tcW w:w="7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723"/>
        </w:trPr>
        <w:tc>
          <w:tcPr>
            <w:tcW w:w="70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8,339</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9" w:lineRule="exact"/>
        <w:rPr>
          <w:sz w:val="20"/>
          <w:szCs w:val="20"/>
          <w:color w:val="auto"/>
        </w:rPr>
      </w:pPr>
    </w:p>
    <w:p>
      <w:pPr>
        <w:jc w:val="right"/>
        <w:ind w:right="700"/>
        <w:spacing w:after="0"/>
        <w:rPr>
          <w:sz w:val="20"/>
          <w:szCs w:val="20"/>
          <w:color w:val="auto"/>
        </w:rPr>
      </w:pPr>
      <w:r>
        <w:rPr>
          <w:rFonts w:ascii="Times New Roman" w:cs="Times New Roman" w:eastAsia="Times New Roman" w:hAnsi="Times New Roman"/>
          <w:sz w:val="18"/>
          <w:szCs w:val="18"/>
          <w:color w:val="auto"/>
        </w:rPr>
        <w:t>180</w:t>
      </w:r>
    </w:p>
    <w:p>
      <w:pPr>
        <w:spacing w:after="0" w:line="63" w:lineRule="exact"/>
        <w:rPr>
          <w:sz w:val="20"/>
          <w:szCs w:val="20"/>
          <w:color w:val="auto"/>
        </w:rPr>
      </w:pPr>
    </w:p>
    <w:p>
      <w:pPr>
        <w:jc w:val="right"/>
        <w:ind w:right="700"/>
        <w:spacing w:after="0"/>
        <w:rPr>
          <w:sz w:val="20"/>
          <w:szCs w:val="20"/>
          <w:color w:val="auto"/>
        </w:rPr>
      </w:pPr>
      <w:r>
        <w:rPr>
          <w:rFonts w:ascii="Times New Roman" w:cs="Times New Roman" w:eastAsia="Times New Roman" w:hAnsi="Times New Roman"/>
          <w:sz w:val="18"/>
          <w:szCs w:val="18"/>
          <w:color w:val="auto"/>
        </w:rPr>
        <w:t>22,838</w:t>
      </w:r>
    </w:p>
    <w:p>
      <w:pPr>
        <w:spacing w:after="0" w:line="63" w:lineRule="exact"/>
        <w:rPr>
          <w:sz w:val="20"/>
          <w:szCs w:val="20"/>
          <w:color w:val="auto"/>
        </w:rPr>
      </w:pPr>
    </w:p>
    <w:p>
      <w:pPr>
        <w:jc w:val="right"/>
        <w:ind w:right="700"/>
        <w:spacing w:after="0"/>
        <w:rPr>
          <w:sz w:val="20"/>
          <w:szCs w:val="20"/>
          <w:color w:val="auto"/>
        </w:rPr>
      </w:pPr>
      <w:r>
        <w:rPr>
          <w:rFonts w:ascii="Times New Roman" w:cs="Times New Roman" w:eastAsia="Times New Roman" w:hAnsi="Times New Roman"/>
          <w:sz w:val="18"/>
          <w:szCs w:val="18"/>
          <w:color w:val="auto"/>
        </w:rPr>
        <w:t>6,700</w:t>
      </w:r>
    </w:p>
    <w:p>
      <w:pPr>
        <w:spacing w:after="0" w:line="63" w:lineRule="exact"/>
        <w:rPr>
          <w:sz w:val="20"/>
          <w:szCs w:val="20"/>
          <w:color w:val="auto"/>
        </w:rPr>
      </w:pPr>
    </w:p>
    <w:p>
      <w:pPr>
        <w:jc w:val="right"/>
        <w:ind w:right="700"/>
        <w:spacing w:after="0"/>
        <w:rPr>
          <w:sz w:val="20"/>
          <w:szCs w:val="20"/>
          <w:color w:val="auto"/>
        </w:rPr>
      </w:pPr>
      <w:r>
        <w:rPr>
          <w:rFonts w:ascii="Times New Roman" w:cs="Times New Roman" w:eastAsia="Times New Roman" w:hAnsi="Times New Roman"/>
          <w:sz w:val="18"/>
          <w:szCs w:val="18"/>
          <w:color w:val="auto"/>
        </w:rPr>
        <w:t>331</w:t>
      </w:r>
    </w:p>
    <w:p>
      <w:pPr>
        <w:spacing w:after="0" w:line="63" w:lineRule="exact"/>
        <w:rPr>
          <w:sz w:val="20"/>
          <w:szCs w:val="20"/>
          <w:color w:val="auto"/>
        </w:rPr>
      </w:pPr>
    </w:p>
    <w:p>
      <w:pPr>
        <w:jc w:val="right"/>
        <w:ind w:right="700"/>
        <w:spacing w:after="0"/>
        <w:rPr>
          <w:sz w:val="20"/>
          <w:szCs w:val="20"/>
          <w:color w:val="auto"/>
        </w:rPr>
      </w:pPr>
      <w:r>
        <w:rPr>
          <w:rFonts w:ascii="Times New Roman" w:cs="Times New Roman" w:eastAsia="Times New Roman" w:hAnsi="Times New Roman"/>
          <w:sz w:val="18"/>
          <w:szCs w:val="18"/>
          <w:color w:val="auto"/>
        </w:rPr>
        <w:t>644</w:t>
      </w:r>
    </w:p>
    <w:p>
      <w:pPr>
        <w:spacing w:after="0" w:line="63" w:lineRule="exact"/>
        <w:rPr>
          <w:sz w:val="20"/>
          <w:szCs w:val="20"/>
          <w:color w:val="auto"/>
        </w:rPr>
      </w:pPr>
    </w:p>
    <w:p>
      <w:pPr>
        <w:jc w:val="right"/>
        <w:ind w:right="700"/>
        <w:spacing w:after="0"/>
        <w:rPr>
          <w:sz w:val="20"/>
          <w:szCs w:val="20"/>
          <w:color w:val="auto"/>
        </w:rPr>
      </w:pPr>
      <w:r>
        <w:rPr>
          <w:rFonts w:ascii="Times New Roman" w:cs="Times New Roman" w:eastAsia="Times New Roman" w:hAnsi="Times New Roman"/>
          <w:sz w:val="18"/>
          <w:szCs w:val="18"/>
          <w:color w:val="auto"/>
        </w:rPr>
        <w:t>1,500</w:t>
      </w:r>
    </w:p>
    <w:p>
      <w:pPr>
        <w:spacing w:after="0" w:line="50" w:lineRule="exact"/>
        <w:rPr>
          <w:sz w:val="20"/>
          <w:szCs w:val="20"/>
          <w:color w:val="auto"/>
        </w:rPr>
      </w:pPr>
    </w:p>
    <w:p>
      <w:pPr>
        <w:jc w:val="right"/>
        <w:ind w:right="700"/>
        <w:spacing w:after="0"/>
        <w:rPr>
          <w:sz w:val="20"/>
          <w:szCs w:val="20"/>
          <w:color w:val="auto"/>
        </w:rPr>
      </w:pPr>
      <w:r>
        <w:rPr>
          <w:rFonts w:ascii="Times New Roman" w:cs="Times New Roman" w:eastAsia="Times New Roman" w:hAnsi="Times New Roman"/>
          <w:sz w:val="18"/>
          <w:szCs w:val="18"/>
          <w:color w:val="auto"/>
        </w:rPr>
        <w:t>2,857</w:t>
      </w:r>
    </w:p>
    <w:p>
      <w:pPr>
        <w:spacing w:after="0" w:line="27" w:lineRule="exact"/>
        <w:rPr>
          <w:sz w:val="20"/>
          <w:szCs w:val="20"/>
          <w:color w:val="auto"/>
        </w:rPr>
      </w:pPr>
    </w:p>
    <w:p>
      <w:pPr>
        <w:jc w:val="right"/>
        <w:ind w:right="70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wp:posOffset>
            </wp:positionV>
            <wp:extent cx="127698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6985" cy="8255"/>
                    </a:xfrm>
                    <a:prstGeom prst="rect">
                      <a:avLst/>
                    </a:prstGeom>
                    <a:noFill/>
                  </pic:spPr>
                </pic:pic>
              </a:graphicData>
            </a:graphic>
          </wp:anchor>
        </w:drawing>
      </w:r>
    </w:p>
    <w:p>
      <w:pPr>
        <w:spacing w:after="0" w:line="11" w:lineRule="exact"/>
        <w:rPr>
          <w:sz w:val="20"/>
          <w:szCs w:val="20"/>
          <w:color w:val="auto"/>
        </w:rPr>
      </w:pPr>
    </w:p>
    <w:p>
      <w:pPr>
        <w:jc w:val="right"/>
        <w:ind w:right="700"/>
        <w:spacing w:after="0"/>
        <w:rPr>
          <w:sz w:val="20"/>
          <w:szCs w:val="20"/>
          <w:color w:val="auto"/>
        </w:rPr>
      </w:pPr>
      <w:r>
        <w:rPr>
          <w:rFonts w:ascii="Times New Roman" w:cs="Times New Roman" w:eastAsia="Times New Roman" w:hAnsi="Times New Roman"/>
          <w:sz w:val="18"/>
          <w:szCs w:val="18"/>
          <w:color w:val="auto"/>
        </w:rPr>
        <w:t>43,389</w:t>
      </w:r>
    </w:p>
    <w:p>
      <w:pPr>
        <w:spacing w:after="0" w:line="27" w:lineRule="exact"/>
        <w:rPr>
          <w:sz w:val="20"/>
          <w:szCs w:val="20"/>
          <w:color w:val="auto"/>
        </w:rPr>
      </w:pPr>
    </w:p>
    <w:p>
      <w:pPr>
        <w:jc w:val="right"/>
        <w:ind w:right="700"/>
        <w:spacing w:after="0"/>
        <w:rPr>
          <w:sz w:val="20"/>
          <w:szCs w:val="20"/>
          <w:color w:val="auto"/>
        </w:rPr>
      </w:pPr>
      <w:r>
        <w:rPr>
          <w:rFonts w:ascii="Times New Roman" w:cs="Times New Roman" w:eastAsia="Times New Roman" w:hAnsi="Times New Roman"/>
          <w:sz w:val="18"/>
          <w:szCs w:val="18"/>
          <w:color w:val="auto"/>
        </w:rPr>
        <w:t>804</w:t>
      </w:r>
    </w:p>
    <w:p>
      <w:pPr>
        <w:spacing w:after="0" w:line="23" w:lineRule="exact"/>
        <w:rPr>
          <w:sz w:val="20"/>
          <w:szCs w:val="20"/>
          <w:color w:val="auto"/>
        </w:rPr>
      </w:pPr>
    </w:p>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6,745</w:t>
      </w:r>
    </w:p>
    <w:p>
      <w:pPr>
        <w:spacing w:after="0" w:line="23" w:lineRule="exact"/>
        <w:rPr>
          <w:sz w:val="20"/>
          <w:szCs w:val="20"/>
          <w:color w:val="auto"/>
        </w:rPr>
      </w:pPr>
    </w:p>
    <w:p>
      <w:pPr>
        <w:jc w:val="right"/>
        <w:ind w:right="700"/>
        <w:spacing w:after="0"/>
        <w:rPr>
          <w:sz w:val="20"/>
          <w:szCs w:val="20"/>
          <w:color w:val="auto"/>
        </w:rPr>
      </w:pPr>
      <w:r>
        <w:rPr>
          <w:rFonts w:ascii="Times New Roman" w:cs="Times New Roman" w:eastAsia="Times New Roman" w:hAnsi="Times New Roman"/>
          <w:sz w:val="18"/>
          <w:szCs w:val="18"/>
          <w:color w:val="auto"/>
        </w:rPr>
        <w:t>2,184</w:t>
      </w:r>
    </w:p>
    <w:p>
      <w:pPr>
        <w:spacing w:after="0" w:line="23" w:lineRule="exact"/>
        <w:rPr>
          <w:sz w:val="20"/>
          <w:szCs w:val="20"/>
          <w:color w:val="auto"/>
        </w:rPr>
      </w:pPr>
    </w:p>
    <w:p>
      <w:pPr>
        <w:jc w:val="right"/>
        <w:ind w:right="700"/>
        <w:spacing w:after="0"/>
        <w:rPr>
          <w:sz w:val="20"/>
          <w:szCs w:val="20"/>
          <w:color w:val="auto"/>
        </w:rPr>
      </w:pPr>
      <w:r>
        <w:rPr>
          <w:rFonts w:ascii="Times New Roman" w:cs="Times New Roman" w:eastAsia="Times New Roman" w:hAnsi="Times New Roman"/>
          <w:sz w:val="18"/>
          <w:szCs w:val="18"/>
          <w:color w:val="auto"/>
        </w:rPr>
        <w:t>8,813</w:t>
      </w:r>
    </w:p>
    <w:p>
      <w:pPr>
        <w:spacing w:after="0" w:line="23" w:lineRule="exact"/>
        <w:rPr>
          <w:sz w:val="20"/>
          <w:szCs w:val="20"/>
          <w:color w:val="auto"/>
        </w:rPr>
      </w:pPr>
    </w:p>
    <w:p>
      <w:pPr>
        <w:jc w:val="right"/>
        <w:ind w:right="700"/>
        <w:spacing w:after="0"/>
        <w:rPr>
          <w:sz w:val="20"/>
          <w:szCs w:val="20"/>
          <w:color w:val="auto"/>
        </w:rPr>
      </w:pPr>
      <w:r>
        <w:rPr>
          <w:rFonts w:ascii="Times New Roman" w:cs="Times New Roman" w:eastAsia="Times New Roman" w:hAnsi="Times New Roman"/>
          <w:sz w:val="18"/>
          <w:szCs w:val="18"/>
          <w:color w:val="auto"/>
        </w:rPr>
        <w:t>1,276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wp:posOffset>
            </wp:positionV>
            <wp:extent cx="127698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6985" cy="8255"/>
                    </a:xfrm>
                    <a:prstGeom prst="rect">
                      <a:avLst/>
                    </a:prstGeom>
                    <a:noFill/>
                  </pic:spPr>
                </pic:pic>
              </a:graphicData>
            </a:graphic>
          </wp:anchor>
        </w:drawing>
      </w:r>
    </w:p>
    <w:p>
      <w:pPr>
        <w:spacing w:after="0" w:line="7" w:lineRule="exact"/>
        <w:rPr>
          <w:sz w:val="20"/>
          <w:szCs w:val="20"/>
          <w:color w:val="auto"/>
        </w:rPr>
      </w:pPr>
    </w:p>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63,211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right"/>
        <w:ind w:right="700"/>
        <w:spacing w:after="0"/>
        <w:rPr>
          <w:sz w:val="20"/>
          <w:szCs w:val="20"/>
          <w:color w:val="auto"/>
        </w:rPr>
      </w:pPr>
      <w:r>
        <w:rPr>
          <w:rFonts w:ascii="Times New Roman" w:cs="Times New Roman" w:eastAsia="Times New Roman" w:hAnsi="Times New Roman"/>
          <w:sz w:val="18"/>
          <w:szCs w:val="18"/>
          <w:color w:val="auto"/>
        </w:rPr>
        <w:t>12</w:t>
      </w:r>
    </w:p>
    <w:p>
      <w:pPr>
        <w:spacing w:after="0" w:line="27" w:lineRule="exact"/>
        <w:rPr>
          <w:sz w:val="20"/>
          <w:szCs w:val="20"/>
          <w:color w:val="auto"/>
        </w:rPr>
      </w:pPr>
    </w:p>
    <w:p>
      <w:pPr>
        <w:jc w:val="right"/>
        <w:ind w:right="700"/>
        <w:spacing w:after="0"/>
        <w:rPr>
          <w:sz w:val="20"/>
          <w:szCs w:val="20"/>
          <w:color w:val="auto"/>
        </w:rPr>
      </w:pPr>
      <w:r>
        <w:rPr>
          <w:rFonts w:ascii="Times New Roman" w:cs="Times New Roman" w:eastAsia="Times New Roman" w:hAnsi="Times New Roman"/>
          <w:sz w:val="18"/>
          <w:szCs w:val="18"/>
          <w:color w:val="auto"/>
        </w:rPr>
        <w:t>675,143</w:t>
      </w:r>
    </w:p>
    <w:p>
      <w:pPr>
        <w:spacing w:after="0" w:line="23" w:lineRule="exact"/>
        <w:rPr>
          <w:sz w:val="20"/>
          <w:szCs w:val="20"/>
          <w:color w:val="auto"/>
        </w:rPr>
      </w:pPr>
    </w:p>
    <w:p>
      <w:pPr>
        <w:jc w:val="right"/>
        <w:ind w:right="700"/>
        <w:spacing w:after="0"/>
        <w:rPr>
          <w:sz w:val="20"/>
          <w:szCs w:val="20"/>
          <w:color w:val="auto"/>
        </w:rPr>
      </w:pPr>
      <w:r>
        <w:rPr>
          <w:rFonts w:ascii="Times New Roman" w:cs="Times New Roman" w:eastAsia="Times New Roman" w:hAnsi="Times New Roman"/>
          <w:sz w:val="18"/>
          <w:szCs w:val="18"/>
          <w:color w:val="auto"/>
        </w:rPr>
        <w:t>(636,155)</w:t>
      </w:r>
    </w:p>
    <w:p>
      <w:pPr>
        <w:spacing w:after="0" w:line="20" w:lineRule="exact"/>
        <w:rPr>
          <w:sz w:val="20"/>
          <w:szCs w:val="20"/>
          <w:color w:val="auto"/>
        </w:rPr>
      </w:pPr>
      <w:r>
        <w:rPr>
          <w:sz w:val="20"/>
          <w:szCs w:val="20"/>
          <w:color w:val="auto"/>
        </w:rPr>
        <w:br w:type="column"/>
      </w:r>
    </w:p>
    <w:p>
      <w:pPr>
        <w:ind w:left="200"/>
        <w:spacing w:after="0"/>
        <w:rPr>
          <w:sz w:val="20"/>
          <w:szCs w:val="20"/>
          <w:color w:val="auto"/>
        </w:rPr>
      </w:pPr>
      <w:r>
        <w:rPr>
          <w:rFonts w:ascii="Times New Roman" w:cs="Times New Roman" w:eastAsia="Times New Roman" w:hAnsi="Times New Roman"/>
          <w:sz w:val="18"/>
          <w:szCs w:val="18"/>
          <w:b w:val="1"/>
          <w:bCs w:val="1"/>
          <w:color w:val="auto"/>
        </w:rPr>
        <w:t>78,495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-730885</wp:posOffset>
            </wp:positionH>
            <wp:positionV relativeFrom="paragraph">
              <wp:posOffset>36830</wp:posOffset>
            </wp:positionV>
            <wp:extent cx="127698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6985" cy="8255"/>
                    </a:xfrm>
                    <a:prstGeom prst="rect">
                      <a:avLst/>
                    </a:prstGeom>
                    <a:noFill/>
                  </pic:spPr>
                </pic:pic>
              </a:graphicData>
            </a:graphic>
          </wp:anchor>
        </w:drawing>
      </w:r>
    </w:p>
    <w:p>
      <w:pPr>
        <w:spacing w:after="0" w:line="200" w:lineRule="exact"/>
        <w:rPr>
          <w:sz w:val="20"/>
          <w:szCs w:val="20"/>
          <w:color w:val="auto"/>
        </w:rPr>
      </w:pPr>
    </w:p>
    <w:p>
      <w:pPr>
        <w:spacing w:after="0" w:line="3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7,904</w:t>
      </w:r>
    </w:p>
    <w:p>
      <w:pPr>
        <w:spacing w:after="0" w:line="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t>
      </w:r>
    </w:p>
    <w:p>
      <w:pPr>
        <w:spacing w:after="0" w:line="63" w:lineRule="exact"/>
        <w:rPr>
          <w:sz w:val="20"/>
          <w:szCs w:val="20"/>
          <w:color w:val="auto"/>
        </w:rPr>
      </w:pPr>
    </w:p>
    <w:p>
      <w:pPr>
        <w:jc w:val="right"/>
        <w:ind w:right="160"/>
        <w:spacing w:after="0"/>
        <w:rPr>
          <w:sz w:val="20"/>
          <w:szCs w:val="20"/>
          <w:color w:val="auto"/>
        </w:rPr>
      </w:pPr>
      <w:r>
        <w:rPr>
          <w:rFonts w:ascii="Times New Roman" w:cs="Times New Roman" w:eastAsia="Times New Roman" w:hAnsi="Times New Roman"/>
          <w:sz w:val="18"/>
          <w:szCs w:val="18"/>
          <w:color w:val="auto"/>
        </w:rPr>
        <w:t>14,300</w:t>
      </w:r>
    </w:p>
    <w:p>
      <w:pPr>
        <w:spacing w:after="0" w:line="63" w:lineRule="exact"/>
        <w:rPr>
          <w:sz w:val="20"/>
          <w:szCs w:val="20"/>
          <w:color w:val="auto"/>
        </w:rPr>
      </w:pPr>
    </w:p>
    <w:p>
      <w:pPr>
        <w:jc w:val="right"/>
        <w:ind w:right="160"/>
        <w:spacing w:after="0"/>
        <w:rPr>
          <w:sz w:val="20"/>
          <w:szCs w:val="20"/>
          <w:color w:val="auto"/>
        </w:rPr>
      </w:pPr>
      <w:r>
        <w:rPr>
          <w:rFonts w:ascii="Times New Roman" w:cs="Times New Roman" w:eastAsia="Times New Roman" w:hAnsi="Times New Roman"/>
          <w:sz w:val="18"/>
          <w:szCs w:val="18"/>
          <w:color w:val="auto"/>
        </w:rPr>
        <w:t>—</w:t>
      </w:r>
    </w:p>
    <w:p>
      <w:pPr>
        <w:spacing w:after="0" w:line="63" w:lineRule="exact"/>
        <w:rPr>
          <w:sz w:val="20"/>
          <w:szCs w:val="20"/>
          <w:color w:val="auto"/>
        </w:rPr>
      </w:pPr>
    </w:p>
    <w:p>
      <w:pPr>
        <w:jc w:val="right"/>
        <w:ind w:right="160"/>
        <w:spacing w:after="0"/>
        <w:rPr>
          <w:sz w:val="20"/>
          <w:szCs w:val="20"/>
          <w:color w:val="auto"/>
        </w:rPr>
      </w:pPr>
      <w:r>
        <w:rPr>
          <w:rFonts w:ascii="Times New Roman" w:cs="Times New Roman" w:eastAsia="Times New Roman" w:hAnsi="Times New Roman"/>
          <w:sz w:val="18"/>
          <w:szCs w:val="18"/>
          <w:color w:val="auto"/>
        </w:rPr>
        <w:t>578</w:t>
      </w:r>
    </w:p>
    <w:p>
      <w:pPr>
        <w:spacing w:after="0" w:line="63" w:lineRule="exact"/>
        <w:rPr>
          <w:sz w:val="20"/>
          <w:szCs w:val="20"/>
          <w:color w:val="auto"/>
        </w:rPr>
      </w:pPr>
    </w:p>
    <w:p>
      <w:pPr>
        <w:jc w:val="right"/>
        <w:ind w:right="160"/>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jc w:val="right"/>
        <w:ind w:right="160"/>
        <w:spacing w:after="0"/>
        <w:rPr>
          <w:sz w:val="20"/>
          <w:szCs w:val="20"/>
          <w:color w:val="auto"/>
        </w:rPr>
      </w:pPr>
      <w:r>
        <w:rPr>
          <w:rFonts w:ascii="Times New Roman" w:cs="Times New Roman" w:eastAsia="Times New Roman" w:hAnsi="Times New Roman"/>
          <w:sz w:val="18"/>
          <w:szCs w:val="18"/>
          <w:color w:val="auto"/>
        </w:rPr>
        <w:t>—</w:t>
      </w:r>
    </w:p>
    <w:p>
      <w:pPr>
        <w:spacing w:after="0" w:line="23" w:lineRule="exact"/>
        <w:rPr>
          <w:sz w:val="20"/>
          <w:szCs w:val="20"/>
          <w:color w:val="auto"/>
        </w:rPr>
      </w:pPr>
    </w:p>
    <w:p>
      <w:pPr>
        <w:jc w:val="right"/>
        <w:ind w:right="160"/>
        <w:spacing w:after="0"/>
        <w:rPr>
          <w:sz w:val="20"/>
          <w:szCs w:val="20"/>
          <w:color w:val="auto"/>
        </w:rPr>
      </w:pPr>
      <w:r>
        <w:rPr>
          <w:rFonts w:ascii="Times New Roman" w:cs="Times New Roman" w:eastAsia="Times New Roman" w:hAnsi="Times New Roman"/>
          <w:sz w:val="18"/>
          <w:szCs w:val="18"/>
          <w:color w:val="auto"/>
        </w:rPr>
        <w:t>163,340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-730885</wp:posOffset>
            </wp:positionH>
            <wp:positionV relativeFrom="paragraph">
              <wp:posOffset>14605</wp:posOffset>
            </wp:positionV>
            <wp:extent cx="127698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6985" cy="8255"/>
                    </a:xfrm>
                    <a:prstGeom prst="rect">
                      <a:avLst/>
                    </a:prstGeom>
                    <a:noFill/>
                  </pic:spPr>
                </pic:pic>
              </a:graphicData>
            </a:graphic>
          </wp:anchor>
        </w:drawing>
      </w:r>
    </w:p>
    <w:p>
      <w:pPr>
        <w:spacing w:after="0" w:line="11" w:lineRule="exact"/>
        <w:rPr>
          <w:sz w:val="20"/>
          <w:szCs w:val="20"/>
          <w:color w:val="auto"/>
        </w:rPr>
      </w:pPr>
    </w:p>
    <w:p>
      <w:pPr>
        <w:jc w:val="right"/>
        <w:ind w:right="160"/>
        <w:spacing w:after="0"/>
        <w:rPr>
          <w:sz w:val="20"/>
          <w:szCs w:val="20"/>
          <w:color w:val="auto"/>
        </w:rPr>
      </w:pPr>
      <w:r>
        <w:rPr>
          <w:rFonts w:ascii="Times New Roman" w:cs="Times New Roman" w:eastAsia="Times New Roman" w:hAnsi="Times New Roman"/>
          <w:sz w:val="18"/>
          <w:szCs w:val="18"/>
          <w:color w:val="auto"/>
        </w:rPr>
        <w:t>186,122</w:t>
      </w:r>
    </w:p>
    <w:p>
      <w:pPr>
        <w:spacing w:after="0" w:line="27" w:lineRule="exact"/>
        <w:rPr>
          <w:sz w:val="20"/>
          <w:szCs w:val="20"/>
          <w:color w:val="auto"/>
        </w:rPr>
      </w:pPr>
    </w:p>
    <w:p>
      <w:pPr>
        <w:jc w:val="right"/>
        <w:ind w:right="160"/>
        <w:spacing w:after="0"/>
        <w:rPr>
          <w:sz w:val="20"/>
          <w:szCs w:val="20"/>
          <w:color w:val="auto"/>
        </w:rPr>
      </w:pPr>
      <w:r>
        <w:rPr>
          <w:rFonts w:ascii="Times New Roman" w:cs="Times New Roman" w:eastAsia="Times New Roman" w:hAnsi="Times New Roman"/>
          <w:sz w:val="18"/>
          <w:szCs w:val="18"/>
          <w:color w:val="auto"/>
        </w:rPr>
        <w:t>1,166</w:t>
      </w:r>
    </w:p>
    <w:p>
      <w:pPr>
        <w:spacing w:after="0" w:line="23" w:lineRule="exact"/>
        <w:rPr>
          <w:sz w:val="20"/>
          <w:szCs w:val="20"/>
          <w:color w:val="auto"/>
        </w:rPr>
      </w:pPr>
    </w:p>
    <w:p>
      <w:pPr>
        <w:jc w:val="right"/>
        <w:ind w:right="160"/>
        <w:spacing w:after="0"/>
        <w:rPr>
          <w:sz w:val="20"/>
          <w:szCs w:val="20"/>
          <w:color w:val="auto"/>
        </w:rPr>
      </w:pPr>
      <w:r>
        <w:rPr>
          <w:rFonts w:ascii="Times New Roman" w:cs="Times New Roman" w:eastAsia="Times New Roman" w:hAnsi="Times New Roman"/>
          <w:sz w:val="18"/>
          <w:szCs w:val="18"/>
          <w:color w:val="auto"/>
        </w:rPr>
        <w:t>—</w:t>
      </w:r>
    </w:p>
    <w:p>
      <w:pPr>
        <w:spacing w:after="0" w:line="23" w:lineRule="exact"/>
        <w:rPr>
          <w:sz w:val="20"/>
          <w:szCs w:val="20"/>
          <w:color w:val="auto"/>
        </w:rPr>
      </w:pPr>
    </w:p>
    <w:p>
      <w:pPr>
        <w:jc w:val="right"/>
        <w:ind w:right="160"/>
        <w:spacing w:after="0"/>
        <w:rPr>
          <w:sz w:val="20"/>
          <w:szCs w:val="20"/>
          <w:color w:val="auto"/>
        </w:rPr>
      </w:pPr>
      <w:r>
        <w:rPr>
          <w:rFonts w:ascii="Times New Roman" w:cs="Times New Roman" w:eastAsia="Times New Roman" w:hAnsi="Times New Roman"/>
          <w:sz w:val="18"/>
          <w:szCs w:val="18"/>
          <w:color w:val="auto"/>
        </w:rPr>
        <w:t>—</w:t>
      </w:r>
    </w:p>
    <w:p>
      <w:pPr>
        <w:spacing w:after="0" w:line="23" w:lineRule="exact"/>
        <w:rPr>
          <w:sz w:val="20"/>
          <w:szCs w:val="20"/>
          <w:color w:val="auto"/>
        </w:rPr>
      </w:pPr>
    </w:p>
    <w:p>
      <w:pPr>
        <w:jc w:val="right"/>
        <w:ind w:right="160"/>
        <w:spacing w:after="0"/>
        <w:rPr>
          <w:sz w:val="20"/>
          <w:szCs w:val="20"/>
          <w:color w:val="auto"/>
        </w:rPr>
      </w:pPr>
      <w:r>
        <w:rPr>
          <w:rFonts w:ascii="Times New Roman" w:cs="Times New Roman" w:eastAsia="Times New Roman" w:hAnsi="Times New Roman"/>
          <w:sz w:val="18"/>
          <w:szCs w:val="18"/>
          <w:color w:val="auto"/>
        </w:rPr>
        <w:t>—</w:t>
      </w:r>
    </w:p>
    <w:p>
      <w:pPr>
        <w:spacing w:after="0" w:line="23" w:lineRule="exact"/>
        <w:rPr>
          <w:sz w:val="20"/>
          <w:szCs w:val="20"/>
          <w:color w:val="auto"/>
        </w:rPr>
      </w:pPr>
    </w:p>
    <w:p>
      <w:pPr>
        <w:jc w:val="right"/>
        <w:ind w:right="160"/>
        <w:spacing w:after="0"/>
        <w:rPr>
          <w:sz w:val="20"/>
          <w:szCs w:val="20"/>
          <w:color w:val="auto"/>
        </w:rPr>
      </w:pPr>
      <w:r>
        <w:rPr>
          <w:rFonts w:ascii="Times New Roman" w:cs="Times New Roman" w:eastAsia="Times New Roman" w:hAnsi="Times New Roman"/>
          <w:sz w:val="18"/>
          <w:szCs w:val="18"/>
          <w:color w:val="auto"/>
        </w:rPr>
        <w:t>1,670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-730885</wp:posOffset>
            </wp:positionH>
            <wp:positionV relativeFrom="paragraph">
              <wp:posOffset>14605</wp:posOffset>
            </wp:positionV>
            <wp:extent cx="127698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6985" cy="8255"/>
                    </a:xfrm>
                    <a:prstGeom prst="rect">
                      <a:avLst/>
                    </a:prstGeom>
                    <a:noFill/>
                  </pic:spPr>
                </pic:pic>
              </a:graphicData>
            </a:graphic>
          </wp:anchor>
        </w:drawing>
      </w:r>
    </w:p>
    <w:p>
      <w:pPr>
        <w:spacing w:after="0" w:line="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b w:val="1"/>
          <w:bCs w:val="1"/>
          <w:color w:val="auto"/>
        </w:rPr>
        <w:t>188,958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right"/>
        <w:ind w:right="160"/>
        <w:spacing w:after="0"/>
        <w:rPr>
          <w:sz w:val="20"/>
          <w:szCs w:val="20"/>
          <w:color w:val="auto"/>
        </w:rPr>
      </w:pPr>
      <w:r>
        <w:rPr>
          <w:rFonts w:ascii="Times New Roman" w:cs="Times New Roman" w:eastAsia="Times New Roman" w:hAnsi="Times New Roman"/>
          <w:sz w:val="18"/>
          <w:szCs w:val="18"/>
          <w:color w:val="auto"/>
        </w:rPr>
        <w:t>5</w:t>
      </w:r>
    </w:p>
    <w:p>
      <w:pPr>
        <w:spacing w:after="0" w:line="27" w:lineRule="exact"/>
        <w:rPr>
          <w:sz w:val="20"/>
          <w:szCs w:val="20"/>
          <w:color w:val="auto"/>
        </w:rPr>
      </w:pPr>
    </w:p>
    <w:p>
      <w:pPr>
        <w:jc w:val="right"/>
        <w:ind w:right="160"/>
        <w:spacing w:after="0"/>
        <w:rPr>
          <w:sz w:val="20"/>
          <w:szCs w:val="20"/>
          <w:color w:val="auto"/>
        </w:rPr>
      </w:pPr>
      <w:r>
        <w:rPr>
          <w:rFonts w:ascii="Times New Roman" w:cs="Times New Roman" w:eastAsia="Times New Roman" w:hAnsi="Times New Roman"/>
          <w:sz w:val="18"/>
          <w:szCs w:val="18"/>
          <w:color w:val="auto"/>
        </w:rPr>
        <w:t>318,783</w:t>
      </w:r>
    </w:p>
    <w:p>
      <w:pPr>
        <w:spacing w:after="0" w:line="23" w:lineRule="exact"/>
        <w:rPr>
          <w:sz w:val="20"/>
          <w:szCs w:val="20"/>
          <w:color w:val="auto"/>
        </w:rPr>
      </w:pPr>
    </w:p>
    <w:p>
      <w:pPr>
        <w:jc w:val="right"/>
        <w:ind w:right="160"/>
        <w:spacing w:after="0"/>
        <w:rPr>
          <w:sz w:val="20"/>
          <w:szCs w:val="20"/>
          <w:color w:val="auto"/>
        </w:rPr>
      </w:pPr>
      <w:r>
        <w:rPr>
          <w:rFonts w:ascii="Times New Roman" w:cs="Times New Roman" w:eastAsia="Times New Roman" w:hAnsi="Times New Roman"/>
          <w:sz w:val="17"/>
          <w:szCs w:val="17"/>
          <w:color w:val="auto"/>
        </w:rPr>
        <w:t>(429,251)</w:t>
      </w:r>
    </w:p>
    <w:p>
      <w:pPr>
        <w:spacing w:after="0" w:line="34" w:lineRule="exact"/>
        <w:rPr>
          <w:sz w:val="20"/>
          <w:szCs w:val="20"/>
          <w:color w:val="auto"/>
        </w:rPr>
      </w:pPr>
    </w:p>
    <w:p>
      <w:pPr>
        <w:sectPr>
          <w:pgSz w:w="11900" w:h="16838" w:orient="portrait"/>
          <w:cols w:equalWidth="0" w:num="3">
            <w:col w:w="6760" w:space="360"/>
            <w:col w:w="2540" w:space="720"/>
            <w:col w:w="860"/>
          </w:cols>
          <w:pgMar w:left="320" w:top="117" w:right="33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7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stockholders’ equity (deficit)</w:t>
            </w:r>
          </w:p>
        </w:tc>
        <w:tc>
          <w:tcPr>
            <w:tcW w:w="70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39,000</w:t>
            </w:r>
          </w:p>
        </w:tc>
        <w:tc>
          <w:tcPr>
            <w:tcW w:w="80" w:type="dxa"/>
            <w:vAlign w:val="bottom"/>
            <w:tcBorders>
              <w:bottom w:val="single" w:sz="8" w:color="CCEEFF"/>
            </w:tcBorders>
          </w:tcPr>
          <w:p>
            <w:pPr>
              <w:spacing w:after="0"/>
              <w:rPr>
                <w:sz w:val="19"/>
                <w:szCs w:val="19"/>
                <w:color w:val="auto"/>
              </w:rPr>
            </w:pPr>
          </w:p>
        </w:tc>
        <w:tc>
          <w:tcPr>
            <w:tcW w:w="64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(110,463)</w:t>
            </w:r>
          </w:p>
        </w:tc>
      </w:tr>
      <w:tr>
        <w:trPr>
          <w:trHeight w:val="248"/>
        </w:trPr>
        <w:tc>
          <w:tcPr>
            <w:tcW w:w="7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 (deficit)</w:t>
            </w:r>
          </w:p>
        </w:tc>
        <w:tc>
          <w:tcPr>
            <w:tcW w:w="700" w:type="dxa"/>
            <w:vAlign w:val="bottom"/>
            <w:tcBorders>
              <w:bottom w:val="single" w:sz="8" w:color="auto"/>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102,211</w:t>
            </w:r>
          </w:p>
        </w:tc>
        <w:tc>
          <w:tcPr>
            <w:tcW w:w="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78,495</w:t>
            </w:r>
          </w:p>
        </w:tc>
      </w:tr>
      <w:tr>
        <w:trPr>
          <w:trHeight w:val="20"/>
        </w:trPr>
        <w:tc>
          <w:tcPr>
            <w:tcW w:w="7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ectPr>
          <w:pgSz w:w="11900" w:h="16838" w:orient="portrait"/>
          <w:cols w:equalWidth="0" w:num="1">
            <w:col w:w="11240"/>
          </w:cols>
          <w:pgMar w:left="320" w:top="117" w:right="339" w:bottom="1440" w:gutter="0" w:footer="0" w:header="0"/>
          <w:type w:val="continuous"/>
        </w:sect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240"/>
          </w:cols>
          <w:pgMar w:left="320" w:top="117" w:right="339" w:bottom="1440" w:gutter="0" w:footer="0" w:header="0"/>
          <w:type w:val="continuous"/>
        </w:sectPr>
      </w:pPr>
    </w:p>
    <w:bookmarkStart w:id="60" w:name="page61"/>
    <w:bookmarkEnd w:id="60"/>
    <w:p>
      <w:pPr>
        <w:jc w:val="center"/>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(Amounts in thousands, except shares and per share amounts)</w:t>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12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3640" w:type="dxa"/>
            <w:vAlign w:val="bottom"/>
            <w:tcBorders>
              <w:bottom w:val="single" w:sz="8" w:color="auto"/>
            </w:tcBorders>
            <w:gridSpan w:val="4"/>
          </w:tcPr>
          <w:p>
            <w:pPr>
              <w:jc w:val="right"/>
              <w:ind w:right="790"/>
              <w:spacing w:after="0"/>
              <w:rPr>
                <w:sz w:val="20"/>
                <w:szCs w:val="20"/>
                <w:color w:val="auto"/>
              </w:rPr>
            </w:pPr>
            <w:r>
              <w:rPr>
                <w:rFonts w:ascii="Times New Roman" w:cs="Times New Roman" w:eastAsia="Times New Roman" w:hAnsi="Times New Roman"/>
                <w:sz w:val="16"/>
                <w:szCs w:val="16"/>
                <w:b w:val="1"/>
                <w:bCs w:val="1"/>
                <w:color w:val="auto"/>
              </w:rPr>
              <w:t>For the Year Ended December 31,</w:t>
            </w:r>
          </w:p>
        </w:tc>
      </w:tr>
      <w:tr>
        <w:trPr>
          <w:trHeight w:val="233"/>
        </w:trPr>
        <w:tc>
          <w:tcPr>
            <w:tcW w:w="712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751"/>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30"/>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4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r>
      <w:tr>
        <w:trPr>
          <w:trHeight w:val="229"/>
        </w:trPr>
        <w:tc>
          <w:tcPr>
            <w:tcW w:w="7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Products:</w:t>
            </w:r>
          </w:p>
        </w:tc>
        <w:tc>
          <w:tcPr>
            <w:tcW w:w="4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30"/>
        </w:trPr>
        <w:tc>
          <w:tcPr>
            <w:tcW w:w="71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Hardware revenue</w:t>
            </w: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35,354</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29"/>
        </w:trPr>
        <w:tc>
          <w:tcPr>
            <w:tcW w:w="7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Software revenue</w:t>
            </w:r>
          </w:p>
        </w:tc>
        <w:tc>
          <w:tcPr>
            <w:tcW w:w="4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1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Hardware revenue - related party</w:t>
            </w:r>
          </w:p>
        </w:tc>
        <w:tc>
          <w:tcPr>
            <w:tcW w:w="4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2,499</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Software revenue - related party</w:t>
            </w:r>
          </w:p>
        </w:tc>
        <w:tc>
          <w:tcPr>
            <w:tcW w:w="4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Services:</w:t>
            </w:r>
          </w:p>
        </w:tc>
        <w:tc>
          <w:tcPr>
            <w:tcW w:w="4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r>
      <w:tr>
        <w:trPr>
          <w:trHeight w:val="230"/>
        </w:trPr>
        <w:tc>
          <w:tcPr>
            <w:tcW w:w="7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Strategic consulting services revenue - related party</w:t>
            </w:r>
          </w:p>
        </w:tc>
        <w:tc>
          <w:tcPr>
            <w:tcW w:w="480" w:type="dxa"/>
            <w:vAlign w:val="bottom"/>
          </w:tcPr>
          <w:p>
            <w:pPr>
              <w:spacing w:after="0"/>
              <w:rPr>
                <w:sz w:val="19"/>
                <w:szCs w:val="19"/>
                <w:color w:val="auto"/>
              </w:rPr>
            </w:pPr>
          </w:p>
        </w:tc>
        <w:tc>
          <w:tcPr>
            <w:tcW w:w="1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1,525</w:t>
            </w:r>
          </w:p>
        </w:tc>
      </w:tr>
      <w:tr>
        <w:trPr>
          <w:trHeight w:val="223"/>
        </w:trPr>
        <w:tc>
          <w:tcPr>
            <w:tcW w:w="7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480" w:type="dxa"/>
            <w:vAlign w:val="bottom"/>
            <w:tcBorders>
              <w:top w:val="single" w:sz="8" w:color="auto"/>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38,632</w:t>
            </w:r>
          </w:p>
        </w:tc>
        <w:tc>
          <w:tcPr>
            <w:tcW w:w="8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1,554</w:t>
            </w:r>
          </w:p>
        </w:tc>
      </w:tr>
      <w:tr>
        <w:trPr>
          <w:trHeight w:val="229"/>
        </w:trPr>
        <w:tc>
          <w:tcPr>
            <w:tcW w:w="71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Cost of revenue</w:t>
            </w:r>
          </w:p>
        </w:tc>
        <w:tc>
          <w:tcPr>
            <w:tcW w:w="4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32,438</w:t>
            </w:r>
          </w:p>
        </w:tc>
        <w:tc>
          <w:tcPr>
            <w:tcW w:w="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579</w:t>
            </w:r>
          </w:p>
        </w:tc>
      </w:tr>
      <w:tr>
        <w:trPr>
          <w:trHeight w:val="223"/>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4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6,194</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975</w:t>
            </w:r>
          </w:p>
        </w:tc>
      </w:tr>
      <w:tr>
        <w:trPr>
          <w:trHeight w:val="229"/>
        </w:trPr>
        <w:tc>
          <w:tcPr>
            <w:tcW w:w="7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4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30"/>
        </w:trPr>
        <w:tc>
          <w:tcPr>
            <w:tcW w:w="71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4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42,523</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25,094</w:t>
            </w:r>
          </w:p>
        </w:tc>
      </w:tr>
      <w:tr>
        <w:trPr>
          <w:trHeight w:val="229"/>
        </w:trPr>
        <w:tc>
          <w:tcPr>
            <w:tcW w:w="7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4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53,501</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22,228</w:t>
            </w:r>
          </w:p>
        </w:tc>
      </w:tr>
      <w:tr>
        <w:trPr>
          <w:trHeight w:val="230"/>
        </w:trPr>
        <w:tc>
          <w:tcPr>
            <w:tcW w:w="71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Selling, general and administrative - related party</w:t>
            </w:r>
          </w:p>
        </w:tc>
        <w:tc>
          <w:tcPr>
            <w:tcW w:w="4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r>
      <w:tr>
        <w:trPr>
          <w:trHeight w:val="229"/>
        </w:trPr>
        <w:tc>
          <w:tcPr>
            <w:tcW w:w="7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Depreciation</w:t>
            </w:r>
          </w:p>
        </w:tc>
        <w:tc>
          <w:tcPr>
            <w:tcW w:w="4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1,195</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886</w:t>
            </w:r>
          </w:p>
        </w:tc>
      </w:tr>
      <w:tr>
        <w:trPr>
          <w:trHeight w:val="229"/>
        </w:trPr>
        <w:tc>
          <w:tcPr>
            <w:tcW w:w="71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Transaction costs</w:t>
            </w:r>
          </w:p>
        </w:tc>
        <w:tc>
          <w:tcPr>
            <w:tcW w:w="4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12,043</w:t>
            </w:r>
          </w:p>
        </w:tc>
        <w:tc>
          <w:tcPr>
            <w:tcW w:w="8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r>
      <w:tr>
        <w:trPr>
          <w:trHeight w:val="223"/>
        </w:trPr>
        <w:tc>
          <w:tcPr>
            <w:tcW w:w="71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4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110,035</w:t>
            </w:r>
          </w:p>
        </w:tc>
        <w:tc>
          <w:tcPr>
            <w:tcW w:w="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48,610</w:t>
            </w:r>
          </w:p>
        </w:tc>
      </w:tr>
      <w:tr>
        <w:trPr>
          <w:trHeight w:val="263"/>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480" w:type="dxa"/>
            <w:vAlign w:val="bottom"/>
            <w:shd w:val="clear" w:color="auto" w:fill="CCEEFF"/>
          </w:tcPr>
          <w:p>
            <w:pPr>
              <w:spacing w:after="0"/>
              <w:rPr>
                <w:sz w:val="22"/>
                <w:szCs w:val="22"/>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(103,841)</w:t>
            </w:r>
          </w:p>
        </w:tc>
        <w:tc>
          <w:tcPr>
            <w:tcW w:w="8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(47,635)</w:t>
            </w:r>
          </w:p>
        </w:tc>
      </w:tr>
      <w:tr>
        <w:trPr>
          <w:trHeight w:val="230"/>
        </w:trPr>
        <w:tc>
          <w:tcPr>
            <w:tcW w:w="7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4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70"/>
        </w:trPr>
        <w:tc>
          <w:tcPr>
            <w:tcW w:w="71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Change in fair value of Legacy Blaize convertible notes and warrants</w:t>
            </w:r>
          </w:p>
        </w:tc>
        <w:tc>
          <w:tcPr>
            <w:tcW w:w="480" w:type="dxa"/>
            <w:vAlign w:val="bottom"/>
            <w:shd w:val="clear" w:color="auto" w:fill="CCEEFF"/>
          </w:tcPr>
          <w:p>
            <w:pPr>
              <w:spacing w:after="0"/>
              <w:rPr>
                <w:sz w:val="23"/>
                <w:szCs w:val="23"/>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(226,048)</w:t>
            </w:r>
          </w:p>
        </w:tc>
        <w:tc>
          <w:tcPr>
            <w:tcW w:w="8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(15,723)</w:t>
            </w:r>
          </w:p>
        </w:tc>
      </w:tr>
      <w:tr>
        <w:trPr>
          <w:trHeight w:val="230"/>
        </w:trPr>
        <w:tc>
          <w:tcPr>
            <w:tcW w:w="7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Change in fair value of other earnout shares</w:t>
            </w:r>
          </w:p>
        </w:tc>
        <w:tc>
          <w:tcPr>
            <w:tcW w:w="4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117,113</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71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Change in fair value of Polar warrants</w:t>
            </w:r>
          </w:p>
        </w:tc>
        <w:tc>
          <w:tcPr>
            <w:tcW w:w="480" w:type="dxa"/>
            <w:vAlign w:val="bottom"/>
            <w:shd w:val="clear" w:color="auto" w:fill="CCEEFF"/>
          </w:tcPr>
          <w:p>
            <w:pPr>
              <w:spacing w:after="0"/>
              <w:rPr>
                <w:sz w:val="23"/>
                <w:szCs w:val="23"/>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4,125</w:t>
            </w:r>
          </w:p>
        </w:tc>
        <w:tc>
          <w:tcPr>
            <w:tcW w:w="8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7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Change in fair value of committed equity facility, net</w:t>
            </w:r>
          </w:p>
        </w:tc>
        <w:tc>
          <w:tcPr>
            <w:tcW w:w="48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1,210</w:t>
            </w: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71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Change in fair value of unissued shares of common stock</w:t>
            </w:r>
          </w:p>
        </w:tc>
        <w:tc>
          <w:tcPr>
            <w:tcW w:w="480" w:type="dxa"/>
            <w:vAlign w:val="bottom"/>
            <w:shd w:val="clear" w:color="auto" w:fill="CCEEFF"/>
          </w:tcPr>
          <w:p>
            <w:pPr>
              <w:spacing w:after="0"/>
              <w:rPr>
                <w:sz w:val="23"/>
                <w:szCs w:val="23"/>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8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1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Other, net</w:t>
            </w:r>
          </w:p>
        </w:tc>
        <w:tc>
          <w:tcPr>
            <w:tcW w:w="4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992</w:t>
            </w:r>
          </w:p>
        </w:tc>
        <w:tc>
          <w:tcPr>
            <w:tcW w:w="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1,211</w:t>
            </w:r>
          </w:p>
        </w:tc>
      </w:tr>
      <w:tr>
        <w:trPr>
          <w:trHeight w:val="264"/>
        </w:trPr>
        <w:tc>
          <w:tcPr>
            <w:tcW w:w="7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other expense, net</w:t>
            </w:r>
          </w:p>
        </w:tc>
        <w:tc>
          <w:tcPr>
            <w:tcW w:w="480" w:type="dxa"/>
            <w:vAlign w:val="bottom"/>
            <w:tcBorders>
              <w:bottom w:val="single" w:sz="8" w:color="auto"/>
            </w:tcBorders>
            <w:shd w:val="clear" w:color="auto" w:fill="CCEEFF"/>
          </w:tcPr>
          <w:p>
            <w:pPr>
              <w:spacing w:after="0"/>
              <w:rPr>
                <w:sz w:val="22"/>
                <w:szCs w:val="22"/>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(102,846)</w:t>
            </w:r>
          </w:p>
        </w:tc>
        <w:tc>
          <w:tcPr>
            <w:tcW w:w="80" w:type="dxa"/>
            <w:vAlign w:val="bottom"/>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spacing w:after="0"/>
              <w:rPr>
                <w:sz w:val="22"/>
                <w:szCs w:val="22"/>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(14,512)</w:t>
            </w:r>
          </w:p>
        </w:tc>
      </w:tr>
      <w:tr>
        <w:trPr>
          <w:trHeight w:val="263"/>
        </w:trPr>
        <w:tc>
          <w:tcPr>
            <w:tcW w:w="7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480" w:type="dxa"/>
            <w:vAlign w:val="bottom"/>
          </w:tcPr>
          <w:p>
            <w:pPr>
              <w:spacing w:after="0"/>
              <w:rPr>
                <w:sz w:val="22"/>
                <w:szCs w:val="22"/>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(206,687)</w:t>
            </w:r>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(62,147)</w:t>
            </w:r>
          </w:p>
        </w:tc>
      </w:tr>
      <w:tr>
        <w:trPr>
          <w:trHeight w:val="230"/>
        </w:trPr>
        <w:tc>
          <w:tcPr>
            <w:tcW w:w="71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4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8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w:t>
            </w:r>
          </w:p>
        </w:tc>
      </w:tr>
      <w:tr>
        <w:trPr>
          <w:trHeight w:val="263"/>
        </w:trPr>
        <w:tc>
          <w:tcPr>
            <w:tcW w:w="7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4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(206,904)</w:t>
            </w:r>
          </w:p>
        </w:tc>
        <w:tc>
          <w:tcPr>
            <w:tcW w:w="80" w:type="dxa"/>
            <w:vAlign w:val="bottom"/>
          </w:tcPr>
          <w:p>
            <w:pPr>
              <w:spacing w:after="0"/>
              <w:rPr>
                <w:sz w:val="22"/>
                <w:szCs w:val="22"/>
                <w:color w:val="auto"/>
              </w:rPr>
            </w:pPr>
          </w:p>
        </w:tc>
        <w:tc>
          <w:tcPr>
            <w:tcW w:w="4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(61,195)</w:t>
            </w:r>
          </w:p>
        </w:tc>
      </w:tr>
      <w:tr>
        <w:trPr>
          <w:trHeight w:val="20"/>
        </w:trPr>
        <w:tc>
          <w:tcPr>
            <w:tcW w:w="7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r>
        <w:trPr>
          <w:trHeight w:val="289"/>
        </w:trPr>
        <w:tc>
          <w:tcPr>
            <w:tcW w:w="7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per share - basic and diluted</w:t>
            </w: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8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r>
      <w:tr>
        <w:trPr>
          <w:trHeight w:val="20"/>
        </w:trPr>
        <w:tc>
          <w:tcPr>
            <w:tcW w:w="7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r>
        <w:trPr>
          <w:trHeight w:val="244"/>
        </w:trPr>
        <w:tc>
          <w:tcPr>
            <w:tcW w:w="7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 - basic and diluted</w:t>
            </w:r>
          </w:p>
        </w:tc>
        <w:tc>
          <w:tcPr>
            <w:tcW w:w="48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104,275,265</w:t>
            </w:r>
          </w:p>
        </w:tc>
        <w:tc>
          <w:tcPr>
            <w:tcW w:w="8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17,476,105</w:t>
            </w:r>
          </w:p>
        </w:tc>
      </w:tr>
      <w:tr>
        <w:trPr>
          <w:trHeight w:val="20"/>
        </w:trPr>
        <w:tc>
          <w:tcPr>
            <w:tcW w:w="7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240"/>
          </w:cols>
          <w:pgMar w:left="320" w:top="360" w:right="339" w:bottom="1440" w:gutter="0" w:footer="0" w:header="0"/>
        </w:sectPr>
      </w:pPr>
    </w:p>
    <w:bookmarkStart w:id="61" w:name="page62"/>
    <w:bookmarkEnd w:id="6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 (DEFICIT)</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(Amounts in thousands, except shares)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tbl>
      <w:tblPr>
        <w:tblLayout w:type="fixed"/>
        <w:tblInd w:w="2100" w:type="dxa"/>
        <w:tblCellMar>
          <w:top w:w="0" w:type="dxa"/>
          <w:left w:w="0" w:type="dxa"/>
          <w:bottom w:w="0" w:type="dxa"/>
          <w:right w:w="0" w:type="dxa"/>
        </w:tblCellMar>
      </w:tblPr>
      <w:tr>
        <w:trPr>
          <w:trHeight w:val="186"/>
        </w:trPr>
        <w:tc>
          <w:tcPr>
            <w:tcW w:w="16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Redeemable Convertible</w:t>
            </w:r>
          </w:p>
        </w:tc>
        <w:tc>
          <w:tcPr>
            <w:tcW w:w="158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Common Stock Subject</w:t>
            </w:r>
          </w:p>
        </w:tc>
        <w:tc>
          <w:tcPr>
            <w:tcW w:w="8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3"/>
          </w:tcPr>
          <w:p>
            <w:pPr>
              <w:ind w:left="440"/>
              <w:spacing w:after="0"/>
              <w:rPr>
                <w:sz w:val="20"/>
                <w:szCs w:val="20"/>
                <w:color w:val="auto"/>
              </w:rPr>
            </w:pPr>
            <w:r>
              <w:rPr>
                <w:rFonts w:ascii="Times New Roman" w:cs="Times New Roman" w:eastAsia="Times New Roman" w:hAnsi="Times New Roman"/>
                <w:sz w:val="13"/>
                <w:szCs w:val="13"/>
                <w:b w:val="1"/>
                <w:bCs w:val="1"/>
                <w:color w:val="auto"/>
              </w:rPr>
              <w:t>Stockholders’ Equity (Deficit)</w:t>
            </w:r>
          </w:p>
        </w:tc>
        <w:tc>
          <w:tcPr>
            <w:tcW w:w="9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1660" w:type="dxa"/>
            <w:vAlign w:val="bottom"/>
            <w:gridSpan w:val="2"/>
            <w:vMerge w:val="continue"/>
          </w:tcPr>
          <w:p>
            <w:pPr>
              <w:spacing w:after="0"/>
              <w:rPr>
                <w:sz w:val="2"/>
                <w:szCs w:val="2"/>
                <w:color w:val="auto"/>
              </w:rPr>
            </w:pPr>
          </w:p>
        </w:tc>
        <w:tc>
          <w:tcPr>
            <w:tcW w:w="1580" w:type="dxa"/>
            <w:vAlign w:val="bottom"/>
            <w:gridSpan w:val="3"/>
            <w:vMerge w:val="continue"/>
          </w:tcPr>
          <w:p>
            <w:pPr>
              <w:spacing w:after="0"/>
              <w:rPr>
                <w:sz w:val="2"/>
                <w:szCs w:val="2"/>
                <w:color w:val="auto"/>
              </w:rPr>
            </w:pPr>
          </w:p>
        </w:tc>
        <w:tc>
          <w:tcPr>
            <w:tcW w:w="1620" w:type="dxa"/>
            <w:vAlign w:val="bottom"/>
            <w:gridSpan w:val="3"/>
            <w:vMerge w:val="restart"/>
          </w:tcPr>
          <w:p>
            <w:pPr>
              <w:ind w:left="32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2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3"/>
                <w:szCs w:val="13"/>
                <w:b w:val="1"/>
                <w:bCs w:val="1"/>
                <w:color w:val="auto"/>
              </w:rPr>
              <w:t>Treasury Stock</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940" w:type="dxa"/>
            <w:vAlign w:val="bottom"/>
          </w:tcPr>
          <w:p>
            <w:pPr>
              <w:spacing w:after="0"/>
              <w:rPr>
                <w:sz w:val="2"/>
                <w:szCs w:val="2"/>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line="20" w:lineRule="exact"/>
              <w:rPr>
                <w:sz w:val="1"/>
                <w:szCs w:val="1"/>
                <w:color w:val="auto"/>
              </w:rPr>
            </w:pPr>
          </w:p>
        </w:tc>
      </w:tr>
      <w:tr>
        <w:trPr>
          <w:trHeight w:val="135"/>
        </w:trPr>
        <w:tc>
          <w:tcPr>
            <w:tcW w:w="166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Preferred Stock</w:t>
            </w:r>
          </w:p>
        </w:tc>
        <w:tc>
          <w:tcPr>
            <w:tcW w:w="1580" w:type="dxa"/>
            <w:vAlign w:val="bottom"/>
            <w:gridSpan w:val="3"/>
          </w:tcPr>
          <w:p>
            <w:pPr>
              <w:jc w:val="right"/>
              <w:ind w:right="140"/>
              <w:spacing w:after="0" w:line="135" w:lineRule="exact"/>
              <w:rPr>
                <w:sz w:val="20"/>
                <w:szCs w:val="20"/>
                <w:color w:val="auto"/>
              </w:rPr>
            </w:pPr>
            <w:r>
              <w:rPr>
                <w:rFonts w:ascii="Times New Roman" w:cs="Times New Roman" w:eastAsia="Times New Roman" w:hAnsi="Times New Roman"/>
                <w:sz w:val="13"/>
                <w:szCs w:val="13"/>
                <w:b w:val="1"/>
                <w:bCs w:val="1"/>
                <w:color w:val="auto"/>
              </w:rPr>
              <w:t>to Possible Redemption</w:t>
            </w:r>
          </w:p>
        </w:tc>
        <w:tc>
          <w:tcPr>
            <w:tcW w:w="1620" w:type="dxa"/>
            <w:vAlign w:val="bottom"/>
            <w:gridSpan w:val="3"/>
            <w:vMerge w:val="continue"/>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94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4"/>
        </w:trPr>
        <w:tc>
          <w:tcPr>
            <w:tcW w:w="88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940" w:type="dxa"/>
            <w:vAlign w:val="bottom"/>
            <w:vMerge w:val="restart"/>
          </w:tcPr>
          <w:p>
            <w:pPr>
              <w:jc w:val="center"/>
              <w:spacing w:after="0" w:line="108" w:lineRule="exact"/>
              <w:rPr>
                <w:sz w:val="20"/>
                <w:szCs w:val="20"/>
                <w:color w:val="auto"/>
              </w:rPr>
            </w:pPr>
            <w:r>
              <w:rPr>
                <w:rFonts w:ascii="Times New Roman" w:cs="Times New Roman" w:eastAsia="Times New Roman" w:hAnsi="Times New Roman"/>
                <w:sz w:val="12"/>
                <w:szCs w:val="12"/>
                <w:b w:val="1"/>
                <w:bCs w:val="1"/>
                <w:color w:val="auto"/>
              </w:rPr>
              <w:t>Paid-in</w:t>
            </w:r>
          </w:p>
        </w:tc>
        <w:tc>
          <w:tcPr>
            <w:tcW w:w="940" w:type="dxa"/>
            <w:vAlign w:val="bottom"/>
            <w:vMerge w:val="restart"/>
          </w:tcPr>
          <w:p>
            <w:pPr>
              <w:jc w:val="center"/>
              <w:spacing w:after="0" w:line="108" w:lineRule="exact"/>
              <w:rPr>
                <w:sz w:val="20"/>
                <w:szCs w:val="20"/>
                <w:color w:val="auto"/>
              </w:rPr>
            </w:pPr>
            <w:r>
              <w:rPr>
                <w:rFonts w:ascii="Times New Roman" w:cs="Times New Roman" w:eastAsia="Times New Roman" w:hAnsi="Times New Roman"/>
                <w:sz w:val="12"/>
                <w:szCs w:val="12"/>
                <w:b w:val="1"/>
                <w:bCs w:val="1"/>
                <w:color w:val="auto"/>
              </w:rPr>
              <w:t>Accumulated</w:t>
            </w:r>
          </w:p>
        </w:tc>
        <w:tc>
          <w:tcPr>
            <w:tcW w:w="1040" w:type="dxa"/>
            <w:vAlign w:val="bottom"/>
            <w:vMerge w:val="restart"/>
          </w:tcPr>
          <w:p>
            <w:pPr>
              <w:jc w:val="center"/>
              <w:spacing w:after="0" w:line="108" w:lineRule="exact"/>
              <w:rPr>
                <w:sz w:val="20"/>
                <w:szCs w:val="20"/>
                <w:color w:val="auto"/>
              </w:rPr>
            </w:pPr>
            <w:r>
              <w:rPr>
                <w:rFonts w:ascii="Times New Roman" w:cs="Times New Roman" w:eastAsia="Times New Roman" w:hAnsi="Times New Roman"/>
                <w:sz w:val="12"/>
                <w:szCs w:val="12"/>
                <w:b w:val="1"/>
                <w:bCs w:val="1"/>
                <w:color w:val="auto"/>
              </w:rPr>
              <w:t>Stockholders’</w:t>
            </w:r>
          </w:p>
        </w:tc>
        <w:tc>
          <w:tcPr>
            <w:tcW w:w="0" w:type="dxa"/>
            <w:vAlign w:val="bottom"/>
          </w:tcPr>
          <w:p>
            <w:pPr>
              <w:spacing w:after="0"/>
              <w:rPr>
                <w:sz w:val="1"/>
                <w:szCs w:val="1"/>
                <w:color w:val="auto"/>
              </w:rPr>
            </w:pPr>
          </w:p>
        </w:tc>
      </w:tr>
      <w:tr>
        <w:trPr>
          <w:trHeight w:val="34"/>
        </w:trPr>
        <w:tc>
          <w:tcPr>
            <w:tcW w:w="880" w:type="dxa"/>
            <w:vAlign w:val="bottom"/>
            <w:vMerge w:val="restart"/>
          </w:tcPr>
          <w:p>
            <w:pPr>
              <w:ind w:left="26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780" w:type="dxa"/>
            <w:vAlign w:val="bottom"/>
            <w:vMerge w:val="restart"/>
          </w:tcPr>
          <w:p>
            <w:pPr>
              <w:ind w:left="22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780" w:type="dxa"/>
            <w:vAlign w:val="bottom"/>
            <w:vMerge w:val="restart"/>
          </w:tcPr>
          <w:p>
            <w:pPr>
              <w:ind w:left="22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820" w:type="dxa"/>
            <w:vAlign w:val="bottom"/>
            <w:vMerge w:val="restart"/>
          </w:tcPr>
          <w:p>
            <w:pPr>
              <w:ind w:left="24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8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620" w:type="dxa"/>
            <w:vAlign w:val="bottom"/>
            <w:vMerge w:val="restart"/>
          </w:tcPr>
          <w:p>
            <w:pPr>
              <w:ind w:left="10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660" w:type="dxa"/>
            <w:vAlign w:val="bottom"/>
            <w:vMerge w:val="restart"/>
          </w:tcPr>
          <w:p>
            <w:pPr>
              <w:ind w:left="12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940" w:type="dxa"/>
            <w:vAlign w:val="bottom"/>
            <w:vMerge w:val="continue"/>
          </w:tcPr>
          <w:p>
            <w:pPr>
              <w:spacing w:after="0"/>
              <w:rPr>
                <w:sz w:val="2"/>
                <w:szCs w:val="2"/>
                <w:color w:val="auto"/>
              </w:rPr>
            </w:pPr>
          </w:p>
        </w:tc>
        <w:tc>
          <w:tcPr>
            <w:tcW w:w="940" w:type="dxa"/>
            <w:vAlign w:val="bottom"/>
            <w:vMerge w:val="continue"/>
          </w:tcPr>
          <w:p>
            <w:pPr>
              <w:spacing w:after="0"/>
              <w:rPr>
                <w:sz w:val="2"/>
                <w:szCs w:val="2"/>
                <w:color w:val="auto"/>
              </w:rPr>
            </w:pPr>
          </w:p>
        </w:tc>
        <w:tc>
          <w:tcPr>
            <w:tcW w:w="10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88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Equity (Deficit)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wp:posOffset>
            </wp:positionV>
            <wp:extent cx="7098030" cy="1454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098030" cy="145415"/>
                    </a:xfrm>
                    <a:prstGeom prst="rect">
                      <a:avLst/>
                    </a:prstGeom>
                    <a:noFill/>
                  </pic:spPr>
                </pic:pic>
              </a:graphicData>
            </a:graphic>
          </wp:anchor>
        </w:drawing>
      </w:r>
    </w:p>
    <w:p>
      <w:pPr>
        <w:sectPr>
          <w:pgSz w:w="11900" w:h="16838" w:orient="portrait"/>
          <w:cols w:equalWidth="0" w:num="1">
            <w:col w:w="11160"/>
          </w:cols>
          <w:pgMar w:left="340" w:top="360" w:right="399" w:bottom="1440" w:gutter="0" w:footer="0" w:header="0"/>
        </w:sectPr>
      </w:pPr>
    </w:p>
    <w:tbl>
      <w:tblPr>
        <w:tblLayout w:type="fixed"/>
        <w:tblInd w:w="0" w:type="dxa"/>
        <w:tblCellMar>
          <w:top w:w="0" w:type="dxa"/>
          <w:left w:w="0" w:type="dxa"/>
          <w:bottom w:w="0" w:type="dxa"/>
          <w:right w:w="0" w:type="dxa"/>
        </w:tblCellMar>
      </w:tblPr>
      <w:tr>
        <w:trPr>
          <w:trHeight w:val="215"/>
        </w:trPr>
        <w:tc>
          <w:tcPr>
            <w:tcW w:w="2100" w:type="dxa"/>
            <w:vAlign w:val="bottom"/>
          </w:tcPr>
          <w:p>
            <w:pPr>
              <w:spacing w:after="0"/>
              <w:rPr>
                <w:sz w:val="20"/>
                <w:szCs w:val="20"/>
                <w:color w:val="auto"/>
              </w:rPr>
            </w:pPr>
            <w:r>
              <w:rPr>
                <w:rFonts w:ascii="Times New Roman" w:cs="Times New Roman" w:eastAsia="Times New Roman" w:hAnsi="Times New Roman"/>
                <w:sz w:val="16"/>
                <w:szCs w:val="16"/>
                <w:color w:val="auto"/>
              </w:rPr>
              <w:t>Balance as of January 1, 2024</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34,712,525</w:t>
            </w:r>
          </w:p>
        </w:tc>
        <w:tc>
          <w:tcPr>
            <w:tcW w:w="80" w:type="dxa"/>
            <w:vAlign w:val="bottom"/>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$173,347</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168"/>
        </w:trPr>
        <w:tc>
          <w:tcPr>
            <w:tcW w:w="2100" w:type="dxa"/>
            <w:vAlign w:val="bottom"/>
          </w:tcPr>
          <w:p>
            <w:pPr>
              <w:ind w:left="120"/>
              <w:spacing w:after="0" w:line="168" w:lineRule="exact"/>
              <w:rPr>
                <w:sz w:val="20"/>
                <w:szCs w:val="20"/>
                <w:color w:val="auto"/>
              </w:rPr>
            </w:pPr>
            <w:r>
              <w:rPr>
                <w:rFonts w:ascii="Times New Roman" w:cs="Times New Roman" w:eastAsia="Times New Roman" w:hAnsi="Times New Roman"/>
                <w:sz w:val="16"/>
                <w:szCs w:val="16"/>
                <w:color w:val="auto"/>
              </w:rPr>
              <w:t>Retroactive application of</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(34,712,525)</w:t>
            </w:r>
          </w:p>
        </w:tc>
        <w:tc>
          <w:tcPr>
            <w:tcW w:w="8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(173,347)</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vMerge w:val="restart"/>
          </w:tcPr>
          <w:p>
            <w:pPr>
              <w:spacing w:after="0"/>
              <w:rPr>
                <w:sz w:val="14"/>
                <w:szCs w:val="14"/>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5"/>
        </w:trPr>
        <w:tc>
          <w:tcPr>
            <w:tcW w:w="21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recapitalization</w:t>
            </w:r>
          </w:p>
        </w:tc>
        <w:tc>
          <w:tcPr>
            <w:tcW w:w="90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6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2100" w:type="dxa"/>
            <w:vAlign w:val="bottom"/>
          </w:tcPr>
          <w:p>
            <w:pPr>
              <w:spacing w:after="0" w:line="148" w:lineRule="exact"/>
              <w:rPr>
                <w:sz w:val="20"/>
                <w:szCs w:val="20"/>
                <w:color w:val="auto"/>
              </w:rPr>
            </w:pPr>
            <w:r>
              <w:rPr>
                <w:rFonts w:ascii="Times New Roman" w:cs="Times New Roman" w:eastAsia="Times New Roman" w:hAnsi="Times New Roman"/>
                <w:sz w:val="16"/>
                <w:szCs w:val="16"/>
                <w:b w:val="1"/>
                <w:bCs w:val="1"/>
                <w:color w:val="auto"/>
              </w:rPr>
              <w:t>Adjusted balance - January 1,</w:t>
            </w:r>
          </w:p>
        </w:tc>
        <w:tc>
          <w:tcPr>
            <w:tcW w:w="9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21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2024</w:t>
            </w:r>
          </w:p>
        </w:tc>
        <w:tc>
          <w:tcPr>
            <w:tcW w:w="980" w:type="dxa"/>
            <w:vAlign w:val="bottom"/>
            <w:gridSpan w:val="2"/>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6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1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Exercise of stock options</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21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Stock-based compensation</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21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loss</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48"/>
        </w:trPr>
        <w:tc>
          <w:tcPr>
            <w:tcW w:w="2100" w:type="dxa"/>
            <w:vAlign w:val="bottom"/>
          </w:tcPr>
          <w:p>
            <w:pPr>
              <w:spacing w:after="0" w:line="148" w:lineRule="exact"/>
              <w:rPr>
                <w:sz w:val="20"/>
                <w:szCs w:val="20"/>
                <w:color w:val="auto"/>
              </w:rPr>
            </w:pPr>
            <w:r>
              <w:rPr>
                <w:rFonts w:ascii="Times New Roman" w:cs="Times New Roman" w:eastAsia="Times New Roman" w:hAnsi="Times New Roman"/>
                <w:sz w:val="16"/>
                <w:szCs w:val="16"/>
                <w:b w:val="1"/>
                <w:bCs w:val="1"/>
                <w:color w:val="auto"/>
              </w:rPr>
              <w:t>Balance as of December 31,</w:t>
            </w:r>
          </w:p>
        </w:tc>
        <w:tc>
          <w:tcPr>
            <w:tcW w:w="9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12"/>
        </w:trPr>
        <w:tc>
          <w:tcPr>
            <w:tcW w:w="21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2024</w:t>
            </w:r>
          </w:p>
        </w:tc>
        <w:tc>
          <w:tcPr>
            <w:tcW w:w="980" w:type="dxa"/>
            <w:vAlign w:val="bottom"/>
            <w:gridSpan w:val="2"/>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6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100" w:type="dxa"/>
            <w:vAlign w:val="bottom"/>
          </w:tcPr>
          <w:p>
            <w:pPr>
              <w:ind w:left="120"/>
              <w:spacing w:after="0" w:line="166" w:lineRule="exact"/>
              <w:rPr>
                <w:sz w:val="20"/>
                <w:szCs w:val="20"/>
                <w:color w:val="auto"/>
              </w:rPr>
            </w:pPr>
            <w:r>
              <w:rPr>
                <w:rFonts w:ascii="Times New Roman" w:cs="Times New Roman" w:eastAsia="Times New Roman" w:hAnsi="Times New Roman"/>
                <w:sz w:val="16"/>
                <w:szCs w:val="16"/>
                <w:color w:val="auto"/>
              </w:rPr>
              <w:t>Conversion of Legacy Blaize</w:t>
            </w:r>
          </w:p>
        </w:tc>
        <w:tc>
          <w:tcPr>
            <w:tcW w:w="9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21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convertible notes</w:t>
            </w:r>
          </w:p>
        </w:tc>
        <w:tc>
          <w:tcPr>
            <w:tcW w:w="980" w:type="dxa"/>
            <w:vAlign w:val="bottom"/>
            <w:gridSpan w:val="2"/>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6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2100" w:type="dxa"/>
            <w:vAlign w:val="bottom"/>
          </w:tcPr>
          <w:p>
            <w:pPr>
              <w:ind w:left="120"/>
              <w:spacing w:after="0" w:line="168" w:lineRule="exact"/>
              <w:rPr>
                <w:sz w:val="20"/>
                <w:szCs w:val="20"/>
                <w:color w:val="auto"/>
              </w:rPr>
            </w:pPr>
            <w:r>
              <w:rPr>
                <w:rFonts w:ascii="Times New Roman" w:cs="Times New Roman" w:eastAsia="Times New Roman" w:hAnsi="Times New Roman"/>
                <w:sz w:val="16"/>
                <w:szCs w:val="16"/>
                <w:color w:val="auto"/>
              </w:rPr>
              <w:t>Net exercise of Legacy Blaize</w:t>
            </w:r>
          </w:p>
        </w:tc>
        <w:tc>
          <w:tcPr>
            <w:tcW w:w="9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21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warrants</w:t>
            </w:r>
          </w:p>
        </w:tc>
        <w:tc>
          <w:tcPr>
            <w:tcW w:w="980" w:type="dxa"/>
            <w:vAlign w:val="bottom"/>
            <w:gridSpan w:val="2"/>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6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Merger and PIPE financing</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2,854,242</w:t>
            </w: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33,061</w:t>
            </w:r>
          </w:p>
        </w:tc>
        <w:tc>
          <w:tcPr>
            <w:tcW w:w="0" w:type="dxa"/>
            <w:vAlign w:val="bottom"/>
          </w:tcPr>
          <w:p>
            <w:pPr>
              <w:spacing w:after="0"/>
              <w:rPr>
                <w:sz w:val="1"/>
                <w:szCs w:val="1"/>
                <w:color w:val="auto"/>
              </w:rPr>
            </w:pPr>
          </w:p>
        </w:tc>
      </w:tr>
      <w:tr>
        <w:trPr>
          <w:trHeight w:val="168"/>
        </w:trPr>
        <w:tc>
          <w:tcPr>
            <w:tcW w:w="2100" w:type="dxa"/>
            <w:vAlign w:val="bottom"/>
          </w:tcPr>
          <w:p>
            <w:pPr>
              <w:ind w:left="120"/>
              <w:spacing w:after="0" w:line="168" w:lineRule="exact"/>
              <w:rPr>
                <w:sz w:val="20"/>
                <w:szCs w:val="20"/>
                <w:color w:val="auto"/>
              </w:rPr>
            </w:pPr>
            <w:r>
              <w:rPr>
                <w:rFonts w:ascii="Times New Roman" w:cs="Times New Roman" w:eastAsia="Times New Roman" w:hAnsi="Times New Roman"/>
                <w:sz w:val="16"/>
                <w:szCs w:val="16"/>
                <w:color w:val="auto"/>
              </w:rPr>
              <w:t>Payment on shareholder note</w:t>
            </w:r>
          </w:p>
        </w:tc>
        <w:tc>
          <w:tcPr>
            <w:tcW w:w="9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21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receivable</w:t>
            </w:r>
          </w:p>
        </w:tc>
        <w:tc>
          <w:tcPr>
            <w:tcW w:w="980" w:type="dxa"/>
            <w:vAlign w:val="bottom"/>
            <w:gridSpan w:val="2"/>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6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2100" w:type="dxa"/>
            <w:vAlign w:val="bottom"/>
          </w:tcPr>
          <w:p>
            <w:pPr>
              <w:ind w:left="120"/>
              <w:spacing w:after="0" w:line="168" w:lineRule="exact"/>
              <w:rPr>
                <w:sz w:val="20"/>
                <w:szCs w:val="20"/>
                <w:color w:val="auto"/>
              </w:rPr>
            </w:pPr>
            <w:r>
              <w:rPr>
                <w:rFonts w:ascii="Times New Roman" w:cs="Times New Roman" w:eastAsia="Times New Roman" w:hAnsi="Times New Roman"/>
                <w:sz w:val="16"/>
                <w:szCs w:val="16"/>
                <w:color w:val="auto"/>
              </w:rPr>
              <w:t>Issuance of common stock to</w:t>
            </w:r>
          </w:p>
        </w:tc>
        <w:tc>
          <w:tcPr>
            <w:tcW w:w="9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21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advisors</w:t>
            </w:r>
          </w:p>
        </w:tc>
        <w:tc>
          <w:tcPr>
            <w:tcW w:w="980" w:type="dxa"/>
            <w:vAlign w:val="bottom"/>
            <w:gridSpan w:val="2"/>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6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2100" w:type="dxa"/>
            <w:vAlign w:val="bottom"/>
          </w:tcPr>
          <w:p>
            <w:pPr>
              <w:ind w:left="120"/>
              <w:spacing w:after="0" w:line="168" w:lineRule="exact"/>
              <w:rPr>
                <w:sz w:val="20"/>
                <w:szCs w:val="20"/>
                <w:color w:val="auto"/>
              </w:rPr>
            </w:pPr>
            <w:r>
              <w:rPr>
                <w:rFonts w:ascii="Times New Roman" w:cs="Times New Roman" w:eastAsia="Times New Roman" w:hAnsi="Times New Roman"/>
                <w:sz w:val="16"/>
                <w:szCs w:val="16"/>
                <w:color w:val="auto"/>
              </w:rPr>
              <w:t>Issuance of common stock</w:t>
            </w:r>
          </w:p>
        </w:tc>
        <w:tc>
          <w:tcPr>
            <w:tcW w:w="9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21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warrants to advisor</w:t>
            </w:r>
          </w:p>
        </w:tc>
        <w:tc>
          <w:tcPr>
            <w:tcW w:w="980" w:type="dxa"/>
            <w:vAlign w:val="bottom"/>
            <w:gridSpan w:val="2"/>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6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Increase in redemption value</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603</w:t>
            </w:r>
          </w:p>
        </w:tc>
        <w:tc>
          <w:tcPr>
            <w:tcW w:w="0" w:type="dxa"/>
            <w:vAlign w:val="bottom"/>
          </w:tcPr>
          <w:p>
            <w:pPr>
              <w:spacing w:after="0"/>
              <w:rPr>
                <w:sz w:val="1"/>
                <w:szCs w:val="1"/>
                <w:color w:val="auto"/>
              </w:rPr>
            </w:pPr>
          </w:p>
        </w:tc>
      </w:tr>
      <w:tr>
        <w:trPr>
          <w:trHeight w:val="168"/>
        </w:trPr>
        <w:tc>
          <w:tcPr>
            <w:tcW w:w="2100" w:type="dxa"/>
            <w:vAlign w:val="bottom"/>
          </w:tcPr>
          <w:p>
            <w:pPr>
              <w:ind w:left="120"/>
              <w:spacing w:after="0" w:line="168" w:lineRule="exact"/>
              <w:rPr>
                <w:sz w:val="20"/>
                <w:szCs w:val="20"/>
                <w:color w:val="auto"/>
              </w:rPr>
            </w:pPr>
            <w:r>
              <w:rPr>
                <w:rFonts w:ascii="Times New Roman" w:cs="Times New Roman" w:eastAsia="Times New Roman" w:hAnsi="Times New Roman"/>
                <w:sz w:val="16"/>
                <w:szCs w:val="16"/>
                <w:color w:val="auto"/>
              </w:rPr>
              <w:t>Redemption of common stock</w:t>
            </w:r>
          </w:p>
        </w:tc>
        <w:tc>
          <w:tcPr>
            <w:tcW w:w="9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(2,800,489)</w:t>
            </w:r>
          </w:p>
        </w:tc>
        <w:tc>
          <w:tcPr>
            <w:tcW w:w="80" w:type="dxa"/>
            <w:vAlign w:val="bottom"/>
          </w:tcPr>
          <w:p>
            <w:pPr>
              <w:spacing w:after="0"/>
              <w:rPr>
                <w:sz w:val="14"/>
                <w:szCs w:val="14"/>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(33,157)</w:t>
            </w:r>
          </w:p>
        </w:tc>
        <w:tc>
          <w:tcPr>
            <w:tcW w:w="0" w:type="dxa"/>
            <w:vAlign w:val="bottom"/>
          </w:tcPr>
          <w:p>
            <w:pPr>
              <w:spacing w:after="0"/>
              <w:rPr>
                <w:sz w:val="1"/>
                <w:szCs w:val="1"/>
                <w:color w:val="auto"/>
              </w:rPr>
            </w:pPr>
          </w:p>
        </w:tc>
      </w:tr>
      <w:tr>
        <w:trPr>
          <w:trHeight w:val="210"/>
        </w:trPr>
        <w:tc>
          <w:tcPr>
            <w:tcW w:w="21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subject to possible redemption</w:t>
            </w:r>
          </w:p>
        </w:tc>
        <w:tc>
          <w:tcPr>
            <w:tcW w:w="980" w:type="dxa"/>
            <w:vAlign w:val="bottom"/>
            <w:gridSpan w:val="2"/>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8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Lapse of redemption</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(53,753)</w:t>
            </w: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(507)</w:t>
            </w:r>
          </w:p>
        </w:tc>
        <w:tc>
          <w:tcPr>
            <w:tcW w:w="0" w:type="dxa"/>
            <w:vAlign w:val="bottom"/>
          </w:tcPr>
          <w:p>
            <w:pPr>
              <w:spacing w:after="0"/>
              <w:rPr>
                <w:sz w:val="1"/>
                <w:szCs w:val="1"/>
                <w:color w:val="auto"/>
              </w:rPr>
            </w:pPr>
          </w:p>
        </w:tc>
      </w:tr>
      <w:tr>
        <w:trPr>
          <w:trHeight w:val="216"/>
        </w:trPr>
        <w:tc>
          <w:tcPr>
            <w:tcW w:w="21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Exercises of stock options</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8"/>
        </w:trPr>
        <w:tc>
          <w:tcPr>
            <w:tcW w:w="2100" w:type="dxa"/>
            <w:vAlign w:val="bottom"/>
          </w:tcPr>
          <w:p>
            <w:pPr>
              <w:ind w:left="120"/>
              <w:spacing w:after="0" w:line="168" w:lineRule="exact"/>
              <w:rPr>
                <w:sz w:val="20"/>
                <w:szCs w:val="20"/>
                <w:color w:val="auto"/>
              </w:rPr>
            </w:pPr>
            <w:r>
              <w:rPr>
                <w:rFonts w:ascii="Times New Roman" w:cs="Times New Roman" w:eastAsia="Times New Roman" w:hAnsi="Times New Roman"/>
                <w:sz w:val="16"/>
                <w:szCs w:val="16"/>
                <w:color w:val="auto"/>
              </w:rPr>
              <w:t>Releases of restricted stock</w:t>
            </w:r>
          </w:p>
        </w:tc>
        <w:tc>
          <w:tcPr>
            <w:tcW w:w="9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21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units</w:t>
            </w:r>
          </w:p>
        </w:tc>
        <w:tc>
          <w:tcPr>
            <w:tcW w:w="980" w:type="dxa"/>
            <w:vAlign w:val="bottom"/>
            <w:gridSpan w:val="2"/>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6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2100" w:type="dxa"/>
            <w:vAlign w:val="bottom"/>
          </w:tcPr>
          <w:p>
            <w:pPr>
              <w:ind w:left="120"/>
              <w:spacing w:after="0" w:line="168" w:lineRule="exact"/>
              <w:rPr>
                <w:sz w:val="20"/>
                <w:szCs w:val="20"/>
                <w:color w:val="auto"/>
              </w:rPr>
            </w:pPr>
            <w:r>
              <w:rPr>
                <w:rFonts w:ascii="Times New Roman" w:cs="Times New Roman" w:eastAsia="Times New Roman" w:hAnsi="Times New Roman"/>
                <w:sz w:val="16"/>
                <w:szCs w:val="16"/>
                <w:color w:val="auto"/>
              </w:rPr>
              <w:t>Common stock issued under</w:t>
            </w:r>
          </w:p>
        </w:tc>
        <w:tc>
          <w:tcPr>
            <w:tcW w:w="9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21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the committed equity facility</w:t>
            </w:r>
          </w:p>
        </w:tc>
        <w:tc>
          <w:tcPr>
            <w:tcW w:w="980" w:type="dxa"/>
            <w:vAlign w:val="bottom"/>
            <w:gridSpan w:val="2"/>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6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2100" w:type="dxa"/>
            <w:vAlign w:val="bottom"/>
          </w:tcPr>
          <w:p>
            <w:pPr>
              <w:ind w:left="120"/>
              <w:spacing w:after="0" w:line="168" w:lineRule="exact"/>
              <w:rPr>
                <w:sz w:val="20"/>
                <w:szCs w:val="20"/>
                <w:color w:val="auto"/>
              </w:rPr>
            </w:pPr>
            <w:r>
              <w:rPr>
                <w:rFonts w:ascii="Times New Roman" w:cs="Times New Roman" w:eastAsia="Times New Roman" w:hAnsi="Times New Roman"/>
                <w:sz w:val="16"/>
                <w:szCs w:val="16"/>
                <w:color w:val="auto"/>
              </w:rPr>
              <w:t>Committed equity facility fee</w:t>
            </w:r>
          </w:p>
        </w:tc>
        <w:tc>
          <w:tcPr>
            <w:tcW w:w="9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21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settled in common stock</w:t>
            </w:r>
          </w:p>
        </w:tc>
        <w:tc>
          <w:tcPr>
            <w:tcW w:w="980" w:type="dxa"/>
            <w:vAlign w:val="bottom"/>
            <w:gridSpan w:val="2"/>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6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2100" w:type="dxa"/>
            <w:vAlign w:val="bottom"/>
          </w:tcPr>
          <w:p>
            <w:pPr>
              <w:ind w:left="120"/>
              <w:spacing w:after="0" w:line="168" w:lineRule="exact"/>
              <w:rPr>
                <w:sz w:val="20"/>
                <w:szCs w:val="20"/>
                <w:color w:val="auto"/>
              </w:rPr>
            </w:pPr>
            <w:r>
              <w:rPr>
                <w:rFonts w:ascii="Times New Roman" w:cs="Times New Roman" w:eastAsia="Times New Roman" w:hAnsi="Times New Roman"/>
                <w:sz w:val="16"/>
                <w:szCs w:val="16"/>
                <w:color w:val="auto"/>
              </w:rPr>
              <w:t>Issuance of common stock to</w:t>
            </w:r>
          </w:p>
        </w:tc>
        <w:tc>
          <w:tcPr>
            <w:tcW w:w="9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21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Polar</w:t>
            </w:r>
          </w:p>
        </w:tc>
        <w:tc>
          <w:tcPr>
            <w:tcW w:w="980" w:type="dxa"/>
            <w:vAlign w:val="bottom"/>
            <w:gridSpan w:val="2"/>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6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Excise tax reversal</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21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Stock-based compensation</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21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loss</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13,613,269</w:t>
            </w:r>
          </w:p>
        </w:tc>
        <w:tc>
          <w:tcPr>
            <w:tcW w:w="80" w:type="dxa"/>
            <w:vAlign w:val="bottom"/>
          </w:tcPr>
          <w:p>
            <w:pPr>
              <w:spacing w:after="0"/>
              <w:rPr>
                <w:sz w:val="18"/>
                <w:szCs w:val="18"/>
                <w:color w:val="auto"/>
              </w:rPr>
            </w:pPr>
          </w:p>
        </w:tc>
        <w:tc>
          <w:tcPr>
            <w:tcW w:w="24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96,887</w:t>
            </w:r>
          </w:p>
        </w:tc>
        <w:tc>
          <w:tcPr>
            <w:tcW w:w="80" w:type="dxa"/>
            <w:vAlign w:val="bottom"/>
          </w:tcPr>
          <w:p>
            <w:pPr>
              <w:spacing w:after="0"/>
              <w:rPr>
                <w:sz w:val="18"/>
                <w:szCs w:val="18"/>
                <w:color w:val="auto"/>
              </w:rPr>
            </w:pPr>
          </w:p>
        </w:tc>
        <w:tc>
          <w:tcPr>
            <w:tcW w:w="24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141,496</w:t>
            </w:r>
          </w:p>
        </w:tc>
        <w:tc>
          <w:tcPr>
            <w:tcW w:w="80" w:type="dxa"/>
            <w:vAlign w:val="bottom"/>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(368,056)</w:t>
            </w:r>
          </w:p>
        </w:tc>
        <w:tc>
          <w:tcPr>
            <w:tcW w:w="80" w:type="dxa"/>
            <w:vAlign w:val="bottom"/>
          </w:tcPr>
          <w:p>
            <w:pPr>
              <w:spacing w:after="0"/>
              <w:rPr>
                <w:sz w:val="18"/>
                <w:szCs w:val="18"/>
                <w:color w:val="auto"/>
              </w:rPr>
            </w:pPr>
          </w:p>
        </w:tc>
        <w:tc>
          <w:tcPr>
            <w:tcW w:w="24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(226,560)</w:t>
            </w:r>
          </w:p>
        </w:tc>
      </w:tr>
      <w:tr>
        <w:trPr>
          <w:trHeight w:val="381"/>
        </w:trPr>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34,712,525</w:t>
            </w: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80" w:type="dxa"/>
            <w:vAlign w:val="bottom"/>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(96,887)</w:t>
            </w: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173,342</w:t>
            </w:r>
          </w:p>
        </w:tc>
        <w:tc>
          <w:tcPr>
            <w:tcW w:w="80" w:type="dxa"/>
            <w:vAlign w:val="bottom"/>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173,347</w:t>
            </w:r>
          </w:p>
        </w:tc>
      </w:tr>
      <w:tr>
        <w:trPr>
          <w:trHeight w:val="355"/>
        </w:trPr>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48,325,794</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80" w:type="dxa"/>
            <w:vAlign w:val="bottom"/>
          </w:tcPr>
          <w:p>
            <w:pPr>
              <w:spacing w:after="0"/>
              <w:rPr>
                <w:sz w:val="24"/>
                <w:szCs w:val="24"/>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4"/>
                <w:szCs w:val="24"/>
                <w:color w:val="auto"/>
              </w:rPr>
            </w:pPr>
          </w:p>
        </w:tc>
        <w:tc>
          <w:tcPr>
            <w:tcW w:w="4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314,838</w:t>
            </w:r>
          </w:p>
        </w:tc>
        <w:tc>
          <w:tcPr>
            <w:tcW w:w="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(368,056)</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(53,213)</w:t>
            </w:r>
          </w:p>
        </w:tc>
      </w:tr>
      <w:tr>
        <w:trPr>
          <w:trHeight w:val="216"/>
        </w:trPr>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50,258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4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8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w:t>
            </w:r>
          </w:p>
        </w:tc>
      </w:tr>
      <w:tr>
        <w:trPr>
          <w:trHeight w:val="216"/>
        </w:trPr>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4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3,847</w:t>
            </w:r>
          </w:p>
        </w:tc>
        <w:tc>
          <w:tcPr>
            <w:tcW w:w="8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3,847</w:t>
            </w:r>
          </w:p>
        </w:tc>
      </w:tr>
      <w:tr>
        <w:trPr>
          <w:trHeight w:val="219"/>
        </w:trPr>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(61,195)</w:t>
            </w: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(61,195)</w:t>
            </w:r>
          </w:p>
        </w:tc>
      </w:tr>
      <w:tr>
        <w:trPr>
          <w:trHeight w:val="355"/>
        </w:trPr>
        <w:tc>
          <w:tcPr>
            <w:tcW w:w="8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48,376,052</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w:t>
            </w:r>
          </w:p>
        </w:tc>
        <w:tc>
          <w:tcPr>
            <w:tcW w:w="80" w:type="dxa"/>
            <w:vAlign w:val="bottom"/>
          </w:tcPr>
          <w:p>
            <w:pPr>
              <w:spacing w:after="0"/>
              <w:rPr>
                <w:sz w:val="24"/>
                <w:szCs w:val="24"/>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w:t>
            </w:r>
          </w:p>
        </w:tc>
        <w:tc>
          <w:tcPr>
            <w:tcW w:w="240" w:type="dxa"/>
            <w:vAlign w:val="bottom"/>
          </w:tcPr>
          <w:p>
            <w:pPr>
              <w:spacing w:after="0"/>
              <w:rPr>
                <w:sz w:val="24"/>
                <w:szCs w:val="24"/>
                <w:color w:val="auto"/>
              </w:rPr>
            </w:pPr>
          </w:p>
        </w:tc>
        <w:tc>
          <w:tcPr>
            <w:tcW w:w="44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318,783</w:t>
            </w:r>
          </w:p>
        </w:tc>
        <w:tc>
          <w:tcPr>
            <w:tcW w:w="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(429,251)</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(110,463)</w:t>
            </w:r>
          </w:p>
        </w:tc>
      </w:tr>
      <w:tr>
        <w:trPr>
          <w:trHeight w:val="378"/>
        </w:trPr>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31,433,259</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tcPr>
          <w:p>
            <w:pPr>
              <w:spacing w:after="0"/>
              <w:rPr>
                <w:sz w:val="24"/>
                <w:szCs w:val="24"/>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4"/>
                <w:szCs w:val="24"/>
                <w:color w:val="auto"/>
              </w:rPr>
            </w:pPr>
          </w:p>
        </w:tc>
        <w:tc>
          <w:tcPr>
            <w:tcW w:w="4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314,331</w:t>
            </w:r>
          </w:p>
        </w:tc>
        <w:tc>
          <w:tcPr>
            <w:tcW w:w="80" w:type="dxa"/>
            <w:vAlign w:val="bottom"/>
          </w:tcPr>
          <w:p>
            <w:pPr>
              <w:spacing w:after="0"/>
              <w:rPr>
                <w:sz w:val="24"/>
                <w:szCs w:val="24"/>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314,334</w:t>
            </w:r>
          </w:p>
        </w:tc>
      </w:tr>
      <w:tr>
        <w:trPr>
          <w:trHeight w:val="378"/>
        </w:trPr>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7,505,657</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24"/>
                <w:szCs w:val="24"/>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4"/>
                <w:szCs w:val="24"/>
                <w:color w:val="auto"/>
              </w:rPr>
            </w:pPr>
          </w:p>
        </w:tc>
        <w:tc>
          <w:tcPr>
            <w:tcW w:w="4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75,056</w:t>
            </w:r>
          </w:p>
        </w:tc>
        <w:tc>
          <w:tcPr>
            <w:tcW w:w="80" w:type="dxa"/>
            <w:vAlign w:val="bottom"/>
          </w:tcPr>
          <w:p>
            <w:pPr>
              <w:spacing w:after="0"/>
              <w:rPr>
                <w:sz w:val="24"/>
                <w:szCs w:val="24"/>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75,057</w:t>
            </w:r>
          </w:p>
        </w:tc>
      </w:tr>
      <w:tr>
        <w:trPr>
          <w:trHeight w:val="216"/>
        </w:trPr>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11,408,957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4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(126,165)</w:t>
            </w:r>
          </w:p>
        </w:tc>
        <w:tc>
          <w:tcPr>
            <w:tcW w:w="8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(126,164)</w:t>
            </w:r>
          </w:p>
        </w:tc>
      </w:tr>
      <w:tr>
        <w:trPr>
          <w:trHeight w:val="378"/>
        </w:trPr>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4"/>
                <w:szCs w:val="24"/>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4"/>
                <w:szCs w:val="24"/>
                <w:color w:val="auto"/>
              </w:rPr>
            </w:pPr>
          </w:p>
        </w:tc>
        <w:tc>
          <w:tcPr>
            <w:tcW w:w="4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80" w:type="dxa"/>
            <w:vAlign w:val="bottom"/>
          </w:tcPr>
          <w:p>
            <w:pPr>
              <w:spacing w:after="0"/>
              <w:rPr>
                <w:sz w:val="24"/>
                <w:szCs w:val="24"/>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w:t>
            </w:r>
          </w:p>
        </w:tc>
      </w:tr>
      <w:tr>
        <w:trPr>
          <w:trHeight w:val="378"/>
        </w:trPr>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873,486</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4"/>
                <w:szCs w:val="24"/>
                <w:color w:val="auto"/>
              </w:rPr>
            </w:pPr>
          </w:p>
        </w:tc>
        <w:tc>
          <w:tcPr>
            <w:tcW w:w="4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2,788</w:t>
            </w:r>
          </w:p>
        </w:tc>
        <w:tc>
          <w:tcPr>
            <w:tcW w:w="80" w:type="dxa"/>
            <w:vAlign w:val="bottom"/>
          </w:tcPr>
          <w:p>
            <w:pPr>
              <w:spacing w:after="0"/>
              <w:rPr>
                <w:sz w:val="24"/>
                <w:szCs w:val="24"/>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2,788</w:t>
            </w:r>
          </w:p>
        </w:tc>
      </w:tr>
      <w:tr>
        <w:trPr>
          <w:trHeight w:val="378"/>
        </w:trPr>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4"/>
                <w:szCs w:val="24"/>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4"/>
                <w:szCs w:val="24"/>
                <w:color w:val="auto"/>
              </w:rPr>
            </w:pPr>
          </w:p>
        </w:tc>
        <w:tc>
          <w:tcPr>
            <w:tcW w:w="4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w:t>
            </w:r>
          </w:p>
        </w:tc>
        <w:tc>
          <w:tcPr>
            <w:tcW w:w="80" w:type="dxa"/>
            <w:vAlign w:val="bottom"/>
          </w:tcPr>
          <w:p>
            <w:pPr>
              <w:spacing w:after="0"/>
              <w:rPr>
                <w:sz w:val="24"/>
                <w:szCs w:val="24"/>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w:t>
            </w:r>
          </w:p>
        </w:tc>
      </w:tr>
      <w:tr>
        <w:trPr>
          <w:trHeight w:val="216"/>
        </w:trPr>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4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378"/>
        </w:trPr>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4"/>
                <w:szCs w:val="24"/>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4"/>
                <w:szCs w:val="24"/>
                <w:color w:val="auto"/>
              </w:rPr>
            </w:pPr>
          </w:p>
        </w:tc>
        <w:tc>
          <w:tcPr>
            <w:tcW w:w="4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53,706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4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490</w:t>
            </w:r>
          </w:p>
        </w:tc>
        <w:tc>
          <w:tcPr>
            <w:tcW w:w="8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490</w:t>
            </w:r>
          </w:p>
        </w:tc>
      </w:tr>
      <w:tr>
        <w:trPr>
          <w:trHeight w:val="216"/>
        </w:trPr>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562,446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4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345</w:t>
            </w:r>
          </w:p>
        </w:tc>
        <w:tc>
          <w:tcPr>
            <w:tcW w:w="8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345</w:t>
            </w:r>
          </w:p>
        </w:tc>
      </w:tr>
      <w:tr>
        <w:trPr>
          <w:trHeight w:val="378"/>
        </w:trPr>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3,961,729</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24"/>
                <w:szCs w:val="24"/>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4"/>
                <w:szCs w:val="24"/>
                <w:color w:val="auto"/>
              </w:rPr>
            </w:pPr>
          </w:p>
        </w:tc>
        <w:tc>
          <w:tcPr>
            <w:tcW w:w="4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378"/>
        </w:trPr>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8,410,321</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24"/>
                <w:szCs w:val="24"/>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4"/>
                <w:szCs w:val="24"/>
                <w:color w:val="auto"/>
              </w:rPr>
            </w:pPr>
          </w:p>
        </w:tc>
        <w:tc>
          <w:tcPr>
            <w:tcW w:w="4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32,831</w:t>
            </w:r>
          </w:p>
        </w:tc>
        <w:tc>
          <w:tcPr>
            <w:tcW w:w="80" w:type="dxa"/>
            <w:vAlign w:val="bottom"/>
          </w:tcPr>
          <w:p>
            <w:pPr>
              <w:spacing w:after="0"/>
              <w:rPr>
                <w:sz w:val="24"/>
                <w:szCs w:val="24"/>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32,832</w:t>
            </w:r>
          </w:p>
        </w:tc>
      </w:tr>
      <w:tr>
        <w:trPr>
          <w:trHeight w:val="378"/>
        </w:trPr>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83,353</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4"/>
                <w:szCs w:val="24"/>
                <w:color w:val="auto"/>
              </w:rPr>
            </w:pPr>
          </w:p>
        </w:tc>
        <w:tc>
          <w:tcPr>
            <w:tcW w:w="4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w:t>
            </w:r>
          </w:p>
        </w:tc>
        <w:tc>
          <w:tcPr>
            <w:tcW w:w="80" w:type="dxa"/>
            <w:vAlign w:val="bottom"/>
          </w:tcPr>
          <w:p>
            <w:pPr>
              <w:spacing w:after="0"/>
              <w:rPr>
                <w:sz w:val="24"/>
                <w:szCs w:val="24"/>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w:t>
            </w:r>
          </w:p>
        </w:tc>
      </w:tr>
      <w:tr>
        <w:trPr>
          <w:trHeight w:val="378"/>
        </w:trPr>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9,375,000</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4"/>
                <w:szCs w:val="24"/>
                <w:color w:val="auto"/>
              </w:rPr>
            </w:pPr>
          </w:p>
        </w:tc>
        <w:tc>
          <w:tcPr>
            <w:tcW w:w="4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15,868</w:t>
            </w:r>
          </w:p>
        </w:tc>
        <w:tc>
          <w:tcPr>
            <w:tcW w:w="80" w:type="dxa"/>
            <w:vAlign w:val="bottom"/>
          </w:tcPr>
          <w:p>
            <w:pPr>
              <w:spacing w:after="0"/>
              <w:rPr>
                <w:sz w:val="24"/>
                <w:szCs w:val="24"/>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15,868</w:t>
            </w:r>
          </w:p>
        </w:tc>
      </w:tr>
      <w:tr>
        <w:trPr>
          <w:trHeight w:val="216"/>
        </w:trPr>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4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2,660</w:t>
            </w:r>
          </w:p>
        </w:tc>
        <w:tc>
          <w:tcPr>
            <w:tcW w:w="8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2,660</w:t>
            </w:r>
          </w:p>
        </w:tc>
      </w:tr>
      <w:tr>
        <w:trPr>
          <w:trHeight w:val="216"/>
        </w:trPr>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4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37,546</w:t>
            </w:r>
          </w:p>
        </w:tc>
        <w:tc>
          <w:tcPr>
            <w:tcW w:w="8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37,546</w:t>
            </w:r>
          </w:p>
        </w:tc>
      </w:tr>
      <w:tr>
        <w:trPr>
          <w:trHeight w:val="216"/>
        </w:trPr>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4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(206,904)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(206,904)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-3397885</wp:posOffset>
            </wp:positionH>
            <wp:positionV relativeFrom="paragraph">
              <wp:posOffset>-4247515</wp:posOffset>
            </wp:positionV>
            <wp:extent cx="7098030" cy="2400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098030" cy="240030"/>
                    </a:xfrm>
                    <a:prstGeom prst="rect">
                      <a:avLst/>
                    </a:prstGeom>
                    <a:noFill/>
                  </pic:spPr>
                </pic:pic>
              </a:graphicData>
            </a:graphic>
          </wp:anchor>
        </w:drawing>
        <w:drawing>
          <wp:anchor simplePos="0" relativeHeight="251657728" behindDoc="1" locked="0" layoutInCell="0" allowOverlap="1">
            <wp:simplePos x="0" y="0"/>
            <wp:positionH relativeFrom="column">
              <wp:posOffset>-3397885</wp:posOffset>
            </wp:positionH>
            <wp:positionV relativeFrom="paragraph">
              <wp:posOffset>-3870325</wp:posOffset>
            </wp:positionV>
            <wp:extent cx="7098030" cy="1371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098030" cy="137160"/>
                    </a:xfrm>
                    <a:prstGeom prst="rect">
                      <a:avLst/>
                    </a:prstGeom>
                    <a:noFill/>
                  </pic:spPr>
                </pic:pic>
              </a:graphicData>
            </a:graphic>
          </wp:anchor>
        </w:drawing>
        <w:drawing>
          <wp:anchor simplePos="0" relativeHeight="251657728" behindDoc="1" locked="0" layoutInCell="0" allowOverlap="1">
            <wp:simplePos x="0" y="0"/>
            <wp:positionH relativeFrom="column">
              <wp:posOffset>-3397885</wp:posOffset>
            </wp:positionH>
            <wp:positionV relativeFrom="paragraph">
              <wp:posOffset>-3596005</wp:posOffset>
            </wp:positionV>
            <wp:extent cx="7098030" cy="2400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098030" cy="240030"/>
                    </a:xfrm>
                    <a:prstGeom prst="rect">
                      <a:avLst/>
                    </a:prstGeom>
                    <a:noFill/>
                  </pic:spPr>
                </pic:pic>
              </a:graphicData>
            </a:graphic>
          </wp:anchor>
        </w:drawing>
        <w:drawing>
          <wp:anchor simplePos="0" relativeHeight="251657728" behindDoc="1" locked="0" layoutInCell="0" allowOverlap="1">
            <wp:simplePos x="0" y="0"/>
            <wp:positionH relativeFrom="column">
              <wp:posOffset>-3397885</wp:posOffset>
            </wp:positionH>
            <wp:positionV relativeFrom="paragraph">
              <wp:posOffset>-3115945</wp:posOffset>
            </wp:positionV>
            <wp:extent cx="7098030" cy="2400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098030" cy="240030"/>
                    </a:xfrm>
                    <a:prstGeom prst="rect">
                      <a:avLst/>
                    </a:prstGeom>
                    <a:noFill/>
                  </pic:spPr>
                </pic:pic>
              </a:graphicData>
            </a:graphic>
          </wp:anchor>
        </w:drawing>
        <w:drawing>
          <wp:anchor simplePos="0" relativeHeight="251657728" behindDoc="1" locked="0" layoutInCell="0" allowOverlap="1">
            <wp:simplePos x="0" y="0"/>
            <wp:positionH relativeFrom="column">
              <wp:posOffset>-3397885</wp:posOffset>
            </wp:positionH>
            <wp:positionV relativeFrom="paragraph">
              <wp:posOffset>-2738755</wp:posOffset>
            </wp:positionV>
            <wp:extent cx="7098030" cy="2400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098030" cy="240030"/>
                    </a:xfrm>
                    <a:prstGeom prst="rect">
                      <a:avLst/>
                    </a:prstGeom>
                    <a:noFill/>
                  </pic:spPr>
                </pic:pic>
              </a:graphicData>
            </a:graphic>
          </wp:anchor>
        </w:drawing>
        <w:drawing>
          <wp:anchor simplePos="0" relativeHeight="251657728" behindDoc="1" locked="0" layoutInCell="0" allowOverlap="1">
            <wp:simplePos x="0" y="0"/>
            <wp:positionH relativeFrom="column">
              <wp:posOffset>-3397885</wp:posOffset>
            </wp:positionH>
            <wp:positionV relativeFrom="paragraph">
              <wp:posOffset>-2258695</wp:posOffset>
            </wp:positionV>
            <wp:extent cx="7098030" cy="2400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098030" cy="240030"/>
                    </a:xfrm>
                    <a:prstGeom prst="rect">
                      <a:avLst/>
                    </a:prstGeom>
                    <a:noFill/>
                  </pic:spPr>
                </pic:pic>
              </a:graphicData>
            </a:graphic>
          </wp:anchor>
        </w:drawing>
        <w:drawing>
          <wp:anchor simplePos="0" relativeHeight="251657728" behindDoc="1" locked="0" layoutInCell="0" allowOverlap="1">
            <wp:simplePos x="0" y="0"/>
            <wp:positionH relativeFrom="column">
              <wp:posOffset>-3397885</wp:posOffset>
            </wp:positionH>
            <wp:positionV relativeFrom="paragraph">
              <wp:posOffset>-1881505</wp:posOffset>
            </wp:positionV>
            <wp:extent cx="7098030" cy="2400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098030" cy="240030"/>
                    </a:xfrm>
                    <a:prstGeom prst="rect">
                      <a:avLst/>
                    </a:prstGeom>
                    <a:noFill/>
                  </pic:spPr>
                </pic:pic>
              </a:graphicData>
            </a:graphic>
          </wp:anchor>
        </w:drawing>
        <w:drawing>
          <wp:anchor simplePos="0" relativeHeight="251657728" behindDoc="1" locked="0" layoutInCell="0" allowOverlap="1">
            <wp:simplePos x="0" y="0"/>
            <wp:positionH relativeFrom="column">
              <wp:posOffset>-3397885</wp:posOffset>
            </wp:positionH>
            <wp:positionV relativeFrom="paragraph">
              <wp:posOffset>-1504315</wp:posOffset>
            </wp:positionV>
            <wp:extent cx="7098030" cy="1371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098030" cy="137160"/>
                    </a:xfrm>
                    <a:prstGeom prst="rect">
                      <a:avLst/>
                    </a:prstGeom>
                    <a:noFill/>
                  </pic:spPr>
                </pic:pic>
              </a:graphicData>
            </a:graphic>
          </wp:anchor>
        </w:drawing>
        <w:drawing>
          <wp:anchor simplePos="0" relativeHeight="251657728" behindDoc="1" locked="0" layoutInCell="0" allowOverlap="1">
            <wp:simplePos x="0" y="0"/>
            <wp:positionH relativeFrom="column">
              <wp:posOffset>-3397885</wp:posOffset>
            </wp:positionH>
            <wp:positionV relativeFrom="paragraph">
              <wp:posOffset>-1127125</wp:posOffset>
            </wp:positionV>
            <wp:extent cx="7098030" cy="2400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098030" cy="240030"/>
                    </a:xfrm>
                    <a:prstGeom prst="rect">
                      <a:avLst/>
                    </a:prstGeom>
                    <a:noFill/>
                  </pic:spPr>
                </pic:pic>
              </a:graphicData>
            </a:graphic>
          </wp:anchor>
        </w:drawing>
        <w:drawing>
          <wp:anchor simplePos="0" relativeHeight="251657728" behindDoc="1" locked="0" layoutInCell="0" allowOverlap="1">
            <wp:simplePos x="0" y="0"/>
            <wp:positionH relativeFrom="column">
              <wp:posOffset>-3397885</wp:posOffset>
            </wp:positionH>
            <wp:positionV relativeFrom="paragraph">
              <wp:posOffset>-647065</wp:posOffset>
            </wp:positionV>
            <wp:extent cx="7098030" cy="2400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098030" cy="240030"/>
                    </a:xfrm>
                    <a:prstGeom prst="rect">
                      <a:avLst/>
                    </a:prstGeom>
                    <a:noFill/>
                  </pic:spPr>
                </pic:pic>
              </a:graphicData>
            </a:graphic>
          </wp:anchor>
        </w:drawing>
        <w:drawing>
          <wp:anchor simplePos="0" relativeHeight="251657728" behindDoc="1" locked="0" layoutInCell="0" allowOverlap="1">
            <wp:simplePos x="0" y="0"/>
            <wp:positionH relativeFrom="column">
              <wp:posOffset>-3397885</wp:posOffset>
            </wp:positionH>
            <wp:positionV relativeFrom="paragraph">
              <wp:posOffset>-269875</wp:posOffset>
            </wp:positionV>
            <wp:extent cx="7098030" cy="1371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098030" cy="13716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5260" w:space="80"/>
            <w:col w:w="5820"/>
          </w:cols>
          <w:pgMar w:left="340" w:top="360" w:right="399" w:bottom="1440" w:gutter="0" w:footer="0" w:header="0"/>
          <w:type w:val="continuous"/>
        </w:sectPr>
      </w:pPr>
    </w:p>
    <w:tbl>
      <w:tblPr>
        <w:tblLayout w:type="fixed"/>
        <w:tblInd w:w="0" w:type="dxa"/>
        <w:tblCellMar>
          <w:top w:w="0" w:type="dxa"/>
          <w:left w:w="0" w:type="dxa"/>
          <w:bottom w:w="0" w:type="dxa"/>
          <w:right w:w="0" w:type="dxa"/>
        </w:tblCellMar>
      </w:tblPr>
      <w:tr>
        <w:trPr>
          <w:trHeight w:val="168"/>
        </w:trPr>
        <w:tc>
          <w:tcPr>
            <w:tcW w:w="2360" w:type="dxa"/>
            <w:vAlign w:val="bottom"/>
          </w:tcPr>
          <w:p>
            <w:pPr>
              <w:spacing w:after="0" w:line="168" w:lineRule="exact"/>
              <w:rPr>
                <w:sz w:val="20"/>
                <w:szCs w:val="20"/>
                <w:color w:val="auto"/>
              </w:rPr>
            </w:pPr>
            <w:r>
              <w:rPr>
                <w:rFonts w:ascii="Times New Roman" w:cs="Times New Roman" w:eastAsia="Times New Roman" w:hAnsi="Times New Roman"/>
                <w:sz w:val="16"/>
                <w:szCs w:val="16"/>
                <w:b w:val="1"/>
                <w:bCs w:val="1"/>
                <w:color w:val="auto"/>
              </w:rPr>
              <w:t>Balance as of December 31,</w:t>
            </w:r>
          </w:p>
        </w:tc>
        <w:tc>
          <w:tcPr>
            <w:tcW w:w="1000" w:type="dxa"/>
            <w:vAlign w:val="bottom"/>
            <w:vMerge w:val="restart"/>
          </w:tcPr>
          <w:p>
            <w:pPr>
              <w:ind w:left="460"/>
              <w:spacing w:after="0"/>
              <w:rPr>
                <w:sz w:val="20"/>
                <w:szCs w:val="20"/>
                <w:color w:val="auto"/>
              </w:rPr>
            </w:pPr>
            <w:r>
              <w:rPr>
                <w:rFonts w:ascii="Times New Roman" w:cs="Times New Roman" w:eastAsia="Times New Roman" w:hAnsi="Times New Roman"/>
                <w:sz w:val="16"/>
                <w:szCs w:val="16"/>
                <w:b w:val="1"/>
                <w:bCs w:val="1"/>
                <w:color w:val="auto"/>
              </w:rPr>
              <w:t>—  $</w:t>
            </w:r>
          </w:p>
        </w:tc>
        <w:tc>
          <w:tcPr>
            <w:tcW w:w="700" w:type="dxa"/>
            <w:vAlign w:val="bottom"/>
            <w:vMerge w:val="restart"/>
          </w:tcPr>
          <w:p>
            <w:pPr>
              <w:ind w:left="200"/>
              <w:spacing w:after="0"/>
              <w:rPr>
                <w:sz w:val="20"/>
                <w:szCs w:val="20"/>
                <w:color w:val="auto"/>
              </w:rPr>
            </w:pPr>
            <w:r>
              <w:rPr>
                <w:rFonts w:ascii="Times New Roman" w:cs="Times New Roman" w:eastAsia="Times New Roman" w:hAnsi="Times New Roman"/>
                <w:sz w:val="16"/>
                <w:szCs w:val="16"/>
                <w:b w:val="1"/>
                <w:bCs w:val="1"/>
                <w:color w:val="auto"/>
              </w:rPr>
              <w:t>—</w:t>
            </w:r>
          </w:p>
        </w:tc>
        <w:tc>
          <w:tcPr>
            <w:tcW w:w="840" w:type="dxa"/>
            <w:vAlign w:val="bottom"/>
            <w:vMerge w:val="restart"/>
          </w:tcPr>
          <w:p>
            <w:pPr>
              <w:ind w:left="340"/>
              <w:spacing w:after="0"/>
              <w:rPr>
                <w:sz w:val="20"/>
                <w:szCs w:val="20"/>
                <w:color w:val="auto"/>
              </w:rPr>
            </w:pPr>
            <w:r>
              <w:rPr>
                <w:rFonts w:ascii="Times New Roman" w:cs="Times New Roman" w:eastAsia="Times New Roman" w:hAnsi="Times New Roman"/>
                <w:sz w:val="16"/>
                <w:szCs w:val="16"/>
                <w:b w:val="1"/>
                <w:bCs w:val="1"/>
                <w:color w:val="auto"/>
              </w:rPr>
              <w:t>—  $</w:t>
            </w: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b w:val="1"/>
                <w:bCs w:val="1"/>
                <w:u w:val="single" w:color="auto"/>
                <w:color w:val="auto"/>
              </w:rPr>
              <w:t>122,043,966</w:t>
            </w:r>
          </w:p>
        </w:tc>
        <w:tc>
          <w:tcPr>
            <w:tcW w:w="280" w:type="dxa"/>
            <w:vAlign w:val="bottom"/>
            <w:vMerge w:val="restart"/>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w:t>
            </w:r>
          </w:p>
        </w:tc>
        <w:tc>
          <w:tcPr>
            <w:tcW w:w="580" w:type="dxa"/>
            <w:vAlign w:val="bottom"/>
            <w:vMerge w:val="restart"/>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12</w:t>
            </w:r>
          </w:p>
        </w:tc>
        <w:tc>
          <w:tcPr>
            <w:tcW w:w="780" w:type="dxa"/>
            <w:vAlign w:val="bottom"/>
            <w:vMerge w:val="restart"/>
          </w:tcPr>
          <w:p>
            <w:pPr>
              <w:ind w:left="280"/>
              <w:spacing w:after="0"/>
              <w:rPr>
                <w:sz w:val="20"/>
                <w:szCs w:val="20"/>
                <w:color w:val="auto"/>
              </w:rPr>
            </w:pPr>
            <w:r>
              <w:rPr>
                <w:rFonts w:ascii="Times New Roman" w:cs="Times New Roman" w:eastAsia="Times New Roman" w:hAnsi="Times New Roman"/>
                <w:sz w:val="16"/>
                <w:szCs w:val="16"/>
                <w:b w:val="1"/>
                <w:bCs w:val="1"/>
                <w:color w:val="auto"/>
              </w:rPr>
              <w:t>—  $</w:t>
            </w:r>
          </w:p>
        </w:tc>
        <w:tc>
          <w:tcPr>
            <w:tcW w:w="1280" w:type="dxa"/>
            <w:vAlign w:val="bottom"/>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  $  675,143</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 (636,155)</w:t>
            </w:r>
          </w:p>
        </w:tc>
        <w:tc>
          <w:tcPr>
            <w:tcW w:w="34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39,000</w:t>
            </w:r>
          </w:p>
        </w:tc>
        <w:tc>
          <w:tcPr>
            <w:tcW w:w="0" w:type="dxa"/>
            <w:vAlign w:val="bottom"/>
          </w:tcPr>
          <w:p>
            <w:pPr>
              <w:spacing w:after="0"/>
              <w:rPr>
                <w:sz w:val="1"/>
                <w:szCs w:val="1"/>
                <w:color w:val="auto"/>
              </w:rPr>
            </w:pPr>
          </w:p>
        </w:tc>
      </w:tr>
      <w:tr>
        <w:trPr>
          <w:trHeight w:val="212"/>
        </w:trPr>
        <w:tc>
          <w:tcPr>
            <w:tcW w:w="23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0" w:type="dxa"/>
            <w:vAlign w:val="bottom"/>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1340" w:type="dxa"/>
            <w:vAlign w:val="bottom"/>
            <w:vMerge w:val="continue"/>
          </w:tcPr>
          <w:p>
            <w:pPr>
              <w:spacing w:after="0"/>
              <w:rPr>
                <w:sz w:val="18"/>
                <w:szCs w:val="18"/>
                <w:color w:val="auto"/>
              </w:rPr>
            </w:pPr>
          </w:p>
        </w:tc>
        <w:tc>
          <w:tcPr>
            <w:tcW w:w="280" w:type="dxa"/>
            <w:vAlign w:val="bottom"/>
            <w:vMerge w:val="continue"/>
          </w:tcPr>
          <w:p>
            <w:pPr>
              <w:spacing w:after="0"/>
              <w:rPr>
                <w:sz w:val="18"/>
                <w:szCs w:val="18"/>
                <w:color w:val="auto"/>
              </w:rPr>
            </w:pPr>
          </w:p>
        </w:tc>
        <w:tc>
          <w:tcPr>
            <w:tcW w:w="580" w:type="dxa"/>
            <w:vAlign w:val="bottom"/>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940" w:type="dxa"/>
            <w:vAlign w:val="bottom"/>
            <w:vMerge w:val="continue"/>
          </w:tcPr>
          <w:p>
            <w:pPr>
              <w:spacing w:after="0"/>
              <w:rPr>
                <w:sz w:val="18"/>
                <w:szCs w:val="18"/>
                <w:color w:val="auto"/>
              </w:rPr>
            </w:pPr>
          </w:p>
        </w:tc>
        <w:tc>
          <w:tcPr>
            <w:tcW w:w="340" w:type="dxa"/>
            <w:vAlign w:val="bottom"/>
            <w:vMerge w:val="continue"/>
          </w:tcPr>
          <w:p>
            <w:pPr>
              <w:spacing w:after="0"/>
              <w:rPr>
                <w:sz w:val="18"/>
                <w:szCs w:val="18"/>
                <w:color w:val="auto"/>
              </w:rPr>
            </w:pPr>
          </w:p>
        </w:tc>
        <w:tc>
          <w:tcPr>
            <w:tcW w:w="6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-236855</wp:posOffset>
            </wp:positionV>
            <wp:extent cx="7098030" cy="25717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098030" cy="257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160"/>
          </w:cols>
          <w:pgMar w:left="340" w:top="360" w:right="399" w:bottom="1440" w:gutter="0" w:footer="0" w:header="0"/>
          <w:type w:val="continuous"/>
        </w:sectPr>
      </w:pPr>
    </w:p>
    <w:bookmarkStart w:id="62" w:name="page63"/>
    <w:bookmarkEnd w:id="62"/>
    <w:p>
      <w:pPr>
        <w:jc w:val="center"/>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(Amounts in thousands)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120" w:type="dxa"/>
            <w:vAlign w:val="bottom"/>
          </w:tcPr>
          <w:p>
            <w:pPr>
              <w:spacing w:after="0"/>
              <w:rPr>
                <w:sz w:val="16"/>
                <w:szCs w:val="16"/>
                <w:color w:val="auto"/>
              </w:rPr>
            </w:pPr>
          </w:p>
        </w:tc>
        <w:tc>
          <w:tcPr>
            <w:tcW w:w="3360" w:type="dxa"/>
            <w:vAlign w:val="bottom"/>
            <w:gridSpan w:val="4"/>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760" w:type="dxa"/>
            <w:vAlign w:val="bottom"/>
          </w:tcPr>
          <w:p>
            <w:pPr>
              <w:spacing w:after="0"/>
              <w:rPr>
                <w:sz w:val="16"/>
                <w:szCs w:val="16"/>
                <w:color w:val="auto"/>
              </w:rPr>
            </w:pPr>
          </w:p>
        </w:tc>
      </w:tr>
      <w:tr>
        <w:trPr>
          <w:trHeight w:val="37"/>
        </w:trPr>
        <w:tc>
          <w:tcPr>
            <w:tcW w:w="7120" w:type="dxa"/>
            <w:vAlign w:val="bottom"/>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r>
      <w:tr>
        <w:trPr>
          <w:trHeight w:val="230"/>
        </w:trPr>
        <w:tc>
          <w:tcPr>
            <w:tcW w:w="7120" w:type="dxa"/>
            <w:vAlign w:val="bottom"/>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760" w:type="dxa"/>
            <w:vAlign w:val="bottom"/>
            <w:tcBorders>
              <w:bottom w:val="single" w:sz="8" w:color="auto"/>
            </w:tcBorders>
          </w:tcPr>
          <w:p>
            <w:pPr>
              <w:spacing w:after="0"/>
              <w:rPr>
                <w:sz w:val="20"/>
                <w:szCs w:val="20"/>
                <w:color w:val="auto"/>
              </w:rPr>
            </w:pPr>
          </w:p>
        </w:tc>
      </w:tr>
      <w:tr>
        <w:trPr>
          <w:trHeight w:val="230"/>
        </w:trPr>
        <w:tc>
          <w:tcPr>
            <w:tcW w:w="7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29"/>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220" w:type="dxa"/>
            <w:vAlign w:val="bottom"/>
            <w:shd w:val="clear" w:color="auto" w:fill="CCEEFF"/>
          </w:tcPr>
          <w:p>
            <w:pPr>
              <w:jc w:val="right"/>
              <w:ind w:right="1019"/>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(206,904)</w:t>
            </w:r>
          </w:p>
        </w:tc>
        <w:tc>
          <w:tcPr>
            <w:tcW w:w="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055"/>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(61,195)</w:t>
            </w:r>
          </w:p>
        </w:tc>
      </w:tr>
      <w:tr>
        <w:trPr>
          <w:trHeight w:val="229"/>
        </w:trPr>
        <w:tc>
          <w:tcPr>
            <w:tcW w:w="7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30"/>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w:t>
            </w:r>
          </w:p>
        </w:tc>
        <w:tc>
          <w:tcPr>
            <w:tcW w:w="1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1,195</w:t>
            </w:r>
          </w:p>
        </w:tc>
        <w:tc>
          <w:tcPr>
            <w:tcW w:w="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w:t>
            </w:r>
          </w:p>
        </w:tc>
      </w:tr>
      <w:tr>
        <w:trPr>
          <w:trHeight w:val="229"/>
        </w:trPr>
        <w:tc>
          <w:tcPr>
            <w:tcW w:w="7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lease expense</w:t>
            </w:r>
          </w:p>
        </w:tc>
        <w:tc>
          <w:tcPr>
            <w:tcW w:w="1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w:t>
            </w:r>
          </w:p>
        </w:tc>
        <w:tc>
          <w:tcPr>
            <w:tcW w:w="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w:t>
            </w:r>
          </w:p>
        </w:tc>
      </w:tr>
      <w:tr>
        <w:trPr>
          <w:trHeight w:val="230"/>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 financing charge on Legacy Blaize convertible notes</w:t>
            </w:r>
          </w:p>
        </w:tc>
        <w:tc>
          <w:tcPr>
            <w:tcW w:w="12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w:t>
            </w:r>
          </w:p>
        </w:tc>
      </w:tr>
      <w:tr>
        <w:trPr>
          <w:trHeight w:val="229"/>
        </w:trPr>
        <w:tc>
          <w:tcPr>
            <w:tcW w:w="7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37,546</w:t>
            </w:r>
          </w:p>
        </w:tc>
        <w:tc>
          <w:tcPr>
            <w:tcW w:w="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3,847</w:t>
            </w:r>
          </w:p>
        </w:tc>
      </w:tr>
      <w:tr>
        <w:trPr>
          <w:trHeight w:val="229"/>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Non-cash financing expense related to issuance of common stock</w:t>
            </w:r>
          </w:p>
        </w:tc>
        <w:tc>
          <w:tcPr>
            <w:tcW w:w="1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2,767</w:t>
            </w:r>
          </w:p>
        </w:tc>
        <w:tc>
          <w:tcPr>
            <w:tcW w:w="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financing expense related to issuance of warrants</w:t>
            </w:r>
          </w:p>
        </w:tc>
        <w:tc>
          <w:tcPr>
            <w:tcW w:w="1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1,073</w:t>
            </w:r>
          </w:p>
        </w:tc>
        <w:tc>
          <w:tcPr>
            <w:tcW w:w="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1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w:t>
            </w:r>
          </w:p>
        </w:tc>
      </w:tr>
      <w:tr>
        <w:trPr>
          <w:trHeight w:val="229"/>
        </w:trPr>
        <w:tc>
          <w:tcPr>
            <w:tcW w:w="7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1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(1,124)</w:t>
            </w:r>
          </w:p>
        </w:tc>
      </w:tr>
      <w:tr>
        <w:trPr>
          <w:trHeight w:val="230"/>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fair value of Legacy Blaize convertible notes and warrants</w:t>
            </w:r>
          </w:p>
        </w:tc>
        <w:tc>
          <w:tcPr>
            <w:tcW w:w="1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226,048</w:t>
            </w:r>
          </w:p>
        </w:tc>
        <w:tc>
          <w:tcPr>
            <w:tcW w:w="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15,723</w:t>
            </w:r>
          </w:p>
        </w:tc>
      </w:tr>
      <w:tr>
        <w:trPr>
          <w:trHeight w:val="229"/>
        </w:trPr>
        <w:tc>
          <w:tcPr>
            <w:tcW w:w="7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fair value of Polar warrants</w:t>
            </w:r>
          </w:p>
        </w:tc>
        <w:tc>
          <w:tcPr>
            <w:tcW w:w="1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(4,125)</w:t>
            </w:r>
          </w:p>
        </w:tc>
        <w:tc>
          <w:tcPr>
            <w:tcW w:w="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fair value of other earnout shares</w:t>
            </w:r>
          </w:p>
        </w:tc>
        <w:tc>
          <w:tcPr>
            <w:tcW w:w="1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(117,113)</w:t>
            </w:r>
          </w:p>
        </w:tc>
        <w:tc>
          <w:tcPr>
            <w:tcW w:w="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fair value of unissued shares of common stock</w:t>
            </w:r>
          </w:p>
        </w:tc>
        <w:tc>
          <w:tcPr>
            <w:tcW w:w="1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fair value of committed equity facility, net</w:t>
            </w:r>
          </w:p>
        </w:tc>
        <w:tc>
          <w:tcPr>
            <w:tcW w:w="1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(1,210)</w:t>
            </w:r>
          </w:p>
        </w:tc>
        <w:tc>
          <w:tcPr>
            <w:tcW w:w="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29"/>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1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(33,865)</w:t>
            </w:r>
          </w:p>
        </w:tc>
        <w:tc>
          <w:tcPr>
            <w:tcW w:w="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w:t>
            </w:r>
          </w:p>
        </w:tc>
      </w:tr>
      <w:tr>
        <w:trPr>
          <w:trHeight w:val="230"/>
        </w:trPr>
        <w:tc>
          <w:tcPr>
            <w:tcW w:w="7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 net - related party</w:t>
            </w:r>
          </w:p>
        </w:tc>
        <w:tc>
          <w:tcPr>
            <w:tcW w:w="1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(3,330)</w:t>
            </w:r>
          </w:p>
        </w:tc>
        <w:tc>
          <w:tcPr>
            <w:tcW w:w="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w:t>
            </w:r>
          </w:p>
        </w:tc>
      </w:tr>
      <w:tr>
        <w:trPr>
          <w:trHeight w:val="229"/>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Inventories, net</w:t>
            </w:r>
          </w:p>
        </w:tc>
        <w:tc>
          <w:tcPr>
            <w:tcW w:w="1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(1,569)</w:t>
            </w:r>
          </w:p>
        </w:tc>
        <w:tc>
          <w:tcPr>
            <w:tcW w:w="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(2,039)</w:t>
            </w:r>
          </w:p>
        </w:tc>
      </w:tr>
      <w:tr>
        <w:trPr>
          <w:trHeight w:val="230"/>
        </w:trPr>
        <w:tc>
          <w:tcPr>
            <w:tcW w:w="7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10,116</w:t>
            </w:r>
          </w:p>
        </w:tc>
        <w:tc>
          <w:tcPr>
            <w:tcW w:w="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(21,615)</w:t>
            </w:r>
          </w:p>
        </w:tc>
      </w:tr>
      <w:tr>
        <w:trPr>
          <w:trHeight w:val="229"/>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 and other current assets - related party</w:t>
            </w:r>
          </w:p>
        </w:tc>
        <w:tc>
          <w:tcPr>
            <w:tcW w:w="1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(8,007)</w:t>
            </w:r>
          </w:p>
        </w:tc>
        <w:tc>
          <w:tcPr>
            <w:tcW w:w="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10,663</w:t>
            </w:r>
          </w:p>
        </w:tc>
      </w:tr>
      <w:tr>
        <w:trPr>
          <w:trHeight w:val="230"/>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 and accrued expenses - related party</w:t>
            </w:r>
          </w:p>
        </w:tc>
        <w:tc>
          <w:tcPr>
            <w:tcW w:w="1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trade payables</w:t>
            </w:r>
          </w:p>
        </w:tc>
        <w:tc>
          <w:tcPr>
            <w:tcW w:w="1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22,838</w:t>
            </w:r>
          </w:p>
        </w:tc>
        <w:tc>
          <w:tcPr>
            <w:tcW w:w="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w:t>
            </w:r>
          </w:p>
        </w:tc>
      </w:tr>
      <w:tr>
        <w:trPr>
          <w:trHeight w:val="230"/>
        </w:trPr>
        <w:tc>
          <w:tcPr>
            <w:tcW w:w="7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8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w:t>
            </w:r>
          </w:p>
        </w:tc>
      </w:tr>
      <w:tr>
        <w:trPr>
          <w:trHeight w:val="223"/>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1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(73,751)</w:t>
            </w:r>
          </w:p>
        </w:tc>
        <w:tc>
          <w:tcPr>
            <w:tcW w:w="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(53,532)</w:t>
            </w:r>
          </w:p>
        </w:tc>
      </w:tr>
      <w:tr>
        <w:trPr>
          <w:trHeight w:val="230"/>
        </w:trPr>
        <w:tc>
          <w:tcPr>
            <w:tcW w:w="7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1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30"/>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w:t>
            </w:r>
          </w:p>
        </w:tc>
        <w:tc>
          <w:tcPr>
            <w:tcW w:w="80" w:type="dxa"/>
            <w:vAlign w:val="bottom"/>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w:t>
            </w:r>
          </w:p>
        </w:tc>
      </w:tr>
      <w:tr>
        <w:trPr>
          <w:trHeight w:val="223"/>
        </w:trPr>
        <w:tc>
          <w:tcPr>
            <w:tcW w:w="7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1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(788)</w:t>
            </w:r>
          </w:p>
        </w:tc>
        <w:tc>
          <w:tcPr>
            <w:tcW w:w="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(902)</w:t>
            </w:r>
          </w:p>
        </w:tc>
      </w:tr>
      <w:tr>
        <w:trPr>
          <w:trHeight w:val="230"/>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29"/>
        </w:trPr>
        <w:tc>
          <w:tcPr>
            <w:tcW w:w="7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Merger and PIPE financing, net of transaction costs</w:t>
            </w:r>
          </w:p>
        </w:tc>
        <w:tc>
          <w:tcPr>
            <w:tcW w:w="1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15,873</w:t>
            </w:r>
          </w:p>
        </w:tc>
        <w:tc>
          <w:tcPr>
            <w:tcW w:w="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Funds held in escrow</w:t>
            </w:r>
          </w:p>
        </w:tc>
        <w:tc>
          <w:tcPr>
            <w:tcW w:w="1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the sale of common stock to Polar, net of offering expenses</w:t>
            </w:r>
          </w:p>
        </w:tc>
        <w:tc>
          <w:tcPr>
            <w:tcW w:w="1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27,902</w:t>
            </w:r>
          </w:p>
        </w:tc>
        <w:tc>
          <w:tcPr>
            <w:tcW w:w="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 of deferred offering costs</w:t>
            </w:r>
          </w:p>
        </w:tc>
        <w:tc>
          <w:tcPr>
            <w:tcW w:w="1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(7,658)</w:t>
            </w:r>
          </w:p>
        </w:tc>
        <w:tc>
          <w:tcPr>
            <w:tcW w:w="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(4,357)</w:t>
            </w:r>
          </w:p>
        </w:tc>
      </w:tr>
      <w:tr>
        <w:trPr>
          <w:trHeight w:val="229"/>
        </w:trPr>
        <w:tc>
          <w:tcPr>
            <w:tcW w:w="7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Repayment of advances from related party</w:t>
            </w:r>
          </w:p>
        </w:tc>
        <w:tc>
          <w:tcPr>
            <w:tcW w:w="1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6"/>
        </w:trPr>
        <w:tc>
          <w:tcPr>
            <w:tcW w:w="71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Proceeds from issuance of common stock, net of financing charge on the committed equity</w:t>
            </w:r>
          </w:p>
        </w:tc>
        <w:tc>
          <w:tcPr>
            <w:tcW w:w="1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r>
      <w:tr>
        <w:trPr>
          <w:trHeight w:val="243"/>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facility</w:t>
            </w:r>
          </w:p>
        </w:tc>
        <w:tc>
          <w:tcPr>
            <w:tcW w:w="1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33,250</w:t>
            </w:r>
          </w:p>
        </w:tc>
        <w:tc>
          <w:tcPr>
            <w:tcW w:w="8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Repayment of short-term demand notes</w:t>
            </w:r>
          </w:p>
        </w:tc>
        <w:tc>
          <w:tcPr>
            <w:tcW w:w="122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(4,750)</w:t>
            </w:r>
          </w:p>
        </w:tc>
      </w:tr>
      <w:tr>
        <w:trPr>
          <w:trHeight w:val="229"/>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1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30"/>
        </w:trPr>
        <w:tc>
          <w:tcPr>
            <w:tcW w:w="7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Legacy Blaize convertible notes</w:t>
            </w:r>
          </w:p>
        </w:tc>
        <w:tc>
          <w:tcPr>
            <w:tcW w:w="122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110,718</w:t>
            </w:r>
          </w:p>
        </w:tc>
      </w:tr>
      <w:tr>
        <w:trPr>
          <w:trHeight w:val="223"/>
        </w:trPr>
        <w:tc>
          <w:tcPr>
            <w:tcW w:w="7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122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70,101</w:t>
            </w:r>
          </w:p>
        </w:tc>
        <w:tc>
          <w:tcPr>
            <w:tcW w:w="8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101,709</w:t>
            </w:r>
          </w:p>
        </w:tc>
      </w:tr>
    </w:tbl>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240"/>
          </w:cols>
          <w:pgMar w:left="320" w:top="360" w:right="339" w:bottom="1440" w:gutter="0" w:footer="0" w:header="0"/>
        </w:sectPr>
      </w:pPr>
    </w:p>
    <w:bookmarkStart w:id="63" w:name="page64"/>
    <w:bookmarkEnd w:id="63"/>
    <w:p>
      <w:pPr>
        <w:jc w:val="center"/>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CONSOLIDATED STATEMENTS OF CASH FLOWS </w:t>
      </w:r>
      <w:r>
        <w:rPr>
          <w:rFonts w:ascii="Times New Roman" w:cs="Times New Roman" w:eastAsia="Times New Roman" w:hAnsi="Times New Roman"/>
          <w:sz w:val="18"/>
          <w:szCs w:val="18"/>
          <w:color w:val="auto"/>
        </w:rPr>
        <w:t>(cont.)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(Amounts in thousands)</w:t>
      </w: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120" w:type="dxa"/>
            <w:vAlign w:val="bottom"/>
          </w:tcPr>
          <w:p>
            <w:pPr>
              <w:spacing w:after="0"/>
              <w:rPr>
                <w:sz w:val="16"/>
                <w:szCs w:val="16"/>
                <w:color w:val="auto"/>
              </w:rPr>
            </w:pPr>
          </w:p>
        </w:tc>
        <w:tc>
          <w:tcPr>
            <w:tcW w:w="3420" w:type="dxa"/>
            <w:vAlign w:val="bottom"/>
            <w:gridSpan w:val="4"/>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700" w:type="dxa"/>
            <w:vAlign w:val="bottom"/>
          </w:tcPr>
          <w:p>
            <w:pPr>
              <w:spacing w:after="0"/>
              <w:rPr>
                <w:sz w:val="16"/>
                <w:szCs w:val="16"/>
                <w:color w:val="auto"/>
              </w:rPr>
            </w:pPr>
          </w:p>
        </w:tc>
      </w:tr>
      <w:tr>
        <w:trPr>
          <w:trHeight w:val="37"/>
        </w:trPr>
        <w:tc>
          <w:tcPr>
            <w:tcW w:w="7120" w:type="dxa"/>
            <w:vAlign w:val="bottom"/>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r>
      <w:tr>
        <w:trPr>
          <w:trHeight w:val="230"/>
        </w:trPr>
        <w:tc>
          <w:tcPr>
            <w:tcW w:w="7120" w:type="dxa"/>
            <w:vAlign w:val="bottom"/>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7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32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6"/>
                <w:szCs w:val="16"/>
                <w:b w:val="1"/>
                <w:bCs w:val="1"/>
                <w:color w:val="auto"/>
              </w:rPr>
              <w:t>2024</w:t>
            </w:r>
          </w:p>
        </w:tc>
        <w:tc>
          <w:tcPr>
            <w:tcW w:w="700" w:type="dxa"/>
            <w:vAlign w:val="bottom"/>
            <w:tcBorders>
              <w:bottom w:val="single" w:sz="8" w:color="auto"/>
            </w:tcBorders>
          </w:tcPr>
          <w:p>
            <w:pPr>
              <w:spacing w:after="0"/>
              <w:rPr>
                <w:sz w:val="20"/>
                <w:szCs w:val="20"/>
                <w:color w:val="auto"/>
              </w:rPr>
            </w:pPr>
          </w:p>
        </w:tc>
      </w:tr>
      <w:tr>
        <w:trPr>
          <w:trHeight w:val="229"/>
        </w:trPr>
        <w:tc>
          <w:tcPr>
            <w:tcW w:w="7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change in cash, cash equivalents and restricted cash</w:t>
            </w:r>
          </w:p>
        </w:tc>
        <w:tc>
          <w:tcPr>
            <w:tcW w:w="1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(4,438)</w:t>
            </w:r>
          </w:p>
        </w:tc>
        <w:tc>
          <w:tcPr>
            <w:tcW w:w="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47,275</w:t>
            </w:r>
          </w:p>
        </w:tc>
      </w:tr>
      <w:tr>
        <w:trPr>
          <w:trHeight w:val="230"/>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12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50,488</w:t>
            </w:r>
          </w:p>
        </w:tc>
        <w:tc>
          <w:tcPr>
            <w:tcW w:w="8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3,213</w:t>
            </w:r>
          </w:p>
        </w:tc>
      </w:tr>
      <w:tr>
        <w:trPr>
          <w:trHeight w:val="223"/>
        </w:trPr>
        <w:tc>
          <w:tcPr>
            <w:tcW w:w="7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at end of period</w:t>
            </w:r>
          </w:p>
        </w:tc>
        <w:tc>
          <w:tcPr>
            <w:tcW w:w="1260" w:type="dxa"/>
            <w:vAlign w:val="bottom"/>
            <w:tcBorders>
              <w:bottom w:val="single" w:sz="8" w:color="auto"/>
            </w:tcBorders>
          </w:tcPr>
          <w:p>
            <w:pPr>
              <w:jc w:val="right"/>
              <w:ind w:right="1054"/>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46,050</w:t>
            </w:r>
          </w:p>
        </w:tc>
        <w:tc>
          <w:tcPr>
            <w:tcW w:w="80" w:type="dxa"/>
            <w:vAlign w:val="bottom"/>
          </w:tcPr>
          <w:p>
            <w:pPr>
              <w:spacing w:after="0"/>
              <w:rPr>
                <w:sz w:val="19"/>
                <w:szCs w:val="19"/>
                <w:color w:val="auto"/>
              </w:rPr>
            </w:pPr>
          </w:p>
        </w:tc>
        <w:tc>
          <w:tcPr>
            <w:tcW w:w="1320" w:type="dxa"/>
            <w:vAlign w:val="bottom"/>
            <w:tcBorders>
              <w:bottom w:val="single" w:sz="8" w:color="auto"/>
            </w:tcBorders>
          </w:tcPr>
          <w:p>
            <w:pPr>
              <w:jc w:val="right"/>
              <w:ind w:right="1112"/>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50,488</w:t>
            </w:r>
          </w:p>
        </w:tc>
      </w:tr>
      <w:tr>
        <w:trPr>
          <w:trHeight w:val="20"/>
        </w:trPr>
        <w:tc>
          <w:tcPr>
            <w:tcW w:w="712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237"/>
        </w:trPr>
        <w:tc>
          <w:tcPr>
            <w:tcW w:w="71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r>
      <w:tr>
        <w:trPr>
          <w:trHeight w:val="230"/>
        </w:trPr>
        <w:tc>
          <w:tcPr>
            <w:tcW w:w="7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Components of cash, cash equivalents and restricted cash:</w:t>
            </w:r>
          </w:p>
        </w:tc>
        <w:tc>
          <w:tcPr>
            <w:tcW w:w="1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29"/>
        </w:trPr>
        <w:tc>
          <w:tcPr>
            <w:tcW w:w="7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60" w:type="dxa"/>
            <w:vAlign w:val="bottom"/>
            <w:shd w:val="clear" w:color="auto" w:fill="CCEEFF"/>
          </w:tcPr>
          <w:p>
            <w:pPr>
              <w:jc w:val="right"/>
              <w:ind w:right="1054"/>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45,781</w:t>
            </w:r>
          </w:p>
        </w:tc>
        <w:tc>
          <w:tcPr>
            <w:tcW w:w="8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112"/>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50,237</w:t>
            </w:r>
          </w:p>
        </w:tc>
      </w:tr>
      <w:tr>
        <w:trPr>
          <w:trHeight w:val="230"/>
        </w:trPr>
        <w:tc>
          <w:tcPr>
            <w:tcW w:w="71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Restricted cash (included within other assets)</w:t>
            </w:r>
          </w:p>
        </w:tc>
        <w:tc>
          <w:tcPr>
            <w:tcW w:w="1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8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w:t>
            </w:r>
          </w:p>
        </w:tc>
      </w:tr>
      <w:tr>
        <w:trPr>
          <w:trHeight w:val="248"/>
        </w:trPr>
        <w:tc>
          <w:tcPr>
            <w:tcW w:w="7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cash, cash equivalents and restricted cash</w:t>
            </w:r>
          </w:p>
        </w:tc>
        <w:tc>
          <w:tcPr>
            <w:tcW w:w="1260" w:type="dxa"/>
            <w:vAlign w:val="bottom"/>
            <w:tcBorders>
              <w:bottom w:val="single" w:sz="8" w:color="auto"/>
            </w:tcBorders>
            <w:shd w:val="clear" w:color="auto" w:fill="CCEEFF"/>
          </w:tcPr>
          <w:p>
            <w:pPr>
              <w:jc w:val="right"/>
              <w:ind w:right="1054"/>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46,050</w:t>
            </w:r>
          </w:p>
        </w:tc>
        <w:tc>
          <w:tcPr>
            <w:tcW w:w="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ind w:right="1112"/>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50,488</w:t>
            </w:r>
          </w:p>
        </w:tc>
      </w:tr>
      <w:tr>
        <w:trPr>
          <w:trHeight w:val="20"/>
        </w:trPr>
        <w:tc>
          <w:tcPr>
            <w:tcW w:w="7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29"/>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disclosures of cash flow information:</w:t>
            </w:r>
          </w:p>
        </w:tc>
        <w:tc>
          <w:tcPr>
            <w:tcW w:w="12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r>
      <w:tr>
        <w:trPr>
          <w:trHeight w:val="229"/>
        </w:trPr>
        <w:tc>
          <w:tcPr>
            <w:tcW w:w="7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paid for taxes - State</w:t>
            </w:r>
          </w:p>
        </w:tc>
        <w:tc>
          <w:tcPr>
            <w:tcW w:w="1260" w:type="dxa"/>
            <w:vAlign w:val="bottom"/>
          </w:tcPr>
          <w:p>
            <w:pPr>
              <w:jc w:val="right"/>
              <w:ind w:right="1054"/>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230"/>
        </w:trPr>
        <w:tc>
          <w:tcPr>
            <w:tcW w:w="7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paid for taxes - Foreign (India)</w:t>
            </w:r>
          </w:p>
        </w:tc>
        <w:tc>
          <w:tcPr>
            <w:tcW w:w="1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229"/>
        </w:trPr>
        <w:tc>
          <w:tcPr>
            <w:tcW w:w="71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Cash refund received for taxes - Foreign (United Kingdom)</w:t>
            </w:r>
          </w:p>
        </w:tc>
        <w:tc>
          <w:tcPr>
            <w:tcW w:w="1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8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223"/>
        </w:trPr>
        <w:tc>
          <w:tcPr>
            <w:tcW w:w="7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cash paid for taxes, net of refunds</w:t>
            </w:r>
          </w:p>
        </w:tc>
        <w:tc>
          <w:tcPr>
            <w:tcW w:w="1260" w:type="dxa"/>
            <w:vAlign w:val="bottom"/>
            <w:shd w:val="clear" w:color="auto" w:fill="CCEEFF"/>
          </w:tcPr>
          <w:p>
            <w:pPr>
              <w:jc w:val="right"/>
              <w:ind w:right="1054"/>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8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112"/>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r>
      <w:tr>
        <w:trPr>
          <w:trHeight w:val="229"/>
        </w:trPr>
        <w:tc>
          <w:tcPr>
            <w:tcW w:w="7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paid for interest</w:t>
            </w:r>
          </w:p>
        </w:tc>
        <w:tc>
          <w:tcPr>
            <w:tcW w:w="126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w:t>
            </w:r>
          </w:p>
        </w:tc>
      </w:tr>
      <w:tr>
        <w:trPr>
          <w:trHeight w:val="270"/>
        </w:trPr>
        <w:tc>
          <w:tcPr>
            <w:tcW w:w="71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r>
      <w:tr>
        <w:trPr>
          <w:trHeight w:val="229"/>
        </w:trPr>
        <w:tc>
          <w:tcPr>
            <w:tcW w:w="7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non-cash disclosures:</w:t>
            </w:r>
          </w:p>
        </w:tc>
        <w:tc>
          <w:tcPr>
            <w:tcW w:w="1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30"/>
        </w:trPr>
        <w:tc>
          <w:tcPr>
            <w:tcW w:w="7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Conversion of Legacy Blaize convertible notes to common stock</w:t>
            </w:r>
          </w:p>
        </w:tc>
        <w:tc>
          <w:tcPr>
            <w:tcW w:w="1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314,331</w:t>
            </w:r>
          </w:p>
        </w:tc>
        <w:tc>
          <w:tcPr>
            <w:tcW w:w="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exercise of Legacy Blaize warrants for common stock</w:t>
            </w:r>
          </w:p>
        </w:tc>
        <w:tc>
          <w:tcPr>
            <w:tcW w:w="1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75,056</w:t>
            </w:r>
          </w:p>
        </w:tc>
        <w:tc>
          <w:tcPr>
            <w:tcW w:w="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Redemption of common shares with cash held in escrow</w:t>
            </w:r>
          </w:p>
        </w:tc>
        <w:tc>
          <w:tcPr>
            <w:tcW w:w="1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33,157</w:t>
            </w:r>
          </w:p>
        </w:tc>
        <w:tc>
          <w:tcPr>
            <w:tcW w:w="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Issuance of common stock for shareholder note receivable</w:t>
            </w:r>
          </w:p>
        </w:tc>
        <w:tc>
          <w:tcPr>
            <w:tcW w:w="1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8,754</w:t>
            </w:r>
          </w:p>
        </w:tc>
        <w:tc>
          <w:tcPr>
            <w:tcW w:w="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5"/>
        </w:trPr>
        <w:tc>
          <w:tcPr>
            <w:tcW w:w="712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Capitalized deferred offering costs included in accounts payable and accrued expenses and</w:t>
            </w:r>
          </w:p>
        </w:tc>
        <w:tc>
          <w:tcPr>
            <w:tcW w:w="12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r>
      <w:tr>
        <w:trPr>
          <w:trHeight w:val="243"/>
        </w:trPr>
        <w:tc>
          <w:tcPr>
            <w:tcW w:w="7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26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6,764</w:t>
            </w:r>
          </w:p>
        </w:tc>
      </w:tr>
      <w:tr>
        <w:trPr>
          <w:trHeight w:val="230"/>
        </w:trPr>
        <w:tc>
          <w:tcPr>
            <w:tcW w:w="7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Issuance of Legacy Blaize warrants with Legacy Blaize convertible notes</w:t>
            </w:r>
          </w:p>
        </w:tc>
        <w:tc>
          <w:tcPr>
            <w:tcW w:w="126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4,816</w:t>
            </w:r>
          </w:p>
        </w:tc>
      </w:tr>
      <w:tr>
        <w:trPr>
          <w:trHeight w:val="230"/>
        </w:trPr>
        <w:tc>
          <w:tcPr>
            <w:tcW w:w="7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Issuance of common stock to advisors</w:t>
            </w:r>
          </w:p>
        </w:tc>
        <w:tc>
          <w:tcPr>
            <w:tcW w:w="1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2,788</w:t>
            </w:r>
          </w:p>
        </w:tc>
        <w:tc>
          <w:tcPr>
            <w:tcW w:w="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Reversal of excise tax accrual to additional paid-in-capital</w:t>
            </w:r>
          </w:p>
        </w:tc>
        <w:tc>
          <w:tcPr>
            <w:tcW w:w="1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2,660</w:t>
            </w:r>
          </w:p>
        </w:tc>
        <w:tc>
          <w:tcPr>
            <w:tcW w:w="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Property and equipment acquired in accounts payable and accrued expenses</w:t>
            </w:r>
          </w:p>
        </w:tc>
        <w:tc>
          <w:tcPr>
            <w:tcW w:w="12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w:t>
            </w:r>
          </w:p>
        </w:tc>
      </w:tr>
      <w:tr>
        <w:trPr>
          <w:trHeight w:val="230"/>
        </w:trPr>
        <w:tc>
          <w:tcPr>
            <w:tcW w:w="7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 asset obtained in exchange for new operating lease liabilities</w:t>
            </w:r>
          </w:p>
        </w:tc>
        <w:tc>
          <w:tcPr>
            <w:tcW w:w="1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Issuance of common stock under committed equity facility</w:t>
            </w:r>
          </w:p>
        </w:tc>
        <w:tc>
          <w:tcPr>
            <w:tcW w:w="1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7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Issuance of warrants for professional services</w:t>
            </w:r>
          </w:p>
        </w:tc>
        <w:tc>
          <w:tcPr>
            <w:tcW w:w="12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240"/>
          </w:cols>
          <w:pgMar w:left="320" w:top="360" w:right="339" w:bottom="1440" w:gutter="0" w:footer="0" w:header="0"/>
        </w:sectPr>
      </w:pPr>
    </w:p>
    <w:bookmarkStart w:id="64" w:name="page65"/>
    <w:bookmarkEnd w:id="64"/>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Organization and Description of Business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Organization and Description of Business</w:t>
      </w:r>
    </w:p>
    <w:p>
      <w:pPr>
        <w:spacing w:after="0" w:line="25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Blaize Holdings, Inc. (together with its subsidiaries, “Blaize,” or the “Company”) is headquartered in El Dorado Hills, California. The consolidated financial statements of the Company, after the Merger (as defined below), include the accounts of the Company and its wholly owned subsidiaries. Prior to the Merger, the Company’s consolidated financial statements included that of Legacy Blaize, as defined below, and included the accounts of Legacy Blaize and its wholly owned subsidiaries.</w:t>
      </w:r>
    </w:p>
    <w:p>
      <w:pPr>
        <w:spacing w:after="0" w:line="207"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 Company provides purpose-built, transformative artificial intelligence (“AI”)-enabled edge computing solutions comprised of both its proprietary hardware and software, and complementary third-party hardware solutions, as further described below.</w:t>
      </w:r>
    </w:p>
    <w:p>
      <w:pPr>
        <w:spacing w:after="0" w:line="189"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In addition to its internally developed products, the Company also delivers third-party hardware solutions that complement and enhance its core offerings. These third-party hardware solutions typically are substantially comprised of servers, which are selected to ensure optimal compatibility and performance with the Company’s products and AI-enabled platforms.</w:t>
      </w:r>
    </w:p>
    <w:p>
      <w:pPr>
        <w:spacing w:after="0" w:line="203"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The Company’s portfolio includes highly efficient programmable AI processors in a broad range of form factors, deployable across several verticals, including smart city, defense, retail and enterprise markets. The Company’s accelerated AI computing platforms enable applications such as computer vision, advanced video analytics, and AI inference, and the Company’s software tools allow non-expert practitioners to deploy existing and novel AI applications on the Company’s hardware without the need for customers to learn or use source code. The Company’s principal market for its products is currently China.</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Merger and Reverse Recapitalization</w:t>
      </w:r>
    </w:p>
    <w:p>
      <w:pPr>
        <w:spacing w:after="0" w:line="25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On January 13, 2025 (the “Closing Date”), the Company consummated the transaction (the “Merger”) contemplated by the Agreement and Plan of Merger (the “Merger Agreement”), dated as of December 22, 2023 (as amended on April 22, 2024, October 24, 2024 and November 21, 2024), with BurTech Acquisition Corp. (“BurTech”), BurTech Merger Sub, Inc. (“Merger Sub”), Blaize, Inc. (“Legacy Blaize”), and for the limited purposes set forth therein, Burkhan Capital LLC (“Burkhan”), a Delaware limited liability company and an affiliate of BurTech. On January 13, 2025 (the “Closing Date”), Merger Sub merged with and into Legacy Blaize, with Legacy Blaize surviving the Merger as a wholly owned subsidiary of the Company.</w:t>
      </w:r>
    </w:p>
    <w:p>
      <w:pPr>
        <w:spacing w:after="0" w:line="21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Prior to the Merger, BurTech LP, LLC (“BurTech LP” or the “Sponsor”) was the sponsor of BurTech, and after the consummation of the Merger, the Sponsor and its affiliated entities remained significant shareholders in the Company and are therefore considered related parties. Concurrent with the Merger, BurTech was renamed “Blaize Holdings, Inc.” Beginning on January 14, 2025, Blaize’s common stock and warrants began trading on The Nasdaq Stock Market LLC (“Nasdaq”) under the ticker symbols “BZAI” and “BZAIW,” respectively.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for the Merger</w:t>
      </w:r>
    </w:p>
    <w:p>
      <w:pPr>
        <w:spacing w:after="0" w:line="256"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Merger was accounted for as a reverse recapitalization, with BurTech treated as the acquired company and Legacy Blaize treated as the acquirer for financial reporting purposes. This accounting treatment was equivalent to Legacy Blaize issuing stock for the net assets of BurTech, accompanied by a recapitalization whereby no goodwill or other intangible assets were recorded. Operations prior to the Merger are those of Legacy Blaize. Upon the consummation of the Merger, each share of Legacy Blaize common stock issued and outstanding was canceled and converted into the right to receive approximately 0.78 shares (the “Exchange Ratio”) of common stock of BurTech. For periods prior to the Merger, the reported share and per share amounts have been retroactively converted by applying the Exchange Ratio.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180"/>
          </w:cols>
          <w:pgMar w:left="320" w:top="117" w:right="399" w:bottom="1440" w:gutter="0" w:footer="0" w:header="0"/>
        </w:sectPr>
      </w:pPr>
    </w:p>
    <w:bookmarkStart w:id="65" w:name="page66"/>
    <w:bookmarkEnd w:id="65"/>
    <w:p>
      <w:pPr>
        <w:jc w:val="center"/>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THE CONSOLIDATED FINANCIAL STATEMENTS </w:t>
      </w:r>
      <w:r>
        <w:rPr>
          <w:rFonts w:ascii="Times New Roman" w:cs="Times New Roman" w:eastAsia="Times New Roman" w:hAnsi="Times New Roman"/>
          <w:sz w:val="18"/>
          <w:szCs w:val="18"/>
          <w:color w:val="auto"/>
        </w:rPr>
        <w:t>(cont.)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net cash proceeds received and the net non-cash liabilities assumed by the Company as a result of the Merger:</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08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(Amounts in thousands)</w:t>
            </w:r>
          </w:p>
        </w:tc>
        <w:tc>
          <w:tcPr>
            <w:tcW w:w="76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33"/>
        </w:trPr>
        <w:tc>
          <w:tcPr>
            <w:tcW w:w="9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 BurTech trust and cash, net of redemption</w:t>
            </w:r>
          </w:p>
        </w:tc>
        <w:tc>
          <w:tcPr>
            <w:tcW w:w="76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37,259</w:t>
            </w:r>
          </w:p>
        </w:tc>
      </w:tr>
      <w:tr>
        <w:trPr>
          <w:trHeight w:val="229"/>
        </w:trPr>
        <w:tc>
          <w:tcPr>
            <w:tcW w:w="9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non-redemption escrow</w:t>
            </w:r>
          </w:p>
        </w:tc>
        <w:tc>
          <w:tcPr>
            <w:tcW w:w="7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(33,061)</w:t>
            </w:r>
          </w:p>
        </w:tc>
      </w:tr>
      <w:tr>
        <w:trPr>
          <w:trHeight w:val="230"/>
        </w:trPr>
        <w:tc>
          <w:tcPr>
            <w:tcW w:w="9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 PIPE</w:t>
            </w:r>
          </w:p>
        </w:tc>
        <w:tc>
          <w:tcPr>
            <w:tcW w:w="7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15,295</w:t>
            </w:r>
          </w:p>
        </w:tc>
      </w:tr>
      <w:tr>
        <w:trPr>
          <w:trHeight w:val="229"/>
        </w:trPr>
        <w:tc>
          <w:tcPr>
            <w:tcW w:w="9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transaction and advisory costs paid by BurTech</w:t>
            </w:r>
          </w:p>
        </w:tc>
        <w:tc>
          <w:tcPr>
            <w:tcW w:w="7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(3,619)</w:t>
            </w:r>
          </w:p>
        </w:tc>
      </w:tr>
      <w:tr>
        <w:trPr>
          <w:trHeight w:val="223"/>
        </w:trPr>
        <w:tc>
          <w:tcPr>
            <w:tcW w:w="90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cash proceeds from the Merger</w:t>
            </w:r>
          </w:p>
        </w:tc>
        <w:tc>
          <w:tcPr>
            <w:tcW w:w="76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15,874</w:t>
            </w:r>
          </w:p>
        </w:tc>
      </w:tr>
      <w:tr>
        <w:trPr>
          <w:trHeight w:val="229"/>
        </w:trPr>
        <w:tc>
          <w:tcPr>
            <w:tcW w:w="9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Earnout share liabilities</w:t>
            </w:r>
          </w:p>
        </w:tc>
        <w:tc>
          <w:tcPr>
            <w:tcW w:w="7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(126,025)</w:t>
            </w:r>
          </w:p>
        </w:tc>
      </w:tr>
      <w:tr>
        <w:trPr>
          <w:trHeight w:val="229"/>
        </w:trPr>
        <w:tc>
          <w:tcPr>
            <w:tcW w:w="9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Non-cash net liabilities assumed from BurTech</w:t>
            </w:r>
          </w:p>
        </w:tc>
        <w:tc>
          <w:tcPr>
            <w:tcW w:w="7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(16,013)</w:t>
            </w:r>
          </w:p>
        </w:tc>
      </w:tr>
      <w:tr>
        <w:trPr>
          <w:trHeight w:val="223"/>
        </w:trPr>
        <w:tc>
          <w:tcPr>
            <w:tcW w:w="9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Merger and PIPE financing</w:t>
            </w:r>
          </w:p>
        </w:tc>
        <w:tc>
          <w:tcPr>
            <w:tcW w:w="7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(126,164)</w:t>
            </w:r>
          </w:p>
        </w:tc>
      </w:tr>
      <w:tr>
        <w:trPr>
          <w:trHeight w:val="20"/>
        </w:trPr>
        <w:tc>
          <w:tcPr>
            <w:tcW w:w="90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Emerging Growth Company Status</w:t>
      </w:r>
    </w:p>
    <w:p>
      <w:pPr>
        <w:spacing w:after="0" w:line="256"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Company is an emerging growth company, as defined in Section 2(a) of the Securities Act of 1933, as amended, (the “Securities Act”), as modified by the Jumpstart Our Business Startups Act of 2012 (“JOBS Act”). The Company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214"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Under the JOBS Act, emerging growth companies can delay adopting new or revised accounting standards issued subsequent to the enactment of the JOBS Act, until such time as those standards apply to private companies. The Company has elected to use this extended transition period for complying with new or revised accounting standards that have different effective dates for public and private companies until the earlier of the date that it (i) is no longer an emerging growth company or (ii) affirmatively and irrevocably opts out of the extended transition period provided in the JOBS Act. As a result, these consolidated financial statements may not be comparable to companies that comply with the new or revised accounting pronouncements as of public company effective dates.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Liquidity and Going Concern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256"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As of December 31, 2025, the Company had cash and cash equivalents on hand of $45.8 million and accounts receivable less allowance for credit losses of $33.4 million, while accounts payable along with and accrued expenses and other current liabilities (excluding amounts due to related parties) and accrued trade payables totaled $37.9 million.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Going Concern</w:t>
      </w:r>
    </w:p>
    <w:p>
      <w:pPr>
        <w:spacing w:after="0" w:line="25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Company’s consolidated financial statements have been prepared on a “going concern basis,” which assumes that it will be able to meet its obligations and continue its operations during the twelve months following the issuance of these consolidated financial statements. These consolidated financial statements do not include any adjustments to reflect the possible future effects on the recoverability and classification of assets or the amounts and classifications of liabilities that may result should the Company be unable to continue as a going concern.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240"/>
          </w:cols>
          <w:pgMar w:left="320" w:top="117" w:right="339" w:bottom="1440" w:gutter="0" w:footer="0" w:header="0"/>
        </w:sectPr>
      </w:pPr>
    </w:p>
    <w:bookmarkStart w:id="66" w:name="page67"/>
    <w:bookmarkEnd w:id="66"/>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 xml:space="preserve">NOTES TO THE CONSOLIDATED FINANCIAL STATEMENTS </w:t>
      </w:r>
      <w:r>
        <w:rPr>
          <w:rFonts w:ascii="Times New Roman" w:cs="Times New Roman" w:eastAsia="Times New Roman" w:hAnsi="Times New Roman"/>
          <w:sz w:val="18"/>
          <w:szCs w:val="18"/>
          <w:color w:val="auto"/>
        </w:rPr>
        <w:t>(cont.)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Historically, and for the year ended December 31, 2025, the Company funded its operations by using cash generated from financing activities and at the same time, has incurred negative cash flows from operations. Cash provided by financing activities was $70.1 million and $101.7 million for the years ended December 31, 2025 and 2024, respectively, and cash used in operations was $73.8 million and $53.5 million for the years ended December 31, 2025 and 2024, respectively.</w:t>
      </w:r>
    </w:p>
    <w:p>
      <w:pPr>
        <w:spacing w:after="0" w:line="207"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Company has historically incurred recurring operating losses, including a loss from operations of $103.8 million and $47.6 million for the years ended December 31, 2025 and 2024, respectively.</w:t>
      </w:r>
    </w:p>
    <w:p>
      <w:pPr>
        <w:spacing w:after="0" w:line="189"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The Company’s ability to continue to meet its obligations, to achieve its business objectives, and continue as a going concern is dependent upon several factors, including its revenue growth rate, cash collections of its accounts receivable, and the timing and extent of spending to support further sales and marketing and research and development efforts. In order to continue its operations, the Company, as currently structured, will need to raise additional financing, if such financing is available at all.</w:t>
      </w:r>
    </w:p>
    <w:p>
      <w:pPr>
        <w:spacing w:after="0" w:line="207"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As a result of the above, in connection with its assessment of going concern considerations in accordance with Financial Accounting Standards Board’s (“FASB”) Accounting Standards Codification (“ASC”) 205-40-50 — “Going Concern — Disclosure,” management has determined that the Company’s liquidity condition raises substantial doubt about its ability to continue as a going concern through one year from the date that these consolidated financial statements have been issued.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Summary of Significant Accounting Policies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Principles of Consolidation</w:t>
      </w:r>
    </w:p>
    <w:p>
      <w:pPr>
        <w:spacing w:after="0" w:line="25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have been prepared in accordance with generally accepted accounting principles in the United States (“GAAP”) and reflect all adjustments, including normal recurring adjustments, which, in the opinion of management, are necessary to present fairly the financial position, results of operations, and cash flows for the periods presented in accordance with GAAP. The consolidated financial statements include the financial statements of the Company and its wholly-owned subsidiaries. All intercompany balances and transactions have been eliminated upon consolidation. The Company has no other comprehensive income or loss, therefore net loss was equal to other comprehensive loss for all periods presented.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56"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We are required to make estimates and assumptions when preparing our consolidated financial statements in accordance with GAAP. These estimates and assumptions affect the amounts reported in our consolidated financial statements and the accompanying notes. Actual results could differ materially from those estimates. As future events and their effects cannot be determined with precision, actual results could differ significantly from these estimates.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5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Company considers all highly liquid investments with an original maturity of 90 days or less to be cash equivalents. The Company’s cash equivalents are currently primarily comprised of money market funds, and, as of December 31, 2024, also included U.S. Government treasury securities. The Company has cash deposits in a financial institution that, at times, may be in excess of Federal Deposit Insurance Corporation (“FDIC”) insurance limits.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5 — “Fair Value Measurements and Derivative Instruments” for details regarding the composition of the Company’s cash equivalents.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220"/>
          </w:cols>
          <w:pgMar w:left="320" w:top="117" w:right="359" w:bottom="1440" w:gutter="0" w:footer="0" w:header="0"/>
        </w:sectPr>
      </w:pPr>
    </w:p>
    <w:bookmarkStart w:id="67" w:name="page68"/>
    <w:bookmarkEnd w:id="6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xml:space="preserve">NOTES TO THE CONSOLIDATED FINANCIAL STATEMENTS </w:t>
      </w:r>
      <w:r>
        <w:rPr>
          <w:rFonts w:ascii="Times New Roman" w:cs="Times New Roman" w:eastAsia="Times New Roman" w:hAnsi="Times New Roman"/>
          <w:sz w:val="18"/>
          <w:szCs w:val="18"/>
          <w:color w:val="auto"/>
        </w:rPr>
        <w:t>(cont.)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256"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Restricted cash represents cash balances held as security deposits related to international payment services. As of December 31, 2025 and 2024, restricted cash of $0.3 million was included as a long-term asset within “other assets” on the consolidated balance sheets.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Net</w:t>
      </w:r>
    </w:p>
    <w:p>
      <w:pPr>
        <w:spacing w:after="0" w:line="25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Accounts receivable, net is recorded at the invoiced amount and does not accrue interest. The Company recognizes an allowance for current expected credit losses (“CECL”) in accordance with ASC 326 — “Financial Instruments - Credit Losses” on accounts receivable at the time the receivable is initially recorded (“Day One”), and subsequently according to an aging schedule. The Day One provision is set at 1% of the gross accounts receivable balance, reflecting management’s judgment of the current estimate of expected losses on Day One of the establishment of the receivable.</w:t>
      </w:r>
    </w:p>
    <w:p>
      <w:pPr>
        <w:spacing w:after="0" w:line="207"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In addition to the Day One provision, the Company utilizes an aging schedule to monitor and assess the collectability of outstanding receivables. Receivables are categorized into aging buckets (e.g., current, 1–30 days past due, 31–60 days past due, 61–90 days past due, and over 90 days past due). The Company reviews the aging schedule at each reporting period and adjusts the allowance for credit losses as necessary, considering factors such as customer-specific risks, historical loss trends, and macroeconomic conditions. The allowance for credit losses is reviewed and updated quarterly, or more frequently if circumstances warrant.</w:t>
      </w:r>
    </w:p>
    <w:p>
      <w:pPr>
        <w:spacing w:after="0" w:line="210"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Due to the limited number of customers and the Company’s relatively short operating history, there is insufficient data to establish a robust historical loss rate for the implementation of the receivables aging model. As a result, the Company is not applying a traditional aging of receivables approach to estimate credit losses. Instead, management currently evaluates the collectability of accounts receivable on a customer-by-customer basis, considering all available information relevant to each customer’s credit risk and payment history. This individualized assessment allows the Company to gather data to make reasonable and supportable estimates of expected credit losses, even in the absence of significant historical loss experience. The Company continues to refine its CECL process as more data becomes available and will adjust its methodology accordingly to reflect the evolving risk profile of its receivables portfolio.</w:t>
      </w:r>
    </w:p>
    <w:p>
      <w:pPr>
        <w:spacing w:after="0" w:line="216"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Account balances are charged off against the allowance (“written off”) after all means of attempted collection indicate that the potential for recovery is considered remote.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Inventories, Net</w:t>
      </w:r>
    </w:p>
    <w:p>
      <w:pPr>
        <w:spacing w:after="0" w:line="256"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Inventories, net consist of raw materials, work in process inventories, and finished goods. Inventories are stated at the lower of cost or net realizable value, with cost being determined on a first-in, first-out basis. Net realizable value is the estimated selling price in the ordinary course of business less the estimated costs of completion and the estimated costs necessary to make the sale. Adjustments to reduce the cost of inventory to its net realizable value are made, if required, for estimated excess, obsolescence, or impaired balances. At the point of loss recognition, a new lower cost basis for that inventory is established and subsequent changes in facts and circumstances do not result in the restoration or increase in the newly established cost basis. Any write-downs of inventories are reflected as part of cost of revenue in the consolidated statement of operations.</w:t>
      </w:r>
    </w:p>
    <w:p>
      <w:pPr>
        <w:spacing w:after="0" w:line="21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While the Company expects such purchased raw materials components to be used in future production of its finished goods, these components are considered in its reserve estimate for excess and obsolete inventory. Furthermore, the Company accrues for losses on commitments for the future purchase on non-cancelable and non-returnable components from this contract manufacturer at the time that circumstances, such as changes in expected demand, indicate that the value of the components may not be recoverable, the loss is probable and management has the ability to reasonably estimate the amount of the loss. The liability balances of the Company’s accrued losses on purchase commitments as of December 31, 2025 and 2024 are set forth in Note 6 — “Financial Statement Details”.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220"/>
          </w:cols>
          <w:pgMar w:left="320" w:top="117" w:right="359" w:bottom="1440" w:gutter="0" w:footer="0" w:header="0"/>
        </w:sectPr>
      </w:pPr>
    </w:p>
    <w:bookmarkStart w:id="68" w:name="page69"/>
    <w:bookmarkEnd w:id="68"/>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 xml:space="preserve">NOTES TO THE CONSOLIDATED FINANCIAL STATEMENTS </w:t>
      </w:r>
      <w:r>
        <w:rPr>
          <w:rFonts w:ascii="Times New Roman" w:cs="Times New Roman" w:eastAsia="Times New Roman" w:hAnsi="Times New Roman"/>
          <w:sz w:val="18"/>
          <w:szCs w:val="18"/>
          <w:color w:val="auto"/>
        </w:rPr>
        <w:t>(cont.)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p>
      <w:pPr>
        <w:spacing w:after="0" w:line="25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Property and equipment is substantially comprised of server and network equipment, laptop computers, and software. Property and equipment are stated at cost less accumulated depreciation. Depreciation is computed using the straight-line method over the useful life of the asset. All of the Company’s depreciation expense for the years ended December 31, 2025 and 2024 as presented on the consolidated statements of operations related to the depreciation of property and equipment.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256"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Impairment of long-lived assets is performed at the lowest level of an “asset group,” as further described below, and generally involves assessing if a triggering event of impairment has occurred (a “triggering event”) and if a triggering event has occurred, comparing the sum of the asset group’s expected undiscounted future cash flows to the carrying value of assets (a “recoverability test”).</w:t>
      </w:r>
    </w:p>
    <w:p>
      <w:pPr>
        <w:spacing w:after="0" w:line="203"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Company as a whole is considered the lowest level of the asset group. As the Company is in the position of substantial doubt regarding its ability to continue as a going concern, the sum of undiscounted future cash flows would be considered negative and both the carrying amount of the assets and the fair value of the assets would therefore exceed the sum of the undiscounted future cash flows if a triggering event were deemed to have occurred and a recoverability test were to be performed. An impairment would thus generally only be recognized on a triggering event that would require the Company to consider the carrying values compared to the fair values of its assets using the liquidation basis of accounting. No such triggering events occurred during the year ended December 31, 2025.</w:t>
      </w:r>
    </w:p>
    <w:p>
      <w:pPr>
        <w:spacing w:after="0" w:line="214"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The Company also assesses the remaining useful lives of long-lived assets, and records a prospective acceleration of depreciation should the estimated useful lives of its long-lived assets be evaluated as shorter than their original estimated useful lives. No significant accelerations of depreciation were recorded for the years ended December 31, 2025 and 2024.</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56"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Company determines if an arrangement is or contains a lease based on the unique facts and circumstances present at the inception of the arrangement and if such a lease is classified as a financing lease or operating lease. Operating lease right-of-use (“ROU”) assets and liabilities are recognized at the commencement date based on the present value of lease payments over the lease term. Operating lease ROU assets also include any initial direct costs and prepayments less lease incentives. Lease terms include periods under options to extend or terminate the lease when it is reasonably certain that the Company will exercise that option. The Company generally uses the base, non-cancelable, lease term when determining the lease assets and liabilities. As of December 31, 2025 and 2024, the Company had no finance leases.</w:t>
      </w:r>
    </w:p>
    <w:p>
      <w:pPr>
        <w:spacing w:after="0" w:line="214"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Lease terms may include options to extend or terminate the lease when it is reasonably certain that the Company will exercise such options. As the Company’s leases do not provide an implicit rate, the Company uses its collateralized incremental borrowing rate based on the information available at the lease commencement date, including any reasonably certain renewal lease term, in determining the present value of lease payments. Lease expense for these operating leases is recognized on a straight-line basis over the lease term and is reflected in the consolidated statements of operations in selling, general and administrative expenses. Payments under lease arrangements are primarily fixed, however, most lease agreements also contain an element of variable payments for taxes, parking, and common area maintenance. Variable lease payments are expensed as incurred and not included in the operating lease ROU assets and lease liabilities.</w:t>
      </w:r>
    </w:p>
    <w:p>
      <w:pPr>
        <w:spacing w:after="0" w:line="216"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The Company has made an accounting policy election not to recognize ROU assets and lease obligations for its short-term leases, which are defined as leases with an initial term of twelve months or less. However, the Company will recognize these lease payments in the consolidated statements of operations on a straight-line basis over the lease term and variable lease payments in the period in which the obligation is incurred. Lease payments for month-to-month leases are recognized as incurred.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200"/>
          </w:cols>
          <w:pgMar w:left="320" w:top="117" w:right="379" w:bottom="1440" w:gutter="0" w:footer="0" w:header="0"/>
        </w:sectPr>
      </w:pPr>
    </w:p>
    <w:bookmarkStart w:id="69" w:name="page70"/>
    <w:bookmarkEnd w:id="6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xml:space="preserve">NOTES TO THE CONSOLIDATED FINANCIAL STATEMENTS </w:t>
      </w:r>
      <w:r>
        <w:rPr>
          <w:rFonts w:ascii="Times New Roman" w:cs="Times New Roman" w:eastAsia="Times New Roman" w:hAnsi="Times New Roman"/>
          <w:sz w:val="18"/>
          <w:szCs w:val="18"/>
          <w:color w:val="auto"/>
        </w:rPr>
        <w:t>(cont.)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Liability vs. equity classification of complex financial instruments</w:t>
      </w:r>
    </w:p>
    <w:p>
      <w:pPr>
        <w:spacing w:after="0" w:line="256"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The Company accounts for complex financial instruments as either equity-classified or liability-classified instruments based on an assessment of the instrument’s specific terms and applicable authoritative guidance in ASC 480 — “Distinguishing Liabilities from Equity” (“ASC 480”) and ASC 815 — “Derivatives and Hedging” (“ASC 815”). The assessment considers whether the instruments are freestanding financial instruments pursuant to ASC 480, meet the definition of a liability pursuant to ASC 480, and, if not classified as a liability, if the accounting meets the requirements for derivative classification under ASC 815, which is precluded if the instruments are indexed to the Company’s own common stock, or meet the other conditions for equity classification. This assessment, which requires the use of management’s judgment, is conducted at the time of the instrument’s issuance, as well as each subsequent reporting period-end date while any given complex financial instrument is outstanding.</w:t>
      </w:r>
    </w:p>
    <w:p>
      <w:pPr>
        <w:spacing w:after="0" w:line="21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For issued or modified instruments that meet all of the criteria for equity classification, the instruments are required to be recorded as a component of additional paid-in capital at the time of issuance. For issued or modified instruments that do not meet all the criteria for equity classification, the instruments are required to be recorded at their initial fair value on the date of issuance, and each balance sheet date thereafter, until the instrument is either reclassified into equity by modification or expires by its terms.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5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Company derives all its revenue from contracts with customers, including sales of hardware and software products and strategic consulting services, all as further described below. The Company recognizes revenue under ASC 606, Revenue from Contracts with Customers (“ASC 606”), in which it determines revenue recognition through the following steps: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Step 1: Identify the contract with the customer.</w:t>
      </w:r>
    </w:p>
    <w:p>
      <w:pPr>
        <w:spacing w:after="0" w:line="25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Company considers the terms and conditions of the engagement in identifying the contracts. The Company determines a contract with a customer to exist when the contract is approved, each party’s rights regarding the services to be transferred can be identified, the payment terms for the services can be identified, it has been determined the customer has the ability and intent to pay, and the contract has commercial substance. The Company applies judgment in determining the customer’s ability and intent to pay, which is based on a variety of factors, including the customer’s historical payment experience or, in the case of a new customer, credit, and financial information pertaining to the customer. If there is uncertainty regarding the ability of collecting potential revenue at the time of a sale, the Company may determine that it may be appropriate to defer revenue recognition or apply a constraint against revenue recognition until payment is received from the customer.</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Step 2: Identify the performance obligations in the contract.</w:t>
      </w:r>
    </w:p>
    <w:p>
      <w:pPr>
        <w:spacing w:after="0" w:line="25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Performance obligations promised in a contract are identified based on the products or services that will be transferred to the customer that are both capable of being distinct, whereby the customer can benefit from the product or service either on its own or together with other resources that are readily available from third parties or from the Company and are distinct in the context of the contract. At contract inception, the Company will evaluate whether two or more contracts should be combined and accounted for as a single contract and whether the combined or single contract includes more than one performance obligation.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Step 3: Determine the transaction price.</w:t>
      </w:r>
    </w:p>
    <w:p>
      <w:pPr>
        <w:spacing w:after="0" w:line="254"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The transaction price is determined based on the consideration to which the Company expects to be entitled in exchange for transferring services to the customer. Variable consideration is included in the transaction price if, in the Company’s judgment, it is probable that a significant future reversal of cumulative revenue under the contract will not occur. None of the Company’s contracts contain a significant financing component.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240"/>
          </w:cols>
          <w:pgMar w:left="320" w:top="117" w:right="339" w:bottom="1440" w:gutter="0" w:footer="0" w:header="0"/>
        </w:sectPr>
      </w:pPr>
    </w:p>
    <w:bookmarkStart w:id="70" w:name="page71"/>
    <w:bookmarkEnd w:id="70"/>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 xml:space="preserve">NOTES TO THE CONSOLIDATED FINANCIAL STATEMENTS </w:t>
      </w:r>
      <w:r>
        <w:rPr>
          <w:rFonts w:ascii="Times New Roman" w:cs="Times New Roman" w:eastAsia="Times New Roman" w:hAnsi="Times New Roman"/>
          <w:sz w:val="18"/>
          <w:szCs w:val="18"/>
          <w:color w:val="auto"/>
        </w:rPr>
        <w:t>(cont.)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Step 4: Allocate the transaction price to the performance obligations in the contract.</w:t>
      </w:r>
    </w:p>
    <w:p>
      <w:pPr>
        <w:spacing w:after="0" w:line="254"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Contracts that contain multiple performance obligations require an allocation of the transaction price to each performance obligation based on each performance obligation’s relative standalone selling price.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Step 5: Recognize revenue when the company satisfies a performance obligation.</w:t>
      </w:r>
    </w:p>
    <w:p>
      <w:pPr>
        <w:spacing w:after="0" w:line="254" w:lineRule="exact"/>
        <w:rPr>
          <w:sz w:val="20"/>
          <w:szCs w:val="20"/>
          <w:color w:val="auto"/>
        </w:rPr>
      </w:pPr>
    </w:p>
    <w:p>
      <w:pPr>
        <w:jc w:val="both"/>
        <w:ind w:right="400"/>
        <w:spacing w:after="0" w:line="261" w:lineRule="auto"/>
        <w:rPr>
          <w:sz w:val="20"/>
          <w:szCs w:val="20"/>
          <w:color w:val="auto"/>
        </w:rPr>
      </w:pPr>
      <w:r>
        <w:rPr>
          <w:rFonts w:ascii="Times New Roman" w:cs="Times New Roman" w:eastAsia="Times New Roman" w:hAnsi="Times New Roman"/>
          <w:sz w:val="18"/>
          <w:szCs w:val="18"/>
          <w:color w:val="auto"/>
        </w:rPr>
        <w:t>Revenue from hardware product sales is recognized upon transfer of control of products to customers in an amount that reflects the consideration the Company expects to receive in exchange for the hardware, which is generally at a point in time, unless a revenue recognition deferral or constraint is deemed applicable. The Company offers unspecified upgrades and support on certain products, however, the related revenue has historically not been material.</w:t>
      </w:r>
    </w:p>
    <w:p>
      <w:pPr>
        <w:spacing w:after="0" w:line="207"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Licenses for on-premises software provide the customer with a right to use the software as it exists when made available to the customer. Revenue from distinct on-premises licenses is recognized up-front at the point in time when the software is made available to the customer.</w:t>
      </w:r>
    </w:p>
    <w:p>
      <w:pPr>
        <w:spacing w:after="0" w:line="189"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Revenue from services is recognized at the time the related performance obligation is satisfied by transferring the control of the promised service to a customer. Revenue in respect of services, including strategic consulting services or marketing services, is recognized over the contractual terms during which the Company provides services over a period of time.</w:t>
      </w:r>
    </w:p>
    <w:p>
      <w:pPr>
        <w:spacing w:after="0" w:line="203"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timing of the Company’s revenue recognition may differ from the timing of payment by its customers. An unbilled receivable is recorded when revenue is recognized prior to invoicing and the Company has an unconditional right to payment. Alternatively, when payment precedes the provision of the related services, the Company records deferred revenue until the performance obligations are satisfied.</w:t>
      </w:r>
    </w:p>
    <w:p>
      <w:pPr>
        <w:spacing w:after="0" w:line="203"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The Company defers incremental costs of obtaining a customer contract and amortizes the deferred costs over the period that the related revenue is recognized. The Company had no material incremental costs to obtain customer contracts in any period presented.</w:t>
      </w:r>
    </w:p>
    <w:p>
      <w:pPr>
        <w:spacing w:after="0" w:line="18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Company has elected to account for shipping and handling fees as fulfillment activities and not separate performance obligations. Accordingly, these fees are reflected in revenue and the related fulfillment costs are accrued as cost of revenue as the related fulfillment costs incurred.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offers a standard assurance-type warranty to customers for hardware product sales, which warranties are not material for accrual.</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256"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Cost of revenue includes the cost of hardware products and materials and associated freight expense, and direct labor costs when applicable as well as indirect costs such as inventory carrying costs and inventory valuation reserves. There is no depreciation allocable to cost of revenue; however, if such depreciation expense were to be incurred, it would be allocated to cost of revenue.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5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 is subject to income taxes in the U.S. and various foreign jurisdictions. The Company uses the asset-and-liability method for income taxes. Under this method, deferred tax assets and liabilities are determined based on differences between the financial statement carrying amounts and tax bases of assets and liabilities and operating loss and tax credit carryforwards and are measured using the enacted tax rates that are expected to be in effect when the differences reverse. The effect on deferred tax assets and liabilities of a change in tax rates is recognized in income in the period that includes the enactment date. Valuation allowances are established on a jurisdiction-by-jurisdiction basis when necessary to reduce deferred tax assets to an amount that, in the opinion of management, is more likely than not to be realized.</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160"/>
          </w:cols>
          <w:pgMar w:left="320" w:top="117" w:right="419" w:bottom="1440" w:gutter="0" w:footer="0" w:header="0"/>
        </w:sectPr>
      </w:pPr>
    </w:p>
    <w:bookmarkStart w:id="71" w:name="page72"/>
    <w:bookmarkEnd w:id="71"/>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 xml:space="preserve">NOTES TO THE CONSOLIDATED FINANCIAL STATEMENTS </w:t>
      </w:r>
      <w:r>
        <w:rPr>
          <w:rFonts w:ascii="Times New Roman" w:cs="Times New Roman" w:eastAsia="Times New Roman" w:hAnsi="Times New Roman"/>
          <w:sz w:val="18"/>
          <w:szCs w:val="18"/>
          <w:color w:val="auto"/>
        </w:rPr>
        <w:t>(cont.)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Company is subject to tax audits in various jurisdictions. The Company regularly assess the likely outcomes of such audits in order to determine the appropriateness of liabilities for uncertain tax benefits. The Company accounts for uncertain tax positions based on an evaluation as to whether it is more likely than not that a tax position will be sustained upon audit, including resolution of any related appeals or litigation processes. This evaluation is based on all available evidence and assumes that the appropriate tax authorities have full knowledge of all relevant information concerning the tax position. The tax benefit recognized is based on the largest amount that is greater than 50% likely of being realized upon ultimate settlement. The Company includes interest expense and penalties related to its uncertain tax positions in the provision for income taxes.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56" w:lineRule="exact"/>
        <w:rPr>
          <w:sz w:val="20"/>
          <w:szCs w:val="20"/>
          <w:color w:val="auto"/>
        </w:rPr>
      </w:pPr>
    </w:p>
    <w:p>
      <w:pPr>
        <w:jc w:val="both"/>
        <w:ind w:right="120"/>
        <w:spacing w:after="0" w:line="261" w:lineRule="auto"/>
        <w:rPr>
          <w:sz w:val="20"/>
          <w:szCs w:val="20"/>
          <w:color w:val="auto"/>
        </w:rPr>
      </w:pPr>
      <w:r>
        <w:rPr>
          <w:rFonts w:ascii="Times New Roman" w:cs="Times New Roman" w:eastAsia="Times New Roman" w:hAnsi="Times New Roman"/>
          <w:sz w:val="18"/>
          <w:szCs w:val="18"/>
          <w:color w:val="auto"/>
        </w:rPr>
        <w:t>The Company recognizes the cost of stock options granted to employees, consultants, and directors based on the fair value of those awards at the date of grant over the requisite service period. The fair value of stock options granted is determined using the Black-Scholes option pricing model using various inputs, including Company estimates of expected share price volatility, term, risk-free rate and future dividends. The Company has elected the simplified method to determine the expected term of the option grants.</w:t>
      </w:r>
    </w:p>
    <w:p>
      <w:pPr>
        <w:spacing w:after="0" w:line="20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 also grants restricted stock units (“RSUs”) to employees, consultants, and directors which vest upon the satisfaction of a service-based condition. The fair value of RSUs is determined based on the fair value of common stock at the date of grant. Due to the Merger that occurred during the year ended December 31, 2025, the Company recorded cumulative stock-based compensation using the accelerated attribution method for those RSUs for which the service condition was satisfied prior to the Merger, and will record the remaining unrecognized stock-based compensation over the remainder of the requisite service period. Forfeitures are recognized as they occur.</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w:t>
      </w:r>
    </w:p>
    <w:p>
      <w:pPr>
        <w:spacing w:after="0" w:line="256" w:lineRule="exact"/>
        <w:rPr>
          <w:sz w:val="20"/>
          <w:szCs w:val="20"/>
          <w:color w:val="auto"/>
        </w:rPr>
      </w:pPr>
    </w:p>
    <w:p>
      <w:pPr>
        <w:jc w:val="both"/>
        <w:ind w:right="40"/>
        <w:spacing w:after="0" w:line="272" w:lineRule="auto"/>
        <w:rPr>
          <w:sz w:val="20"/>
          <w:szCs w:val="20"/>
          <w:color w:val="auto"/>
        </w:rPr>
      </w:pPr>
      <w:r>
        <w:rPr>
          <w:rFonts w:ascii="Times New Roman" w:cs="Times New Roman" w:eastAsia="Times New Roman" w:hAnsi="Times New Roman"/>
          <w:sz w:val="17"/>
          <w:szCs w:val="17"/>
          <w:color w:val="auto"/>
        </w:rPr>
        <w:t>The Company’s reporting and functional currency is the United States dollar (“USD”). The local currencies of its foreign subsidiaries are the Indian rupee and British pound, however, the functional currency of its foreign subsidiaries is also the USD. Monetary assets and liabilities denominated in currencies other than USD are remeasured into USD at current exchange rates and nonmonetary assets and liabilities are measured at historical exchange rates.</w:t>
      </w:r>
    </w:p>
    <w:p>
      <w:pPr>
        <w:spacing w:after="0" w:line="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Revenues, cost of revenues, and operating expenses are remeasured at the average exchange rates in effect during each reporting period. The resulting transaction gains or losses are recognized in other, net, in the consolidated statements of operations. During the years ended December 31, 2025 and 2024, foreign currency transaction gains and losses were immaterial.</w:t>
      </w:r>
    </w:p>
    <w:p>
      <w:pPr>
        <w:spacing w:after="0" w:line="213"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As the Company’s reporting and functional currency is the USD, there is no cumulative translation adjustment; thus, the Company does not have accumulated other comprehensive income or loss on its consolidated balance sheets.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256"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Company considers the applicability and impact of all Accounting Standards Updates (“ASUs” each an “ASU”) issued by the Financial Accounting Standards Board (“FASB”). The following ASUs were adopted by the Company during the year ended December 31, 2025:</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ASU 2023-09, Income Taxes (Topic 740): Improvements to Income Tax Disclosures (“ASU 2023-09”)</w:t>
      </w:r>
    </w:p>
    <w:p>
      <w:pPr>
        <w:spacing w:after="0" w:line="254"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In December 2023, the FASB issued ASU 2023-09 requiring greater disaggregation of income statement disclosures related to the income tax rate reconciliation, income taxes paid, and other disclosures.</w:t>
      </w:r>
    </w:p>
    <w:p>
      <w:pPr>
        <w:spacing w:after="0" w:line="189" w:lineRule="exact"/>
        <w:rPr>
          <w:sz w:val="20"/>
          <w:szCs w:val="20"/>
          <w:color w:val="auto"/>
        </w:rPr>
      </w:pPr>
    </w:p>
    <w:p>
      <w:pPr>
        <w:jc w:val="both"/>
        <w:ind w:left="660" w:right="20" w:hanging="328"/>
        <w:spacing w:after="0" w:line="266"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tax rate reconciliation – ASU 2023-09 requires disclosing additional information in specified categories to reconcile the effective tax rate to the statutory rate (the rate reconciliation) for federal, state, and foreign income taxes. It also requires greater detail about individual reconciling items in the rate reconciliation to the extent the impact of those items exceeds a specified threshold.</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140"/>
          </w:cols>
          <w:pgMar w:left="320" w:top="117" w:right="439" w:bottom="1440" w:gutter="0" w:footer="0" w:header="0"/>
        </w:sectPr>
      </w:pPr>
    </w:p>
    <w:bookmarkStart w:id="72" w:name="page73"/>
    <w:bookmarkEnd w:id="7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xml:space="preserve">NOTES TO THE CONSOLIDATED FINANCIAL STATEMENTS </w:t>
      </w:r>
      <w:r>
        <w:rPr>
          <w:rFonts w:ascii="Times New Roman" w:cs="Times New Roman" w:eastAsia="Times New Roman" w:hAnsi="Times New Roman"/>
          <w:sz w:val="18"/>
          <w:szCs w:val="18"/>
          <w:color w:val="auto"/>
        </w:rPr>
        <w:t>(cont.)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660" w:right="40" w:hanging="328"/>
        <w:spacing w:after="0" w:line="261"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taxes paid – ASU 2023-09 requires disclosing information about taxes paid (net of refunds received) to be disaggregated for federal, state, and foreign taxes and further disaggregated for specific jurisdictions to the extent the related amounts exceed a quantitative threshold.</w:t>
      </w:r>
    </w:p>
    <w:p>
      <w:pPr>
        <w:ind w:left="660" w:right="80" w:hanging="328"/>
        <w:spacing w:after="0" w:line="255"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disclosures – ASU 2023-09 requires disclosing income (or loss) from continuing operations before income tax expense (or benefit) disaggregated between domestic and foreign, and income tax expense (or benefit) from continuing operations disaggregated by federal (national), state, and foreign.</w:t>
      </w:r>
    </w:p>
    <w:p>
      <w:pPr>
        <w:spacing w:after="0" w:line="213"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amendments in ASU 2023-09 eliminated the requirement for all entities to (1) disclose the nature and estimate of the range of the reasonably possible change in the unrecognized tax benefits balance in the next 12 months or (2) make a statement that an estimate of the range cannot be made. The amendments in this update also removed the requirement to disclose the cumulative amount of each type of temporary difference when a deferred tax liability is not recognized because of the exceptions to comprehensive recognition of deferred taxes related to subsidiaries and corporate joint ventures.</w:t>
      </w:r>
    </w:p>
    <w:p>
      <w:pPr>
        <w:spacing w:after="0" w:line="207"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amendments in ASU 2023-09 became effective for annual periods beginning after December 15, 2024. The Company adopted ASU 2023-09 prospectively for the year ended December 31, 2025. See Note 7 — “Income Taxes”. Since this new ASU addresses only disclosures, its adoption did not have any effect on the Company’s financial position, results of operations, or cash flows.</w:t>
      </w:r>
    </w:p>
    <w:p>
      <w:pPr>
        <w:spacing w:after="0" w:line="201" w:lineRule="exact"/>
        <w:rPr>
          <w:sz w:val="20"/>
          <w:szCs w:val="20"/>
          <w:color w:val="auto"/>
        </w:rPr>
      </w:pPr>
    </w:p>
    <w:p>
      <w:pPr>
        <w:ind w:right="440"/>
        <w:spacing w:after="0" w:line="284" w:lineRule="auto"/>
        <w:rPr>
          <w:sz w:val="20"/>
          <w:szCs w:val="20"/>
          <w:color w:val="auto"/>
        </w:rPr>
      </w:pPr>
      <w:r>
        <w:rPr>
          <w:rFonts w:ascii="Times New Roman" w:cs="Times New Roman" w:eastAsia="Times New Roman" w:hAnsi="Times New Roman"/>
          <w:sz w:val="18"/>
          <w:szCs w:val="18"/>
          <w:i w:val="1"/>
          <w:iCs w:val="1"/>
          <w:color w:val="auto"/>
        </w:rPr>
        <w:t>ASU 2025-05, Financial Instruments—Credit Losses (Topic 326): Measurement of Credit Losses for Accounts Receivable and Contract Assets (“ASU 2025-05”)</w:t>
      </w:r>
    </w:p>
    <w:p>
      <w:pPr>
        <w:spacing w:after="0" w:line="18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In July 2025, the FASB issued ASU 2025-05. This ASU provides a practical expedient to assume that conditions as of the balance sheet date remain unchanged over the life of the asset when estimating expected credit losses for current accounts receivable and current contract assets arising from transactions accounted for under ASC 606. This guidance is effective for the Company beginning on January 1, 2026, and early adoption is permitted. The amendments in this ASU should be applied prospectively. The Company has elected to early adopt the provisions of this practical expedient, and the adoption of this practical expedient did not have a material effect on the Company’s consolidated financial statements.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considers the applicability and impact of all ASUs issued by the FASB. ASUs not listed below were assessed and determined to be either not applicable or are not expected to have a material effect on the Company’s consolidated financial statements.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ASU 2024-03, Income Statement—Reporting Comprehensive Income—Expense Disaggregation Disclosures (“ASU 2024-03”)</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November 4, 2024, the FASB issued ASU 2024-03 requiring additional income tax disclosures related to certain costs and expenses as listed below:</w:t>
      </w:r>
    </w:p>
    <w:p>
      <w:pPr>
        <w:spacing w:after="0" w:line="252" w:lineRule="exact"/>
        <w:rPr>
          <w:sz w:val="20"/>
          <w:szCs w:val="20"/>
          <w:color w:val="auto"/>
        </w:rPr>
      </w:pPr>
    </w:p>
    <w:p>
      <w:pPr>
        <w:ind w:left="660" w:hanging="328"/>
        <w:spacing w:after="0" w:line="257"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Disclosing the amounts of (a) purchases of inventory, (b) employee compensation, (c) depreciation, (d) intangible asset amortization, and (e) depreciation, depletion, and amortization recognized as part of oil and gas producing activities (or other amounts of depletion expense) included in each relevant expense caption.</w:t>
      </w:r>
    </w:p>
    <w:p>
      <w:pPr>
        <w:spacing w:after="0" w:line="1" w:lineRule="exact"/>
        <w:rPr>
          <w:rFonts w:ascii="Times New Roman" w:cs="Times New Roman" w:eastAsia="Times New Roman" w:hAnsi="Times New Roman"/>
          <w:sz w:val="18"/>
          <w:szCs w:val="18"/>
          <w:color w:val="auto"/>
        </w:rPr>
      </w:pPr>
    </w:p>
    <w:p>
      <w:pPr>
        <w:ind w:left="660" w:right="260" w:hanging="328"/>
        <w:spacing w:after="0" w:line="250"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Including certain amounts that are already required to be disclosed under current U.S. GAAP in the same disclosure as the other disaggregation requirements.</w:t>
      </w: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Disclosing a qualitative description of the amounts remaining in relevant expense captions that are not separately disaggregated quantitatively.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Disclosing the total amount of selling expenses and, in annual reporting periods, an entity’s definition of selling expenses.</w:t>
      </w:r>
    </w:p>
    <w:p>
      <w:pPr>
        <w:spacing w:after="0" w:line="234"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amendments in ASU 2024-03 are effective for annual reporting periods beginning after December 15, 2026, and interim reporting periods beginning after December 15, 2027. Early adoption is permitted. They should be applied either prospectively to financial statements issued for reporting periods after the effective date or retrospectively to</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220"/>
          </w:cols>
          <w:pgMar w:left="320" w:top="117" w:right="359" w:bottom="1440" w:gutter="0" w:footer="0" w:header="0"/>
        </w:sectPr>
      </w:pPr>
    </w:p>
    <w:bookmarkStart w:id="73" w:name="page74"/>
    <w:bookmarkEnd w:id="73"/>
    <w:p>
      <w:pPr>
        <w:jc w:val="center"/>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THE CONSOLIDATED FINANCIAL STATEMENTS </w:t>
      </w:r>
      <w:r>
        <w:rPr>
          <w:rFonts w:ascii="Times New Roman" w:cs="Times New Roman" w:eastAsia="Times New Roman" w:hAnsi="Times New Roman"/>
          <w:sz w:val="18"/>
          <w:szCs w:val="18"/>
          <w:color w:val="auto"/>
        </w:rPr>
        <w:t>(cont.)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any or all prior periods presented in the consolidated financial statements. The Company is currently evaluating the effect of this new guidance on the consolidated financial statement disclosures.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ASU No. 2025-11, Interim Reporting (Topic 270): Narrow Scope Improvements (“ASU 2025-11”)</w:t>
      </w:r>
    </w:p>
    <w:p>
      <w:pPr>
        <w:spacing w:after="0" w:line="254"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On December 8, 2025, the FASB issued ASU 2025-11 to clarify the current interim disclosure requirements and the applicability of ASC 270 — “Interim Reporting” (“ASC 270”). The ASU creates a comprehensive list of interim disclosures in ASC 270 that are required in interim financial statements and the accompanying notes under GAAP. It also incorporates a disclosure principle requiring entities to disclose in interim periods events and changes that occur after the end of the most recent annual reporting period that have a material impact on the entity. ASU 2025-11 also clarifies that SEC registrants are required to refer to existing SEC guidance, such as Rule 10-01 of Regulation S-X, since those rules provide form and content requirements for condensed financial statements. ASU 2025-11 will be effective for interim and annual reporting periods beginning after 2027, which will be first quarter of fiscal 2028 for the Company. Early adoption is permitted, and the guidance can be applied prospectively or retrospectively. Since ASU 2025-11 is disclosure-related only, its adoption is not expected to have an effect on the Company’s financial position, results of operations, or cash flows. The Company is currently evaluating the disclosure guidance in ASU 2025-11 to determine if any new or amended disclosures will be required upon adoption.</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Revenue and Accounts Receivable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56"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Company’s revenue disaggregated by geographical location, determined by reference to the customer’s shipping location for the years ended December 31, 2025 and 2024:</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52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For the Year Ended December 31,</w:t>
            </w:r>
          </w:p>
        </w:tc>
        <w:tc>
          <w:tcPr>
            <w:tcW w:w="6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r>
      <w:tr>
        <w:trPr>
          <w:trHeight w:val="214"/>
        </w:trPr>
        <w:tc>
          <w:tcPr>
            <w:tcW w:w="4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(Amounts in thousands, except for percentages)</w:t>
            </w:r>
          </w:p>
        </w:tc>
        <w:tc>
          <w:tcPr>
            <w:tcW w:w="50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79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1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6"/>
                <w:szCs w:val="16"/>
                <w:b w:val="1"/>
                <w:bCs w:val="1"/>
                <w:color w:val="auto"/>
              </w:rPr>
              <w:t>2024</w:t>
            </w:r>
          </w:p>
        </w:tc>
        <w:tc>
          <w:tcPr>
            <w:tcW w:w="6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832"/>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25"/>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35,155</w:t>
            </w:r>
          </w:p>
        </w:tc>
        <w:tc>
          <w:tcPr>
            <w:tcW w:w="1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91.00%</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253"/>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9"/>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5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3,327</w:t>
            </w:r>
          </w:p>
        </w:tc>
        <w:tc>
          <w:tcPr>
            <w:tcW w:w="1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8.61%</w:t>
            </w: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1,215</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78.19 %</w:t>
            </w:r>
          </w:p>
        </w:tc>
      </w:tr>
      <w:tr>
        <w:trPr>
          <w:trHeight w:val="230"/>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5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0.01%</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21.36 %</w:t>
            </w:r>
          </w:p>
        </w:tc>
      </w:tr>
      <w:tr>
        <w:trPr>
          <w:trHeight w:val="230"/>
        </w:trPr>
        <w:tc>
          <w:tcPr>
            <w:tcW w:w="4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5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10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0.38%</w:t>
            </w:r>
          </w:p>
        </w:tc>
        <w:tc>
          <w:tcPr>
            <w:tcW w:w="16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0.45 %</w:t>
            </w:r>
          </w:p>
        </w:tc>
      </w:tr>
      <w:tr>
        <w:trPr>
          <w:trHeight w:val="248"/>
        </w:trPr>
        <w:tc>
          <w:tcPr>
            <w:tcW w:w="4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38,632</w:t>
            </w:r>
          </w:p>
        </w:tc>
        <w:tc>
          <w:tcPr>
            <w:tcW w:w="1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ind w:right="1253"/>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1,554</w:t>
            </w:r>
          </w:p>
        </w:tc>
        <w:tc>
          <w:tcPr>
            <w:tcW w:w="1240" w:type="dxa"/>
            <w:vAlign w:val="bottom"/>
            <w:tcBorders>
              <w:bottom w:val="single" w:sz="8" w:color="CCEEFF"/>
            </w:tcBorders>
            <w:shd w:val="clear" w:color="auto" w:fill="CCEEFF"/>
          </w:tcPr>
          <w:p>
            <w:pPr>
              <w:spacing w:after="0"/>
              <w:rPr>
                <w:sz w:val="21"/>
                <w:szCs w:val="21"/>
                <w:color w:val="auto"/>
              </w:rPr>
            </w:pP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r>
    </w:tbl>
    <w:p>
      <w:pPr>
        <w:spacing w:after="0" w:line="31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Company’s revenue disaggregated based on the method of revenue recognition for the years ended December 31, 2025 and 2024:</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36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4300" w:type="dxa"/>
            <w:vAlign w:val="bottom"/>
            <w:tcBorders>
              <w:bottom w:val="single" w:sz="8" w:color="auto"/>
            </w:tcBorders>
            <w:gridSpan w:val="4"/>
          </w:tcPr>
          <w:p>
            <w:pPr>
              <w:jc w:val="right"/>
              <w:ind w:right="1172"/>
              <w:spacing w:after="0"/>
              <w:rPr>
                <w:sz w:val="20"/>
                <w:szCs w:val="20"/>
                <w:color w:val="auto"/>
              </w:rPr>
            </w:pPr>
            <w:r>
              <w:rPr>
                <w:rFonts w:ascii="Times New Roman" w:cs="Times New Roman" w:eastAsia="Times New Roman" w:hAnsi="Times New Roman"/>
                <w:sz w:val="16"/>
                <w:szCs w:val="16"/>
                <w:b w:val="1"/>
                <w:bCs w:val="1"/>
                <w:color w:val="auto"/>
              </w:rPr>
              <w:t>For the Year Ended December 31,</w:t>
            </w:r>
          </w:p>
        </w:tc>
      </w:tr>
      <w:tr>
        <w:trPr>
          <w:trHeight w:val="214"/>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(Amounts in thousands)</w:t>
            </w:r>
          </w:p>
        </w:tc>
        <w:tc>
          <w:tcPr>
            <w:tcW w:w="58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ind w:right="934"/>
              <w:spacing w:after="0"/>
              <w:rPr>
                <w:sz w:val="20"/>
                <w:szCs w:val="20"/>
                <w:color w:val="auto"/>
              </w:rPr>
            </w:pPr>
            <w:r>
              <w:rPr>
                <w:rFonts w:ascii="Times New Roman" w:cs="Times New Roman" w:eastAsia="Times New Roman" w:hAnsi="Times New Roman"/>
                <w:sz w:val="16"/>
                <w:szCs w:val="16"/>
                <w:b w:val="1"/>
                <w:bCs w:val="1"/>
                <w:color w:val="auto"/>
              </w:rPr>
              <w:t>2025</w:t>
            </w:r>
          </w:p>
        </w:tc>
        <w:tc>
          <w:tcPr>
            <w:tcW w:w="16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ind w:right="932"/>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5"/>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recognized at a point in time</w:t>
            </w:r>
          </w:p>
        </w:tc>
        <w:tc>
          <w:tcPr>
            <w:tcW w:w="58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38,606</w:t>
            </w: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w:t>
            </w:r>
          </w:p>
        </w:tc>
      </w:tr>
      <w:tr>
        <w:trPr>
          <w:trHeight w:val="230"/>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Revenue recognized over time</w:t>
            </w:r>
          </w:p>
        </w:tc>
        <w:tc>
          <w:tcPr>
            <w:tcW w:w="5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6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1,193</w:t>
            </w:r>
          </w:p>
        </w:tc>
      </w:tr>
      <w:tr>
        <w:trPr>
          <w:trHeight w:val="248"/>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38,632</w:t>
            </w:r>
          </w:p>
        </w:tc>
        <w:tc>
          <w:tcPr>
            <w:tcW w:w="1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1,554</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240"/>
          </w:cols>
          <w:pgMar w:left="320" w:top="117" w:right="339" w:bottom="1440" w:gutter="0" w:footer="0" w:header="0"/>
        </w:sectPr>
      </w:pPr>
    </w:p>
    <w:bookmarkStart w:id="74" w:name="page75"/>
    <w:bookmarkEnd w:id="74"/>
    <w:p>
      <w:pPr>
        <w:jc w:val="center"/>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THE CONSOLIDATED FINANCIAL STATEMENTS </w:t>
      </w:r>
      <w:r>
        <w:rPr>
          <w:rFonts w:ascii="Times New Roman" w:cs="Times New Roman" w:eastAsia="Times New Roman" w:hAnsi="Times New Roman"/>
          <w:sz w:val="18"/>
          <w:szCs w:val="18"/>
          <w:color w:val="auto"/>
        </w:rPr>
        <w:t>(cont.)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Customer concentrations in revenue</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a summary of the Company’s revenue concentration by customer for the years ended December 31, 2025 and 2024:</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60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6"/>
                <w:szCs w:val="16"/>
                <w:b w:val="1"/>
                <w:bCs w:val="1"/>
                <w:color w:val="auto"/>
              </w:rPr>
              <w:t>For the Year Ended December 31,</w:t>
            </w:r>
          </w:p>
        </w:tc>
        <w:tc>
          <w:tcPr>
            <w:tcW w:w="7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r>
      <w:tr>
        <w:trPr>
          <w:trHeight w:val="214"/>
        </w:trPr>
        <w:tc>
          <w:tcPr>
            <w:tcW w:w="4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(Amounts in thousands, except for percentages)</w:t>
            </w:r>
          </w:p>
        </w:tc>
        <w:tc>
          <w:tcPr>
            <w:tcW w:w="5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83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1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Borders>
              <w:bottom w:val="single" w:sz="8" w:color="CCEEFF"/>
            </w:tcBorders>
          </w:tcPr>
          <w:p>
            <w:pPr>
              <w:spacing w:after="0"/>
              <w:rPr>
                <w:sz w:val="18"/>
                <w:szCs w:val="18"/>
                <w:color w:val="auto"/>
              </w:rPr>
            </w:pPr>
          </w:p>
        </w:tc>
        <w:tc>
          <w:tcPr>
            <w:tcW w:w="146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6"/>
                <w:szCs w:val="16"/>
                <w:b w:val="1"/>
                <w:bCs w:val="1"/>
                <w:color w:val="auto"/>
              </w:rPr>
              <w:t>2024</w:t>
            </w:r>
          </w:p>
        </w:tc>
        <w:tc>
          <w:tcPr>
            <w:tcW w:w="7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25"/>
        </w:trPr>
        <w:tc>
          <w:tcPr>
            <w:tcW w:w="4600" w:type="dxa"/>
            <w:vAlign w:val="bottom"/>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 xml:space="preserve">Customer A </w:t>
            </w:r>
            <w:r>
              <w:rPr>
                <w:rFonts w:ascii="Times New Roman" w:cs="Times New Roman" w:eastAsia="Times New Roman" w:hAnsi="Times New Roman"/>
                <w:sz w:val="23"/>
                <w:szCs w:val="23"/>
                <w:color w:val="auto"/>
                <w:vertAlign w:val="superscript"/>
              </w:rPr>
              <w:t>(1)</w:t>
            </w: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253"/>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w:t>
            </w:r>
          </w:p>
        </w:tc>
        <w:tc>
          <w:tcPr>
            <w:tcW w:w="1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76.77%</w:t>
            </w:r>
          </w:p>
        </w:tc>
      </w:tr>
      <w:tr>
        <w:trPr>
          <w:trHeight w:val="230"/>
        </w:trPr>
        <w:tc>
          <w:tcPr>
            <w:tcW w:w="46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Customer B </w:t>
            </w:r>
            <w:r>
              <w:rPr>
                <w:rFonts w:ascii="Times New Roman" w:cs="Times New Roman" w:eastAsia="Times New Roman" w:hAnsi="Times New Roman"/>
                <w:sz w:val="23"/>
                <w:szCs w:val="23"/>
                <w:color w:val="auto"/>
                <w:vertAlign w:val="superscript"/>
              </w:rPr>
              <w:t>(1)</w:t>
            </w:r>
          </w:p>
        </w:tc>
        <w:tc>
          <w:tcPr>
            <w:tcW w:w="5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1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21.36%</w:t>
            </w:r>
          </w:p>
        </w:tc>
      </w:tr>
      <w:tr>
        <w:trPr>
          <w:trHeight w:val="229"/>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C</w:t>
            </w:r>
          </w:p>
        </w:tc>
        <w:tc>
          <w:tcPr>
            <w:tcW w:w="5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10,444</w:t>
            </w:r>
          </w:p>
        </w:tc>
        <w:tc>
          <w:tcPr>
            <w:tcW w:w="1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27.03%</w:t>
            </w: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D</w:t>
            </w:r>
          </w:p>
        </w:tc>
        <w:tc>
          <w:tcPr>
            <w:tcW w:w="5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23,750</w:t>
            </w:r>
          </w:p>
        </w:tc>
        <w:tc>
          <w:tcPr>
            <w:tcW w:w="1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61.48%</w:t>
            </w:r>
          </w:p>
        </w:tc>
        <w:tc>
          <w:tcPr>
            <w:tcW w:w="1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6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Others </w:t>
            </w:r>
            <w:r>
              <w:rPr>
                <w:rFonts w:ascii="Times New Roman" w:cs="Times New Roman" w:eastAsia="Times New Roman" w:hAnsi="Times New Roman"/>
                <w:sz w:val="23"/>
                <w:szCs w:val="23"/>
                <w:color w:val="auto"/>
                <w:vertAlign w:val="superscript"/>
              </w:rPr>
              <w:t>(2) (3)</w:t>
            </w:r>
          </w:p>
        </w:tc>
        <w:tc>
          <w:tcPr>
            <w:tcW w:w="50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4,438</w:t>
            </w:r>
          </w:p>
        </w:tc>
        <w:tc>
          <w:tcPr>
            <w:tcW w:w="1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11.49%</w:t>
            </w:r>
          </w:p>
        </w:tc>
        <w:tc>
          <w:tcPr>
            <w:tcW w:w="140" w:type="dxa"/>
            <w:vAlign w:val="bottom"/>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1.87%</w:t>
            </w:r>
          </w:p>
        </w:tc>
      </w:tr>
      <w:tr>
        <w:trPr>
          <w:trHeight w:val="223"/>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38,632</w:t>
            </w: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Borders>
              <w:bottom w:val="single" w:sz="8" w:color="auto"/>
            </w:tcBorders>
          </w:tcPr>
          <w:p>
            <w:pPr>
              <w:jc w:val="right"/>
              <w:ind w:right="1253"/>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1,554</w:t>
            </w:r>
          </w:p>
        </w:tc>
        <w:tc>
          <w:tcPr>
            <w:tcW w:w="1100" w:type="dxa"/>
            <w:vAlign w:val="bottom"/>
          </w:tcPr>
          <w:p>
            <w:pPr>
              <w:spacing w:after="0"/>
              <w:rPr>
                <w:sz w:val="19"/>
                <w:szCs w:val="19"/>
                <w:color w:val="auto"/>
              </w:rPr>
            </w:pPr>
          </w:p>
        </w:tc>
      </w:tr>
      <w:tr>
        <w:trPr>
          <w:trHeight w:val="20"/>
        </w:trPr>
        <w:tc>
          <w:tcPr>
            <w:tcW w:w="46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bl>
    <w:p>
      <w:pPr>
        <w:spacing w:after="0" w:line="301" w:lineRule="exact"/>
        <w:rPr>
          <w:sz w:val="20"/>
          <w:szCs w:val="20"/>
          <w:color w:val="auto"/>
        </w:rPr>
      </w:pPr>
    </w:p>
    <w:p>
      <w:pPr>
        <w:ind w:left="180" w:hanging="172"/>
        <w:spacing w:after="0"/>
        <w:tabs>
          <w:tab w:leader="none" w:pos="180" w:val="left"/>
        </w:tabs>
        <w:numPr>
          <w:ilvl w:val="0"/>
          <w:numId w:val="2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Customers A and B are related parties to the Company.</w:t>
      </w:r>
    </w:p>
    <w:p>
      <w:pPr>
        <w:spacing w:after="0" w:line="1" w:lineRule="exact"/>
        <w:rPr>
          <w:rFonts w:ascii="Times New Roman" w:cs="Times New Roman" w:eastAsia="Times New Roman" w:hAnsi="Times New Roman"/>
          <w:sz w:val="22"/>
          <w:szCs w:val="22"/>
          <w:color w:val="auto"/>
          <w:vertAlign w:val="superscript"/>
        </w:rPr>
      </w:pPr>
    </w:p>
    <w:p>
      <w:pPr>
        <w:ind w:left="180" w:hanging="172"/>
        <w:spacing w:after="0" w:line="203" w:lineRule="auto"/>
        <w:tabs>
          <w:tab w:leader="none" w:pos="180" w:val="left"/>
        </w:tabs>
        <w:numPr>
          <w:ilvl w:val="0"/>
          <w:numId w:val="2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Each of the customers within “Others” comprised less than 10% of revenue each.</w:t>
      </w:r>
    </w:p>
    <w:p>
      <w:pPr>
        <w:spacing w:after="0" w:line="2" w:lineRule="exact"/>
        <w:rPr>
          <w:rFonts w:ascii="Times New Roman" w:cs="Times New Roman" w:eastAsia="Times New Roman" w:hAnsi="Times New Roman"/>
          <w:sz w:val="22"/>
          <w:szCs w:val="22"/>
          <w:color w:val="auto"/>
          <w:vertAlign w:val="superscript"/>
        </w:rPr>
      </w:pPr>
    </w:p>
    <w:p>
      <w:pPr>
        <w:ind w:left="180" w:hanging="172"/>
        <w:spacing w:after="0" w:line="203" w:lineRule="auto"/>
        <w:tabs>
          <w:tab w:leader="none" w:pos="180" w:val="left"/>
        </w:tabs>
        <w:numPr>
          <w:ilvl w:val="0"/>
          <w:numId w:val="2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During the year ended December 31, 2025, “Others” included $3.4 million in revenue from a related party.</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Constrained revenue and variable consideration</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each of the years ended December 31, 2025 and 2024, the Company had no revenue that was subject to constraint or variable consideration.</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revenue-related matters</w:t>
      </w:r>
    </w:p>
    <w:p>
      <w:pPr>
        <w:spacing w:after="0" w:line="254"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There were no contract assets (unbilled receivables) and no material contract liabilities (deferred revenue) as of December 31, 2025 and 2024. The Company did not have any outstanding or unsatisfied performance obligations as of December 31, 2025 and 2024. The Company did not have material costs related to obtaining a contract, or fulfilling a contract that are not addressed by other accounting standards, with amortization periods greater than one year as of December 31, 2025 and 2024.</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net</w:t>
      </w:r>
    </w:p>
    <w:p>
      <w:pPr>
        <w:spacing w:after="0" w:line="256"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Normal credit terms for the Company’s accounts receivable are generally up to net 30 days, although credit terms for a customer sale that occurred in the fourth quarter of 2025 included credit terms up to 90 days. As of December 31, 2025, the Company’s accounts receivable, excluding accounts receivable due from a related party, were 69% current, 26% over 60 days past due, and 5% over 90 days past due.</w:t>
      </w:r>
    </w:p>
    <w:p>
      <w:pPr>
        <w:spacing w:after="0" w:line="203"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Company’s accounts receivable that were due from a related party were substantially all 90 days past due as of December 31, 2025, but were collected in full subsequent to December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240"/>
          </w:cols>
          <w:pgMar w:left="320" w:top="117" w:right="339" w:bottom="1440" w:gutter="0" w:footer="0" w:header="0"/>
        </w:sectPr>
      </w:pPr>
    </w:p>
    <w:bookmarkStart w:id="75" w:name="page76"/>
    <w:bookmarkEnd w:id="75"/>
    <w:p>
      <w:pPr>
        <w:jc w:val="center"/>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THE CONSOLIDATED FINANCIAL STATEMENTS </w:t>
      </w:r>
      <w:r>
        <w:rPr>
          <w:rFonts w:ascii="Times New Roman" w:cs="Times New Roman" w:eastAsia="Times New Roman" w:hAnsi="Times New Roman"/>
          <w:sz w:val="18"/>
          <w:szCs w:val="18"/>
          <w:color w:val="auto"/>
        </w:rPr>
        <w:t>(cont.)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The balances and activity within the Company’s provision for credit losses as of and for the years ended December 31, 2025 and 2024 are set forth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08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(Amounts in thousands)</w:t>
            </w:r>
          </w:p>
        </w:tc>
        <w:tc>
          <w:tcPr>
            <w:tcW w:w="9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32"/>
        </w:trPr>
        <w:tc>
          <w:tcPr>
            <w:tcW w:w="9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January 1, 2024</w:t>
            </w:r>
          </w:p>
        </w:tc>
        <w:tc>
          <w:tcPr>
            <w:tcW w:w="92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9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to provision for credit losses</w:t>
            </w:r>
          </w:p>
        </w:tc>
        <w:tc>
          <w:tcPr>
            <w:tcW w:w="9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w:t>
            </w:r>
          </w:p>
        </w:tc>
      </w:tr>
      <w:tr>
        <w:trPr>
          <w:trHeight w:val="229"/>
        </w:trPr>
        <w:tc>
          <w:tcPr>
            <w:tcW w:w="9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Write-off activity</w:t>
            </w:r>
          </w:p>
        </w:tc>
        <w:tc>
          <w:tcPr>
            <w:tcW w:w="9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9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December 31, 2024</w:t>
            </w:r>
          </w:p>
        </w:tc>
        <w:tc>
          <w:tcPr>
            <w:tcW w:w="92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w:t>
            </w:r>
          </w:p>
        </w:tc>
      </w:tr>
      <w:tr>
        <w:trPr>
          <w:trHeight w:val="229"/>
        </w:trPr>
        <w:tc>
          <w:tcPr>
            <w:tcW w:w="9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Additions to provision for credit losses</w:t>
            </w:r>
          </w:p>
        </w:tc>
        <w:tc>
          <w:tcPr>
            <w:tcW w:w="9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w:t>
            </w:r>
          </w:p>
        </w:tc>
      </w:tr>
      <w:tr>
        <w:trPr>
          <w:trHeight w:val="229"/>
        </w:trPr>
        <w:tc>
          <w:tcPr>
            <w:tcW w:w="9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to provision for credit losses - related party</w:t>
            </w:r>
          </w:p>
        </w:tc>
        <w:tc>
          <w:tcPr>
            <w:tcW w:w="9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30"/>
        </w:trPr>
        <w:tc>
          <w:tcPr>
            <w:tcW w:w="9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Write-off activity</w:t>
            </w:r>
          </w:p>
        </w:tc>
        <w:tc>
          <w:tcPr>
            <w:tcW w:w="9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w:t>
            </w:r>
          </w:p>
        </w:tc>
      </w:tr>
      <w:tr>
        <w:trPr>
          <w:trHeight w:val="223"/>
        </w:trPr>
        <w:tc>
          <w:tcPr>
            <w:tcW w:w="9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December 31, 2025</w:t>
            </w:r>
          </w:p>
        </w:tc>
        <w:tc>
          <w:tcPr>
            <w:tcW w:w="92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557</w:t>
            </w:r>
          </w:p>
        </w:tc>
      </w:tr>
      <w:tr>
        <w:trPr>
          <w:trHeight w:val="21"/>
        </w:trPr>
        <w:tc>
          <w:tcPr>
            <w:tcW w:w="90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recoveries of the provision for credit losses during the years ended December 31, 2025 and 2024.</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Customer concentration of accounts receivable</w:t>
      </w:r>
    </w:p>
    <w:p>
      <w:pPr>
        <w:spacing w:after="0" w:line="254"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summary of the Company’s concentration of accounts receivable, including accounts receivable due from a related party, by customer, as of the year ended December 31, 2025:</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90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gridSpan w:val="2"/>
          </w:tcPr>
          <w:p>
            <w:pPr>
              <w:ind w:left="480"/>
              <w:spacing w:after="0"/>
              <w:rPr>
                <w:sz w:val="20"/>
                <w:szCs w:val="20"/>
                <w:color w:val="auto"/>
              </w:rPr>
            </w:pPr>
            <w:r>
              <w:rPr>
                <w:rFonts w:ascii="Times New Roman" w:cs="Times New Roman" w:eastAsia="Times New Roman" w:hAnsi="Times New Roman"/>
                <w:sz w:val="16"/>
                <w:szCs w:val="16"/>
                <w:b w:val="1"/>
                <w:bCs w:val="1"/>
                <w:color w:val="auto"/>
              </w:rPr>
              <w:t>As of December 31,</w:t>
            </w:r>
          </w:p>
        </w:tc>
      </w:tr>
      <w:tr>
        <w:trPr>
          <w:trHeight w:val="214"/>
        </w:trPr>
        <w:tc>
          <w:tcPr>
            <w:tcW w:w="7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(Amounts in thousands, except for percentages)</w:t>
            </w:r>
          </w:p>
        </w:tc>
        <w:tc>
          <w:tcPr>
            <w:tcW w:w="5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83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1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25"/>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A</w:t>
            </w:r>
          </w:p>
        </w:tc>
        <w:tc>
          <w:tcPr>
            <w:tcW w:w="5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B</w:t>
            </w:r>
          </w:p>
        </w:tc>
        <w:tc>
          <w:tcPr>
            <w:tcW w:w="5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9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Customer C </w:t>
            </w:r>
            <w:r>
              <w:rPr>
                <w:rFonts w:ascii="Times New Roman" w:cs="Times New Roman" w:eastAsia="Times New Roman" w:hAnsi="Times New Roman"/>
                <w:sz w:val="23"/>
                <w:szCs w:val="23"/>
                <w:color w:val="auto"/>
                <w:vertAlign w:val="superscript"/>
              </w:rPr>
              <w:t>(1)</w:t>
            </w:r>
          </w:p>
        </w:tc>
        <w:tc>
          <w:tcPr>
            <w:tcW w:w="5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8,844</w:t>
            </w:r>
          </w:p>
        </w:tc>
        <w:tc>
          <w:tcPr>
            <w:tcW w:w="1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23.7%</w:t>
            </w:r>
          </w:p>
        </w:tc>
      </w:tr>
      <w:tr>
        <w:trPr>
          <w:trHeight w:val="230"/>
        </w:trPr>
        <w:tc>
          <w:tcPr>
            <w:tcW w:w="79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Customer D </w:t>
            </w:r>
            <w:r>
              <w:rPr>
                <w:rFonts w:ascii="Times New Roman" w:cs="Times New Roman" w:eastAsia="Times New Roman" w:hAnsi="Times New Roman"/>
                <w:sz w:val="23"/>
                <w:szCs w:val="23"/>
                <w:color w:val="auto"/>
                <w:vertAlign w:val="superscript"/>
              </w:rPr>
              <w:t>(1) (2)</w:t>
            </w:r>
          </w:p>
        </w:tc>
        <w:tc>
          <w:tcPr>
            <w:tcW w:w="5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23,750</w:t>
            </w:r>
          </w:p>
        </w:tc>
        <w:tc>
          <w:tcPr>
            <w:tcW w:w="1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63.8%</w:t>
            </w:r>
          </w:p>
        </w:tc>
      </w:tr>
      <w:tr>
        <w:trPr>
          <w:trHeight w:val="229"/>
        </w:trPr>
        <w:tc>
          <w:tcPr>
            <w:tcW w:w="79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Others </w:t>
            </w:r>
            <w:r>
              <w:rPr>
                <w:rFonts w:ascii="Times New Roman" w:cs="Times New Roman" w:eastAsia="Times New Roman" w:hAnsi="Times New Roman"/>
                <w:sz w:val="23"/>
                <w:szCs w:val="23"/>
                <w:color w:val="auto"/>
                <w:vertAlign w:val="superscript"/>
              </w:rPr>
              <w:t>(3) (4)</w:t>
            </w:r>
          </w:p>
        </w:tc>
        <w:tc>
          <w:tcPr>
            <w:tcW w:w="52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4,656</w:t>
            </w:r>
          </w:p>
        </w:tc>
        <w:tc>
          <w:tcPr>
            <w:tcW w:w="1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12.5%</w:t>
            </w:r>
          </w:p>
        </w:tc>
      </w:tr>
      <w:tr>
        <w:trPr>
          <w:trHeight w:val="223"/>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accounts receivable, including due from related party</w:t>
            </w:r>
          </w:p>
        </w:tc>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37,250</w:t>
            </w:r>
          </w:p>
        </w:tc>
        <w:tc>
          <w:tcPr>
            <w:tcW w:w="1180" w:type="dxa"/>
            <w:vAlign w:val="bottom"/>
          </w:tcPr>
          <w:p>
            <w:pPr>
              <w:spacing w:after="0"/>
              <w:rPr>
                <w:sz w:val="19"/>
                <w:szCs w:val="19"/>
                <w:color w:val="auto"/>
              </w:rPr>
            </w:pPr>
          </w:p>
        </w:tc>
      </w:tr>
      <w:tr>
        <w:trPr>
          <w:trHeight w:val="230"/>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provision for credit losses:</w:t>
            </w:r>
          </w:p>
        </w:tc>
        <w:tc>
          <w:tcPr>
            <w:tcW w:w="52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1180" w:type="dxa"/>
            <w:vAlign w:val="bottom"/>
            <w:shd w:val="clear" w:color="auto" w:fill="CCEEFF"/>
          </w:tcPr>
          <w:p>
            <w:pPr>
              <w:spacing w:after="0"/>
              <w:rPr>
                <w:sz w:val="19"/>
                <w:szCs w:val="19"/>
                <w:color w:val="auto"/>
              </w:rPr>
            </w:pPr>
          </w:p>
        </w:tc>
      </w:tr>
      <w:tr>
        <w:trPr>
          <w:trHeight w:val="223"/>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 net, including due from related party</w:t>
            </w:r>
          </w:p>
        </w:tc>
        <w:tc>
          <w:tcPr>
            <w:tcW w:w="5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36,693</w:t>
            </w:r>
          </w:p>
        </w:tc>
        <w:tc>
          <w:tcPr>
            <w:tcW w:w="1180" w:type="dxa"/>
            <w:vAlign w:val="bottom"/>
          </w:tcPr>
          <w:p>
            <w:pPr>
              <w:spacing w:after="0"/>
              <w:rPr>
                <w:sz w:val="19"/>
                <w:szCs w:val="19"/>
                <w:color w:val="auto"/>
              </w:rPr>
            </w:pPr>
          </w:p>
        </w:tc>
      </w:tr>
      <w:tr>
        <w:trPr>
          <w:trHeight w:val="21"/>
        </w:trPr>
        <w:tc>
          <w:tcPr>
            <w:tcW w:w="79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bl>
    <w:p>
      <w:pPr>
        <w:spacing w:after="0" w:line="287" w:lineRule="exact"/>
        <w:rPr>
          <w:sz w:val="20"/>
          <w:szCs w:val="20"/>
          <w:color w:val="auto"/>
        </w:rPr>
      </w:pPr>
    </w:p>
    <w:p>
      <w:pPr>
        <w:ind w:left="180" w:hanging="172"/>
        <w:spacing w:after="0"/>
        <w:tabs>
          <w:tab w:leader="none" w:pos="180" w:val="left"/>
        </w:tabs>
        <w:numPr>
          <w:ilvl w:val="0"/>
          <w:numId w:val="2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The geographic concentration of these accounts receivable is from customers located in China.</w:t>
      </w:r>
    </w:p>
    <w:p>
      <w:pPr>
        <w:spacing w:after="0" w:line="1" w:lineRule="exact"/>
        <w:rPr>
          <w:rFonts w:ascii="Times New Roman" w:cs="Times New Roman" w:eastAsia="Times New Roman" w:hAnsi="Times New Roman"/>
          <w:sz w:val="22"/>
          <w:szCs w:val="22"/>
          <w:color w:val="auto"/>
          <w:vertAlign w:val="superscript"/>
        </w:rPr>
      </w:pPr>
    </w:p>
    <w:p>
      <w:pPr>
        <w:ind w:left="180" w:hanging="172"/>
        <w:spacing w:after="0" w:line="203" w:lineRule="auto"/>
        <w:tabs>
          <w:tab w:leader="none" w:pos="180" w:val="left"/>
        </w:tabs>
        <w:numPr>
          <w:ilvl w:val="0"/>
          <w:numId w:val="2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Subsequent to December 31, 2025, the Company received payments of $15.2 million from this customer.</w:t>
      </w:r>
    </w:p>
    <w:p>
      <w:pPr>
        <w:spacing w:after="0" w:line="2" w:lineRule="exact"/>
        <w:rPr>
          <w:rFonts w:ascii="Times New Roman" w:cs="Times New Roman" w:eastAsia="Times New Roman" w:hAnsi="Times New Roman"/>
          <w:sz w:val="22"/>
          <w:szCs w:val="22"/>
          <w:color w:val="auto"/>
          <w:vertAlign w:val="superscript"/>
        </w:rPr>
      </w:pPr>
    </w:p>
    <w:p>
      <w:pPr>
        <w:ind w:left="180" w:hanging="172"/>
        <w:spacing w:after="0" w:line="203" w:lineRule="auto"/>
        <w:tabs>
          <w:tab w:leader="none" w:pos="180" w:val="left"/>
        </w:tabs>
        <w:numPr>
          <w:ilvl w:val="0"/>
          <w:numId w:val="2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Each customer within “Others” individually comprised less than 10% each of the Company’s accounts receivable balance.</w:t>
      </w:r>
    </w:p>
    <w:p>
      <w:pPr>
        <w:spacing w:after="0" w:line="2" w:lineRule="exact"/>
        <w:rPr>
          <w:rFonts w:ascii="Times New Roman" w:cs="Times New Roman" w:eastAsia="Times New Roman" w:hAnsi="Times New Roman"/>
          <w:sz w:val="22"/>
          <w:szCs w:val="22"/>
          <w:color w:val="auto"/>
          <w:vertAlign w:val="superscript"/>
        </w:rPr>
      </w:pPr>
    </w:p>
    <w:p>
      <w:pPr>
        <w:ind w:left="180" w:hanging="172"/>
        <w:spacing w:after="0" w:line="203" w:lineRule="auto"/>
        <w:tabs>
          <w:tab w:leader="none" w:pos="180" w:val="left"/>
        </w:tabs>
        <w:numPr>
          <w:ilvl w:val="0"/>
          <w:numId w:val="2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Includes receivable due from a related party of $3.4 million, which was paid in full subsequent to December 31, 2025.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Fair Value Measurements and Derivative Instruments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25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Company determines fair value measurements used in its consolidated financial statements based upon the price that would be received to sell an asset or paid to transfer a liability in an orderly transaction between market participants at the measurement date. The fair value hierarchy distinguishes between</w:t>
      </w:r>
    </w:p>
    <w:p>
      <w:pPr>
        <w:ind w:right="80" w:firstLine="8"/>
        <w:spacing w:after="0" w:line="265" w:lineRule="auto"/>
        <w:tabs>
          <w:tab w:leader="none" w:pos="215"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market participant assumptions developed based on market data obtained from independent sources (observable inputs), and (ii) an entity’s own assumptions about market participant assumptions developed based on the best information available in the circumstances (unobservable inputs). ASC 820</w:t>
      </w: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 “Fair Value Measurements,” requires fair value measurements be classified and disclosed in one of the following pricing categories: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240"/>
          </w:cols>
          <w:pgMar w:left="320" w:top="117" w:right="339" w:bottom="1440" w:gutter="0" w:footer="0" w:header="0"/>
        </w:sectPr>
      </w:pPr>
    </w:p>
    <w:bookmarkStart w:id="76" w:name="page77"/>
    <w:bookmarkEnd w:id="76"/>
    <w:p>
      <w:pPr>
        <w:jc w:val="center"/>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THE CONSOLIDATED FINANCIAL STATEMENTS </w:t>
      </w:r>
      <w:r>
        <w:rPr>
          <w:rFonts w:ascii="Times New Roman" w:cs="Times New Roman" w:eastAsia="Times New Roman" w:hAnsi="Times New Roman"/>
          <w:sz w:val="18"/>
          <w:szCs w:val="18"/>
          <w:color w:val="auto"/>
        </w:rPr>
        <w:t>(cont.)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Level 1:</w:t>
      </w:r>
    </w:p>
    <w:p>
      <w:pPr>
        <w:spacing w:after="0" w:line="254"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This level consists of unadjusted quoted prices in active markets for identical assets or liabilities that the reporting entity can access at the measurement date.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Level 2:</w:t>
      </w:r>
    </w:p>
    <w:p>
      <w:pPr>
        <w:spacing w:after="0" w:line="254"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This level consists of observable inputs other than the quoted prices included within Level 1, such as quoted prices for similar assets or liabilities in markets that are not active or for which all significant inputs are observable or can be corroborated by observable market data, either directly or indirectly, for substantially the full term of the asset or liability.</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Level 3:</w:t>
      </w:r>
    </w:p>
    <w:p>
      <w:pPr>
        <w:spacing w:after="0" w:line="254"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This level consists of unobservable inputs for the asset or liability to the extent that observable inputs are not available, thereby allowing for situations in which there is little or no market data for the asset or liability at the measurement date. This requires the reporting entity to develop its own assumptions that market participants would use in pricing the asset or liability.</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Carrying amounts that approximate fair value</w:t>
      </w:r>
    </w:p>
    <w:p>
      <w:pPr>
        <w:spacing w:after="0" w:line="254"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carrying amounts of cash, accounts receivable (including from related parties), prepaid expenses and other current assets, deferred tax assets, operating lease ROU assets, other assets, accounts payable, accrued trade payables, accrued expenses and other current liabilities (including to related parties), working capital loan - related party, and advances from related party all approximate their fair values due to their short-term maturities.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Description of the Company’s financial instruments measured at fair value</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information about the Company’s financial assets and liabilities measured at fair value as of December 31, 2025 and 2024:</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1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gridSpan w:val="3"/>
          </w:tcPr>
          <w:p>
            <w:pPr>
              <w:ind w:left="540"/>
              <w:spacing w:after="0"/>
              <w:rPr>
                <w:sz w:val="20"/>
                <w:szCs w:val="20"/>
                <w:color w:val="auto"/>
              </w:rPr>
            </w:pPr>
            <w:r>
              <w:rPr>
                <w:rFonts w:ascii="Times New Roman" w:cs="Times New Roman" w:eastAsia="Times New Roman" w:hAnsi="Times New Roman"/>
                <w:sz w:val="16"/>
                <w:szCs w:val="16"/>
                <w:b w:val="1"/>
                <w:bCs w:val="1"/>
                <w:color w:val="auto"/>
              </w:rPr>
              <w:t>As of December 31, 2025</w:t>
            </w:r>
          </w:p>
        </w:tc>
        <w:tc>
          <w:tcPr>
            <w:tcW w:w="5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r>
      <w:tr>
        <w:trPr>
          <w:trHeight w:val="212"/>
        </w:trPr>
        <w:tc>
          <w:tcPr>
            <w:tcW w:w="414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(Amounts in thousands)</w:t>
            </w:r>
          </w:p>
        </w:tc>
        <w:tc>
          <w:tcPr>
            <w:tcW w:w="340" w:type="dxa"/>
            <w:vAlign w:val="bottom"/>
          </w:tcPr>
          <w:p>
            <w:pPr>
              <w:spacing w:after="0"/>
              <w:rPr>
                <w:sz w:val="18"/>
                <w:szCs w:val="18"/>
                <w:color w:val="auto"/>
              </w:rPr>
            </w:pPr>
          </w:p>
        </w:tc>
        <w:tc>
          <w:tcPr>
            <w:tcW w:w="146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360" w:type="dxa"/>
            <w:vAlign w:val="bottom"/>
          </w:tcPr>
          <w:p>
            <w:pPr>
              <w:spacing w:after="0"/>
              <w:rPr>
                <w:sz w:val="18"/>
                <w:szCs w:val="18"/>
                <w:color w:val="auto"/>
              </w:rPr>
            </w:pPr>
          </w:p>
        </w:tc>
        <w:tc>
          <w:tcPr>
            <w:tcW w:w="146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jc w:val="right"/>
              <w:ind w:right="572"/>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3"/>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r>
      <w:tr>
        <w:trPr>
          <w:trHeight w:val="230"/>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19,103</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892"/>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19,103</w:t>
            </w:r>
          </w:p>
        </w:tc>
      </w:tr>
      <w:tr>
        <w:trPr>
          <w:trHeight w:val="223"/>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19,103</w:t>
            </w:r>
          </w:p>
        </w:tc>
        <w:tc>
          <w:tcPr>
            <w:tcW w:w="14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80" w:type="dxa"/>
            <w:vAlign w:val="bottom"/>
            <w:tcBorders>
              <w:top w:val="single" w:sz="8" w:color="auto"/>
              <w:bottom w:val="single" w:sz="8" w:color="auto"/>
            </w:tcBorders>
          </w:tcPr>
          <w:p>
            <w:pPr>
              <w:jc w:val="right"/>
              <w:ind w:right="89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19,103</w:t>
            </w:r>
          </w:p>
        </w:tc>
      </w:tr>
      <w:tr>
        <w:trPr>
          <w:trHeight w:val="20"/>
        </w:trPr>
        <w:tc>
          <w:tcPr>
            <w:tcW w:w="41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37"/>
        </w:trPr>
        <w:tc>
          <w:tcPr>
            <w:tcW w:w="41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r>
      <w:tr>
        <w:trPr>
          <w:trHeight w:val="230"/>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3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9"/>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Polar warrants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89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8,813</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8,813</w:t>
            </w:r>
          </w:p>
        </w:tc>
      </w:tr>
      <w:tr>
        <w:trPr>
          <w:trHeight w:val="230"/>
        </w:trPr>
        <w:tc>
          <w:tcPr>
            <w:tcW w:w="41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earnout shares </w:t>
            </w:r>
            <w:r>
              <w:rPr>
                <w:rFonts w:ascii="Times New Roman" w:cs="Times New Roman" w:eastAsia="Times New Roman" w:hAnsi="Times New Roman"/>
                <w:sz w:val="23"/>
                <w:szCs w:val="23"/>
                <w:color w:val="auto"/>
                <w:vertAlign w:val="superscript"/>
              </w:rPr>
              <w:t>(1)</w:t>
            </w:r>
          </w:p>
        </w:tc>
        <w:tc>
          <w:tcPr>
            <w:tcW w:w="340" w:type="dxa"/>
            <w:vAlign w:val="bottom"/>
          </w:tcPr>
          <w:p>
            <w:pPr>
              <w:spacing w:after="0"/>
              <w:rPr>
                <w:sz w:val="19"/>
                <w:szCs w:val="19"/>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46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8,929</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8,929</w:t>
            </w:r>
          </w:p>
        </w:tc>
      </w:tr>
      <w:tr>
        <w:trPr>
          <w:trHeight w:val="248"/>
        </w:trPr>
        <w:tc>
          <w:tcPr>
            <w:tcW w:w="4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 measured at fair value</w:t>
            </w: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auto"/>
            </w:tcBorders>
            <w:shd w:val="clear" w:color="auto" w:fill="CCEEFF"/>
          </w:tcPr>
          <w:p>
            <w:pPr>
              <w:jc w:val="right"/>
              <w:ind w:right="89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17,742</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17,742</w:t>
            </w:r>
          </w:p>
        </w:tc>
      </w:tr>
      <w:tr>
        <w:trPr>
          <w:trHeight w:val="20"/>
        </w:trPr>
        <w:tc>
          <w:tcPr>
            <w:tcW w:w="4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ind w:left="180" w:hanging="172"/>
        <w:spacing w:after="0"/>
        <w:tabs>
          <w:tab w:leader="none" w:pos="180" w:val="left"/>
        </w:tabs>
        <w:numPr>
          <w:ilvl w:val="0"/>
          <w:numId w:val="2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Includes $2.2 million in earnout shares - related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240"/>
          </w:cols>
          <w:pgMar w:left="320" w:top="117" w:right="339" w:bottom="1440" w:gutter="0" w:footer="0" w:header="0"/>
        </w:sectPr>
      </w:pPr>
    </w:p>
    <w:bookmarkStart w:id="77" w:name="page78"/>
    <w:bookmarkEnd w:id="77"/>
    <w:p>
      <w:pPr>
        <w:jc w:val="center"/>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THE CONSOLIDATED FINANCIAL STATEMENTS </w:t>
      </w:r>
      <w:r>
        <w:rPr>
          <w:rFonts w:ascii="Times New Roman" w:cs="Times New Roman" w:eastAsia="Times New Roman" w:hAnsi="Times New Roman"/>
          <w:sz w:val="18"/>
          <w:szCs w:val="18"/>
          <w:color w:val="auto"/>
        </w:rPr>
        <w:t>(cont.)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280" w:type="dxa"/>
            <w:vAlign w:val="bottom"/>
            <w:tcBorders>
              <w:bottom w:val="single" w:sz="8" w:color="auto"/>
            </w:tcBorders>
            <w:gridSpan w:val="5"/>
          </w:tcPr>
          <w:p>
            <w:pPr>
              <w:ind w:left="560"/>
              <w:spacing w:after="0"/>
              <w:rPr>
                <w:sz w:val="20"/>
                <w:szCs w:val="20"/>
                <w:color w:val="auto"/>
              </w:rPr>
            </w:pPr>
            <w:r>
              <w:rPr>
                <w:rFonts w:ascii="Times New Roman" w:cs="Times New Roman" w:eastAsia="Times New Roman" w:hAnsi="Times New Roman"/>
                <w:sz w:val="16"/>
                <w:szCs w:val="16"/>
                <w:b w:val="1"/>
                <w:bCs w:val="1"/>
                <w:color w:val="auto"/>
              </w:rPr>
              <w:t>As of December 31, 2024</w:t>
            </w:r>
          </w:p>
        </w:tc>
        <w:tc>
          <w:tcPr>
            <w:tcW w:w="4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r>
      <w:tr>
        <w:trPr>
          <w:trHeight w:val="212"/>
        </w:trPr>
        <w:tc>
          <w:tcPr>
            <w:tcW w:w="412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(Amounts in thousands)</w:t>
            </w:r>
          </w:p>
        </w:tc>
        <w:tc>
          <w:tcPr>
            <w:tcW w:w="340" w:type="dxa"/>
            <w:vAlign w:val="bottom"/>
          </w:tcPr>
          <w:p>
            <w:pPr>
              <w:spacing w:after="0"/>
              <w:rPr>
                <w:sz w:val="18"/>
                <w:szCs w:val="18"/>
                <w:color w:val="auto"/>
              </w:rPr>
            </w:pPr>
          </w:p>
        </w:tc>
        <w:tc>
          <w:tcPr>
            <w:tcW w:w="148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340" w:type="dxa"/>
            <w:vAlign w:val="bottom"/>
          </w:tcPr>
          <w:p>
            <w:pPr>
              <w:spacing w:after="0"/>
              <w:rPr>
                <w:sz w:val="18"/>
                <w:szCs w:val="18"/>
                <w:color w:val="auto"/>
              </w:rPr>
            </w:pPr>
          </w:p>
        </w:tc>
        <w:tc>
          <w:tcPr>
            <w:tcW w:w="146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360" w:type="dxa"/>
            <w:vAlign w:val="bottom"/>
          </w:tcPr>
          <w:p>
            <w:pPr>
              <w:spacing w:after="0"/>
              <w:rPr>
                <w:sz w:val="18"/>
                <w:szCs w:val="18"/>
                <w:color w:val="auto"/>
              </w:rPr>
            </w:pPr>
          </w:p>
        </w:tc>
        <w:tc>
          <w:tcPr>
            <w:tcW w:w="146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400" w:type="dxa"/>
            <w:vAlign w:val="bottom"/>
          </w:tcPr>
          <w:p>
            <w:pPr>
              <w:spacing w:after="0"/>
              <w:rPr>
                <w:sz w:val="18"/>
                <w:szCs w:val="18"/>
                <w:color w:val="auto"/>
              </w:rPr>
            </w:pPr>
          </w:p>
        </w:tc>
        <w:tc>
          <w:tcPr>
            <w:tcW w:w="1280" w:type="dxa"/>
            <w:vAlign w:val="bottom"/>
          </w:tcPr>
          <w:p>
            <w:pPr>
              <w:jc w:val="right"/>
              <w:ind w:right="571"/>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3"/>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r>
      <w:tr>
        <w:trPr>
          <w:trHeight w:val="229"/>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Government treasury securities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30,580</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30,580</w:t>
            </w:r>
          </w:p>
        </w:tc>
      </w:tr>
      <w:tr>
        <w:trPr>
          <w:trHeight w:val="230"/>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3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14,314</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6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14,314</w:t>
            </w:r>
          </w:p>
        </w:tc>
      </w:tr>
      <w:tr>
        <w:trPr>
          <w:trHeight w:val="248"/>
        </w:trPr>
        <w:tc>
          <w:tcPr>
            <w:tcW w:w="41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44,894</w:t>
            </w: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44,894</w:t>
            </w: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4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29"/>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29"/>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Legacy Blaize convertible notes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148,629</w:t>
            </w:r>
          </w:p>
        </w:tc>
        <w:tc>
          <w:tcPr>
            <w:tcW w:w="14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148,629</w:t>
            </w:r>
          </w:p>
        </w:tc>
      </w:tr>
      <w:tr>
        <w:trPr>
          <w:trHeight w:val="230"/>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Legacy Blaize warrants</w:t>
            </w:r>
          </w:p>
        </w:tc>
        <w:tc>
          <w:tcPr>
            <w:tcW w:w="3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14,711</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14,711</w:t>
            </w:r>
          </w:p>
        </w:tc>
      </w:tr>
      <w:tr>
        <w:trPr>
          <w:trHeight w:val="223"/>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 measured at fair value</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163,340</w:t>
            </w:r>
          </w:p>
        </w:tc>
        <w:tc>
          <w:tcPr>
            <w:tcW w:w="14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163,340</w:t>
            </w:r>
          </w:p>
        </w:tc>
      </w:tr>
      <w:tr>
        <w:trPr>
          <w:trHeight w:val="21"/>
        </w:trPr>
        <w:tc>
          <w:tcPr>
            <w:tcW w:w="4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transfers between Level 1, Level 2, or Level 3 of the fair value hierarchy during the years ended December 31, 2025 and 2024.</w:t>
      </w:r>
    </w:p>
    <w:p>
      <w:pPr>
        <w:spacing w:after="0" w:line="252"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The following table presents additional information for the years ended December 31, 2025 and December 31, 2024 about the Company’s Level 3 liabilities measured at fair value on a recurring basis: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January 1, 2024</w:t>
            </w:r>
          </w:p>
        </w:tc>
        <w:tc>
          <w:tcPr>
            <w:tcW w:w="860" w:type="dxa"/>
            <w:vAlign w:val="bottom"/>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36,435</w:t>
            </w:r>
          </w:p>
        </w:tc>
      </w:tr>
      <w:tr>
        <w:trPr>
          <w:trHeight w:val="229"/>
        </w:trPr>
        <w:tc>
          <w:tcPr>
            <w:tcW w:w="8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 issuance of Legacy Blaize convertible notes and warrants</w:t>
            </w:r>
          </w:p>
        </w:tc>
        <w:tc>
          <w:tcPr>
            <w:tcW w:w="8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111,182</w:t>
            </w:r>
          </w:p>
        </w:tc>
      </w:tr>
      <w:tr>
        <w:trPr>
          <w:trHeight w:val="229"/>
        </w:trPr>
        <w:tc>
          <w:tcPr>
            <w:tcW w:w="8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fair value - Legacy Blaize convertible notes</w:t>
            </w:r>
          </w:p>
        </w:tc>
        <w:tc>
          <w:tcPr>
            <w:tcW w:w="8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10,023</w:t>
            </w:r>
          </w:p>
        </w:tc>
      </w:tr>
      <w:tr>
        <w:trPr>
          <w:trHeight w:val="230"/>
        </w:trPr>
        <w:tc>
          <w:tcPr>
            <w:tcW w:w="8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Change in fair value - Legacy Blaize warrants</w:t>
            </w:r>
          </w:p>
        </w:tc>
        <w:tc>
          <w:tcPr>
            <w:tcW w:w="8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5,700</w:t>
            </w:r>
          </w:p>
        </w:tc>
      </w:tr>
      <w:tr>
        <w:trPr>
          <w:trHeight w:val="223"/>
        </w:trPr>
        <w:tc>
          <w:tcPr>
            <w:tcW w:w="8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8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163,340</w:t>
            </w:r>
          </w:p>
        </w:tc>
      </w:tr>
      <w:tr>
        <w:trPr>
          <w:trHeight w:val="230"/>
        </w:trPr>
        <w:tc>
          <w:tcPr>
            <w:tcW w:w="8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fair value - Legacy Blaize convertible notes</w:t>
            </w:r>
          </w:p>
        </w:tc>
        <w:tc>
          <w:tcPr>
            <w:tcW w:w="8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165,703</w:t>
            </w:r>
          </w:p>
        </w:tc>
      </w:tr>
      <w:tr>
        <w:trPr>
          <w:trHeight w:val="230"/>
        </w:trPr>
        <w:tc>
          <w:tcPr>
            <w:tcW w:w="8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fair value - Legacy Blaize warrants</w:t>
            </w:r>
          </w:p>
        </w:tc>
        <w:tc>
          <w:tcPr>
            <w:tcW w:w="8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60,345</w:t>
            </w:r>
          </w:p>
        </w:tc>
      </w:tr>
      <w:tr>
        <w:trPr>
          <w:trHeight w:val="230"/>
        </w:trPr>
        <w:tc>
          <w:tcPr>
            <w:tcW w:w="8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Conversion of Legacy Blaize convertible notes and exercise of Legacy Blaize warrants</w:t>
            </w:r>
          </w:p>
        </w:tc>
        <w:tc>
          <w:tcPr>
            <w:tcW w:w="8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(389,387)</w:t>
            </w:r>
          </w:p>
        </w:tc>
      </w:tr>
      <w:tr>
        <w:trPr>
          <w:trHeight w:val="229"/>
        </w:trPr>
        <w:tc>
          <w:tcPr>
            <w:tcW w:w="8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on date of issuance - other earnout shares</w:t>
            </w:r>
          </w:p>
        </w:tc>
        <w:tc>
          <w:tcPr>
            <w:tcW w:w="8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126,042</w:t>
            </w:r>
          </w:p>
        </w:tc>
      </w:tr>
      <w:tr>
        <w:trPr>
          <w:trHeight w:val="230"/>
        </w:trPr>
        <w:tc>
          <w:tcPr>
            <w:tcW w:w="8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fair value - other earnout shares</w:t>
            </w:r>
          </w:p>
        </w:tc>
        <w:tc>
          <w:tcPr>
            <w:tcW w:w="8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(117,113)</w:t>
            </w:r>
          </w:p>
        </w:tc>
      </w:tr>
      <w:tr>
        <w:trPr>
          <w:trHeight w:val="230"/>
        </w:trPr>
        <w:tc>
          <w:tcPr>
            <w:tcW w:w="8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on date of issuance - Polar warrants</w:t>
            </w:r>
          </w:p>
        </w:tc>
        <w:tc>
          <w:tcPr>
            <w:tcW w:w="8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12,937</w:t>
            </w:r>
          </w:p>
        </w:tc>
      </w:tr>
      <w:tr>
        <w:trPr>
          <w:trHeight w:val="230"/>
        </w:trPr>
        <w:tc>
          <w:tcPr>
            <w:tcW w:w="8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Change in fair value - Polar warrants</w:t>
            </w:r>
          </w:p>
        </w:tc>
        <w:tc>
          <w:tcPr>
            <w:tcW w:w="8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(4,125)</w:t>
            </w:r>
          </w:p>
        </w:tc>
      </w:tr>
      <w:tr>
        <w:trPr>
          <w:trHeight w:val="248"/>
        </w:trPr>
        <w:tc>
          <w:tcPr>
            <w:tcW w:w="8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2025</w:t>
            </w:r>
          </w:p>
        </w:tc>
        <w:tc>
          <w:tcPr>
            <w:tcW w:w="860" w:type="dxa"/>
            <w:vAlign w:val="bottom"/>
            <w:tcBorders>
              <w:bottom w:val="single" w:sz="8" w:color="auto"/>
            </w:tcBorders>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17,742</w:t>
            </w:r>
          </w:p>
        </w:tc>
      </w:tr>
      <w:tr>
        <w:trPr>
          <w:trHeight w:val="20"/>
        </w:trPr>
        <w:tc>
          <w:tcPr>
            <w:tcW w:w="88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240"/>
          </w:cols>
          <w:pgMar w:left="320" w:top="117" w:right="339" w:bottom="1440" w:gutter="0" w:footer="0" w:header="0"/>
        </w:sectPr>
      </w:pPr>
    </w:p>
    <w:bookmarkStart w:id="78" w:name="page79"/>
    <w:bookmarkEnd w:id="78"/>
    <w:p>
      <w:pPr>
        <w:jc w:val="center"/>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THE CONSOLIDATED FINANCIAL STATEMENTS </w:t>
      </w:r>
      <w:r>
        <w:rPr>
          <w:rFonts w:ascii="Times New Roman" w:cs="Times New Roman" w:eastAsia="Times New Roman" w:hAnsi="Times New Roman"/>
          <w:sz w:val="18"/>
          <w:szCs w:val="18"/>
          <w:color w:val="auto"/>
        </w:rPr>
        <w:t>(cont.)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information regarding the Company’s significant Level 3 inputs as of December 31, 2025 and 2024:</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4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Instrument valued using Level 3</w:t>
            </w:r>
          </w:p>
        </w:tc>
        <w:tc>
          <w:tcPr>
            <w:tcW w:w="2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0" w:type="dxa"/>
            <w:vAlign w:val="bottom"/>
            <w:gridSpan w:val="3"/>
          </w:tcPr>
          <w:p>
            <w:pPr>
              <w:ind w:left="86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460" w:type="dxa"/>
            <w:vAlign w:val="bottom"/>
            <w:gridSpan w:val="2"/>
            <w:vMerge w:val="continue"/>
          </w:tcPr>
          <w:p>
            <w:pPr>
              <w:spacing w:after="0"/>
              <w:rPr>
                <w:sz w:val="2"/>
                <w:szCs w:val="2"/>
                <w:color w:val="auto"/>
              </w:rPr>
            </w:pPr>
          </w:p>
        </w:tc>
        <w:tc>
          <w:tcPr>
            <w:tcW w:w="25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Valuation Method</w:t>
            </w:r>
          </w:p>
        </w:tc>
        <w:tc>
          <w:tcPr>
            <w:tcW w:w="24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Input</w:t>
            </w:r>
          </w:p>
        </w:tc>
        <w:tc>
          <w:tcPr>
            <w:tcW w:w="4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24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methods</w:t>
            </w:r>
          </w:p>
        </w:tc>
        <w:tc>
          <w:tcPr>
            <w:tcW w:w="2540" w:type="dxa"/>
            <w:vAlign w:val="bottom"/>
            <w:gridSpan w:val="2"/>
            <w:vMerge w:val="continue"/>
          </w:tcPr>
          <w:p>
            <w:pPr>
              <w:spacing w:after="0"/>
              <w:rPr>
                <w:sz w:val="16"/>
                <w:szCs w:val="16"/>
                <w:color w:val="auto"/>
              </w:rPr>
            </w:pPr>
          </w:p>
        </w:tc>
        <w:tc>
          <w:tcPr>
            <w:tcW w:w="2400" w:type="dxa"/>
            <w:vAlign w:val="bottom"/>
            <w:gridSpan w:val="2"/>
            <w:vMerge w:val="continue"/>
          </w:tcPr>
          <w:p>
            <w:pPr>
              <w:spacing w:after="0"/>
              <w:rPr>
                <w:sz w:val="16"/>
                <w:szCs w:val="16"/>
                <w:color w:val="auto"/>
              </w:rPr>
            </w:pPr>
          </w:p>
        </w:tc>
        <w:tc>
          <w:tcPr>
            <w:tcW w:w="460" w:type="dxa"/>
            <w:vAlign w:val="bottom"/>
          </w:tcPr>
          <w:p>
            <w:pPr>
              <w:spacing w:after="0"/>
              <w:rPr>
                <w:sz w:val="16"/>
                <w:szCs w:val="16"/>
                <w:color w:val="auto"/>
              </w:rPr>
            </w:pPr>
          </w:p>
        </w:tc>
        <w:tc>
          <w:tcPr>
            <w:tcW w:w="1460" w:type="dxa"/>
            <w:vAlign w:val="bottom"/>
          </w:tcPr>
          <w:p>
            <w:pPr>
              <w:jc w:val="right"/>
              <w:ind w:right="7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180" w:type="dxa"/>
            <w:vAlign w:val="bottom"/>
          </w:tcPr>
          <w:p>
            <w:pPr>
              <w:jc w:val="right"/>
              <w:ind w:right="6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8"/>
        </w:trPr>
        <w:tc>
          <w:tcPr>
            <w:tcW w:w="2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Polar warrants</w:t>
            </w:r>
          </w:p>
        </w:tc>
        <w:tc>
          <w:tcPr>
            <w:tcW w:w="160" w:type="dxa"/>
            <w:vAlign w:val="bottom"/>
            <w:tcBorders>
              <w:top w:val="single" w:sz="8" w:color="CCEEFF"/>
            </w:tcBorders>
            <w:shd w:val="clear" w:color="auto" w:fill="CCEEFF"/>
          </w:tcPr>
          <w:p>
            <w:pPr>
              <w:spacing w:after="0"/>
              <w:rPr>
                <w:sz w:val="19"/>
                <w:szCs w:val="19"/>
                <w:color w:val="auto"/>
              </w:rPr>
            </w:pPr>
          </w:p>
        </w:tc>
        <w:tc>
          <w:tcPr>
            <w:tcW w:w="24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Black-Scholes</w:t>
            </w:r>
          </w:p>
        </w:tc>
        <w:tc>
          <w:tcPr>
            <w:tcW w:w="140" w:type="dxa"/>
            <w:vAlign w:val="bottom"/>
            <w:tcBorders>
              <w:top w:val="single" w:sz="8" w:color="CCEEFF"/>
            </w:tcBorders>
            <w:shd w:val="clear" w:color="auto" w:fill="CCEEFF"/>
          </w:tcPr>
          <w:p>
            <w:pPr>
              <w:spacing w:after="0"/>
              <w:rPr>
                <w:sz w:val="19"/>
                <w:szCs w:val="19"/>
                <w:color w:val="auto"/>
              </w:rPr>
            </w:pPr>
          </w:p>
        </w:tc>
        <w:tc>
          <w:tcPr>
            <w:tcW w:w="22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price</w:t>
            </w:r>
          </w:p>
        </w:tc>
        <w:tc>
          <w:tcPr>
            <w:tcW w:w="14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1.95</w:t>
            </w:r>
          </w:p>
        </w:tc>
        <w:tc>
          <w:tcPr>
            <w:tcW w:w="16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9"/>
        </w:trPr>
        <w:tc>
          <w:tcPr>
            <w:tcW w:w="2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Exercise price</w:t>
            </w: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5.00</w:t>
            </w: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9"/>
        </w:trPr>
        <w:tc>
          <w:tcPr>
            <w:tcW w:w="2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4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460" w:type="dxa"/>
            <w:vAlign w:val="bottom"/>
            <w:shd w:val="clear" w:color="auto" w:fill="CCEEFF"/>
          </w:tcPr>
          <w:p>
            <w:pPr>
              <w:spacing w:after="0"/>
              <w:rPr>
                <w:sz w:val="19"/>
                <w:szCs w:val="19"/>
                <w:color w:val="auto"/>
              </w:rPr>
            </w:pPr>
          </w:p>
        </w:tc>
        <w:tc>
          <w:tcPr>
            <w:tcW w:w="2200" w:type="dxa"/>
            <w:vAlign w:val="bottom"/>
            <w:gridSpan w:val="3"/>
            <w:shd w:val="clear" w:color="auto" w:fill="CCEEFF"/>
          </w:tcPr>
          <w:p>
            <w:pPr>
              <w:jc w:val="right"/>
              <w:ind w:right="9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Volatility</w:t>
            </w:r>
          </w:p>
        </w:tc>
        <w:tc>
          <w:tcPr>
            <w:tcW w:w="4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81.30 %</w:t>
            </w: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9"/>
        </w:trPr>
        <w:tc>
          <w:tcPr>
            <w:tcW w:w="2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4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rate</w:t>
            </w:r>
          </w:p>
        </w:tc>
        <w:tc>
          <w:tcPr>
            <w:tcW w:w="4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3.68 %</w:t>
            </w: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Term</w:t>
            </w:r>
          </w:p>
        </w:tc>
        <w:tc>
          <w:tcPr>
            <w:tcW w:w="460" w:type="dxa"/>
            <w:vAlign w:val="bottom"/>
          </w:tcPr>
          <w:p>
            <w:pPr>
              <w:spacing w:after="0"/>
              <w:rPr>
                <w:sz w:val="19"/>
                <w:szCs w:val="19"/>
                <w:color w:val="auto"/>
              </w:rPr>
            </w:pPr>
          </w:p>
        </w:tc>
        <w:tc>
          <w:tcPr>
            <w:tcW w:w="2200" w:type="dxa"/>
            <w:vAlign w:val="bottom"/>
            <w:gridSpan w:val="3"/>
          </w:tcPr>
          <w:p>
            <w:pPr>
              <w:jc w:val="right"/>
              <w:ind w:right="760"/>
              <w:spacing w:after="0"/>
              <w:rPr>
                <w:sz w:val="20"/>
                <w:szCs w:val="20"/>
                <w:color w:val="auto"/>
              </w:rPr>
            </w:pPr>
            <w:r>
              <w:rPr>
                <w:rFonts w:ascii="Times New Roman" w:cs="Times New Roman" w:eastAsia="Times New Roman" w:hAnsi="Times New Roman"/>
                <w:sz w:val="18"/>
                <w:szCs w:val="18"/>
                <w:color w:val="auto"/>
              </w:rPr>
              <w:t>4.87 years</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earnout shares</w:t>
            </w:r>
          </w:p>
        </w:tc>
        <w:tc>
          <w:tcPr>
            <w:tcW w:w="2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Monte Carlo Simulation</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Stock price</w:t>
            </w: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1.95</w:t>
            </w: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9"/>
        </w:trPr>
        <w:tc>
          <w:tcPr>
            <w:tcW w:w="2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4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 yield (continuous)</w:t>
            </w:r>
          </w:p>
        </w:tc>
        <w:tc>
          <w:tcPr>
            <w:tcW w:w="460" w:type="dxa"/>
            <w:vAlign w:val="bottom"/>
            <w:shd w:val="clear" w:color="auto" w:fill="CCEEFF"/>
          </w:tcPr>
          <w:p>
            <w:pPr>
              <w:spacing w:after="0"/>
              <w:rPr>
                <w:sz w:val="19"/>
                <w:szCs w:val="19"/>
                <w:color w:val="auto"/>
              </w:rPr>
            </w:pPr>
          </w:p>
        </w:tc>
        <w:tc>
          <w:tcPr>
            <w:tcW w:w="2200" w:type="dxa"/>
            <w:vAlign w:val="bottom"/>
            <w:gridSpan w:val="3"/>
            <w:shd w:val="clear" w:color="auto" w:fill="CCEEFF"/>
          </w:tcPr>
          <w:p>
            <w:pPr>
              <w:jc w:val="right"/>
              <w:ind w:right="9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Volatility (interpolated)</w:t>
            </w:r>
          </w:p>
        </w:tc>
        <w:tc>
          <w:tcPr>
            <w:tcW w:w="4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81.60 %</w:t>
            </w: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9"/>
        </w:trPr>
        <w:tc>
          <w:tcPr>
            <w:tcW w:w="2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4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rate (continuous)</w:t>
            </w:r>
          </w:p>
        </w:tc>
        <w:tc>
          <w:tcPr>
            <w:tcW w:w="4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3.61 %</w:t>
            </w: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Term</w:t>
            </w:r>
          </w:p>
        </w:tc>
        <w:tc>
          <w:tcPr>
            <w:tcW w:w="460" w:type="dxa"/>
            <w:vAlign w:val="bottom"/>
          </w:tcPr>
          <w:p>
            <w:pPr>
              <w:spacing w:after="0"/>
              <w:rPr>
                <w:sz w:val="19"/>
                <w:szCs w:val="19"/>
                <w:color w:val="auto"/>
              </w:rPr>
            </w:pPr>
          </w:p>
        </w:tc>
        <w:tc>
          <w:tcPr>
            <w:tcW w:w="2200" w:type="dxa"/>
            <w:vAlign w:val="bottom"/>
            <w:gridSpan w:val="3"/>
          </w:tcPr>
          <w:p>
            <w:pPr>
              <w:jc w:val="right"/>
              <w:ind w:right="760"/>
              <w:spacing w:after="0"/>
              <w:rPr>
                <w:sz w:val="20"/>
                <w:szCs w:val="20"/>
                <w:color w:val="auto"/>
              </w:rPr>
            </w:pPr>
            <w:r>
              <w:rPr>
                <w:rFonts w:ascii="Times New Roman" w:cs="Times New Roman" w:eastAsia="Times New Roman" w:hAnsi="Times New Roman"/>
                <w:sz w:val="18"/>
                <w:szCs w:val="18"/>
                <w:color w:val="auto"/>
              </w:rPr>
              <w:t>4.04 years</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46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Legacy Blaize convertible</w:t>
            </w:r>
          </w:p>
        </w:tc>
        <w:tc>
          <w:tcPr>
            <w:tcW w:w="25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Assumed market price</w:t>
            </w:r>
          </w:p>
        </w:tc>
        <w:tc>
          <w:tcPr>
            <w:tcW w:w="24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5"/>
                <w:szCs w:val="15"/>
                <w:color w:val="auto"/>
              </w:rPr>
            </w:pPr>
          </w:p>
        </w:tc>
        <w:tc>
          <w:tcPr>
            <w:tcW w:w="2200" w:type="dxa"/>
            <w:vAlign w:val="bottom"/>
            <w:gridSpan w:val="3"/>
            <w:vMerge w:val="restart"/>
          </w:tcPr>
          <w:p>
            <w:pPr>
              <w:jc w:val="right"/>
              <w:ind w:right="760"/>
              <w:spacing w:after="0"/>
              <w:rPr>
                <w:sz w:val="20"/>
                <w:szCs w:val="20"/>
                <w:color w:val="auto"/>
              </w:rPr>
            </w:pPr>
            <w:r>
              <w:rPr>
                <w:rFonts w:ascii="Times New Roman" w:cs="Times New Roman" w:eastAsia="Times New Roman" w:hAnsi="Times New Roman"/>
                <w:sz w:val="18"/>
                <w:szCs w:val="18"/>
                <w:color w:val="auto"/>
              </w:rPr>
              <w:t>N/A</w:t>
            </w: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49"/>
        </w:trPr>
        <w:tc>
          <w:tcPr>
            <w:tcW w:w="24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notes</w:t>
            </w:r>
          </w:p>
        </w:tc>
        <w:tc>
          <w:tcPr>
            <w:tcW w:w="2540" w:type="dxa"/>
            <w:vAlign w:val="bottom"/>
            <w:gridSpan w:val="2"/>
            <w:vMerge w:val="continue"/>
          </w:tcPr>
          <w:p>
            <w:pPr>
              <w:spacing w:after="0"/>
              <w:rPr>
                <w:sz w:val="12"/>
                <w:szCs w:val="12"/>
                <w:color w:val="auto"/>
              </w:rPr>
            </w:pPr>
          </w:p>
        </w:tc>
        <w:tc>
          <w:tcPr>
            <w:tcW w:w="2400" w:type="dxa"/>
            <w:vAlign w:val="bottom"/>
            <w:gridSpan w:val="2"/>
            <w:vMerge w:val="continue"/>
          </w:tcPr>
          <w:p>
            <w:pPr>
              <w:spacing w:after="0"/>
              <w:rPr>
                <w:sz w:val="12"/>
                <w:szCs w:val="12"/>
                <w:color w:val="auto"/>
              </w:rPr>
            </w:pPr>
          </w:p>
        </w:tc>
        <w:tc>
          <w:tcPr>
            <w:tcW w:w="460" w:type="dxa"/>
            <w:vAlign w:val="bottom"/>
          </w:tcPr>
          <w:p>
            <w:pPr>
              <w:spacing w:after="0"/>
              <w:rPr>
                <w:sz w:val="12"/>
                <w:szCs w:val="12"/>
                <w:color w:val="auto"/>
              </w:rPr>
            </w:pPr>
          </w:p>
        </w:tc>
        <w:tc>
          <w:tcPr>
            <w:tcW w:w="2200" w:type="dxa"/>
            <w:vAlign w:val="bottom"/>
            <w:gridSpan w:val="3"/>
            <w:vMerge w:val="continue"/>
          </w:tcPr>
          <w:p>
            <w:pPr>
              <w:spacing w:after="0"/>
              <w:rPr>
                <w:sz w:val="12"/>
                <w:szCs w:val="12"/>
                <w:color w:val="auto"/>
              </w:rPr>
            </w:pPr>
          </w:p>
        </w:tc>
        <w:tc>
          <w:tcPr>
            <w:tcW w:w="1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2460" w:type="dxa"/>
            <w:vAlign w:val="bottom"/>
            <w:gridSpan w:val="2"/>
            <w:vMerge w:val="continue"/>
          </w:tcPr>
          <w:p>
            <w:pPr>
              <w:spacing w:after="0"/>
              <w:rPr>
                <w:sz w:val="7"/>
                <w:szCs w:val="7"/>
                <w:color w:val="auto"/>
              </w:rPr>
            </w:pPr>
          </w:p>
        </w:tc>
        <w:tc>
          <w:tcPr>
            <w:tcW w:w="2400" w:type="dxa"/>
            <w:vAlign w:val="bottom"/>
          </w:tcPr>
          <w:p>
            <w:pPr>
              <w:spacing w:after="0"/>
              <w:rPr>
                <w:sz w:val="7"/>
                <w:szCs w:val="7"/>
                <w:color w:val="auto"/>
              </w:rPr>
            </w:pPr>
          </w:p>
        </w:tc>
        <w:tc>
          <w:tcPr>
            <w:tcW w:w="140" w:type="dxa"/>
            <w:vAlign w:val="bottom"/>
          </w:tcPr>
          <w:p>
            <w:pPr>
              <w:spacing w:after="0"/>
              <w:rPr>
                <w:sz w:val="7"/>
                <w:szCs w:val="7"/>
                <w:color w:val="auto"/>
              </w:rPr>
            </w:pPr>
          </w:p>
        </w:tc>
        <w:tc>
          <w:tcPr>
            <w:tcW w:w="2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4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0"/>
        </w:trPr>
        <w:tc>
          <w:tcPr>
            <w:tcW w:w="2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4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Legacy Blaize warrants</w:t>
            </w:r>
          </w:p>
        </w:tc>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0" w:type="dxa"/>
            <w:vAlign w:val="bottom"/>
            <w:gridSpan w:val="3"/>
          </w:tcPr>
          <w:p>
            <w:pPr>
              <w:jc w:val="right"/>
              <w:ind w:right="760"/>
              <w:spacing w:after="0"/>
              <w:rPr>
                <w:sz w:val="20"/>
                <w:szCs w:val="20"/>
                <w:color w:val="auto"/>
              </w:rPr>
            </w:pPr>
            <w:r>
              <w:rPr>
                <w:rFonts w:ascii="Times New Roman" w:cs="Times New Roman" w:eastAsia="Times New Roman" w:hAnsi="Times New Roman"/>
                <w:sz w:val="18"/>
                <w:szCs w:val="18"/>
                <w:color w:val="auto"/>
              </w:rPr>
              <w:t>N/A</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314" w:lineRule="exact"/>
        <w:rPr>
          <w:sz w:val="20"/>
          <w:szCs w:val="20"/>
          <w:color w:val="auto"/>
        </w:rPr>
      </w:pPr>
    </w:p>
    <w:p>
      <w:pPr>
        <w:jc w:val="both"/>
        <w:ind w:right="200" w:firstLine="8"/>
        <w:spacing w:after="0" w:line="258" w:lineRule="auto"/>
        <w:tabs>
          <w:tab w:leader="none" w:pos="13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Legacy Blaize convertible notes were issued in a number of different tranches. The assumptions for recording these instruments at fair value involved using a scenario-based method, considering five future event scenarios: Next Equity Financing, Maturity Conversion, SPAC Conversion, Corporate Transaction, and Default. The conversion payout was calculated for each assumed event scenario with probabilities estimated by management. The payout of each tranche of Legacy Blaize convertible notes under each event scenario was discounted back to the valuation date using a discount rate aligned with the Company’s assumed credit rating and the weighted average present value of each scenario as assumed by management.</w:t>
      </w:r>
    </w:p>
    <w:p>
      <w:pPr>
        <w:spacing w:after="0" w:line="210" w:lineRule="exact"/>
        <w:rPr>
          <w:sz w:val="20"/>
          <w:szCs w:val="20"/>
          <w:color w:val="auto"/>
        </w:rPr>
      </w:pPr>
    </w:p>
    <w:p>
      <w:pPr>
        <w:ind w:right="60" w:firstLine="8"/>
        <w:spacing w:after="0" w:line="254" w:lineRule="auto"/>
        <w:tabs>
          <w:tab w:leader="none" w:pos="22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Legacy Blaize warrants were issued in a number of different tranches. Certain of the Legacy Blaize warrants were issued along with convertible notes, and others were issued separately. All were considered freestanding financial instruments. The 2023 issuance-date tranches of the Legacy Blaize warrants were valued using the Black-Scholes option pricing model probability-weighted for the same future event scenarios as used in the Legacy Blaize convertible notes, wherein the warrant strike price and the fair value of the respective conversion shares was calculated for each of participation group with different percentages. The fair value of other Legacy Blaize warrants issued in 2024 was valued using the Black-Scholes option pricing model, as probability-weighted for future event scenarios as defined in the associated convertible note agreement. The exercise price for that warrant tranche was a floating exercise price and thus was estimated using a Monte Carlo simulation model. The fair value of other Legacy Blaize warrants issued in 2024 separately from a convertible note issuance was estimated based on a probability-weighted approach of scenarios, including the scenarios that the Merger would and would not be consummated.</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 Instruments</w:t>
      </w:r>
    </w:p>
    <w:p>
      <w:pPr>
        <w:spacing w:after="0" w:line="25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Company does not use derivatives to manage financial risks or as an economic hedge. The essential characteristics inherent in a derivative instrument are that the instrument is issued for no or nominal consideration, and also include the aspects of an underlying security, a notional amount, and a mechanism for net settlement. None of the Company’s derivative instruments are classified as hedging instruments, and all are marked to fair value at each quarterly period.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240"/>
          </w:cols>
          <w:pgMar w:left="320" w:top="117" w:right="339" w:bottom="1440" w:gutter="0" w:footer="0" w:header="0"/>
        </w:sectPr>
      </w:pPr>
    </w:p>
    <w:bookmarkStart w:id="79" w:name="page80"/>
    <w:bookmarkEnd w:id="79"/>
    <w:p>
      <w:pPr>
        <w:jc w:val="center"/>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THE CONSOLIDATED FINANCIAL STATEMENTS </w:t>
      </w:r>
      <w:r>
        <w:rPr>
          <w:rFonts w:ascii="Times New Roman" w:cs="Times New Roman" w:eastAsia="Times New Roman" w:hAnsi="Times New Roman"/>
          <w:sz w:val="18"/>
          <w:szCs w:val="18"/>
          <w:color w:val="auto"/>
        </w:rPr>
        <w:t>(cont.)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After the Merger and during the year ended December 31, 2025, the Company’s derivatives were comprised of:</w:t>
      </w:r>
    </w:p>
    <w:p>
      <w:pPr>
        <w:spacing w:after="0" w:line="252" w:lineRule="exact"/>
        <w:rPr>
          <w:sz w:val="20"/>
          <w:szCs w:val="20"/>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Earnout Shares, representing a freestanding structured forward contract;</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Polar warrants, representing a freestanding liability-classified derivative instrument; and</w:t>
      </w:r>
    </w:p>
    <w:p>
      <w:pPr>
        <w:spacing w:after="0" w:line="9" w:lineRule="exact"/>
        <w:rPr>
          <w:rFonts w:ascii="Times New Roman" w:cs="Times New Roman" w:eastAsia="Times New Roman" w:hAnsi="Times New Roman"/>
          <w:sz w:val="18"/>
          <w:szCs w:val="18"/>
          <w:color w:val="auto"/>
        </w:rPr>
      </w:pPr>
    </w:p>
    <w:p>
      <w:pPr>
        <w:ind w:left="660" w:right="60" w:hanging="328"/>
        <w:spacing w:after="0" w:line="260"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Committed Equity Facility, which upon execution on July 14, 2025, was considered a freestanding purchased put right, with each draw on the Committed Equity Facility considered an embedded forward contract.</w:t>
      </w:r>
    </w:p>
    <w:p>
      <w:pPr>
        <w:spacing w:after="0" w:line="208"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As of December 31, 2025, the remaining value of the freestanding purchased put right of the Committed Equity Facility was considered nominal, and was marked to zero. No draws on the Committed Equity Facility were outstanding as of December 31, 2025.</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Prior to the Merger, and as of December 31, 2024, certain of the Legacy warrants were considered derivative financial instruments.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Financial Statement Details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Inventories, net</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“Inventories, net” as of December 31, 2025 and 2024 and significant activity within the balances of inventories during the years ended December 31, 2025 and 2024 are set forth on the table, below:</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360" w:type="dxa"/>
            <w:vAlign w:val="bottom"/>
          </w:tcPr>
          <w:p>
            <w:pPr>
              <w:spacing w:after="0"/>
              <w:rPr>
                <w:sz w:val="18"/>
                <w:szCs w:val="18"/>
                <w:color w:val="auto"/>
              </w:rPr>
            </w:pPr>
          </w:p>
        </w:tc>
        <w:tc>
          <w:tcPr>
            <w:tcW w:w="154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gridSpan w:val="3"/>
          </w:tcPr>
          <w:p>
            <w:pPr>
              <w:jc w:val="right"/>
              <w:ind w:right="973"/>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700" w:type="dxa"/>
            <w:vAlign w:val="bottom"/>
            <w:tcBorders>
              <w:bottom w:val="single" w:sz="8" w:color="auto"/>
            </w:tcBorders>
          </w:tcPr>
          <w:p>
            <w:pPr>
              <w:spacing w:after="0"/>
              <w:rPr>
                <w:sz w:val="18"/>
                <w:szCs w:val="18"/>
                <w:color w:val="auto"/>
              </w:rPr>
            </w:pPr>
          </w:p>
        </w:tc>
      </w:tr>
      <w:tr>
        <w:trPr>
          <w:trHeight w:val="214"/>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(Amounts in thousands)</w:t>
            </w:r>
          </w:p>
        </w:tc>
        <w:tc>
          <w:tcPr>
            <w:tcW w:w="154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6"/>
                <w:szCs w:val="16"/>
                <w:b w:val="1"/>
                <w:bCs w:val="1"/>
                <w:color w:val="auto"/>
              </w:rPr>
              <w:t>2025</w:t>
            </w:r>
          </w:p>
        </w:tc>
        <w:tc>
          <w:tcPr>
            <w:tcW w:w="82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66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6"/>
                <w:szCs w:val="16"/>
                <w:b w:val="1"/>
                <w:bCs w:val="1"/>
                <w:color w:val="auto"/>
              </w:rPr>
              <w:t>2024</w:t>
            </w:r>
          </w:p>
        </w:tc>
        <w:tc>
          <w:tcPr>
            <w:tcW w:w="700" w:type="dxa"/>
            <w:vAlign w:val="bottom"/>
            <w:tcBorders>
              <w:bottom w:val="single" w:sz="8" w:color="auto"/>
            </w:tcBorders>
          </w:tcPr>
          <w:p>
            <w:pPr>
              <w:spacing w:after="0"/>
              <w:rPr>
                <w:sz w:val="18"/>
                <w:szCs w:val="18"/>
                <w:color w:val="auto"/>
              </w:rPr>
            </w:pPr>
          </w:p>
        </w:tc>
      </w:tr>
      <w:tr>
        <w:trPr>
          <w:trHeight w:val="225"/>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Raw materials</w:t>
            </w:r>
          </w:p>
        </w:tc>
        <w:tc>
          <w:tcPr>
            <w:tcW w:w="1540" w:type="dxa"/>
            <w:vAlign w:val="bottom"/>
            <w:shd w:val="clear" w:color="auto" w:fill="CCEEFF"/>
          </w:tcPr>
          <w:p>
            <w:pPr>
              <w:jc w:val="right"/>
              <w:ind w:right="1333"/>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6,414</w:t>
            </w:r>
          </w:p>
        </w:tc>
        <w:tc>
          <w:tcPr>
            <w:tcW w:w="16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1473"/>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7,410</w:t>
            </w:r>
          </w:p>
        </w:tc>
      </w:tr>
      <w:tr>
        <w:trPr>
          <w:trHeight w:val="230"/>
        </w:trPr>
        <w:tc>
          <w:tcPr>
            <w:tcW w:w="6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Work in progress</w:t>
            </w:r>
          </w:p>
        </w:tc>
        <w:tc>
          <w:tcPr>
            <w:tcW w:w="15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1,685</w:t>
            </w:r>
          </w:p>
        </w:tc>
        <w:tc>
          <w:tcPr>
            <w:tcW w:w="1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1,064</w:t>
            </w:r>
          </w:p>
        </w:tc>
      </w:tr>
      <w:tr>
        <w:trPr>
          <w:trHeight w:val="229"/>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Finished goods - manufactured</w:t>
            </w:r>
          </w:p>
        </w:tc>
        <w:tc>
          <w:tcPr>
            <w:tcW w:w="15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2,031</w:t>
            </w:r>
          </w:p>
        </w:tc>
        <w:tc>
          <w:tcPr>
            <w:tcW w:w="160" w:type="dxa"/>
            <w:vAlign w:val="bottom"/>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23"/>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manufactured inventories</w:t>
            </w:r>
          </w:p>
        </w:tc>
        <w:tc>
          <w:tcPr>
            <w:tcW w:w="1540" w:type="dxa"/>
            <w:vAlign w:val="bottom"/>
            <w:tcBorders>
              <w:bottom w:val="single" w:sz="8" w:color="auto"/>
            </w:tcBorders>
          </w:tcPr>
          <w:p>
            <w:pPr>
              <w:jc w:val="right"/>
              <w:ind w:right="1333"/>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10,130</w:t>
            </w:r>
          </w:p>
        </w:tc>
        <w:tc>
          <w:tcPr>
            <w:tcW w:w="160" w:type="dxa"/>
            <w:vAlign w:val="bottom"/>
          </w:tcPr>
          <w:p>
            <w:pPr>
              <w:spacing w:after="0"/>
              <w:rPr>
                <w:sz w:val="19"/>
                <w:szCs w:val="19"/>
                <w:color w:val="auto"/>
              </w:rPr>
            </w:pPr>
          </w:p>
        </w:tc>
        <w:tc>
          <w:tcPr>
            <w:tcW w:w="1660" w:type="dxa"/>
            <w:vAlign w:val="bottom"/>
            <w:tcBorders>
              <w:bottom w:val="single" w:sz="8" w:color="auto"/>
            </w:tcBorders>
          </w:tcPr>
          <w:p>
            <w:pPr>
              <w:jc w:val="right"/>
              <w:ind w:right="1473"/>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8,561</w:t>
            </w:r>
          </w:p>
        </w:tc>
      </w:tr>
      <w:tr>
        <w:trPr>
          <w:trHeight w:val="21"/>
        </w:trPr>
        <w:tc>
          <w:tcPr>
            <w:tcW w:w="6360" w:type="dxa"/>
            <w:vAlign w:val="bottom"/>
          </w:tcPr>
          <w:p>
            <w:pPr>
              <w:spacing w:after="0" w:line="20" w:lineRule="exact"/>
              <w:rPr>
                <w:sz w:val="1"/>
                <w:szCs w:val="1"/>
                <w:color w:val="auto"/>
              </w:rPr>
            </w:pPr>
          </w:p>
        </w:tc>
        <w:tc>
          <w:tcPr>
            <w:tcW w:w="236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395"/>
        </w:trPr>
        <w:tc>
          <w:tcPr>
            <w:tcW w:w="6360" w:type="dxa"/>
            <w:vAlign w:val="bottom"/>
          </w:tcPr>
          <w:p>
            <w:pPr>
              <w:spacing w:after="0"/>
              <w:rPr>
                <w:sz w:val="24"/>
                <w:szCs w:val="24"/>
                <w:color w:val="auto"/>
              </w:rPr>
            </w:pPr>
          </w:p>
        </w:tc>
        <w:tc>
          <w:tcPr>
            <w:tcW w:w="4180" w:type="dxa"/>
            <w:vAlign w:val="bottom"/>
            <w:tcBorders>
              <w:bottom w:val="single" w:sz="8" w:color="auto"/>
            </w:tcBorders>
            <w:gridSpan w:val="4"/>
          </w:tcPr>
          <w:p>
            <w:pPr>
              <w:jc w:val="right"/>
              <w:ind w:right="153"/>
              <w:spacing w:after="0"/>
              <w:rPr>
                <w:sz w:val="20"/>
                <w:szCs w:val="20"/>
                <w:color w:val="auto"/>
              </w:rPr>
            </w:pPr>
            <w:r>
              <w:rPr>
                <w:rFonts w:ascii="Times New Roman" w:cs="Times New Roman" w:eastAsia="Times New Roman" w:hAnsi="Times New Roman"/>
                <w:sz w:val="16"/>
                <w:szCs w:val="16"/>
                <w:b w:val="1"/>
                <w:bCs w:val="1"/>
                <w:color w:val="auto"/>
              </w:rPr>
              <w:t>As of and for the years ended December 31,</w:t>
            </w:r>
          </w:p>
        </w:tc>
        <w:tc>
          <w:tcPr>
            <w:tcW w:w="700" w:type="dxa"/>
            <w:vAlign w:val="bottom"/>
            <w:tcBorders>
              <w:bottom w:val="single" w:sz="8" w:color="auto"/>
            </w:tcBorders>
          </w:tcPr>
          <w:p>
            <w:pPr>
              <w:spacing w:after="0"/>
              <w:rPr>
                <w:sz w:val="24"/>
                <w:szCs w:val="24"/>
                <w:color w:val="auto"/>
              </w:rPr>
            </w:pPr>
          </w:p>
        </w:tc>
      </w:tr>
      <w:tr>
        <w:trPr>
          <w:trHeight w:val="211"/>
        </w:trPr>
        <w:tc>
          <w:tcPr>
            <w:tcW w:w="6360" w:type="dxa"/>
            <w:vAlign w:val="bottom"/>
            <w:tcBorders>
              <w:bottom w:val="single" w:sz="8" w:color="CCEEFF"/>
            </w:tcBorders>
          </w:tcPr>
          <w:p>
            <w:pPr>
              <w:spacing w:after="0"/>
              <w:rPr>
                <w:sz w:val="18"/>
                <w:szCs w:val="18"/>
                <w:color w:val="auto"/>
              </w:rPr>
            </w:pPr>
          </w:p>
        </w:tc>
        <w:tc>
          <w:tcPr>
            <w:tcW w:w="154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6"/>
                <w:szCs w:val="16"/>
                <w:b w:val="1"/>
                <w:bCs w:val="1"/>
                <w:color w:val="auto"/>
              </w:rPr>
              <w:t>2025</w:t>
            </w:r>
          </w:p>
        </w:tc>
        <w:tc>
          <w:tcPr>
            <w:tcW w:w="82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66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6"/>
                <w:szCs w:val="16"/>
                <w:b w:val="1"/>
                <w:bCs w:val="1"/>
                <w:color w:val="auto"/>
              </w:rPr>
              <w:t>2024</w:t>
            </w:r>
          </w:p>
        </w:tc>
        <w:tc>
          <w:tcPr>
            <w:tcW w:w="700" w:type="dxa"/>
            <w:vAlign w:val="bottom"/>
            <w:tcBorders>
              <w:bottom w:val="single" w:sz="8" w:color="auto"/>
            </w:tcBorders>
          </w:tcPr>
          <w:p>
            <w:pPr>
              <w:spacing w:after="0"/>
              <w:rPr>
                <w:sz w:val="18"/>
                <w:szCs w:val="18"/>
                <w:color w:val="auto"/>
              </w:rPr>
            </w:pPr>
          </w:p>
        </w:tc>
      </w:tr>
      <w:tr>
        <w:trPr>
          <w:trHeight w:val="225"/>
        </w:trPr>
        <w:tc>
          <w:tcPr>
            <w:tcW w:w="6360" w:type="dxa"/>
            <w:vAlign w:val="bottom"/>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 xml:space="preserve">Beginning balance - finished goods - resale </w:t>
            </w:r>
            <w:r>
              <w:rPr>
                <w:rFonts w:ascii="Times New Roman" w:cs="Times New Roman" w:eastAsia="Times New Roman" w:hAnsi="Times New Roman"/>
                <w:sz w:val="23"/>
                <w:szCs w:val="23"/>
                <w:color w:val="auto"/>
                <w:vertAlign w:val="superscript"/>
              </w:rPr>
              <w:t>(1)</w:t>
            </w:r>
          </w:p>
        </w:tc>
        <w:tc>
          <w:tcPr>
            <w:tcW w:w="1540" w:type="dxa"/>
            <w:vAlign w:val="bottom"/>
            <w:shd w:val="clear" w:color="auto" w:fill="CCEEFF"/>
          </w:tcPr>
          <w:p>
            <w:pPr>
              <w:jc w:val="right"/>
              <w:ind w:right="1333"/>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1473"/>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36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Purchase of finished goods - resale </w:t>
            </w:r>
            <w:r>
              <w:rPr>
                <w:rFonts w:ascii="Times New Roman" w:cs="Times New Roman" w:eastAsia="Times New Roman" w:hAnsi="Times New Roman"/>
                <w:sz w:val="23"/>
                <w:szCs w:val="23"/>
                <w:color w:val="auto"/>
                <w:vertAlign w:val="superscript"/>
              </w:rPr>
              <w:t>(2)</w:t>
            </w:r>
          </w:p>
        </w:tc>
        <w:tc>
          <w:tcPr>
            <w:tcW w:w="15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32,394</w:t>
            </w:r>
          </w:p>
        </w:tc>
        <w:tc>
          <w:tcPr>
            <w:tcW w:w="1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Sale of finished goods - resale</w:t>
            </w:r>
          </w:p>
        </w:tc>
        <w:tc>
          <w:tcPr>
            <w:tcW w:w="15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(32,394)</w:t>
            </w:r>
          </w:p>
        </w:tc>
        <w:tc>
          <w:tcPr>
            <w:tcW w:w="160" w:type="dxa"/>
            <w:vAlign w:val="bottom"/>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Ending balance - finished goods - resale</w:t>
            </w:r>
          </w:p>
        </w:tc>
        <w:tc>
          <w:tcPr>
            <w:tcW w:w="1540" w:type="dxa"/>
            <w:vAlign w:val="bottom"/>
            <w:tcBorders>
              <w:bottom w:val="single" w:sz="8" w:color="auto"/>
            </w:tcBorders>
          </w:tcPr>
          <w:p>
            <w:pPr>
              <w:jc w:val="right"/>
              <w:ind w:right="1333"/>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19"/>
                <w:szCs w:val="19"/>
                <w:color w:val="auto"/>
              </w:rPr>
            </w:pPr>
          </w:p>
        </w:tc>
        <w:tc>
          <w:tcPr>
            <w:tcW w:w="1660" w:type="dxa"/>
            <w:vAlign w:val="bottom"/>
            <w:tcBorders>
              <w:bottom w:val="single" w:sz="8" w:color="auto"/>
            </w:tcBorders>
          </w:tcPr>
          <w:p>
            <w:pPr>
              <w:jc w:val="right"/>
              <w:ind w:right="1473"/>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inventories</w:t>
            </w:r>
          </w:p>
        </w:tc>
        <w:tc>
          <w:tcPr>
            <w:tcW w:w="1540" w:type="dxa"/>
            <w:vAlign w:val="bottom"/>
            <w:tcBorders>
              <w:bottom w:val="single" w:sz="8" w:color="auto"/>
            </w:tcBorders>
            <w:shd w:val="clear" w:color="auto" w:fill="CCEEFF"/>
          </w:tcPr>
          <w:p>
            <w:pPr>
              <w:jc w:val="right"/>
              <w:ind w:right="1333"/>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10,130</w:t>
            </w:r>
          </w:p>
        </w:tc>
        <w:tc>
          <w:tcPr>
            <w:tcW w:w="1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auto"/>
            </w:tcBorders>
            <w:shd w:val="clear" w:color="auto" w:fill="CCEEFF"/>
          </w:tcPr>
          <w:p>
            <w:pPr>
              <w:jc w:val="right"/>
              <w:ind w:right="1473"/>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8,561</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ind w:left="180" w:hanging="172"/>
        <w:spacing w:after="0"/>
        <w:tabs>
          <w:tab w:leader="none" w:pos="180" w:val="left"/>
        </w:tabs>
        <w:numPr>
          <w:ilvl w:val="0"/>
          <w:numId w:val="2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Finished goods - resale is comprised of purchased hardware, primarily servers.</w:t>
      </w:r>
    </w:p>
    <w:p>
      <w:pPr>
        <w:spacing w:after="0" w:line="1" w:lineRule="exact"/>
        <w:rPr>
          <w:rFonts w:ascii="Times New Roman" w:cs="Times New Roman" w:eastAsia="Times New Roman" w:hAnsi="Times New Roman"/>
          <w:sz w:val="22"/>
          <w:szCs w:val="22"/>
          <w:color w:val="auto"/>
          <w:vertAlign w:val="superscript"/>
        </w:rPr>
      </w:pPr>
    </w:p>
    <w:p>
      <w:pPr>
        <w:ind w:left="180" w:hanging="172"/>
        <w:spacing w:after="0" w:line="203" w:lineRule="auto"/>
        <w:tabs>
          <w:tab w:leader="none" w:pos="180" w:val="left"/>
        </w:tabs>
        <w:numPr>
          <w:ilvl w:val="0"/>
          <w:numId w:val="2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Supplier concentration for “Purchase of finished goods - resale” is concentrated between two suppliers located in China.</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2025, “accrued trade payables” of $22.8 million on the Company’s consolidated balance sheet was payable for the Company’s purchase of finished goods - resale, which had been sold to a customer and thus was included in “cost of revenue” on the Company’s consolidated statements of operations for the year ended December 31, 2025. Subsequent to December 31, 2025, the Company paid $15.8 million on this liability.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240"/>
          </w:cols>
          <w:pgMar w:left="320" w:top="117" w:right="339" w:bottom="1440" w:gutter="0" w:footer="0" w:header="0"/>
        </w:sectPr>
      </w:pPr>
    </w:p>
    <w:bookmarkStart w:id="80" w:name="page81"/>
    <w:bookmarkEnd w:id="80"/>
    <w:p>
      <w:pPr>
        <w:jc w:val="center"/>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THE CONSOLIDATED FINANCIAL STATEMENTS </w:t>
      </w:r>
      <w:r>
        <w:rPr>
          <w:rFonts w:ascii="Times New Roman" w:cs="Times New Roman" w:eastAsia="Times New Roman" w:hAnsi="Times New Roman"/>
          <w:sz w:val="18"/>
          <w:szCs w:val="18"/>
          <w:color w:val="auto"/>
        </w:rPr>
        <w:t>(cont.)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Prepaid expenses and other current assets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“Prepaid expenses and other current assets” as of December 31, 2025 and 2024 are set forth on the table, below:</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720" w:type="dxa"/>
            <w:vAlign w:val="bottom"/>
            <w:gridSpan w:val="3"/>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3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(Amounts in thousands)</w:t>
            </w:r>
          </w:p>
        </w:tc>
        <w:tc>
          <w:tcPr>
            <w:tcW w:w="5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6360" w:type="dxa"/>
            <w:vAlign w:val="bottom"/>
            <w:vMerge w:val="continue"/>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jc w:val="right"/>
              <w:ind w:right="9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9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6"/>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Prepaid expenses:</w:t>
            </w:r>
          </w:p>
        </w:tc>
        <w:tc>
          <w:tcPr>
            <w:tcW w:w="5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Prepaid software licenses and maintenance</w:t>
            </w:r>
          </w:p>
        </w:tc>
        <w:tc>
          <w:tcPr>
            <w:tcW w:w="58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959</w:t>
            </w:r>
          </w:p>
        </w:tc>
        <w:tc>
          <w:tcPr>
            <w:tcW w:w="16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510</w:t>
            </w:r>
          </w:p>
        </w:tc>
        <w:tc>
          <w:tcPr>
            <w:tcW w:w="0" w:type="dxa"/>
            <w:vAlign w:val="bottom"/>
          </w:tcPr>
          <w:p>
            <w:pPr>
              <w:spacing w:after="0"/>
              <w:rPr>
                <w:sz w:val="1"/>
                <w:szCs w:val="1"/>
                <w:color w:val="auto"/>
              </w:rPr>
            </w:pPr>
          </w:p>
        </w:tc>
      </w:tr>
      <w:tr>
        <w:trPr>
          <w:trHeight w:val="270"/>
        </w:trPr>
        <w:tc>
          <w:tcPr>
            <w:tcW w:w="6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Prepaid insurance premiums</w:t>
            </w:r>
          </w:p>
        </w:tc>
        <w:tc>
          <w:tcPr>
            <w:tcW w:w="580" w:type="dxa"/>
            <w:vAlign w:val="bottom"/>
          </w:tcPr>
          <w:p>
            <w:pPr>
              <w:spacing w:after="0"/>
              <w:rPr>
                <w:sz w:val="23"/>
                <w:szCs w:val="23"/>
                <w:color w:val="auto"/>
              </w:rPr>
            </w:pPr>
          </w:p>
        </w:tc>
        <w:tc>
          <w:tcPr>
            <w:tcW w:w="178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223</w:t>
            </w:r>
          </w:p>
        </w:tc>
        <w:tc>
          <w:tcPr>
            <w:tcW w:w="1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5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292</w:t>
            </w:r>
          </w:p>
        </w:tc>
        <w:tc>
          <w:tcPr>
            <w:tcW w:w="0" w:type="dxa"/>
            <w:vAlign w:val="bottom"/>
          </w:tcPr>
          <w:p>
            <w:pPr>
              <w:spacing w:after="0"/>
              <w:rPr>
                <w:sz w:val="1"/>
                <w:szCs w:val="1"/>
                <w:color w:val="auto"/>
              </w:rPr>
            </w:pPr>
          </w:p>
        </w:tc>
      </w:tr>
      <w:tr>
        <w:trPr>
          <w:trHeight w:val="270"/>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Prepaid compensation</w:t>
            </w:r>
          </w:p>
        </w:tc>
        <w:tc>
          <w:tcPr>
            <w:tcW w:w="580" w:type="dxa"/>
            <w:vAlign w:val="bottom"/>
            <w:shd w:val="clear" w:color="auto" w:fill="CCEEFF"/>
          </w:tcPr>
          <w:p>
            <w:pPr>
              <w:spacing w:after="0"/>
              <w:rPr>
                <w:sz w:val="23"/>
                <w:szCs w:val="23"/>
                <w:color w:val="auto"/>
              </w:rPr>
            </w:pPr>
          </w:p>
        </w:tc>
        <w:tc>
          <w:tcPr>
            <w:tcW w:w="178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413</w:t>
            </w:r>
          </w:p>
        </w:tc>
        <w:tc>
          <w:tcPr>
            <w:tcW w:w="16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5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163</w:t>
            </w:r>
          </w:p>
        </w:tc>
        <w:tc>
          <w:tcPr>
            <w:tcW w:w="0" w:type="dxa"/>
            <w:vAlign w:val="bottom"/>
          </w:tcPr>
          <w:p>
            <w:pPr>
              <w:spacing w:after="0"/>
              <w:rPr>
                <w:sz w:val="1"/>
                <w:szCs w:val="1"/>
                <w:color w:val="auto"/>
              </w:rPr>
            </w:pPr>
          </w:p>
        </w:tc>
      </w:tr>
      <w:tr>
        <w:trPr>
          <w:trHeight w:val="270"/>
        </w:trPr>
        <w:tc>
          <w:tcPr>
            <w:tcW w:w="6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prepaid expenses</w:t>
            </w:r>
          </w:p>
        </w:tc>
        <w:tc>
          <w:tcPr>
            <w:tcW w:w="580" w:type="dxa"/>
            <w:vAlign w:val="bottom"/>
          </w:tcPr>
          <w:p>
            <w:pPr>
              <w:spacing w:after="0"/>
              <w:rPr>
                <w:sz w:val="23"/>
                <w:szCs w:val="23"/>
                <w:color w:val="auto"/>
              </w:rPr>
            </w:pPr>
          </w:p>
        </w:tc>
        <w:tc>
          <w:tcPr>
            <w:tcW w:w="178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37</w:t>
            </w:r>
          </w:p>
        </w:tc>
        <w:tc>
          <w:tcPr>
            <w:tcW w:w="1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5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Other current assets:</w:t>
            </w:r>
          </w:p>
        </w:tc>
        <w:tc>
          <w:tcPr>
            <w:tcW w:w="58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6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offering costs</w:t>
            </w:r>
          </w:p>
        </w:tc>
        <w:tc>
          <w:tcPr>
            <w:tcW w:w="580" w:type="dxa"/>
            <w:vAlign w:val="bottom"/>
          </w:tcPr>
          <w:p>
            <w:pPr>
              <w:spacing w:after="0"/>
              <w:rPr>
                <w:sz w:val="23"/>
                <w:szCs w:val="23"/>
                <w:color w:val="auto"/>
              </w:rPr>
            </w:pPr>
          </w:p>
        </w:tc>
        <w:tc>
          <w:tcPr>
            <w:tcW w:w="19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23"/>
                <w:szCs w:val="23"/>
                <w:color w:val="auto"/>
              </w:rPr>
            </w:pPr>
          </w:p>
        </w:tc>
        <w:tc>
          <w:tcPr>
            <w:tcW w:w="15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11,121</w:t>
            </w:r>
          </w:p>
        </w:tc>
        <w:tc>
          <w:tcPr>
            <w:tcW w:w="0" w:type="dxa"/>
            <w:vAlign w:val="bottom"/>
          </w:tcPr>
          <w:p>
            <w:pPr>
              <w:spacing w:after="0"/>
              <w:rPr>
                <w:sz w:val="1"/>
                <w:szCs w:val="1"/>
                <w:color w:val="auto"/>
              </w:rPr>
            </w:pPr>
          </w:p>
        </w:tc>
      </w:tr>
      <w:tr>
        <w:trPr>
          <w:trHeight w:val="270"/>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Vendor deposits</w:t>
            </w:r>
          </w:p>
        </w:tc>
        <w:tc>
          <w:tcPr>
            <w:tcW w:w="580" w:type="dxa"/>
            <w:vAlign w:val="bottom"/>
            <w:shd w:val="clear" w:color="auto" w:fill="CCEEFF"/>
          </w:tcPr>
          <w:p>
            <w:pPr>
              <w:spacing w:after="0"/>
              <w:rPr>
                <w:sz w:val="23"/>
                <w:szCs w:val="23"/>
                <w:color w:val="auto"/>
              </w:rPr>
            </w:pPr>
          </w:p>
        </w:tc>
        <w:tc>
          <w:tcPr>
            <w:tcW w:w="178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1,608</w:t>
            </w:r>
          </w:p>
        </w:tc>
        <w:tc>
          <w:tcPr>
            <w:tcW w:w="16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5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276</w:t>
            </w:r>
          </w:p>
        </w:tc>
        <w:tc>
          <w:tcPr>
            <w:tcW w:w="0" w:type="dxa"/>
            <w:vAlign w:val="bottom"/>
          </w:tcPr>
          <w:p>
            <w:pPr>
              <w:spacing w:after="0"/>
              <w:rPr>
                <w:sz w:val="1"/>
                <w:szCs w:val="1"/>
                <w:color w:val="auto"/>
              </w:rPr>
            </w:pPr>
          </w:p>
        </w:tc>
      </w:tr>
      <w:tr>
        <w:trPr>
          <w:trHeight w:val="270"/>
        </w:trPr>
        <w:tc>
          <w:tcPr>
            <w:tcW w:w="6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Tax assets</w:t>
            </w:r>
          </w:p>
        </w:tc>
        <w:tc>
          <w:tcPr>
            <w:tcW w:w="580" w:type="dxa"/>
            <w:vAlign w:val="bottom"/>
          </w:tcPr>
          <w:p>
            <w:pPr>
              <w:spacing w:after="0"/>
              <w:rPr>
                <w:sz w:val="23"/>
                <w:szCs w:val="23"/>
                <w:color w:val="auto"/>
              </w:rPr>
            </w:pPr>
          </w:p>
        </w:tc>
        <w:tc>
          <w:tcPr>
            <w:tcW w:w="178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433</w:t>
            </w:r>
          </w:p>
        </w:tc>
        <w:tc>
          <w:tcPr>
            <w:tcW w:w="1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5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70"/>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current assets</w:t>
            </w:r>
          </w:p>
        </w:tc>
        <w:tc>
          <w:tcPr>
            <w:tcW w:w="580" w:type="dxa"/>
            <w:vAlign w:val="bottom"/>
            <w:tcBorders>
              <w:bottom w:val="single" w:sz="8" w:color="auto"/>
            </w:tcBorders>
            <w:shd w:val="clear" w:color="auto" w:fill="CCEEFF"/>
          </w:tcPr>
          <w:p>
            <w:pPr>
              <w:spacing w:after="0"/>
              <w:rPr>
                <w:sz w:val="23"/>
                <w:szCs w:val="23"/>
                <w:color w:val="auto"/>
              </w:rPr>
            </w:pPr>
          </w:p>
        </w:tc>
        <w:tc>
          <w:tcPr>
            <w:tcW w:w="178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330</w:t>
            </w:r>
          </w:p>
        </w:tc>
        <w:tc>
          <w:tcPr>
            <w:tcW w:w="160" w:type="dxa"/>
            <w:vAlign w:val="bottom"/>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spacing w:after="0"/>
              <w:rPr>
                <w:sz w:val="23"/>
                <w:szCs w:val="23"/>
                <w:color w:val="auto"/>
              </w:rPr>
            </w:pPr>
          </w:p>
        </w:tc>
        <w:tc>
          <w:tcPr>
            <w:tcW w:w="158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153</w:t>
            </w:r>
          </w:p>
        </w:tc>
        <w:tc>
          <w:tcPr>
            <w:tcW w:w="0" w:type="dxa"/>
            <w:vAlign w:val="bottom"/>
          </w:tcPr>
          <w:p>
            <w:pPr>
              <w:spacing w:after="0"/>
              <w:rPr>
                <w:sz w:val="1"/>
                <w:szCs w:val="1"/>
                <w:color w:val="auto"/>
              </w:rPr>
            </w:pPr>
          </w:p>
        </w:tc>
      </w:tr>
      <w:tr>
        <w:trPr>
          <w:trHeight w:val="263"/>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prepaid expenses and other current assets</w:t>
            </w:r>
          </w:p>
        </w:tc>
        <w:tc>
          <w:tcPr>
            <w:tcW w:w="5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8"/>
                <w:szCs w:val="18"/>
                <w:color w:val="auto"/>
              </w:rPr>
              <w:t>4,003</w:t>
            </w:r>
          </w:p>
        </w:tc>
        <w:tc>
          <w:tcPr>
            <w:tcW w:w="160" w:type="dxa"/>
            <w:vAlign w:val="bottom"/>
          </w:tcPr>
          <w:p>
            <w:pPr>
              <w:spacing w:after="0"/>
              <w:rPr>
                <w:sz w:val="22"/>
                <w:szCs w:val="22"/>
                <w:color w:val="auto"/>
              </w:rPr>
            </w:pPr>
          </w:p>
        </w:tc>
        <w:tc>
          <w:tcPr>
            <w:tcW w:w="78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12,621</w:t>
            </w:r>
          </w:p>
        </w:tc>
        <w:tc>
          <w:tcPr>
            <w:tcW w:w="0" w:type="dxa"/>
            <w:vAlign w:val="bottom"/>
          </w:tcPr>
          <w:p>
            <w:pPr>
              <w:spacing w:after="0"/>
              <w:rPr>
                <w:sz w:val="1"/>
                <w:szCs w:val="1"/>
                <w:color w:val="auto"/>
              </w:rPr>
            </w:pPr>
          </w:p>
        </w:tc>
      </w:tr>
      <w:tr>
        <w:trPr>
          <w:trHeight w:val="21"/>
        </w:trPr>
        <w:tc>
          <w:tcPr>
            <w:tcW w:w="63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Expenses and Other Current Liabilities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detail of accrued expenses and other current liabilities is set forth in the table, below:</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36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1560" w:type="dxa"/>
            <w:vAlign w:val="bottom"/>
            <w:tcBorders>
              <w:bottom w:val="single" w:sz="8" w:color="auto"/>
            </w:tcBorders>
          </w:tcPr>
          <w:p>
            <w:pPr>
              <w:spacing w:after="0"/>
              <w:rPr>
                <w:sz w:val="18"/>
                <w:szCs w:val="18"/>
                <w:color w:val="auto"/>
              </w:rPr>
            </w:pPr>
          </w:p>
        </w:tc>
      </w:tr>
      <w:tr>
        <w:trPr>
          <w:trHeight w:val="212"/>
        </w:trPr>
        <w:tc>
          <w:tcPr>
            <w:tcW w:w="636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(Amounts in thousands)</w:t>
            </w:r>
          </w:p>
        </w:tc>
        <w:tc>
          <w:tcPr>
            <w:tcW w:w="58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ind w:right="93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6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931"/>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3"/>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Accrued expenses:</w:t>
            </w:r>
          </w:p>
        </w:tc>
        <w:tc>
          <w:tcPr>
            <w:tcW w:w="5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70"/>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Accrued compensation</w:t>
            </w:r>
          </w:p>
        </w:tc>
        <w:tc>
          <w:tcPr>
            <w:tcW w:w="58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2,787</w:t>
            </w:r>
          </w:p>
        </w:tc>
        <w:tc>
          <w:tcPr>
            <w:tcW w:w="16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1,685</w:t>
            </w:r>
          </w:p>
        </w:tc>
      </w:tr>
      <w:tr>
        <w:trPr>
          <w:trHeight w:val="270"/>
        </w:trPr>
        <w:tc>
          <w:tcPr>
            <w:tcW w:w="6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professional fees</w:t>
            </w:r>
          </w:p>
        </w:tc>
        <w:tc>
          <w:tcPr>
            <w:tcW w:w="580" w:type="dxa"/>
            <w:vAlign w:val="bottom"/>
          </w:tcPr>
          <w:p>
            <w:pPr>
              <w:spacing w:after="0"/>
              <w:rPr>
                <w:sz w:val="23"/>
                <w:szCs w:val="23"/>
                <w:color w:val="auto"/>
              </w:rPr>
            </w:pPr>
          </w:p>
        </w:tc>
        <w:tc>
          <w:tcPr>
            <w:tcW w:w="17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1,654</w:t>
            </w:r>
          </w:p>
        </w:tc>
        <w:tc>
          <w:tcPr>
            <w:tcW w:w="1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6,124</w:t>
            </w:r>
          </w:p>
        </w:tc>
      </w:tr>
      <w:tr>
        <w:trPr>
          <w:trHeight w:val="270"/>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Accrued purchase commitments</w:t>
            </w:r>
          </w:p>
        </w:tc>
        <w:tc>
          <w:tcPr>
            <w:tcW w:w="580" w:type="dxa"/>
            <w:vAlign w:val="bottom"/>
            <w:shd w:val="clear" w:color="auto" w:fill="CCEEFF"/>
          </w:tcPr>
          <w:p>
            <w:pPr>
              <w:spacing w:after="0"/>
              <w:rPr>
                <w:sz w:val="23"/>
                <w:szCs w:val="23"/>
                <w:color w:val="auto"/>
              </w:rPr>
            </w:pPr>
          </w:p>
        </w:tc>
        <w:tc>
          <w:tcPr>
            <w:tcW w:w="17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135</w:t>
            </w:r>
          </w:p>
        </w:tc>
        <w:tc>
          <w:tcPr>
            <w:tcW w:w="16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5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3,289</w:t>
            </w:r>
          </w:p>
        </w:tc>
      </w:tr>
      <w:tr>
        <w:trPr>
          <w:trHeight w:val="270"/>
        </w:trPr>
        <w:tc>
          <w:tcPr>
            <w:tcW w:w="6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technology fees</w:t>
            </w:r>
          </w:p>
        </w:tc>
        <w:tc>
          <w:tcPr>
            <w:tcW w:w="580" w:type="dxa"/>
            <w:vAlign w:val="bottom"/>
          </w:tcPr>
          <w:p>
            <w:pPr>
              <w:spacing w:after="0"/>
              <w:rPr>
                <w:sz w:val="23"/>
                <w:szCs w:val="23"/>
                <w:color w:val="auto"/>
              </w:rPr>
            </w:pPr>
          </w:p>
        </w:tc>
        <w:tc>
          <w:tcPr>
            <w:tcW w:w="17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208</w:t>
            </w:r>
          </w:p>
        </w:tc>
        <w:tc>
          <w:tcPr>
            <w:tcW w:w="1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2,104</w:t>
            </w:r>
          </w:p>
        </w:tc>
      </w:tr>
      <w:tr>
        <w:trPr>
          <w:trHeight w:val="270"/>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accrued expenses</w:t>
            </w:r>
          </w:p>
        </w:tc>
        <w:tc>
          <w:tcPr>
            <w:tcW w:w="580" w:type="dxa"/>
            <w:vAlign w:val="bottom"/>
            <w:shd w:val="clear" w:color="auto" w:fill="CCEEFF"/>
          </w:tcPr>
          <w:p>
            <w:pPr>
              <w:spacing w:after="0"/>
              <w:rPr>
                <w:sz w:val="23"/>
                <w:szCs w:val="23"/>
                <w:color w:val="auto"/>
              </w:rPr>
            </w:pPr>
          </w:p>
        </w:tc>
        <w:tc>
          <w:tcPr>
            <w:tcW w:w="17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968</w:t>
            </w:r>
          </w:p>
        </w:tc>
        <w:tc>
          <w:tcPr>
            <w:tcW w:w="16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5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407</w:t>
            </w:r>
          </w:p>
        </w:tc>
      </w:tr>
      <w:tr>
        <w:trPr>
          <w:trHeight w:val="23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Other current liabilities</w:t>
            </w:r>
          </w:p>
        </w:tc>
        <w:tc>
          <w:tcPr>
            <w:tcW w:w="5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70"/>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Accrued loss on purchase commitments</w:t>
            </w:r>
          </w:p>
        </w:tc>
        <w:tc>
          <w:tcPr>
            <w:tcW w:w="580" w:type="dxa"/>
            <w:vAlign w:val="bottom"/>
            <w:shd w:val="clear" w:color="auto" w:fill="CCEEFF"/>
          </w:tcPr>
          <w:p>
            <w:pPr>
              <w:spacing w:after="0"/>
              <w:rPr>
                <w:sz w:val="23"/>
                <w:szCs w:val="23"/>
                <w:color w:val="auto"/>
              </w:rPr>
            </w:pPr>
          </w:p>
        </w:tc>
        <w:tc>
          <w:tcPr>
            <w:tcW w:w="17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580</w:t>
            </w:r>
          </w:p>
        </w:tc>
        <w:tc>
          <w:tcPr>
            <w:tcW w:w="16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5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603</w:t>
            </w:r>
          </w:p>
        </w:tc>
      </w:tr>
      <w:tr>
        <w:trPr>
          <w:trHeight w:val="270"/>
        </w:trPr>
        <w:tc>
          <w:tcPr>
            <w:tcW w:w="6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tax payable</w:t>
            </w:r>
          </w:p>
        </w:tc>
        <w:tc>
          <w:tcPr>
            <w:tcW w:w="580" w:type="dxa"/>
            <w:vAlign w:val="bottom"/>
          </w:tcPr>
          <w:p>
            <w:pPr>
              <w:spacing w:after="0"/>
              <w:rPr>
                <w:sz w:val="23"/>
                <w:szCs w:val="23"/>
                <w:color w:val="auto"/>
              </w:rPr>
            </w:pPr>
          </w:p>
        </w:tc>
        <w:tc>
          <w:tcPr>
            <w:tcW w:w="17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319</w:t>
            </w:r>
          </w:p>
        </w:tc>
        <w:tc>
          <w:tcPr>
            <w:tcW w:w="1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88</w:t>
            </w:r>
          </w:p>
        </w:tc>
      </w:tr>
      <w:tr>
        <w:trPr>
          <w:trHeight w:val="270"/>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580" w:type="dxa"/>
            <w:vAlign w:val="bottom"/>
            <w:tcBorders>
              <w:bottom w:val="single" w:sz="8" w:color="auto"/>
            </w:tcBorders>
            <w:shd w:val="clear" w:color="auto" w:fill="CCEEFF"/>
          </w:tcPr>
          <w:p>
            <w:pPr>
              <w:spacing w:after="0"/>
              <w:rPr>
                <w:sz w:val="23"/>
                <w:szCs w:val="23"/>
                <w:color w:val="auto"/>
              </w:rPr>
            </w:pPr>
          </w:p>
        </w:tc>
        <w:tc>
          <w:tcPr>
            <w:tcW w:w="178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49</w:t>
            </w:r>
          </w:p>
        </w:tc>
        <w:tc>
          <w:tcPr>
            <w:tcW w:w="160" w:type="dxa"/>
            <w:vAlign w:val="bottom"/>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spacing w:after="0"/>
              <w:rPr>
                <w:sz w:val="23"/>
                <w:szCs w:val="23"/>
                <w:color w:val="auto"/>
              </w:rPr>
            </w:pPr>
          </w:p>
        </w:tc>
        <w:tc>
          <w:tcPr>
            <w:tcW w:w="156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r>
      <w:tr>
        <w:trPr>
          <w:trHeight w:val="264"/>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5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6,700</w:t>
            </w:r>
          </w:p>
        </w:tc>
        <w:tc>
          <w:tcPr>
            <w:tcW w:w="160" w:type="dxa"/>
            <w:vAlign w:val="bottom"/>
          </w:tcPr>
          <w:p>
            <w:pPr>
              <w:spacing w:after="0"/>
              <w:rPr>
                <w:sz w:val="22"/>
                <w:szCs w:val="22"/>
                <w:color w:val="auto"/>
              </w:rPr>
            </w:pPr>
          </w:p>
        </w:tc>
        <w:tc>
          <w:tcPr>
            <w:tcW w:w="80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14,300</w:t>
            </w:r>
          </w:p>
        </w:tc>
      </w:tr>
      <w:tr>
        <w:trPr>
          <w:trHeight w:val="20"/>
        </w:trPr>
        <w:tc>
          <w:tcPr>
            <w:tcW w:w="63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firstLine="8"/>
        <w:spacing w:after="0" w:line="222" w:lineRule="auto"/>
        <w:tabs>
          <w:tab w:leader="none" w:pos="187" w:val="left"/>
        </w:tabs>
        <w:numPr>
          <w:ilvl w:val="0"/>
          <w:numId w:val="2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Tax assets includes corporate income tax receivables, sale taxes receivable and withholding taxes related to compensation as of December 31, 2025 and sale taxes receivable and withholding taxes related to compensation as of December 31,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Income Taxes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domestic and foreign components of the Company’s loss before income taxes: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36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4300" w:type="dxa"/>
            <w:vAlign w:val="bottom"/>
            <w:tcBorders>
              <w:bottom w:val="single" w:sz="8" w:color="auto"/>
            </w:tcBorders>
            <w:gridSpan w:val="4"/>
          </w:tcPr>
          <w:p>
            <w:pPr>
              <w:jc w:val="right"/>
              <w:ind w:right="1172"/>
              <w:spacing w:after="0"/>
              <w:rPr>
                <w:sz w:val="20"/>
                <w:szCs w:val="20"/>
                <w:color w:val="auto"/>
              </w:rPr>
            </w:pPr>
            <w:r>
              <w:rPr>
                <w:rFonts w:ascii="Times New Roman" w:cs="Times New Roman" w:eastAsia="Times New Roman" w:hAnsi="Times New Roman"/>
                <w:sz w:val="16"/>
                <w:szCs w:val="16"/>
                <w:b w:val="1"/>
                <w:bCs w:val="1"/>
                <w:color w:val="auto"/>
              </w:rPr>
              <w:t>For the Year Ended December 31,</w:t>
            </w:r>
          </w:p>
        </w:tc>
      </w:tr>
      <w:tr>
        <w:trPr>
          <w:trHeight w:val="214"/>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(Amounts in thousands)</w:t>
            </w:r>
          </w:p>
        </w:tc>
        <w:tc>
          <w:tcPr>
            <w:tcW w:w="58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ind w:right="934"/>
              <w:spacing w:after="0"/>
              <w:rPr>
                <w:sz w:val="20"/>
                <w:szCs w:val="20"/>
                <w:color w:val="auto"/>
              </w:rPr>
            </w:pPr>
            <w:r>
              <w:rPr>
                <w:rFonts w:ascii="Times New Roman" w:cs="Times New Roman" w:eastAsia="Times New Roman" w:hAnsi="Times New Roman"/>
                <w:sz w:val="16"/>
                <w:szCs w:val="16"/>
                <w:b w:val="1"/>
                <w:bCs w:val="1"/>
                <w:color w:val="auto"/>
              </w:rPr>
              <w:t>2025</w:t>
            </w:r>
          </w:p>
        </w:tc>
        <w:tc>
          <w:tcPr>
            <w:tcW w:w="16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ind w:right="932"/>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5"/>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U.S.</w:t>
            </w:r>
          </w:p>
        </w:tc>
        <w:tc>
          <w:tcPr>
            <w:tcW w:w="58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(209,230)</w:t>
            </w: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(64,690)</w:t>
            </w:r>
          </w:p>
        </w:tc>
      </w:tr>
      <w:tr>
        <w:trPr>
          <w:trHeight w:val="230"/>
        </w:trPr>
        <w:tc>
          <w:tcPr>
            <w:tcW w:w="63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Foreign</w:t>
            </w:r>
          </w:p>
        </w:tc>
        <w:tc>
          <w:tcPr>
            <w:tcW w:w="5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2,543</w:t>
            </w:r>
          </w:p>
        </w:tc>
        <w:tc>
          <w:tcPr>
            <w:tcW w:w="16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2,543</w:t>
            </w:r>
          </w:p>
        </w:tc>
      </w:tr>
      <w:tr>
        <w:trPr>
          <w:trHeight w:val="288"/>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(206,687)</w:t>
            </w:r>
          </w:p>
        </w:tc>
        <w:tc>
          <w:tcPr>
            <w:tcW w:w="16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(62,147)</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240"/>
          </w:cols>
          <w:pgMar w:left="320" w:top="117" w:right="339" w:bottom="1440" w:gutter="0" w:footer="0" w:header="0"/>
          <w:type w:val="continuous"/>
        </w:sectPr>
      </w:pPr>
    </w:p>
    <w:bookmarkStart w:id="81" w:name="page82"/>
    <w:bookmarkEnd w:id="81"/>
    <w:p>
      <w:pPr>
        <w:jc w:val="center"/>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THE CONSOLIDATED FINANCIAL STATEMENTS </w:t>
      </w:r>
      <w:r>
        <w:rPr>
          <w:rFonts w:ascii="Times New Roman" w:cs="Times New Roman" w:eastAsia="Times New Roman" w:hAnsi="Times New Roman"/>
          <w:sz w:val="18"/>
          <w:szCs w:val="18"/>
          <w:color w:val="auto"/>
        </w:rPr>
        <w:t>(cont.)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the Company’s provision for (benefit from) income taxes are set forth as follows: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36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4300" w:type="dxa"/>
            <w:vAlign w:val="bottom"/>
            <w:tcBorders>
              <w:bottom w:val="single" w:sz="8" w:color="auto"/>
            </w:tcBorders>
            <w:gridSpan w:val="4"/>
          </w:tcPr>
          <w:p>
            <w:pPr>
              <w:jc w:val="right"/>
              <w:ind w:right="1171"/>
              <w:spacing w:after="0"/>
              <w:rPr>
                <w:sz w:val="20"/>
                <w:szCs w:val="20"/>
                <w:color w:val="auto"/>
              </w:rPr>
            </w:pPr>
            <w:r>
              <w:rPr>
                <w:rFonts w:ascii="Times New Roman" w:cs="Times New Roman" w:eastAsia="Times New Roman" w:hAnsi="Times New Roman"/>
                <w:sz w:val="16"/>
                <w:szCs w:val="16"/>
                <w:b w:val="1"/>
                <w:bCs w:val="1"/>
                <w:color w:val="auto"/>
              </w:rPr>
              <w:t>For the Year Ended December 31,</w:t>
            </w:r>
          </w:p>
        </w:tc>
      </w:tr>
      <w:tr>
        <w:trPr>
          <w:trHeight w:val="212"/>
        </w:trPr>
        <w:tc>
          <w:tcPr>
            <w:tcW w:w="636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(Amounts in thousands)</w:t>
            </w:r>
          </w:p>
        </w:tc>
        <w:tc>
          <w:tcPr>
            <w:tcW w:w="58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ind w:right="93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6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ind w:right="931"/>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3"/>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5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30"/>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U.S. Federal</w:t>
            </w:r>
          </w:p>
        </w:tc>
        <w:tc>
          <w:tcPr>
            <w:tcW w:w="58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(256)</w:t>
            </w:r>
          </w:p>
        </w:tc>
      </w:tr>
      <w:tr>
        <w:trPr>
          <w:trHeight w:val="229"/>
        </w:trPr>
        <w:tc>
          <w:tcPr>
            <w:tcW w:w="6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U.S. States</w:t>
            </w:r>
          </w:p>
        </w:tc>
        <w:tc>
          <w:tcPr>
            <w:tcW w:w="580" w:type="dxa"/>
            <w:vAlign w:val="bottom"/>
          </w:tcPr>
          <w:p>
            <w:pPr>
              <w:spacing w:after="0"/>
              <w:rPr>
                <w:sz w:val="19"/>
                <w:szCs w:val="19"/>
                <w:color w:val="auto"/>
              </w:rPr>
            </w:pPr>
          </w:p>
        </w:tc>
        <w:tc>
          <w:tcPr>
            <w:tcW w:w="17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w:t>
            </w:r>
          </w:p>
        </w:tc>
      </w:tr>
      <w:tr>
        <w:trPr>
          <w:trHeight w:val="229"/>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w:t>
            </w:r>
          </w:p>
        </w:tc>
        <w:tc>
          <w:tcPr>
            <w:tcW w:w="5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584</w:t>
            </w:r>
          </w:p>
        </w:tc>
        <w:tc>
          <w:tcPr>
            <w:tcW w:w="16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427</w:t>
            </w:r>
          </w:p>
        </w:tc>
      </w:tr>
      <w:tr>
        <w:trPr>
          <w:trHeight w:val="223"/>
        </w:trPr>
        <w:tc>
          <w:tcPr>
            <w:tcW w:w="6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current</w:t>
            </w:r>
          </w:p>
        </w:tc>
        <w:tc>
          <w:tcPr>
            <w:tcW w:w="580" w:type="dxa"/>
            <w:vAlign w:val="bottom"/>
          </w:tcPr>
          <w:p>
            <w:pPr>
              <w:spacing w:after="0"/>
              <w:rPr>
                <w:sz w:val="19"/>
                <w:szCs w:val="19"/>
                <w:color w:val="auto"/>
              </w:rPr>
            </w:pPr>
          </w:p>
        </w:tc>
        <w:tc>
          <w:tcPr>
            <w:tcW w:w="17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585</w:t>
            </w: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172</w:t>
            </w:r>
          </w:p>
        </w:tc>
      </w:tr>
      <w:tr>
        <w:trPr>
          <w:trHeight w:val="229"/>
        </w:trPr>
        <w:tc>
          <w:tcPr>
            <w:tcW w:w="63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Deferred </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w:t>
            </w:r>
          </w:p>
        </w:tc>
        <w:tc>
          <w:tcPr>
            <w:tcW w:w="58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r>
      <w:tr>
        <w:trPr>
          <w:trHeight w:val="230"/>
        </w:trPr>
        <w:tc>
          <w:tcPr>
            <w:tcW w:w="63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Foreign</w:t>
            </w:r>
          </w:p>
        </w:tc>
        <w:tc>
          <w:tcPr>
            <w:tcW w:w="5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(368)</w:t>
            </w:r>
          </w:p>
        </w:tc>
        <w:tc>
          <w:tcPr>
            <w:tcW w:w="16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(1,124)</w:t>
            </w:r>
          </w:p>
        </w:tc>
      </w:tr>
      <w:tr>
        <w:trPr>
          <w:trHeight w:val="223"/>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deferred</w:t>
            </w:r>
          </w:p>
        </w:tc>
        <w:tc>
          <w:tcPr>
            <w:tcW w:w="5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(368)</w:t>
            </w:r>
          </w:p>
        </w:tc>
        <w:tc>
          <w:tcPr>
            <w:tcW w:w="16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(1,124)</w:t>
            </w:r>
          </w:p>
        </w:tc>
      </w:tr>
      <w:tr>
        <w:trPr>
          <w:trHeight w:val="223"/>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provision for (benefit from) for income taxes</w:t>
            </w:r>
          </w:p>
        </w:tc>
        <w:tc>
          <w:tcPr>
            <w:tcW w:w="5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217</w:t>
            </w:r>
          </w:p>
        </w:tc>
        <w:tc>
          <w:tcPr>
            <w:tcW w:w="160" w:type="dxa"/>
            <w:vAlign w:val="bottom"/>
          </w:tcPr>
          <w:p>
            <w:pPr>
              <w:spacing w:after="0"/>
              <w:rPr>
                <w:sz w:val="19"/>
                <w:szCs w:val="19"/>
                <w:color w:val="auto"/>
              </w:rPr>
            </w:pPr>
          </w:p>
        </w:tc>
        <w:tc>
          <w:tcPr>
            <w:tcW w:w="5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(952)</w:t>
            </w:r>
          </w:p>
        </w:tc>
      </w:tr>
      <w:tr>
        <w:trPr>
          <w:trHeight w:val="21"/>
        </w:trPr>
        <w:tc>
          <w:tcPr>
            <w:tcW w:w="63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ind w:left="180" w:hanging="172"/>
        <w:spacing w:after="0"/>
        <w:tabs>
          <w:tab w:leader="none" w:pos="180" w:val="left"/>
        </w:tabs>
        <w:numPr>
          <w:ilvl w:val="0"/>
          <w:numId w:val="3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Deferred income taxes were comprised solely of foreign taxes as of December 31, 2025 and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reconciliation of the Company’s tax provision at the U.S. federal statutory rate to the Company’s provision for income taxes for the year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2025 is set forth as follows: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36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4380" w:type="dxa"/>
            <w:vAlign w:val="bottom"/>
            <w:tcBorders>
              <w:bottom w:val="single" w:sz="8" w:color="auto"/>
            </w:tcBorders>
            <w:gridSpan w:val="3"/>
          </w:tcPr>
          <w:p>
            <w:pPr>
              <w:jc w:val="right"/>
              <w:ind w:right="991"/>
              <w:spacing w:after="0"/>
              <w:rPr>
                <w:sz w:val="20"/>
                <w:szCs w:val="20"/>
                <w:color w:val="auto"/>
              </w:rPr>
            </w:pPr>
            <w:r>
              <w:rPr>
                <w:rFonts w:ascii="Times New Roman" w:cs="Times New Roman" w:eastAsia="Times New Roman" w:hAnsi="Times New Roman"/>
                <w:sz w:val="16"/>
                <w:szCs w:val="16"/>
                <w:b w:val="1"/>
                <w:bCs w:val="1"/>
                <w:color w:val="auto"/>
              </w:rPr>
              <w:t>For the Year Ended December 31, 2025</w:t>
            </w:r>
          </w:p>
        </w:tc>
      </w:tr>
      <w:tr>
        <w:trPr>
          <w:trHeight w:val="214"/>
        </w:trPr>
        <w:tc>
          <w:tcPr>
            <w:tcW w:w="636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(Amounts in thousands)</w:t>
            </w:r>
          </w:p>
        </w:tc>
        <w:tc>
          <w:tcPr>
            <w:tcW w:w="500" w:type="dxa"/>
            <w:vAlign w:val="bottom"/>
          </w:tcPr>
          <w:p>
            <w:pPr>
              <w:spacing w:after="0"/>
              <w:rPr>
                <w:sz w:val="18"/>
                <w:szCs w:val="18"/>
                <w:color w:val="auto"/>
              </w:rPr>
            </w:pPr>
          </w:p>
        </w:tc>
        <w:tc>
          <w:tcPr>
            <w:tcW w:w="2020" w:type="dxa"/>
            <w:vAlign w:val="bottom"/>
            <w:gridSpan w:val="2"/>
          </w:tcPr>
          <w:p>
            <w:pPr>
              <w:ind w:left="40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360" w:type="dxa"/>
            <w:vAlign w:val="bottom"/>
          </w:tcPr>
          <w:p>
            <w:pPr>
              <w:jc w:val="right"/>
              <w:ind w:right="831"/>
              <w:spacing w:after="0"/>
              <w:rPr>
                <w:sz w:val="20"/>
                <w:szCs w:val="20"/>
                <w:color w:val="auto"/>
              </w:rPr>
            </w:pPr>
            <w:r>
              <w:rPr>
                <w:rFonts w:ascii="Times New Roman" w:cs="Times New Roman" w:eastAsia="Times New Roman" w:hAnsi="Times New Roman"/>
                <w:sz w:val="16"/>
                <w:szCs w:val="16"/>
                <w:b w:val="1"/>
                <w:bCs w:val="1"/>
                <w:color w:val="auto"/>
              </w:rPr>
              <w:t>Percent</w:t>
            </w:r>
          </w:p>
        </w:tc>
      </w:tr>
      <w:tr>
        <w:trPr>
          <w:trHeight w:val="225"/>
        </w:trPr>
        <w:tc>
          <w:tcPr>
            <w:tcW w:w="6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Pre-tax book loss</w:t>
            </w:r>
          </w:p>
        </w:tc>
        <w:tc>
          <w:tcPr>
            <w:tcW w:w="500" w:type="dxa"/>
            <w:vAlign w:val="bottom"/>
            <w:tcBorders>
              <w:top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(206,687)</w:t>
            </w:r>
          </w:p>
        </w:tc>
        <w:tc>
          <w:tcPr>
            <w:tcW w:w="160" w:type="dxa"/>
            <w:vAlign w:val="bottom"/>
            <w:tcBorders>
              <w:top w:val="single" w:sz="8" w:color="CCEEFF"/>
            </w:tcBorders>
            <w:shd w:val="clear" w:color="auto" w:fill="CCEEFF"/>
          </w:tcPr>
          <w:p>
            <w:pPr>
              <w:spacing w:after="0"/>
              <w:rPr>
                <w:sz w:val="19"/>
                <w:szCs w:val="19"/>
                <w:color w:val="auto"/>
              </w:rPr>
            </w:pPr>
          </w:p>
        </w:tc>
        <w:tc>
          <w:tcPr>
            <w:tcW w:w="2360" w:type="dxa"/>
            <w:vAlign w:val="bottom"/>
            <w:tcBorders>
              <w:top w:val="single" w:sz="8" w:color="auto"/>
            </w:tcBorders>
            <w:shd w:val="clear" w:color="auto" w:fill="CCEEFF"/>
          </w:tcPr>
          <w:p>
            <w:pPr>
              <w:spacing w:after="0"/>
              <w:rPr>
                <w:sz w:val="19"/>
                <w:szCs w:val="19"/>
                <w:color w:val="auto"/>
              </w:rPr>
            </w:pPr>
          </w:p>
        </w:tc>
      </w:tr>
      <w:tr>
        <w:trPr>
          <w:trHeight w:val="23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at U.S. federal statutory rate</w:t>
            </w:r>
          </w:p>
        </w:tc>
        <w:tc>
          <w:tcPr>
            <w:tcW w:w="500" w:type="dxa"/>
            <w:vAlign w:val="bottom"/>
          </w:tcPr>
          <w:p>
            <w:pPr>
              <w:spacing w:after="0"/>
              <w:rPr>
                <w:sz w:val="19"/>
                <w:szCs w:val="19"/>
                <w:color w:val="auto"/>
              </w:rPr>
            </w:pPr>
          </w:p>
        </w:tc>
        <w:tc>
          <w:tcPr>
            <w:tcW w:w="18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(43,404)</w:t>
            </w:r>
          </w:p>
        </w:tc>
        <w:tc>
          <w:tcPr>
            <w:tcW w:w="160" w:type="dxa"/>
            <w:vAlign w:val="bottom"/>
          </w:tcPr>
          <w:p>
            <w:pPr>
              <w:spacing w:after="0"/>
              <w:rPr>
                <w:sz w:val="19"/>
                <w:szCs w:val="19"/>
                <w:color w:val="auto"/>
              </w:rPr>
            </w:pPr>
          </w:p>
        </w:tc>
        <w:tc>
          <w:tcPr>
            <w:tcW w:w="23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21.0%</w:t>
            </w: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50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360" w:type="dxa"/>
            <w:vAlign w:val="bottom"/>
            <w:shd w:val="clear" w:color="auto" w:fill="CCEEFF"/>
          </w:tcPr>
          <w:p>
            <w:pPr>
              <w:spacing w:after="0"/>
              <w:rPr>
                <w:sz w:val="19"/>
                <w:szCs w:val="19"/>
                <w:color w:val="auto"/>
              </w:rPr>
            </w:pPr>
          </w:p>
        </w:tc>
      </w:tr>
      <w:tr>
        <w:trPr>
          <w:trHeight w:val="230"/>
        </w:trPr>
        <w:tc>
          <w:tcPr>
            <w:tcW w:w="6360" w:type="dxa"/>
            <w:vAlign w:val="bottom"/>
          </w:tcPr>
          <w:p>
            <w:pPr>
              <w:ind w:left="240"/>
              <w:spacing w:after="0" w:line="230" w:lineRule="exact"/>
              <w:rPr>
                <w:sz w:val="20"/>
                <w:szCs w:val="20"/>
                <w:color w:val="auto"/>
              </w:rPr>
            </w:pPr>
            <w:r>
              <w:rPr>
                <w:rFonts w:ascii="Times New Roman" w:cs="Times New Roman" w:eastAsia="Times New Roman" w:hAnsi="Times New Roman"/>
                <w:sz w:val="18"/>
                <w:szCs w:val="18"/>
                <w:color w:val="auto"/>
              </w:rPr>
              <w:t xml:space="preserve">State and Local </w:t>
            </w:r>
            <w:r>
              <w:rPr>
                <w:rFonts w:ascii="Times New Roman" w:cs="Times New Roman" w:eastAsia="Times New Roman" w:hAnsi="Times New Roman"/>
                <w:sz w:val="23"/>
                <w:szCs w:val="23"/>
                <w:color w:val="auto"/>
                <w:vertAlign w:val="superscript"/>
              </w:rPr>
              <w:t>(1)</w:t>
            </w:r>
          </w:p>
        </w:tc>
        <w:tc>
          <w:tcPr>
            <w:tcW w:w="500" w:type="dxa"/>
            <w:vAlign w:val="bottom"/>
          </w:tcPr>
          <w:p>
            <w:pPr>
              <w:spacing w:after="0"/>
              <w:rPr>
                <w:sz w:val="19"/>
                <w:szCs w:val="19"/>
                <w:color w:val="auto"/>
              </w:rPr>
            </w:pPr>
          </w:p>
        </w:tc>
        <w:tc>
          <w:tcPr>
            <w:tcW w:w="18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(294)</w:t>
            </w:r>
          </w:p>
        </w:tc>
        <w:tc>
          <w:tcPr>
            <w:tcW w:w="160" w:type="dxa"/>
            <w:vAlign w:val="bottom"/>
          </w:tcPr>
          <w:p>
            <w:pPr>
              <w:spacing w:after="0"/>
              <w:rPr>
                <w:sz w:val="19"/>
                <w:szCs w:val="19"/>
                <w:color w:val="auto"/>
              </w:rPr>
            </w:pPr>
          </w:p>
        </w:tc>
        <w:tc>
          <w:tcPr>
            <w:tcW w:w="23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0.1%</w:t>
            </w:r>
          </w:p>
        </w:tc>
      </w:tr>
      <w:tr>
        <w:trPr>
          <w:trHeight w:val="230"/>
        </w:trPr>
        <w:tc>
          <w:tcPr>
            <w:tcW w:w="6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Federal:</w:t>
            </w:r>
          </w:p>
        </w:tc>
        <w:tc>
          <w:tcPr>
            <w:tcW w:w="50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360" w:type="dxa"/>
            <w:vAlign w:val="bottom"/>
            <w:shd w:val="clear" w:color="auto" w:fill="CCEEFF"/>
          </w:tcPr>
          <w:p>
            <w:pPr>
              <w:spacing w:after="0"/>
              <w:rPr>
                <w:sz w:val="19"/>
                <w:szCs w:val="19"/>
                <w:color w:val="auto"/>
              </w:rPr>
            </w:pPr>
          </w:p>
        </w:tc>
      </w:tr>
      <w:tr>
        <w:trPr>
          <w:trHeight w:val="230"/>
        </w:trPr>
        <w:tc>
          <w:tcPr>
            <w:tcW w:w="63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Effect of cross-border tax laws</w:t>
            </w:r>
          </w:p>
        </w:tc>
        <w:tc>
          <w:tcPr>
            <w:tcW w:w="500" w:type="dxa"/>
            <w:vAlign w:val="bottom"/>
          </w:tcPr>
          <w:p>
            <w:pPr>
              <w:spacing w:after="0"/>
              <w:rPr>
                <w:sz w:val="19"/>
                <w:szCs w:val="19"/>
                <w:color w:val="auto"/>
              </w:rPr>
            </w:pPr>
          </w:p>
        </w:tc>
        <w:tc>
          <w:tcPr>
            <w:tcW w:w="18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893</w:t>
            </w:r>
          </w:p>
        </w:tc>
        <w:tc>
          <w:tcPr>
            <w:tcW w:w="160" w:type="dxa"/>
            <w:vAlign w:val="bottom"/>
          </w:tcPr>
          <w:p>
            <w:pPr>
              <w:spacing w:after="0"/>
              <w:rPr>
                <w:sz w:val="19"/>
                <w:szCs w:val="19"/>
                <w:color w:val="auto"/>
              </w:rPr>
            </w:pPr>
          </w:p>
        </w:tc>
        <w:tc>
          <w:tcPr>
            <w:tcW w:w="23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(0.4)%</w:t>
            </w:r>
          </w:p>
        </w:tc>
      </w:tr>
      <w:tr>
        <w:trPr>
          <w:trHeight w:val="229"/>
        </w:trPr>
        <w:tc>
          <w:tcPr>
            <w:tcW w:w="63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Tax credits</w:t>
            </w:r>
          </w:p>
        </w:tc>
        <w:tc>
          <w:tcPr>
            <w:tcW w:w="500" w:type="dxa"/>
            <w:vAlign w:val="bottom"/>
            <w:shd w:val="clear" w:color="auto" w:fill="CCEEFF"/>
          </w:tcPr>
          <w:p>
            <w:pPr>
              <w:spacing w:after="0"/>
              <w:rPr>
                <w:sz w:val="19"/>
                <w:szCs w:val="19"/>
                <w:color w:val="auto"/>
              </w:rPr>
            </w:pPr>
          </w:p>
        </w:tc>
        <w:tc>
          <w:tcPr>
            <w:tcW w:w="18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(1,157)</w:t>
            </w:r>
          </w:p>
        </w:tc>
        <w:tc>
          <w:tcPr>
            <w:tcW w:w="160" w:type="dxa"/>
            <w:vAlign w:val="bottom"/>
            <w:shd w:val="clear" w:color="auto" w:fill="CCEEFF"/>
          </w:tcPr>
          <w:p>
            <w:pPr>
              <w:spacing w:after="0"/>
              <w:rPr>
                <w:sz w:val="19"/>
                <w:szCs w:val="19"/>
                <w:color w:val="auto"/>
              </w:rPr>
            </w:pPr>
          </w:p>
        </w:tc>
        <w:tc>
          <w:tcPr>
            <w:tcW w:w="23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0.6%</w:t>
            </w:r>
          </w:p>
        </w:tc>
      </w:tr>
      <w:tr>
        <w:trPr>
          <w:trHeight w:val="230"/>
        </w:trPr>
        <w:tc>
          <w:tcPr>
            <w:tcW w:w="63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500" w:type="dxa"/>
            <w:vAlign w:val="bottom"/>
          </w:tcPr>
          <w:p>
            <w:pPr>
              <w:spacing w:after="0"/>
              <w:rPr>
                <w:sz w:val="19"/>
                <w:szCs w:val="19"/>
                <w:color w:val="auto"/>
              </w:rPr>
            </w:pPr>
          </w:p>
        </w:tc>
        <w:tc>
          <w:tcPr>
            <w:tcW w:w="18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17,842</w:t>
            </w:r>
          </w:p>
        </w:tc>
        <w:tc>
          <w:tcPr>
            <w:tcW w:w="160" w:type="dxa"/>
            <w:vAlign w:val="bottom"/>
          </w:tcPr>
          <w:p>
            <w:pPr>
              <w:spacing w:after="0"/>
              <w:rPr>
                <w:sz w:val="19"/>
                <w:szCs w:val="19"/>
                <w:color w:val="auto"/>
              </w:rPr>
            </w:pPr>
          </w:p>
        </w:tc>
        <w:tc>
          <w:tcPr>
            <w:tcW w:w="23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(8.6)%</w:t>
            </w:r>
          </w:p>
        </w:tc>
      </w:tr>
      <w:tr>
        <w:trPr>
          <w:trHeight w:val="230"/>
        </w:trPr>
        <w:tc>
          <w:tcPr>
            <w:tcW w:w="6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Non-taxable or non-deductible items:</w:t>
            </w:r>
          </w:p>
        </w:tc>
        <w:tc>
          <w:tcPr>
            <w:tcW w:w="50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360" w:type="dxa"/>
            <w:vAlign w:val="bottom"/>
            <w:shd w:val="clear" w:color="auto" w:fill="CCEEFF"/>
          </w:tcPr>
          <w:p>
            <w:pPr>
              <w:spacing w:after="0"/>
              <w:rPr>
                <w:sz w:val="19"/>
                <w:szCs w:val="19"/>
                <w:color w:val="auto"/>
              </w:rPr>
            </w:pPr>
          </w:p>
        </w:tc>
      </w:tr>
      <w:tr>
        <w:trPr>
          <w:trHeight w:val="230"/>
        </w:trPr>
        <w:tc>
          <w:tcPr>
            <w:tcW w:w="63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Transaction costs</w:t>
            </w:r>
          </w:p>
        </w:tc>
        <w:tc>
          <w:tcPr>
            <w:tcW w:w="500" w:type="dxa"/>
            <w:vAlign w:val="bottom"/>
          </w:tcPr>
          <w:p>
            <w:pPr>
              <w:spacing w:after="0"/>
              <w:rPr>
                <w:sz w:val="19"/>
                <w:szCs w:val="19"/>
                <w:color w:val="auto"/>
              </w:rPr>
            </w:pPr>
          </w:p>
        </w:tc>
        <w:tc>
          <w:tcPr>
            <w:tcW w:w="18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2,529</w:t>
            </w:r>
          </w:p>
        </w:tc>
        <w:tc>
          <w:tcPr>
            <w:tcW w:w="160" w:type="dxa"/>
            <w:vAlign w:val="bottom"/>
          </w:tcPr>
          <w:p>
            <w:pPr>
              <w:spacing w:after="0"/>
              <w:rPr>
                <w:sz w:val="19"/>
                <w:szCs w:val="19"/>
                <w:color w:val="auto"/>
              </w:rPr>
            </w:pPr>
          </w:p>
        </w:tc>
        <w:tc>
          <w:tcPr>
            <w:tcW w:w="23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w:t>
            </w:r>
          </w:p>
        </w:tc>
      </w:tr>
      <w:tr>
        <w:trPr>
          <w:trHeight w:val="175"/>
        </w:trPr>
        <w:tc>
          <w:tcPr>
            <w:tcW w:w="6360" w:type="dxa"/>
            <w:vAlign w:val="bottom"/>
            <w:shd w:val="clear" w:color="auto" w:fill="CCEEFF"/>
          </w:tcPr>
          <w:p>
            <w:pPr>
              <w:ind w:left="460"/>
              <w:spacing w:after="0" w:line="176" w:lineRule="exact"/>
              <w:rPr>
                <w:sz w:val="20"/>
                <w:szCs w:val="20"/>
                <w:color w:val="auto"/>
              </w:rPr>
            </w:pPr>
            <w:r>
              <w:rPr>
                <w:rFonts w:ascii="Times New Roman" w:cs="Times New Roman" w:eastAsia="Times New Roman" w:hAnsi="Times New Roman"/>
                <w:sz w:val="18"/>
                <w:szCs w:val="18"/>
                <w:color w:val="auto"/>
              </w:rPr>
              <w:t>Change in fair value of Legacy Blaize convertible notes and warrants and Polar</w:t>
            </w:r>
          </w:p>
        </w:tc>
        <w:tc>
          <w:tcPr>
            <w:tcW w:w="500" w:type="dxa"/>
            <w:vAlign w:val="bottom"/>
            <w:shd w:val="clear" w:color="auto" w:fill="CCEEFF"/>
          </w:tcPr>
          <w:p>
            <w:pPr>
              <w:spacing w:after="0"/>
              <w:rPr>
                <w:sz w:val="15"/>
                <w:szCs w:val="15"/>
                <w:color w:val="auto"/>
              </w:rPr>
            </w:pPr>
          </w:p>
        </w:tc>
        <w:tc>
          <w:tcPr>
            <w:tcW w:w="18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360" w:type="dxa"/>
            <w:vAlign w:val="bottom"/>
            <w:shd w:val="clear" w:color="auto" w:fill="CCEEFF"/>
          </w:tcPr>
          <w:p>
            <w:pPr>
              <w:spacing w:after="0"/>
              <w:rPr>
                <w:sz w:val="15"/>
                <w:szCs w:val="15"/>
                <w:color w:val="auto"/>
              </w:rPr>
            </w:pPr>
          </w:p>
        </w:tc>
      </w:tr>
      <w:tr>
        <w:trPr>
          <w:trHeight w:val="243"/>
        </w:trPr>
        <w:tc>
          <w:tcPr>
            <w:tcW w:w="63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warrants</w:t>
            </w:r>
          </w:p>
        </w:tc>
        <w:tc>
          <w:tcPr>
            <w:tcW w:w="500" w:type="dxa"/>
            <w:vAlign w:val="bottom"/>
            <w:shd w:val="clear" w:color="auto" w:fill="CCEEFF"/>
          </w:tcPr>
          <w:p>
            <w:pPr>
              <w:spacing w:after="0"/>
              <w:rPr>
                <w:sz w:val="21"/>
                <w:szCs w:val="21"/>
                <w:color w:val="auto"/>
              </w:rPr>
            </w:pPr>
          </w:p>
        </w:tc>
        <w:tc>
          <w:tcPr>
            <w:tcW w:w="18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46,604</w:t>
            </w:r>
          </w:p>
        </w:tc>
        <w:tc>
          <w:tcPr>
            <w:tcW w:w="160" w:type="dxa"/>
            <w:vAlign w:val="bottom"/>
            <w:shd w:val="clear" w:color="auto" w:fill="CCEEFF"/>
          </w:tcPr>
          <w:p>
            <w:pPr>
              <w:spacing w:after="0"/>
              <w:rPr>
                <w:sz w:val="21"/>
                <w:szCs w:val="21"/>
                <w:color w:val="auto"/>
              </w:rPr>
            </w:pPr>
          </w:p>
        </w:tc>
        <w:tc>
          <w:tcPr>
            <w:tcW w:w="23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(22.7)%</w:t>
            </w:r>
          </w:p>
        </w:tc>
      </w:tr>
      <w:tr>
        <w:trPr>
          <w:trHeight w:val="230"/>
        </w:trPr>
        <w:tc>
          <w:tcPr>
            <w:tcW w:w="63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Change in fair value of other earnout shares</w:t>
            </w:r>
          </w:p>
        </w:tc>
        <w:tc>
          <w:tcPr>
            <w:tcW w:w="500" w:type="dxa"/>
            <w:vAlign w:val="bottom"/>
          </w:tcPr>
          <w:p>
            <w:pPr>
              <w:spacing w:after="0"/>
              <w:rPr>
                <w:sz w:val="19"/>
                <w:szCs w:val="19"/>
                <w:color w:val="auto"/>
              </w:rPr>
            </w:pPr>
          </w:p>
        </w:tc>
        <w:tc>
          <w:tcPr>
            <w:tcW w:w="18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(24,594)</w:t>
            </w:r>
          </w:p>
        </w:tc>
        <w:tc>
          <w:tcPr>
            <w:tcW w:w="160" w:type="dxa"/>
            <w:vAlign w:val="bottom"/>
          </w:tcPr>
          <w:p>
            <w:pPr>
              <w:spacing w:after="0"/>
              <w:rPr>
                <w:sz w:val="19"/>
                <w:szCs w:val="19"/>
                <w:color w:val="auto"/>
              </w:rPr>
            </w:pPr>
          </w:p>
        </w:tc>
        <w:tc>
          <w:tcPr>
            <w:tcW w:w="23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12.0%</w:t>
            </w:r>
          </w:p>
        </w:tc>
      </w:tr>
      <w:tr>
        <w:trPr>
          <w:trHeight w:val="230"/>
        </w:trPr>
        <w:tc>
          <w:tcPr>
            <w:tcW w:w="63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Other non-taxable or non-deductible items</w:t>
            </w:r>
          </w:p>
        </w:tc>
        <w:tc>
          <w:tcPr>
            <w:tcW w:w="500" w:type="dxa"/>
            <w:vAlign w:val="bottom"/>
            <w:shd w:val="clear" w:color="auto" w:fill="CCEEFF"/>
          </w:tcPr>
          <w:p>
            <w:pPr>
              <w:spacing w:after="0"/>
              <w:rPr>
                <w:sz w:val="19"/>
                <w:szCs w:val="19"/>
                <w:color w:val="auto"/>
              </w:rPr>
            </w:pPr>
          </w:p>
        </w:tc>
        <w:tc>
          <w:tcPr>
            <w:tcW w:w="18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1,272</w:t>
            </w:r>
          </w:p>
        </w:tc>
        <w:tc>
          <w:tcPr>
            <w:tcW w:w="160" w:type="dxa"/>
            <w:vAlign w:val="bottom"/>
            <w:shd w:val="clear" w:color="auto" w:fill="CCEEFF"/>
          </w:tcPr>
          <w:p>
            <w:pPr>
              <w:spacing w:after="0"/>
              <w:rPr>
                <w:sz w:val="19"/>
                <w:szCs w:val="19"/>
                <w:color w:val="auto"/>
              </w:rPr>
            </w:pPr>
          </w:p>
        </w:tc>
        <w:tc>
          <w:tcPr>
            <w:tcW w:w="23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(0.6)%</w:t>
            </w:r>
          </w:p>
        </w:tc>
      </w:tr>
      <w:tr>
        <w:trPr>
          <w:trHeight w:val="229"/>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5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360" w:type="dxa"/>
            <w:vAlign w:val="bottom"/>
          </w:tcPr>
          <w:p>
            <w:pPr>
              <w:spacing w:after="0"/>
              <w:rPr>
                <w:sz w:val="19"/>
                <w:szCs w:val="19"/>
                <w:color w:val="auto"/>
              </w:rPr>
            </w:pPr>
          </w:p>
        </w:tc>
      </w:tr>
      <w:tr>
        <w:trPr>
          <w:trHeight w:val="230"/>
        </w:trPr>
        <w:tc>
          <w:tcPr>
            <w:tcW w:w="6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foreign jurisdictions</w:t>
            </w:r>
          </w:p>
        </w:tc>
        <w:tc>
          <w:tcPr>
            <w:tcW w:w="500" w:type="dxa"/>
            <w:vAlign w:val="bottom"/>
            <w:shd w:val="clear" w:color="auto" w:fill="CCEEFF"/>
          </w:tcPr>
          <w:p>
            <w:pPr>
              <w:spacing w:after="0"/>
              <w:rPr>
                <w:sz w:val="19"/>
                <w:szCs w:val="19"/>
                <w:color w:val="auto"/>
              </w:rPr>
            </w:pPr>
          </w:p>
        </w:tc>
        <w:tc>
          <w:tcPr>
            <w:tcW w:w="18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(616)</w:t>
            </w:r>
          </w:p>
        </w:tc>
        <w:tc>
          <w:tcPr>
            <w:tcW w:w="160" w:type="dxa"/>
            <w:vAlign w:val="bottom"/>
            <w:shd w:val="clear" w:color="auto" w:fill="CCEEFF"/>
          </w:tcPr>
          <w:p>
            <w:pPr>
              <w:spacing w:after="0"/>
              <w:rPr>
                <w:sz w:val="19"/>
                <w:szCs w:val="19"/>
                <w:color w:val="auto"/>
              </w:rPr>
            </w:pPr>
          </w:p>
        </w:tc>
        <w:tc>
          <w:tcPr>
            <w:tcW w:w="23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0.3%</w:t>
            </w:r>
          </w:p>
        </w:tc>
      </w:tr>
      <w:tr>
        <w:trPr>
          <w:trHeight w:val="230"/>
        </w:trPr>
        <w:tc>
          <w:tcPr>
            <w:tcW w:w="63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Changes in unrecognized tax benefits</w:t>
            </w:r>
          </w:p>
        </w:tc>
        <w:tc>
          <w:tcPr>
            <w:tcW w:w="50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1,142</w:t>
            </w:r>
          </w:p>
        </w:tc>
        <w:tc>
          <w:tcPr>
            <w:tcW w:w="160" w:type="dxa"/>
            <w:vAlign w:val="bottom"/>
            <w:tcBorders>
              <w:bottom w:val="single" w:sz="8" w:color="CCEEFF"/>
            </w:tcBorders>
          </w:tcPr>
          <w:p>
            <w:pPr>
              <w:spacing w:after="0"/>
              <w:rPr>
                <w:sz w:val="19"/>
                <w:szCs w:val="19"/>
                <w:color w:val="auto"/>
              </w:rPr>
            </w:pPr>
          </w:p>
        </w:tc>
        <w:tc>
          <w:tcPr>
            <w:tcW w:w="23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(0.6)%</w:t>
            </w:r>
          </w:p>
        </w:tc>
      </w:tr>
      <w:tr>
        <w:trPr>
          <w:trHeight w:val="248"/>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217</w:t>
            </w:r>
          </w:p>
        </w:tc>
        <w:tc>
          <w:tcPr>
            <w:tcW w:w="160" w:type="dxa"/>
            <w:vAlign w:val="bottom"/>
            <w:tcBorders>
              <w:bottom w:val="single" w:sz="8" w:color="CCEEFF"/>
            </w:tcBorders>
            <w:shd w:val="clear" w:color="auto" w:fill="CCEEFF"/>
          </w:tcPr>
          <w:p>
            <w:pPr>
              <w:spacing w:after="0"/>
              <w:rPr>
                <w:sz w:val="21"/>
                <w:szCs w:val="21"/>
                <w:color w:val="auto"/>
              </w:rPr>
            </w:pPr>
          </w:p>
        </w:tc>
        <w:tc>
          <w:tcPr>
            <w:tcW w:w="236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(0.1)%</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360" w:type="dxa"/>
            <w:vAlign w:val="bottom"/>
            <w:tcBorders>
              <w:top w:val="single" w:sz="8" w:color="CCEEFF"/>
              <w:bottom w:val="single" w:sz="8" w:color="auto"/>
            </w:tcBorders>
          </w:tcPr>
          <w:p>
            <w:pPr>
              <w:spacing w:after="0" w:line="20" w:lineRule="exact"/>
              <w:rPr>
                <w:sz w:val="1"/>
                <w:szCs w:val="1"/>
                <w:color w:val="auto"/>
              </w:rPr>
            </w:pPr>
          </w:p>
        </w:tc>
      </w:tr>
    </w:tbl>
    <w:p>
      <w:pPr>
        <w:spacing w:after="0" w:line="287" w:lineRule="exact"/>
        <w:rPr>
          <w:sz w:val="20"/>
          <w:szCs w:val="20"/>
          <w:color w:val="auto"/>
        </w:rPr>
      </w:pPr>
    </w:p>
    <w:p>
      <w:pPr>
        <w:ind w:left="180" w:hanging="172"/>
        <w:spacing w:after="0"/>
        <w:tabs>
          <w:tab w:leader="none" w:pos="180" w:val="left"/>
        </w:tabs>
        <w:numPr>
          <w:ilvl w:val="0"/>
          <w:numId w:val="3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For the year ended December 31, 2025, California state taxes made up more than 50% of the tax effect in this category.</w:t>
      </w:r>
    </w:p>
    <w:p>
      <w:pPr>
        <w:spacing w:after="0" w:line="200" w:lineRule="exact"/>
        <w:rPr>
          <w:rFonts w:ascii="Times New Roman" w:cs="Times New Roman" w:eastAsia="Times New Roman" w:hAnsi="Times New Roman"/>
          <w:sz w:val="22"/>
          <w:szCs w:val="22"/>
          <w:color w:val="auto"/>
          <w:vertAlign w:val="superscript"/>
        </w:rPr>
      </w:pPr>
    </w:p>
    <w:p>
      <w:pPr>
        <w:spacing w:after="0" w:line="200" w:lineRule="exact"/>
        <w:rPr>
          <w:rFonts w:ascii="Times New Roman" w:cs="Times New Roman" w:eastAsia="Times New Roman" w:hAnsi="Times New Roman"/>
          <w:sz w:val="22"/>
          <w:szCs w:val="22"/>
          <w:color w:val="auto"/>
          <w:vertAlign w:val="superscript"/>
        </w:rPr>
      </w:pPr>
    </w:p>
    <w:p>
      <w:pPr>
        <w:spacing w:after="0" w:line="200" w:lineRule="exact"/>
        <w:rPr>
          <w:rFonts w:ascii="Times New Roman" w:cs="Times New Roman" w:eastAsia="Times New Roman" w:hAnsi="Times New Roman"/>
          <w:sz w:val="22"/>
          <w:szCs w:val="22"/>
          <w:color w:val="auto"/>
          <w:vertAlign w:val="superscript"/>
        </w:rPr>
      </w:pPr>
    </w:p>
    <w:p>
      <w:pPr>
        <w:spacing w:after="0" w:line="380" w:lineRule="exact"/>
        <w:rPr>
          <w:rFonts w:ascii="Times New Roman" w:cs="Times New Roman" w:eastAsia="Times New Roman" w:hAnsi="Times New Roman"/>
          <w:sz w:val="22"/>
          <w:szCs w:val="22"/>
          <w:color w:val="auto"/>
          <w:vertAlign w:val="superscript"/>
        </w:rPr>
      </w:pPr>
    </w:p>
    <w:p>
      <w:pPr>
        <w:ind w:left="5540"/>
        <w:spacing w:after="0"/>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78</w:t>
      </w:r>
    </w:p>
    <w:p>
      <w:pPr>
        <w:sectPr>
          <w:pgSz w:w="11900" w:h="16838" w:orient="portrait"/>
          <w:cols w:equalWidth="0" w:num="1">
            <w:col w:w="11240"/>
          </w:cols>
          <w:pgMar w:left="320" w:top="117" w:right="339" w:bottom="1440" w:gutter="0" w:footer="0" w:header="0"/>
        </w:sectPr>
      </w:pPr>
    </w:p>
    <w:bookmarkStart w:id="82" w:name="page83"/>
    <w:bookmarkEnd w:id="82"/>
    <w:p>
      <w:pPr>
        <w:jc w:val="center"/>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THE CONSOLIDATED FINANCIAL STATEMENTS </w:t>
      </w:r>
      <w:r>
        <w:rPr>
          <w:rFonts w:ascii="Times New Roman" w:cs="Times New Roman" w:eastAsia="Times New Roman" w:hAnsi="Times New Roman"/>
          <w:sz w:val="18"/>
          <w:szCs w:val="18"/>
          <w:color w:val="auto"/>
        </w:rPr>
        <w:t>(cont.)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reconciliation of the Company’s tax provision at the U.S. federal statutory rate to the Company’s provision for income taxes for the year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 is set forth as follows: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36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4380" w:type="dxa"/>
            <w:vAlign w:val="bottom"/>
            <w:tcBorders>
              <w:bottom w:val="single" w:sz="8" w:color="auto"/>
            </w:tcBorders>
            <w:gridSpan w:val="3"/>
          </w:tcPr>
          <w:p>
            <w:pPr>
              <w:jc w:val="right"/>
              <w:ind w:right="991"/>
              <w:spacing w:after="0"/>
              <w:rPr>
                <w:sz w:val="20"/>
                <w:szCs w:val="20"/>
                <w:color w:val="auto"/>
              </w:rPr>
            </w:pPr>
            <w:r>
              <w:rPr>
                <w:rFonts w:ascii="Times New Roman" w:cs="Times New Roman" w:eastAsia="Times New Roman" w:hAnsi="Times New Roman"/>
                <w:sz w:val="16"/>
                <w:szCs w:val="16"/>
                <w:b w:val="1"/>
                <w:bCs w:val="1"/>
                <w:color w:val="auto"/>
              </w:rPr>
              <w:t>For the Year Ended December 31, 2024</w:t>
            </w:r>
          </w:p>
        </w:tc>
      </w:tr>
      <w:tr>
        <w:trPr>
          <w:trHeight w:val="214"/>
        </w:trPr>
        <w:tc>
          <w:tcPr>
            <w:tcW w:w="636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(Amounts in thousands)</w:t>
            </w:r>
          </w:p>
        </w:tc>
        <w:tc>
          <w:tcPr>
            <w:tcW w:w="500" w:type="dxa"/>
            <w:vAlign w:val="bottom"/>
          </w:tcPr>
          <w:p>
            <w:pPr>
              <w:spacing w:after="0"/>
              <w:rPr>
                <w:sz w:val="18"/>
                <w:szCs w:val="18"/>
                <w:color w:val="auto"/>
              </w:rPr>
            </w:pPr>
          </w:p>
        </w:tc>
        <w:tc>
          <w:tcPr>
            <w:tcW w:w="2020" w:type="dxa"/>
            <w:vAlign w:val="bottom"/>
            <w:gridSpan w:val="2"/>
          </w:tcPr>
          <w:p>
            <w:pPr>
              <w:ind w:left="40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360" w:type="dxa"/>
            <w:vAlign w:val="bottom"/>
          </w:tcPr>
          <w:p>
            <w:pPr>
              <w:jc w:val="right"/>
              <w:ind w:right="831"/>
              <w:spacing w:after="0"/>
              <w:rPr>
                <w:sz w:val="20"/>
                <w:szCs w:val="20"/>
                <w:color w:val="auto"/>
              </w:rPr>
            </w:pPr>
            <w:r>
              <w:rPr>
                <w:rFonts w:ascii="Times New Roman" w:cs="Times New Roman" w:eastAsia="Times New Roman" w:hAnsi="Times New Roman"/>
                <w:sz w:val="16"/>
                <w:szCs w:val="16"/>
                <w:b w:val="1"/>
                <w:bCs w:val="1"/>
                <w:color w:val="auto"/>
              </w:rPr>
              <w:t>Percent</w:t>
            </w:r>
          </w:p>
        </w:tc>
      </w:tr>
      <w:tr>
        <w:trPr>
          <w:trHeight w:val="225"/>
        </w:trPr>
        <w:tc>
          <w:tcPr>
            <w:tcW w:w="6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Pre-tax book loss</w:t>
            </w:r>
          </w:p>
        </w:tc>
        <w:tc>
          <w:tcPr>
            <w:tcW w:w="500" w:type="dxa"/>
            <w:vAlign w:val="bottom"/>
            <w:tcBorders>
              <w:top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(62,147)</w:t>
            </w:r>
          </w:p>
        </w:tc>
        <w:tc>
          <w:tcPr>
            <w:tcW w:w="160" w:type="dxa"/>
            <w:vAlign w:val="bottom"/>
            <w:tcBorders>
              <w:top w:val="single" w:sz="8" w:color="CCEEFF"/>
            </w:tcBorders>
            <w:shd w:val="clear" w:color="auto" w:fill="CCEEFF"/>
          </w:tcPr>
          <w:p>
            <w:pPr>
              <w:spacing w:after="0"/>
              <w:rPr>
                <w:sz w:val="19"/>
                <w:szCs w:val="19"/>
                <w:color w:val="auto"/>
              </w:rPr>
            </w:pPr>
          </w:p>
        </w:tc>
        <w:tc>
          <w:tcPr>
            <w:tcW w:w="2360" w:type="dxa"/>
            <w:vAlign w:val="bottom"/>
            <w:tcBorders>
              <w:top w:val="single" w:sz="8" w:color="auto"/>
            </w:tcBorders>
            <w:shd w:val="clear" w:color="auto" w:fill="CCEEFF"/>
          </w:tcPr>
          <w:p>
            <w:pPr>
              <w:spacing w:after="0"/>
              <w:rPr>
                <w:sz w:val="19"/>
                <w:szCs w:val="19"/>
                <w:color w:val="auto"/>
              </w:rPr>
            </w:pPr>
          </w:p>
        </w:tc>
      </w:tr>
      <w:tr>
        <w:trPr>
          <w:trHeight w:val="230"/>
        </w:trPr>
        <w:tc>
          <w:tcPr>
            <w:tcW w:w="6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Provision at U.S. federal statutory rate</w:t>
            </w:r>
          </w:p>
        </w:tc>
        <w:tc>
          <w:tcPr>
            <w:tcW w:w="500" w:type="dxa"/>
            <w:vAlign w:val="bottom"/>
          </w:tcPr>
          <w:p>
            <w:pPr>
              <w:spacing w:after="0"/>
              <w:rPr>
                <w:sz w:val="19"/>
                <w:szCs w:val="19"/>
                <w:color w:val="auto"/>
              </w:rPr>
            </w:pPr>
          </w:p>
        </w:tc>
        <w:tc>
          <w:tcPr>
            <w:tcW w:w="18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(13,049)</w:t>
            </w:r>
          </w:p>
        </w:tc>
        <w:tc>
          <w:tcPr>
            <w:tcW w:w="160" w:type="dxa"/>
            <w:vAlign w:val="bottom"/>
          </w:tcPr>
          <w:p>
            <w:pPr>
              <w:spacing w:after="0"/>
              <w:rPr>
                <w:sz w:val="19"/>
                <w:szCs w:val="19"/>
                <w:color w:val="auto"/>
              </w:rPr>
            </w:pPr>
          </w:p>
        </w:tc>
        <w:tc>
          <w:tcPr>
            <w:tcW w:w="23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21.0%</w:t>
            </w:r>
          </w:p>
        </w:tc>
      </w:tr>
      <w:tr>
        <w:trPr>
          <w:trHeight w:val="229"/>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State taxes, net of federal benefit</w:t>
            </w:r>
          </w:p>
        </w:tc>
        <w:tc>
          <w:tcPr>
            <w:tcW w:w="500" w:type="dxa"/>
            <w:vAlign w:val="bottom"/>
            <w:shd w:val="clear" w:color="auto" w:fill="CCEEFF"/>
          </w:tcPr>
          <w:p>
            <w:pPr>
              <w:spacing w:after="0"/>
              <w:rPr>
                <w:sz w:val="19"/>
                <w:szCs w:val="19"/>
                <w:color w:val="auto"/>
              </w:rPr>
            </w:pPr>
          </w:p>
        </w:tc>
        <w:tc>
          <w:tcPr>
            <w:tcW w:w="18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shd w:val="clear" w:color="auto" w:fill="CCEEFF"/>
          </w:tcPr>
          <w:p>
            <w:pPr>
              <w:spacing w:after="0"/>
              <w:rPr>
                <w:sz w:val="19"/>
                <w:szCs w:val="19"/>
                <w:color w:val="auto"/>
              </w:rPr>
            </w:pPr>
          </w:p>
        </w:tc>
        <w:tc>
          <w:tcPr>
            <w:tcW w:w="23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Gain on remeasurement of warranty liability</w:t>
            </w:r>
          </w:p>
        </w:tc>
        <w:tc>
          <w:tcPr>
            <w:tcW w:w="500" w:type="dxa"/>
            <w:vAlign w:val="bottom"/>
          </w:tcPr>
          <w:p>
            <w:pPr>
              <w:spacing w:after="0"/>
              <w:rPr>
                <w:sz w:val="19"/>
                <w:szCs w:val="19"/>
                <w:color w:val="auto"/>
              </w:rPr>
            </w:pPr>
          </w:p>
        </w:tc>
        <w:tc>
          <w:tcPr>
            <w:tcW w:w="18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3,302</w:t>
            </w:r>
          </w:p>
        </w:tc>
        <w:tc>
          <w:tcPr>
            <w:tcW w:w="160" w:type="dxa"/>
            <w:vAlign w:val="bottom"/>
          </w:tcPr>
          <w:p>
            <w:pPr>
              <w:spacing w:after="0"/>
              <w:rPr>
                <w:sz w:val="19"/>
                <w:szCs w:val="19"/>
                <w:color w:val="auto"/>
              </w:rPr>
            </w:pPr>
          </w:p>
        </w:tc>
        <w:tc>
          <w:tcPr>
            <w:tcW w:w="23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(5.3)%</w:t>
            </w:r>
          </w:p>
        </w:tc>
      </w:tr>
      <w:tr>
        <w:trPr>
          <w:trHeight w:val="230"/>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permanent differences</w:t>
            </w:r>
          </w:p>
        </w:tc>
        <w:tc>
          <w:tcPr>
            <w:tcW w:w="500" w:type="dxa"/>
            <w:vAlign w:val="bottom"/>
            <w:shd w:val="clear" w:color="auto" w:fill="CCEEFF"/>
          </w:tcPr>
          <w:p>
            <w:pPr>
              <w:spacing w:after="0"/>
              <w:rPr>
                <w:sz w:val="19"/>
                <w:szCs w:val="19"/>
                <w:color w:val="auto"/>
              </w:rPr>
            </w:pPr>
          </w:p>
        </w:tc>
        <w:tc>
          <w:tcPr>
            <w:tcW w:w="18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802</w:t>
            </w:r>
          </w:p>
        </w:tc>
        <w:tc>
          <w:tcPr>
            <w:tcW w:w="160" w:type="dxa"/>
            <w:vAlign w:val="bottom"/>
            <w:shd w:val="clear" w:color="auto" w:fill="CCEEFF"/>
          </w:tcPr>
          <w:p>
            <w:pPr>
              <w:spacing w:after="0"/>
              <w:rPr>
                <w:sz w:val="19"/>
                <w:szCs w:val="19"/>
                <w:color w:val="auto"/>
              </w:rPr>
            </w:pPr>
          </w:p>
        </w:tc>
        <w:tc>
          <w:tcPr>
            <w:tcW w:w="23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(1.3)%</w:t>
            </w:r>
          </w:p>
        </w:tc>
      </w:tr>
      <w:tr>
        <w:trPr>
          <w:trHeight w:val="229"/>
        </w:trPr>
        <w:tc>
          <w:tcPr>
            <w:tcW w:w="6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Return to accrual adjustment</w:t>
            </w:r>
          </w:p>
        </w:tc>
        <w:tc>
          <w:tcPr>
            <w:tcW w:w="500" w:type="dxa"/>
            <w:vAlign w:val="bottom"/>
          </w:tcPr>
          <w:p>
            <w:pPr>
              <w:spacing w:after="0"/>
              <w:rPr>
                <w:sz w:val="19"/>
                <w:szCs w:val="19"/>
                <w:color w:val="auto"/>
              </w:rPr>
            </w:pPr>
          </w:p>
        </w:tc>
        <w:tc>
          <w:tcPr>
            <w:tcW w:w="18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(896)</w:t>
            </w:r>
          </w:p>
        </w:tc>
        <w:tc>
          <w:tcPr>
            <w:tcW w:w="160" w:type="dxa"/>
            <w:vAlign w:val="bottom"/>
          </w:tcPr>
          <w:p>
            <w:pPr>
              <w:spacing w:after="0"/>
              <w:rPr>
                <w:sz w:val="19"/>
                <w:szCs w:val="19"/>
                <w:color w:val="auto"/>
              </w:rPr>
            </w:pPr>
          </w:p>
        </w:tc>
        <w:tc>
          <w:tcPr>
            <w:tcW w:w="23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w:t>
            </w:r>
          </w:p>
        </w:tc>
      </w:tr>
      <w:tr>
        <w:trPr>
          <w:trHeight w:val="229"/>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tax rate differential</w:t>
            </w:r>
          </w:p>
        </w:tc>
        <w:tc>
          <w:tcPr>
            <w:tcW w:w="500" w:type="dxa"/>
            <w:vAlign w:val="bottom"/>
            <w:shd w:val="clear" w:color="auto" w:fill="CCEEFF"/>
          </w:tcPr>
          <w:p>
            <w:pPr>
              <w:spacing w:after="0"/>
              <w:rPr>
                <w:sz w:val="19"/>
                <w:szCs w:val="19"/>
                <w:color w:val="auto"/>
              </w:rPr>
            </w:pPr>
          </w:p>
        </w:tc>
        <w:tc>
          <w:tcPr>
            <w:tcW w:w="18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195</w:t>
            </w:r>
          </w:p>
        </w:tc>
        <w:tc>
          <w:tcPr>
            <w:tcW w:w="160" w:type="dxa"/>
            <w:vAlign w:val="bottom"/>
            <w:shd w:val="clear" w:color="auto" w:fill="CCEEFF"/>
          </w:tcPr>
          <w:p>
            <w:pPr>
              <w:spacing w:after="0"/>
              <w:rPr>
                <w:sz w:val="19"/>
                <w:szCs w:val="19"/>
                <w:color w:val="auto"/>
              </w:rPr>
            </w:pPr>
          </w:p>
        </w:tc>
        <w:tc>
          <w:tcPr>
            <w:tcW w:w="23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(0.3)%</w:t>
            </w:r>
          </w:p>
        </w:tc>
      </w:tr>
      <w:tr>
        <w:trPr>
          <w:trHeight w:val="230"/>
        </w:trPr>
        <w:tc>
          <w:tcPr>
            <w:tcW w:w="6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Tax credits</w:t>
            </w:r>
          </w:p>
        </w:tc>
        <w:tc>
          <w:tcPr>
            <w:tcW w:w="500" w:type="dxa"/>
            <w:vAlign w:val="bottom"/>
          </w:tcPr>
          <w:p>
            <w:pPr>
              <w:spacing w:after="0"/>
              <w:rPr>
                <w:sz w:val="19"/>
                <w:szCs w:val="19"/>
                <w:color w:val="auto"/>
              </w:rPr>
            </w:pPr>
          </w:p>
        </w:tc>
        <w:tc>
          <w:tcPr>
            <w:tcW w:w="18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(1,211)</w:t>
            </w:r>
          </w:p>
        </w:tc>
        <w:tc>
          <w:tcPr>
            <w:tcW w:w="160" w:type="dxa"/>
            <w:vAlign w:val="bottom"/>
          </w:tcPr>
          <w:p>
            <w:pPr>
              <w:spacing w:after="0"/>
              <w:rPr>
                <w:sz w:val="19"/>
                <w:szCs w:val="19"/>
                <w:color w:val="auto"/>
              </w:rPr>
            </w:pPr>
          </w:p>
        </w:tc>
        <w:tc>
          <w:tcPr>
            <w:tcW w:w="23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2.0%</w:t>
            </w:r>
          </w:p>
        </w:tc>
      </w:tr>
      <w:tr>
        <w:trPr>
          <w:trHeight w:val="229"/>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Uncertain tax position</w:t>
            </w:r>
          </w:p>
        </w:tc>
        <w:tc>
          <w:tcPr>
            <w:tcW w:w="500" w:type="dxa"/>
            <w:vAlign w:val="bottom"/>
            <w:shd w:val="clear" w:color="auto" w:fill="CCEEFF"/>
          </w:tcPr>
          <w:p>
            <w:pPr>
              <w:spacing w:after="0"/>
              <w:rPr>
                <w:sz w:val="19"/>
                <w:szCs w:val="19"/>
                <w:color w:val="auto"/>
              </w:rPr>
            </w:pPr>
          </w:p>
        </w:tc>
        <w:tc>
          <w:tcPr>
            <w:tcW w:w="18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410</w:t>
            </w:r>
          </w:p>
        </w:tc>
        <w:tc>
          <w:tcPr>
            <w:tcW w:w="160" w:type="dxa"/>
            <w:vAlign w:val="bottom"/>
            <w:shd w:val="clear" w:color="auto" w:fill="CCEEFF"/>
          </w:tcPr>
          <w:p>
            <w:pPr>
              <w:spacing w:after="0"/>
              <w:rPr>
                <w:sz w:val="19"/>
                <w:szCs w:val="19"/>
                <w:color w:val="auto"/>
              </w:rPr>
            </w:pPr>
          </w:p>
        </w:tc>
        <w:tc>
          <w:tcPr>
            <w:tcW w:w="23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(0.7)%</w:t>
            </w:r>
          </w:p>
        </w:tc>
      </w:tr>
      <w:tr>
        <w:trPr>
          <w:trHeight w:val="230"/>
        </w:trPr>
        <w:tc>
          <w:tcPr>
            <w:tcW w:w="6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only adjustment to beginning deferred balances</w:t>
            </w:r>
          </w:p>
        </w:tc>
        <w:tc>
          <w:tcPr>
            <w:tcW w:w="500" w:type="dxa"/>
            <w:vAlign w:val="bottom"/>
          </w:tcPr>
          <w:p>
            <w:pPr>
              <w:spacing w:after="0"/>
              <w:rPr>
                <w:sz w:val="19"/>
                <w:szCs w:val="19"/>
                <w:color w:val="auto"/>
              </w:rPr>
            </w:pPr>
          </w:p>
        </w:tc>
        <w:tc>
          <w:tcPr>
            <w:tcW w:w="18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(799)</w:t>
            </w:r>
          </w:p>
        </w:tc>
        <w:tc>
          <w:tcPr>
            <w:tcW w:w="160" w:type="dxa"/>
            <w:vAlign w:val="bottom"/>
          </w:tcPr>
          <w:p>
            <w:pPr>
              <w:spacing w:after="0"/>
              <w:rPr>
                <w:sz w:val="19"/>
                <w:szCs w:val="19"/>
                <w:color w:val="auto"/>
              </w:rPr>
            </w:pPr>
          </w:p>
        </w:tc>
        <w:tc>
          <w:tcPr>
            <w:tcW w:w="23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w:t>
            </w:r>
          </w:p>
        </w:tc>
      </w:tr>
      <w:tr>
        <w:trPr>
          <w:trHeight w:val="229"/>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Valuation allowance</w:t>
            </w:r>
          </w:p>
        </w:tc>
        <w:tc>
          <w:tcPr>
            <w:tcW w:w="500" w:type="dxa"/>
            <w:vAlign w:val="bottom"/>
            <w:shd w:val="clear" w:color="auto" w:fill="CCEEFF"/>
          </w:tcPr>
          <w:p>
            <w:pPr>
              <w:spacing w:after="0"/>
              <w:rPr>
                <w:sz w:val="19"/>
                <w:szCs w:val="19"/>
                <w:color w:val="auto"/>
              </w:rPr>
            </w:pPr>
          </w:p>
        </w:tc>
        <w:tc>
          <w:tcPr>
            <w:tcW w:w="18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10,290</w:t>
            </w:r>
          </w:p>
        </w:tc>
        <w:tc>
          <w:tcPr>
            <w:tcW w:w="160" w:type="dxa"/>
            <w:vAlign w:val="bottom"/>
            <w:shd w:val="clear" w:color="auto" w:fill="CCEEFF"/>
          </w:tcPr>
          <w:p>
            <w:pPr>
              <w:spacing w:after="0"/>
              <w:rPr>
                <w:sz w:val="19"/>
                <w:szCs w:val="19"/>
                <w:color w:val="auto"/>
              </w:rPr>
            </w:pPr>
          </w:p>
        </w:tc>
        <w:tc>
          <w:tcPr>
            <w:tcW w:w="23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(16.6)%</w:t>
            </w:r>
          </w:p>
        </w:tc>
      </w:tr>
      <w:tr>
        <w:trPr>
          <w:trHeight w:val="229"/>
        </w:trPr>
        <w:tc>
          <w:tcPr>
            <w:tcW w:w="63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net</w:t>
            </w:r>
          </w:p>
        </w:tc>
        <w:tc>
          <w:tcPr>
            <w:tcW w:w="50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Borders>
              <w:bottom w:val="single" w:sz="8" w:color="CCEEFF"/>
            </w:tcBorders>
          </w:tcPr>
          <w:p>
            <w:pPr>
              <w:spacing w:after="0"/>
              <w:rPr>
                <w:sz w:val="19"/>
                <w:szCs w:val="19"/>
                <w:color w:val="auto"/>
              </w:rPr>
            </w:pPr>
          </w:p>
        </w:tc>
        <w:tc>
          <w:tcPr>
            <w:tcW w:w="23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(952)</w:t>
            </w:r>
          </w:p>
        </w:tc>
        <w:tc>
          <w:tcPr>
            <w:tcW w:w="160" w:type="dxa"/>
            <w:vAlign w:val="bottom"/>
            <w:tcBorders>
              <w:bottom w:val="single" w:sz="8" w:color="CCEEFF"/>
            </w:tcBorders>
            <w:shd w:val="clear" w:color="auto" w:fill="CCEEFF"/>
          </w:tcPr>
          <w:p>
            <w:pPr>
              <w:spacing w:after="0"/>
              <w:rPr>
                <w:sz w:val="21"/>
                <w:szCs w:val="21"/>
                <w:color w:val="auto"/>
              </w:rPr>
            </w:pPr>
          </w:p>
        </w:tc>
        <w:tc>
          <w:tcPr>
            <w:tcW w:w="236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1.5%</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36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the Company’s deferred tax assets as of December 31, 2025 and 2024 are set forth as follows: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36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1560" w:type="dxa"/>
            <w:vAlign w:val="bottom"/>
            <w:tcBorders>
              <w:bottom w:val="single" w:sz="8" w:color="auto"/>
            </w:tcBorders>
          </w:tcPr>
          <w:p>
            <w:pPr>
              <w:spacing w:after="0"/>
              <w:rPr>
                <w:sz w:val="18"/>
                <w:szCs w:val="18"/>
                <w:color w:val="auto"/>
              </w:rPr>
            </w:pPr>
          </w:p>
        </w:tc>
      </w:tr>
      <w:tr>
        <w:trPr>
          <w:trHeight w:val="212"/>
        </w:trPr>
        <w:tc>
          <w:tcPr>
            <w:tcW w:w="636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(Amounts in thousands)</w:t>
            </w:r>
          </w:p>
        </w:tc>
        <w:tc>
          <w:tcPr>
            <w:tcW w:w="58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ind w:right="93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6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931"/>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3"/>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5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29"/>
        </w:trPr>
        <w:tc>
          <w:tcPr>
            <w:tcW w:w="6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58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68,847</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55,739</w:t>
            </w:r>
          </w:p>
        </w:tc>
      </w:tr>
      <w:tr>
        <w:trPr>
          <w:trHeight w:val="230"/>
        </w:trPr>
        <w:tc>
          <w:tcPr>
            <w:tcW w:w="6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Tax credit</w:t>
            </w:r>
          </w:p>
        </w:tc>
        <w:tc>
          <w:tcPr>
            <w:tcW w:w="580" w:type="dxa"/>
            <w:vAlign w:val="bottom"/>
          </w:tcPr>
          <w:p>
            <w:pPr>
              <w:spacing w:after="0"/>
              <w:rPr>
                <w:sz w:val="19"/>
                <w:szCs w:val="19"/>
                <w:color w:val="auto"/>
              </w:rPr>
            </w:pPr>
          </w:p>
        </w:tc>
        <w:tc>
          <w:tcPr>
            <w:tcW w:w="17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6,500</w:t>
            </w: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5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5,678</w:t>
            </w:r>
          </w:p>
        </w:tc>
      </w:tr>
      <w:tr>
        <w:trPr>
          <w:trHeight w:val="230"/>
        </w:trPr>
        <w:tc>
          <w:tcPr>
            <w:tcW w:w="6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reserves and accrued expenses</w:t>
            </w:r>
          </w:p>
        </w:tc>
        <w:tc>
          <w:tcPr>
            <w:tcW w:w="580" w:type="dxa"/>
            <w:vAlign w:val="bottom"/>
            <w:shd w:val="clear" w:color="auto" w:fill="CCEEFF"/>
          </w:tcPr>
          <w:p>
            <w:pPr>
              <w:spacing w:after="0"/>
              <w:rPr>
                <w:sz w:val="19"/>
                <w:szCs w:val="19"/>
                <w:color w:val="auto"/>
              </w:rPr>
            </w:pPr>
          </w:p>
        </w:tc>
        <w:tc>
          <w:tcPr>
            <w:tcW w:w="17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1,401</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1,178</w:t>
            </w:r>
          </w:p>
        </w:tc>
      </w:tr>
      <w:tr>
        <w:trPr>
          <w:trHeight w:val="230"/>
        </w:trPr>
        <w:tc>
          <w:tcPr>
            <w:tcW w:w="6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580" w:type="dxa"/>
            <w:vAlign w:val="bottom"/>
          </w:tcPr>
          <w:p>
            <w:pPr>
              <w:spacing w:after="0"/>
              <w:rPr>
                <w:sz w:val="19"/>
                <w:szCs w:val="19"/>
                <w:color w:val="auto"/>
              </w:rPr>
            </w:pPr>
          </w:p>
        </w:tc>
        <w:tc>
          <w:tcPr>
            <w:tcW w:w="17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34</w:t>
            </w: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5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80</w:t>
            </w:r>
          </w:p>
        </w:tc>
      </w:tr>
      <w:tr>
        <w:trPr>
          <w:trHeight w:val="229"/>
        </w:trPr>
        <w:tc>
          <w:tcPr>
            <w:tcW w:w="6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w:t>
            </w:r>
          </w:p>
        </w:tc>
        <w:tc>
          <w:tcPr>
            <w:tcW w:w="580" w:type="dxa"/>
            <w:vAlign w:val="bottom"/>
            <w:shd w:val="clear" w:color="auto" w:fill="CCEEFF"/>
          </w:tcPr>
          <w:p>
            <w:pPr>
              <w:spacing w:after="0"/>
              <w:rPr>
                <w:sz w:val="19"/>
                <w:szCs w:val="19"/>
                <w:color w:val="auto"/>
              </w:rPr>
            </w:pPr>
          </w:p>
        </w:tc>
        <w:tc>
          <w:tcPr>
            <w:tcW w:w="17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498</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440</w:t>
            </w:r>
          </w:p>
        </w:tc>
      </w:tr>
      <w:tr>
        <w:trPr>
          <w:trHeight w:val="230"/>
        </w:trPr>
        <w:tc>
          <w:tcPr>
            <w:tcW w:w="6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Share-based compensation</w:t>
            </w:r>
          </w:p>
        </w:tc>
        <w:tc>
          <w:tcPr>
            <w:tcW w:w="580" w:type="dxa"/>
            <w:vAlign w:val="bottom"/>
          </w:tcPr>
          <w:p>
            <w:pPr>
              <w:spacing w:after="0"/>
              <w:rPr>
                <w:sz w:val="19"/>
                <w:szCs w:val="19"/>
                <w:color w:val="auto"/>
              </w:rPr>
            </w:pPr>
          </w:p>
        </w:tc>
        <w:tc>
          <w:tcPr>
            <w:tcW w:w="17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6,966</w:t>
            </w: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5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1,519</w:t>
            </w:r>
          </w:p>
        </w:tc>
      </w:tr>
      <w:tr>
        <w:trPr>
          <w:trHeight w:val="230"/>
        </w:trPr>
        <w:tc>
          <w:tcPr>
            <w:tcW w:w="6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Capitalized research and development (Section 174)</w:t>
            </w:r>
          </w:p>
        </w:tc>
        <w:tc>
          <w:tcPr>
            <w:tcW w:w="580" w:type="dxa"/>
            <w:vAlign w:val="bottom"/>
            <w:shd w:val="clear" w:color="auto" w:fill="CCEEFF"/>
          </w:tcPr>
          <w:p>
            <w:pPr>
              <w:spacing w:after="0"/>
              <w:rPr>
                <w:sz w:val="19"/>
                <w:szCs w:val="19"/>
                <w:color w:val="auto"/>
              </w:rPr>
            </w:pPr>
          </w:p>
        </w:tc>
        <w:tc>
          <w:tcPr>
            <w:tcW w:w="17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17,767</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13,423</w:t>
            </w:r>
          </w:p>
        </w:tc>
      </w:tr>
      <w:tr>
        <w:trPr>
          <w:trHeight w:val="230"/>
        </w:trPr>
        <w:tc>
          <w:tcPr>
            <w:tcW w:w="63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5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649</w:t>
            </w:r>
          </w:p>
        </w:tc>
        <w:tc>
          <w:tcPr>
            <w:tcW w:w="16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w:t>
            </w:r>
          </w:p>
        </w:tc>
      </w:tr>
      <w:tr>
        <w:trPr>
          <w:trHeight w:val="223"/>
        </w:trPr>
        <w:tc>
          <w:tcPr>
            <w:tcW w:w="6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deferred tax asset</w:t>
            </w:r>
          </w:p>
        </w:tc>
        <w:tc>
          <w:tcPr>
            <w:tcW w:w="580" w:type="dxa"/>
            <w:vAlign w:val="bottom"/>
            <w:shd w:val="clear" w:color="auto" w:fill="CCEEFF"/>
          </w:tcPr>
          <w:p>
            <w:pPr>
              <w:spacing w:after="0"/>
              <w:rPr>
                <w:sz w:val="19"/>
                <w:szCs w:val="19"/>
                <w:color w:val="auto"/>
              </w:rPr>
            </w:pPr>
          </w:p>
        </w:tc>
        <w:tc>
          <w:tcPr>
            <w:tcW w:w="17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102,662</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78,060</w:t>
            </w:r>
          </w:p>
        </w:tc>
      </w:tr>
      <w:tr>
        <w:trPr>
          <w:trHeight w:val="229"/>
        </w:trPr>
        <w:tc>
          <w:tcPr>
            <w:tcW w:w="63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Valuation allowance</w:t>
            </w:r>
          </w:p>
        </w:tc>
        <w:tc>
          <w:tcPr>
            <w:tcW w:w="5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(100,506)</w:t>
            </w:r>
          </w:p>
        </w:tc>
        <w:tc>
          <w:tcPr>
            <w:tcW w:w="16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(75,826)</w:t>
            </w:r>
          </w:p>
        </w:tc>
      </w:tr>
      <w:tr>
        <w:trPr>
          <w:trHeight w:val="223"/>
        </w:trPr>
        <w:tc>
          <w:tcPr>
            <w:tcW w:w="6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deferred income tax assets</w:t>
            </w:r>
          </w:p>
        </w:tc>
        <w:tc>
          <w:tcPr>
            <w:tcW w:w="580" w:type="dxa"/>
            <w:vAlign w:val="bottom"/>
            <w:shd w:val="clear" w:color="auto" w:fill="CCEEFF"/>
          </w:tcPr>
          <w:p>
            <w:pPr>
              <w:spacing w:after="0"/>
              <w:rPr>
                <w:sz w:val="19"/>
                <w:szCs w:val="19"/>
                <w:color w:val="auto"/>
              </w:rPr>
            </w:pPr>
          </w:p>
        </w:tc>
        <w:tc>
          <w:tcPr>
            <w:tcW w:w="17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2,156</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2,234</w:t>
            </w:r>
          </w:p>
        </w:tc>
      </w:tr>
      <w:tr>
        <w:trPr>
          <w:trHeight w:val="229"/>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5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30"/>
        </w:trPr>
        <w:tc>
          <w:tcPr>
            <w:tcW w:w="6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Right-of-use assets</w:t>
            </w:r>
          </w:p>
        </w:tc>
        <w:tc>
          <w:tcPr>
            <w:tcW w:w="5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(33)</w:t>
            </w:r>
          </w:p>
        </w:tc>
        <w:tc>
          <w:tcPr>
            <w:tcW w:w="16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(77)</w:t>
            </w:r>
          </w:p>
        </w:tc>
      </w:tr>
      <w:tr>
        <w:trPr>
          <w:trHeight w:val="223"/>
        </w:trPr>
        <w:tc>
          <w:tcPr>
            <w:tcW w:w="63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5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(33)</w:t>
            </w:r>
          </w:p>
        </w:tc>
        <w:tc>
          <w:tcPr>
            <w:tcW w:w="16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(77)</w:t>
            </w:r>
          </w:p>
        </w:tc>
      </w:tr>
      <w:tr>
        <w:trPr>
          <w:trHeight w:val="248"/>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 assets</w:t>
            </w: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2,123</w:t>
            </w: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2,157</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In determining the need for a valuation allowance, the Company weighs both positive and negative evidence in the various jurisdictions in which it operates to determine whether it is more likely than not that its deferred tax assets are recoverable. In assessing the ultimate realizability of its net deferred tax assets, the Company considers all available evidence, including cumulative losses and expected future losses and, as such, management does not believe it is more likely than not that the deferred tax assets will be realized. Accordingly, a full valuation allowance has been established in the U.S. and the Philippines. The valuation allowance as of December 31, 2025 and 2024 was $100.5 million and $75.8 million, respectively. The increase of</w:t>
      </w:r>
    </w:p>
    <w:p>
      <w:pPr>
        <w:spacing w:after="0" w:line="3" w:lineRule="exact"/>
        <w:rPr>
          <w:sz w:val="20"/>
          <w:szCs w:val="20"/>
          <w:color w:val="auto"/>
        </w:rPr>
      </w:pPr>
    </w:p>
    <w:p>
      <w:pPr>
        <w:ind w:right="440"/>
        <w:spacing w:after="0" w:line="260" w:lineRule="auto"/>
        <w:rPr>
          <w:sz w:val="20"/>
          <w:szCs w:val="20"/>
          <w:color w:val="auto"/>
        </w:rPr>
      </w:pPr>
      <w:r>
        <w:rPr>
          <w:rFonts w:ascii="Times New Roman" w:cs="Times New Roman" w:eastAsia="Times New Roman" w:hAnsi="Times New Roman"/>
          <w:sz w:val="18"/>
          <w:szCs w:val="18"/>
          <w:color w:val="auto"/>
        </w:rPr>
        <w:t>$24.7 million in the Company’s valuation allowance as of December 31, 2025 compared to December 31, 2024 was due to increases in deferred taxes during the year ended December 31, 2025.</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240"/>
          </w:cols>
          <w:pgMar w:left="320" w:top="117" w:right="339" w:bottom="1440" w:gutter="0" w:footer="0" w:header="0"/>
        </w:sectPr>
      </w:pPr>
    </w:p>
    <w:bookmarkStart w:id="83" w:name="page84"/>
    <w:bookmarkEnd w:id="83"/>
    <w:p>
      <w:pPr>
        <w:jc w:val="center"/>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THE CONSOLIDATED FINANCIAL STATEMENTS </w:t>
      </w:r>
      <w:r>
        <w:rPr>
          <w:rFonts w:ascii="Times New Roman" w:cs="Times New Roman" w:eastAsia="Times New Roman" w:hAnsi="Times New Roman"/>
          <w:sz w:val="18"/>
          <w:szCs w:val="18"/>
          <w:color w:val="auto"/>
        </w:rPr>
        <w:t>(cont.)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340"/>
        <w:spacing w:after="0" w:line="256" w:lineRule="auto"/>
        <w:rPr>
          <w:sz w:val="20"/>
          <w:szCs w:val="20"/>
          <w:color w:val="auto"/>
        </w:rPr>
      </w:pPr>
      <w:r>
        <w:rPr>
          <w:rFonts w:ascii="Times New Roman" w:cs="Times New Roman" w:eastAsia="Times New Roman" w:hAnsi="Times New Roman"/>
          <w:sz w:val="18"/>
          <w:szCs w:val="18"/>
          <w:color w:val="auto"/>
        </w:rPr>
        <w:t>As of December 31, 2025, the Company had U.S. federal and U.S. state net operating loss carryforwards of $256.6 million and $213.8 million, respectively. The U.S. federal and U.S. state net operating loss carryforwards will begin to expire in 2030. As of December 31, 2025, the Company had U.S. federal research and development tax credit carryforwards of $6.8 million and U.S. state research and development tax credit carryforwards of $5.1 million. The U.S. federal research and development tax credit carryforwards will begin to expire in the year 2035 and the U.S. state research and development tax credit carryforwards, all of which are in the state of California, do not expire. As of December 31, 2025, the Company had foreign tax credit carryforwards of $1.1 million available to offset future income taxes payable in India.</w:t>
      </w:r>
    </w:p>
    <w:p>
      <w:pPr>
        <w:spacing w:after="0" w:line="214"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During the ordinary course of business, there are many transactions and calculations for which the ultimate tax determination is uncertain. The Company establishes reserves for tax-related uncertainties based on estimates of whether, and the extent to which, additional taxes will be due. These reserves are established when the Company believes that certain positions might be challenged despite its belief that its tax return positions are fully supportable. The Company adjusts these reserves in light of changing facts and circumstances, such as the outcome of tax examinations.</w:t>
      </w:r>
    </w:p>
    <w:p>
      <w:pPr>
        <w:spacing w:after="0" w:line="207"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following table sets forth a reconciliation of the total amounts of unrecognized tax benefits, excluded from the Company’s consolidated balance sheets, as the Company’s ability to realize these potential benefits is restricted: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36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4360" w:type="dxa"/>
            <w:vAlign w:val="bottom"/>
            <w:tcBorders>
              <w:bottom w:val="single" w:sz="8" w:color="auto"/>
            </w:tcBorders>
            <w:gridSpan w:val="4"/>
          </w:tcPr>
          <w:p>
            <w:pPr>
              <w:jc w:val="right"/>
              <w:ind w:right="852"/>
              <w:spacing w:after="0"/>
              <w:rPr>
                <w:sz w:val="20"/>
                <w:szCs w:val="20"/>
                <w:color w:val="auto"/>
              </w:rPr>
            </w:pPr>
            <w:r>
              <w:rPr>
                <w:rFonts w:ascii="Times New Roman" w:cs="Times New Roman" w:eastAsia="Times New Roman" w:hAnsi="Times New Roman"/>
                <w:sz w:val="16"/>
                <w:szCs w:val="16"/>
                <w:b w:val="1"/>
                <w:bCs w:val="1"/>
                <w:color w:val="auto"/>
              </w:rPr>
              <w:t>As of and for the Year Ended December 31,</w:t>
            </w:r>
          </w:p>
        </w:tc>
      </w:tr>
      <w:tr>
        <w:trPr>
          <w:trHeight w:val="214"/>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(Amounts in thousands)</w:t>
            </w:r>
          </w:p>
        </w:tc>
        <w:tc>
          <w:tcPr>
            <w:tcW w:w="52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ind w:right="933"/>
              <w:spacing w:after="0"/>
              <w:rPr>
                <w:sz w:val="20"/>
                <w:szCs w:val="20"/>
                <w:color w:val="auto"/>
              </w:rPr>
            </w:pPr>
            <w:r>
              <w:rPr>
                <w:rFonts w:ascii="Times New Roman" w:cs="Times New Roman" w:eastAsia="Times New Roman" w:hAnsi="Times New Roman"/>
                <w:sz w:val="16"/>
                <w:szCs w:val="16"/>
                <w:b w:val="1"/>
                <w:bCs w:val="1"/>
                <w:color w:val="auto"/>
              </w:rPr>
              <w:t>2025</w:t>
            </w:r>
          </w:p>
        </w:tc>
        <w:tc>
          <w:tcPr>
            <w:tcW w:w="16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ind w:right="932"/>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5"/>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5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5,000</w:t>
            </w: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4,283</w:t>
            </w:r>
          </w:p>
        </w:tc>
      </w:tr>
      <w:tr>
        <w:trPr>
          <w:trHeight w:val="229"/>
        </w:trPr>
        <w:tc>
          <w:tcPr>
            <w:tcW w:w="6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Additions based on tax positions taken related to prior years</w:t>
            </w:r>
          </w:p>
        </w:tc>
        <w:tc>
          <w:tcPr>
            <w:tcW w:w="520" w:type="dxa"/>
            <w:vAlign w:val="bottom"/>
          </w:tcPr>
          <w:p>
            <w:pPr>
              <w:spacing w:after="0"/>
              <w:rPr>
                <w:sz w:val="19"/>
                <w:szCs w:val="19"/>
                <w:color w:val="auto"/>
              </w:rPr>
            </w:pPr>
          </w:p>
        </w:tc>
        <w:tc>
          <w:tcPr>
            <w:tcW w:w="20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9"/>
                <w:szCs w:val="19"/>
                <w:color w:val="auto"/>
              </w:rPr>
            </w:pPr>
          </w:p>
        </w:tc>
        <w:tc>
          <w:tcPr>
            <w:tcW w:w="18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12</w:t>
            </w:r>
          </w:p>
        </w:tc>
      </w:tr>
      <w:tr>
        <w:trPr>
          <w:trHeight w:val="229"/>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Additions based on tax positions taken related to current period</w:t>
            </w:r>
          </w:p>
        </w:tc>
        <w:tc>
          <w:tcPr>
            <w:tcW w:w="520" w:type="dxa"/>
            <w:vAlign w:val="bottom"/>
            <w:shd w:val="clear" w:color="auto" w:fill="CCEEFF"/>
          </w:tcPr>
          <w:p>
            <w:pPr>
              <w:spacing w:after="0"/>
              <w:rPr>
                <w:sz w:val="19"/>
                <w:szCs w:val="19"/>
                <w:color w:val="auto"/>
              </w:rPr>
            </w:pPr>
          </w:p>
        </w:tc>
        <w:tc>
          <w:tcPr>
            <w:tcW w:w="18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1,346</w:t>
            </w: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8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705</w:t>
            </w:r>
          </w:p>
        </w:tc>
      </w:tr>
      <w:tr>
        <w:trPr>
          <w:trHeight w:val="230"/>
        </w:trPr>
        <w:tc>
          <w:tcPr>
            <w:tcW w:w="63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Reductions for tax positions related to prior year</w:t>
            </w:r>
          </w:p>
        </w:tc>
        <w:tc>
          <w:tcPr>
            <w:tcW w:w="52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(116)</w:t>
            </w:r>
          </w:p>
        </w:tc>
        <w:tc>
          <w:tcPr>
            <w:tcW w:w="16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6,230</w:t>
            </w:r>
          </w:p>
        </w:tc>
        <w:tc>
          <w:tcPr>
            <w:tcW w:w="1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5,000</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The amount of unrecognized tax benefits is not expected to significantly change over the next twelve months. No amounts, outside of the valuation allowance, would impact the Company’s effective tax rate on continuing operations. It is the Company’s policy to include penalties and interest expense related to income taxes as a component of the provision for income taxes, as necessary. Management determined that no accrual for penalties and interest expense related to income taxes was required as of December 31, 2025.</w:t>
      </w:r>
    </w:p>
    <w:p>
      <w:pPr>
        <w:spacing w:after="0" w:line="207" w:lineRule="exact"/>
        <w:rPr>
          <w:sz w:val="20"/>
          <w:szCs w:val="20"/>
          <w:color w:val="auto"/>
        </w:rPr>
      </w:pPr>
    </w:p>
    <w:p>
      <w:pPr>
        <w:jc w:val="both"/>
        <w:ind w:right="120"/>
        <w:spacing w:after="0" w:line="289" w:lineRule="auto"/>
        <w:rPr>
          <w:sz w:val="20"/>
          <w:szCs w:val="20"/>
          <w:color w:val="auto"/>
        </w:rPr>
      </w:pPr>
      <w:r>
        <w:rPr>
          <w:rFonts w:ascii="Times New Roman" w:cs="Times New Roman" w:eastAsia="Times New Roman" w:hAnsi="Times New Roman"/>
          <w:sz w:val="17"/>
          <w:szCs w:val="17"/>
          <w:color w:val="auto"/>
        </w:rPr>
        <w:t>The Company’s primary tax jurisdictions are the U.S., California, United Kingdom and India. All tax years since inception remain open to examination by the U.S. authority as a result of the net operating losses and credit carryforwards. Foreign and U.S. state jurisdictions have statutes of limitations generally ranging from three to four years. The Company is not currently under income tax examinations in any federal, state, local or foreign jurisdiction.</w:t>
      </w:r>
    </w:p>
    <w:p>
      <w:pPr>
        <w:spacing w:after="0" w:line="185"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7"/>
          <w:szCs w:val="17"/>
          <w:color w:val="auto"/>
        </w:rPr>
        <w:t>On July 4, 2025, the law formally titled “An Act to Provide for the Reconciliation Pursuant to Title II of H. Con. Res. 14” (commonly referred to as “OBBBA”) was signed into law. Per the OBBBA, 100% bonus depreciation has been reinstated for all fixed assets placed in service after January 19, 2025. As such, 100% depreciation for tax purposes was taken on all current year additions, in the amount of $0.2 million. The OBBBA did not have a material effect on the Company’s effective income tax rates for the year ended December 31, 2025 and is not expected to have a material effect in future years.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Leases and Geographic Location of ROU Assets</w:t>
      </w:r>
    </w:p>
    <w:p>
      <w:pPr>
        <w:spacing w:after="0" w:line="256"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The Company’s lease obligations consist of operating leases for office facilities, with lease periods expiring between fiscal years 2026 and 2029, some of which include options to extend up to 12 months. Payments under these lease arrangements are primarily fixed, however, certain lease agreements contain variable payments for maintenance</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240"/>
          </w:cols>
          <w:pgMar w:left="320" w:top="117" w:right="339" w:bottom="1440" w:gutter="0" w:footer="0" w:header="0"/>
        </w:sectPr>
      </w:pPr>
    </w:p>
    <w:bookmarkStart w:id="84" w:name="page85"/>
    <w:bookmarkEnd w:id="84"/>
    <w:p>
      <w:pPr>
        <w:jc w:val="center"/>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THE CONSOLIDATED FINANCIAL STATEMENTS </w:t>
      </w:r>
      <w:r>
        <w:rPr>
          <w:rFonts w:ascii="Times New Roman" w:cs="Times New Roman" w:eastAsia="Times New Roman" w:hAnsi="Times New Roman"/>
          <w:sz w:val="18"/>
          <w:szCs w:val="18"/>
          <w:color w:val="auto"/>
        </w:rPr>
        <w:t>(cont.)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services, utilities, and other expenses, which are expensed as incurred and not included in the operating lease ROU assets and liabilities. The Company does not have any leases that include residual value guarantees.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the net lease costs reflected in the Company’s consolidated statements of operations are set forth in the table below:</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38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4300" w:type="dxa"/>
            <w:vAlign w:val="bottom"/>
            <w:tcBorders>
              <w:bottom w:val="single" w:sz="8" w:color="auto"/>
            </w:tcBorders>
            <w:gridSpan w:val="4"/>
          </w:tcPr>
          <w:p>
            <w:pPr>
              <w:jc w:val="right"/>
              <w:ind w:right="1172"/>
              <w:spacing w:after="0"/>
              <w:rPr>
                <w:sz w:val="20"/>
                <w:szCs w:val="20"/>
                <w:color w:val="auto"/>
              </w:rPr>
            </w:pPr>
            <w:r>
              <w:rPr>
                <w:rFonts w:ascii="Times New Roman" w:cs="Times New Roman" w:eastAsia="Times New Roman" w:hAnsi="Times New Roman"/>
                <w:sz w:val="16"/>
                <w:szCs w:val="16"/>
                <w:b w:val="1"/>
                <w:bCs w:val="1"/>
                <w:color w:val="auto"/>
              </w:rPr>
              <w:t>For the Year Ended December 31,</w:t>
            </w:r>
          </w:p>
        </w:tc>
      </w:tr>
      <w:tr>
        <w:trPr>
          <w:trHeight w:val="214"/>
        </w:trPr>
        <w:tc>
          <w:tcPr>
            <w:tcW w:w="6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(Amounts in thousands)</w:t>
            </w:r>
          </w:p>
        </w:tc>
        <w:tc>
          <w:tcPr>
            <w:tcW w:w="56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ind w:right="914"/>
              <w:spacing w:after="0"/>
              <w:rPr>
                <w:sz w:val="20"/>
                <w:szCs w:val="20"/>
                <w:color w:val="auto"/>
              </w:rPr>
            </w:pPr>
            <w:r>
              <w:rPr>
                <w:rFonts w:ascii="Times New Roman" w:cs="Times New Roman" w:eastAsia="Times New Roman" w:hAnsi="Times New Roman"/>
                <w:sz w:val="16"/>
                <w:szCs w:val="16"/>
                <w:b w:val="1"/>
                <w:bCs w:val="1"/>
                <w:color w:val="auto"/>
              </w:rPr>
              <w:t>2025</w:t>
            </w:r>
          </w:p>
        </w:tc>
        <w:tc>
          <w:tcPr>
            <w:tcW w:w="16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ind w:right="932"/>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5"/>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w:t>
            </w: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w:t>
            </w:r>
          </w:p>
        </w:tc>
      </w:tr>
      <w:tr>
        <w:trPr>
          <w:trHeight w:val="229"/>
        </w:trPr>
        <w:tc>
          <w:tcPr>
            <w:tcW w:w="6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Short-term</w:t>
            </w:r>
          </w:p>
        </w:tc>
        <w:tc>
          <w:tcPr>
            <w:tcW w:w="56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6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48"/>
        </w:trPr>
        <w:tc>
          <w:tcPr>
            <w:tcW w:w="6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costs</w:t>
            </w: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1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w:t>
            </w:r>
          </w:p>
        </w:tc>
      </w:tr>
      <w:tr>
        <w:trPr>
          <w:trHeight w:val="20"/>
        </w:trPr>
        <w:tc>
          <w:tcPr>
            <w:tcW w:w="63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Company’s operating leases had a weighted average remaining lease term of 2.3 years and 3.2 years as of December 31, 2025 and 2024, respectively, and a weighted average discount rate related to the Company’s ROU assets and lease liabilities of 10.0% and 9.9% as of December 31, 2025 and 2024, respectively.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Future minimum lease payments under the Company’s non-cancelable operating leases are set forth in the table below:</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36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(Amounts in thousands)</w:t>
            </w:r>
          </w:p>
        </w:tc>
        <w:tc>
          <w:tcPr>
            <w:tcW w:w="5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560" w:type="dxa"/>
            <w:vAlign w:val="bottom"/>
            <w:shd w:val="clear" w:color="auto" w:fill="CCEEFF"/>
          </w:tcPr>
          <w:p>
            <w:pPr>
              <w:spacing w:after="0"/>
              <w:rPr>
                <w:sz w:val="20"/>
                <w:szCs w:val="20"/>
                <w:color w:val="auto"/>
              </w:rPr>
            </w:pPr>
          </w:p>
        </w:tc>
        <w:tc>
          <w:tcPr>
            <w:tcW w:w="18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w:t>
            </w:r>
          </w:p>
        </w:tc>
        <w:tc>
          <w:tcPr>
            <w:tcW w:w="0" w:type="dxa"/>
            <w:vAlign w:val="bottom"/>
          </w:tcPr>
          <w:p>
            <w:pPr>
              <w:spacing w:after="0"/>
              <w:rPr>
                <w:sz w:val="1"/>
                <w:szCs w:val="1"/>
                <w:color w:val="auto"/>
              </w:rPr>
            </w:pPr>
          </w:p>
        </w:tc>
      </w:tr>
      <w:tr>
        <w:trPr>
          <w:trHeight w:val="229"/>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5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56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0" w:type="dxa"/>
            <w:vAlign w:val="bottom"/>
          </w:tcPr>
          <w:p>
            <w:pPr>
              <w:spacing w:after="0"/>
              <w:rPr>
                <w:sz w:val="1"/>
                <w:szCs w:val="1"/>
                <w:color w:val="auto"/>
              </w:rPr>
            </w:pPr>
          </w:p>
        </w:tc>
      </w:tr>
      <w:tr>
        <w:trPr>
          <w:trHeight w:val="23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5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56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future minimum lease payments</w:t>
            </w:r>
          </w:p>
        </w:tc>
        <w:tc>
          <w:tcPr>
            <w:tcW w:w="5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1,624</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56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0" w:type="dxa"/>
            <w:vAlign w:val="bottom"/>
          </w:tcPr>
          <w:p>
            <w:pPr>
              <w:spacing w:after="0"/>
              <w:rPr>
                <w:sz w:val="1"/>
                <w:szCs w:val="1"/>
                <w:color w:val="auto"/>
              </w:rPr>
            </w:pPr>
          </w:p>
        </w:tc>
      </w:tr>
      <w:tr>
        <w:trPr>
          <w:trHeight w:val="223"/>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Present value of future minimum lease payments</w:t>
            </w:r>
          </w:p>
        </w:tc>
        <w:tc>
          <w:tcPr>
            <w:tcW w:w="5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1,448</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Operating lease liabilities, current</w:t>
            </w:r>
          </w:p>
        </w:tc>
        <w:tc>
          <w:tcPr>
            <w:tcW w:w="56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0" w:type="dxa"/>
            <w:vAlign w:val="bottom"/>
          </w:tcPr>
          <w:p>
            <w:pPr>
              <w:spacing w:after="0"/>
              <w:rPr>
                <w:sz w:val="1"/>
                <w:szCs w:val="1"/>
                <w:color w:val="auto"/>
              </w:rPr>
            </w:pPr>
          </w:p>
        </w:tc>
      </w:tr>
      <w:tr>
        <w:trPr>
          <w:trHeight w:val="223"/>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5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804</w:t>
            </w:r>
          </w:p>
        </w:tc>
        <w:tc>
          <w:tcPr>
            <w:tcW w:w="0" w:type="dxa"/>
            <w:vAlign w:val="bottom"/>
          </w:tcPr>
          <w:p>
            <w:pPr>
              <w:spacing w:after="0"/>
              <w:rPr>
                <w:sz w:val="1"/>
                <w:szCs w:val="1"/>
                <w:color w:val="auto"/>
              </w:rPr>
            </w:pPr>
          </w:p>
        </w:tc>
      </w:tr>
      <w:tr>
        <w:trPr>
          <w:trHeight w:val="20"/>
        </w:trPr>
        <w:tc>
          <w:tcPr>
            <w:tcW w:w="888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color w:val="auto"/>
              </w:rPr>
              <w:t>The following table sets forth the geographic location of the Company’s ROU assets as of December 31, 2025, and 2024:</w:t>
            </w:r>
          </w:p>
        </w:tc>
        <w:tc>
          <w:tcPr>
            <w:tcW w:w="8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4"/>
        </w:trPr>
        <w:tc>
          <w:tcPr>
            <w:tcW w:w="8880" w:type="dxa"/>
            <w:vAlign w:val="bottom"/>
            <w:gridSpan w:val="4"/>
            <w:vMerge w:val="continue"/>
          </w:tcPr>
          <w:p>
            <w:pPr>
              <w:spacing w:after="0"/>
              <w:rPr>
                <w:sz w:val="24"/>
                <w:szCs w:val="24"/>
                <w:color w:val="auto"/>
              </w:rPr>
            </w:pPr>
          </w:p>
        </w:tc>
        <w:tc>
          <w:tcPr>
            <w:tcW w:w="8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636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15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(Amounts in thousands)</w:t>
            </w:r>
          </w:p>
        </w:tc>
        <w:tc>
          <w:tcPr>
            <w:tcW w:w="56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ind w:right="9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9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23"/>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India</w:t>
            </w:r>
          </w:p>
        </w:tc>
        <w:tc>
          <w:tcPr>
            <w:tcW w:w="5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w:t>
            </w:r>
          </w:p>
        </w:tc>
        <w:tc>
          <w:tcPr>
            <w:tcW w:w="0" w:type="dxa"/>
            <w:vAlign w:val="bottom"/>
          </w:tcPr>
          <w:p>
            <w:pPr>
              <w:spacing w:after="0"/>
              <w:rPr>
                <w:sz w:val="1"/>
                <w:szCs w:val="1"/>
                <w:color w:val="auto"/>
              </w:rPr>
            </w:pPr>
          </w:p>
        </w:tc>
      </w:tr>
      <w:tr>
        <w:trPr>
          <w:trHeight w:val="229"/>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Kingdom</w:t>
            </w:r>
          </w:p>
        </w:tc>
        <w:tc>
          <w:tcPr>
            <w:tcW w:w="5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56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6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0" w:type="dxa"/>
            <w:vAlign w:val="bottom"/>
          </w:tcPr>
          <w:p>
            <w:pPr>
              <w:spacing w:after="0"/>
              <w:rPr>
                <w:sz w:val="1"/>
                <w:szCs w:val="1"/>
                <w:color w:val="auto"/>
              </w:rPr>
            </w:pPr>
          </w:p>
        </w:tc>
      </w:tr>
      <w:tr>
        <w:trPr>
          <w:trHeight w:val="223"/>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ROU assets</w:t>
            </w:r>
          </w:p>
        </w:tc>
        <w:tc>
          <w:tcPr>
            <w:tcW w:w="5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1,516</w:t>
            </w:r>
          </w:p>
        </w:tc>
        <w:tc>
          <w:tcPr>
            <w:tcW w:w="160" w:type="dxa"/>
            <w:vAlign w:val="bottom"/>
          </w:tcPr>
          <w:p>
            <w:pPr>
              <w:spacing w:after="0"/>
              <w:rPr>
                <w:sz w:val="19"/>
                <w:szCs w:val="19"/>
                <w:color w:val="auto"/>
              </w:rPr>
            </w:pPr>
          </w:p>
        </w:tc>
        <w:tc>
          <w:tcPr>
            <w:tcW w:w="84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1,773</w:t>
            </w: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Property and Equipment Details and Geographic Location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details of property and equipment included on the consolidated balance sheets as of December 31, 2025 and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240"/>
          </w:cols>
          <w:pgMar w:left="320" w:top="117" w:right="339" w:bottom="1440" w:gutter="0" w:footer="0" w:header="0"/>
        </w:sectPr>
      </w:pPr>
    </w:p>
    <w:bookmarkStart w:id="85" w:name="page86"/>
    <w:bookmarkEnd w:id="85"/>
    <w:p>
      <w:pPr>
        <w:jc w:val="center"/>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THE CONSOLIDATED FINANCIAL STATEMENTS </w:t>
      </w:r>
      <w:r>
        <w:rPr>
          <w:rFonts w:ascii="Times New Roman" w:cs="Times New Roman" w:eastAsia="Times New Roman" w:hAnsi="Times New Roman"/>
          <w:sz w:val="18"/>
          <w:szCs w:val="18"/>
          <w:color w:val="auto"/>
        </w:rPr>
        <w:t>(cont.)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36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1560" w:type="dxa"/>
            <w:vAlign w:val="bottom"/>
            <w:tcBorders>
              <w:bottom w:val="single" w:sz="8" w:color="auto"/>
            </w:tcBorders>
          </w:tcPr>
          <w:p>
            <w:pPr>
              <w:spacing w:after="0"/>
              <w:rPr>
                <w:sz w:val="18"/>
                <w:szCs w:val="18"/>
                <w:color w:val="auto"/>
              </w:rPr>
            </w:pPr>
          </w:p>
        </w:tc>
      </w:tr>
      <w:tr>
        <w:trPr>
          <w:trHeight w:val="214"/>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(Amounts in thousands)</w:t>
            </w:r>
          </w:p>
        </w:tc>
        <w:tc>
          <w:tcPr>
            <w:tcW w:w="58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ind w:right="93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6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931"/>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5"/>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 equipment</w:t>
            </w:r>
          </w:p>
        </w:tc>
        <w:tc>
          <w:tcPr>
            <w:tcW w:w="58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11,844</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12,525</w:t>
            </w:r>
          </w:p>
        </w:tc>
      </w:tr>
      <w:tr>
        <w:trPr>
          <w:trHeight w:val="23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Software</w:t>
            </w:r>
          </w:p>
        </w:tc>
        <w:tc>
          <w:tcPr>
            <w:tcW w:w="5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2,833</w:t>
            </w: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2,833</w:t>
            </w: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5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r>
      <w:tr>
        <w:trPr>
          <w:trHeight w:val="229"/>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5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1,268</w:t>
            </w:r>
          </w:p>
        </w:tc>
      </w:tr>
      <w:tr>
        <w:trPr>
          <w:trHeight w:val="23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Vehicles</w:t>
            </w:r>
          </w:p>
        </w:tc>
        <w:tc>
          <w:tcPr>
            <w:tcW w:w="5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6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23"/>
        </w:trPr>
        <w:tc>
          <w:tcPr>
            <w:tcW w:w="63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16,133</w:t>
            </w: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16,832</w:t>
            </w:r>
          </w:p>
        </w:tc>
      </w:tr>
      <w:tr>
        <w:trPr>
          <w:trHeight w:val="23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5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(14,907)</w:t>
            </w:r>
          </w:p>
        </w:tc>
        <w:tc>
          <w:tcPr>
            <w:tcW w:w="16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(14,751)</w:t>
            </w:r>
          </w:p>
        </w:tc>
      </w:tr>
      <w:tr>
        <w:trPr>
          <w:trHeight w:val="223"/>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5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1,226</w:t>
            </w:r>
          </w:p>
        </w:tc>
        <w:tc>
          <w:tcPr>
            <w:tcW w:w="160" w:type="dxa"/>
            <w:vAlign w:val="bottom"/>
          </w:tcPr>
          <w:p>
            <w:pPr>
              <w:spacing w:after="0"/>
              <w:rPr>
                <w:sz w:val="19"/>
                <w:szCs w:val="19"/>
                <w:color w:val="auto"/>
              </w:rPr>
            </w:pPr>
          </w:p>
        </w:tc>
        <w:tc>
          <w:tcPr>
            <w:tcW w:w="80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2,081</w:t>
            </w:r>
          </w:p>
        </w:tc>
      </w:tr>
      <w:tr>
        <w:trPr>
          <w:trHeight w:val="21"/>
        </w:trPr>
        <w:tc>
          <w:tcPr>
            <w:tcW w:w="63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geographic location of the Company’s long-lived assets, by major asset category, as of December 31, 2025, and 2024:</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36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1560" w:type="dxa"/>
            <w:vAlign w:val="bottom"/>
            <w:tcBorders>
              <w:bottom w:val="single" w:sz="8" w:color="auto"/>
            </w:tcBorders>
          </w:tcPr>
          <w:p>
            <w:pPr>
              <w:spacing w:after="0"/>
              <w:rPr>
                <w:sz w:val="18"/>
                <w:szCs w:val="18"/>
                <w:color w:val="auto"/>
              </w:rPr>
            </w:pPr>
          </w:p>
        </w:tc>
      </w:tr>
      <w:tr>
        <w:trPr>
          <w:trHeight w:val="214"/>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(Amounts in thousands)</w:t>
            </w:r>
          </w:p>
        </w:tc>
        <w:tc>
          <w:tcPr>
            <w:tcW w:w="58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ind w:right="933"/>
              <w:spacing w:after="0"/>
              <w:rPr>
                <w:sz w:val="20"/>
                <w:szCs w:val="20"/>
                <w:color w:val="auto"/>
              </w:rPr>
            </w:pPr>
            <w:r>
              <w:rPr>
                <w:rFonts w:ascii="Times New Roman" w:cs="Times New Roman" w:eastAsia="Times New Roman" w:hAnsi="Times New Roman"/>
                <w:sz w:val="16"/>
                <w:szCs w:val="16"/>
                <w:b w:val="1"/>
                <w:bCs w:val="1"/>
                <w:color w:val="auto"/>
              </w:rPr>
              <w:t>2025</w:t>
            </w:r>
          </w:p>
        </w:tc>
        <w:tc>
          <w:tcPr>
            <w:tcW w:w="16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932"/>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5"/>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58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w:t>
            </w:r>
          </w:p>
        </w:tc>
      </w:tr>
      <w:tr>
        <w:trPr>
          <w:trHeight w:val="23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India</w:t>
            </w:r>
          </w:p>
        </w:tc>
        <w:tc>
          <w:tcPr>
            <w:tcW w:w="5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w:t>
            </w: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Kingdom</w:t>
            </w:r>
          </w:p>
        </w:tc>
        <w:tc>
          <w:tcPr>
            <w:tcW w:w="5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6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23"/>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5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1,226</w:t>
            </w:r>
          </w:p>
        </w:tc>
        <w:tc>
          <w:tcPr>
            <w:tcW w:w="160" w:type="dxa"/>
            <w:vAlign w:val="bottom"/>
          </w:tcPr>
          <w:p>
            <w:pPr>
              <w:spacing w:after="0"/>
              <w:rPr>
                <w:sz w:val="19"/>
                <w:szCs w:val="19"/>
                <w:color w:val="auto"/>
              </w:rPr>
            </w:pPr>
          </w:p>
        </w:tc>
        <w:tc>
          <w:tcPr>
            <w:tcW w:w="80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2,081</w:t>
            </w:r>
          </w:p>
        </w:tc>
      </w:tr>
      <w:tr>
        <w:trPr>
          <w:trHeight w:val="20"/>
        </w:trPr>
        <w:tc>
          <w:tcPr>
            <w:tcW w:w="63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Financial Instruments Existing Prior to the Merger</w:t>
      </w:r>
    </w:p>
    <w:p>
      <w:pPr>
        <w:spacing w:after="0" w:line="256" w:lineRule="exact"/>
        <w:rPr>
          <w:sz w:val="20"/>
          <w:szCs w:val="20"/>
          <w:color w:val="auto"/>
        </w:rPr>
      </w:pPr>
    </w:p>
    <w:p>
      <w:pPr>
        <w:ind w:right="140"/>
        <w:spacing w:after="0" w:line="274" w:lineRule="auto"/>
        <w:rPr>
          <w:sz w:val="20"/>
          <w:szCs w:val="20"/>
          <w:color w:val="auto"/>
        </w:rPr>
      </w:pPr>
      <w:r>
        <w:rPr>
          <w:rFonts w:ascii="Times New Roman" w:cs="Times New Roman" w:eastAsia="Times New Roman" w:hAnsi="Times New Roman"/>
          <w:sz w:val="17"/>
          <w:szCs w:val="17"/>
          <w:color w:val="auto"/>
        </w:rPr>
        <w:t>Upon the consummation of the Merger, each outstanding stock option to purchase Legacy Blaize common stock was converted into a stock option of the Company, upon substantially the same terms and conditions as in effect with respect to the corresponding Legacy Blaize option, and the right to receive a number of earnout shares (See Note 11 — “Common Stock, Currently Outstanding Warrants to Purchase Common Stock, and Earnout Shares” for a description of the earnout shares). Additionally, each Legacy Blaize RSU was converted into an RSU of the Company, upon substantially the same terms and conditions as in effect with respect to the corresponding Legacy Blaize RSU, and the right to receive a number of earnout shares. See Note 12 — “Stock Based Compensation” regarding previous options and RSUs issued under the historical 2011 Equity Incentive Plan (“2011 Amended Stock Plan”).</w:t>
      </w:r>
    </w:p>
    <w:p>
      <w:pPr>
        <w:spacing w:after="0" w:line="200"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Immediately prior to the closing of the Merger, all other outstanding financial instruments were automatically converted into shares of common stock in the Company, as further described below.</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Legacy Blaize Convertible Notes</w:t>
      </w:r>
    </w:p>
    <w:p>
      <w:pPr>
        <w:spacing w:after="0" w:line="25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Prior to the consummation of the Merger, Legacy Blaize had elected to account for its convertible notes at fair value at each period end pursuant to ASC 825 — “Financial Instruments,” wherein changes in the fair value were recorded at each reporting period in the consolidated statements of operations. As of December 31, 2024, the fair value of the Legacy Blaize Convertible Notes was $148.6 million, and the change in fair value recognized in the Company’s consolidated statements of operations for the year ended December 31, 2024 was a loss of $10.0 million. The convertible notes were remeasured just prior to the date of the Merger, and upon the closing of the Merger, the convertible notes were fully converted into shares of common stock in the Company, with a loss due to the change in fair value upon conversion of $165.7 million recognized in the Company’s consolidated statements of operations for the year ended December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240"/>
          </w:cols>
          <w:pgMar w:left="320" w:top="117" w:right="339" w:bottom="1440" w:gutter="0" w:footer="0" w:header="0"/>
        </w:sectPr>
      </w:pPr>
    </w:p>
    <w:bookmarkStart w:id="86" w:name="page87"/>
    <w:bookmarkEnd w:id="86"/>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 xml:space="preserve">NOTES TO THE CONSOLIDATED FINANCIAL STATEMENTS </w:t>
      </w:r>
      <w:r>
        <w:rPr>
          <w:rFonts w:ascii="Times New Roman" w:cs="Times New Roman" w:eastAsia="Times New Roman" w:hAnsi="Times New Roman"/>
          <w:sz w:val="18"/>
          <w:szCs w:val="18"/>
          <w:color w:val="auto"/>
        </w:rPr>
        <w:t>(cont.)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Legacy Blaize Warrants</w:t>
      </w:r>
    </w:p>
    <w:p>
      <w:pPr>
        <w:spacing w:after="0" w:line="25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Prior to the consummation of the Merger, Legacy Blaize had issued freestanding warrants in connection with certain of its convertible debt agreements and preferred stock issuances which were recorded as liabilities on the consolidated balance sheets at their estimated fair value, calculated using the Black-Scholes option pricing model. As of December 31, 2024, the fair value of the Legacy Blaize warrants was $14.7 million, and the change in fair value recognized in the Company’s consolidated statements of operations for the year ended December 31, 2024 was a loss of $5.7 million. The warrants were remeasured just prior to the date of the Merger and, upon the consummation of the Merger, the warrants were fully converted into shares of common stock in the Company, with a loss due to the change in fair value upon conversion of $60.3 million recognized in the Company’s consolidated statements of operations for the year ended December 31, 2025.</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Legacy Blaize Redeemable Convertible Preferred Stock</w:t>
      </w:r>
    </w:p>
    <w:p>
      <w:pPr>
        <w:spacing w:after="0" w:line="25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Prior to the consummation of the Merger, Legacy Blaize had issued and outstanding (i) Series Seed Shadow Preferred Stock, (ii) Series A Shadow Preferred Stock, (iii) Series B Shadow Preferred Stock, (iv) Series C Shadow Preferred Stock, (v) Series D Shadow Preferred Stock, (vi) Series D Exchange Shadow Preferred Stock, (vii) Series D-1 Shadow Preferred Stock, (viii) Series D-1 Exchange Shadow Preferred Stock, and (ix) Series D-2 Shadow Preferred Stock, together referred to as the “Legacy Blaize Redeemable Convertible Preferred Stock”. The Legacy Blaize Redeemable Convertible Preferred Stock had been classified as mezzanine equity due to the redemption option of the preferred stock shareholders. The Legacy Blaize Redeemable Convertible Preferred Stock was recorded at fair value on the dates of issuance, net of issuance costs. Legacy Blaize adjusted the carrying values of the redeemable convertible preferred stock, subsequent to the initial issuance date, to the redemption value of such shares because it was probable that the convertible preferred stock would become redeemable. Upon the consummation of the Merger, all shares of Legacy Blaize Redeemable Convertible Preferred Stock outstanding were converted into shares of common stock in the Company.</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PIPE Shares</w:t>
      </w:r>
    </w:p>
    <w:p>
      <w:pPr>
        <w:spacing w:after="0" w:line="25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From December 31, 2024 through January 13, 2025, the Closing Date of the Merger, the Company and certain subscribers (collectively, the “Subscribers”) entered into subscription agreements under which the Company agreed to issue and sell to the Subscribers, immediately before the Closing Date, collectively, 1,529,500 shares of Class A Stock (the “PIPE Shares”) at a price per share equal to $10.00 per share. Upon the consummation of the Merger, all PIPE Shares that were outstanding were converted into shares of common stock in the Company.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Common Stock, Currently Outstanding Warrants to Purchase Common Stock, and Earnout Shares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256"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Company has authorized 600 million shares of common stock with a par value of $0.0001 per share. The Company has only one class of common stock authorized and issued. Holders of the Company’s common stock are entitled to one vote for each share held of record on all matters submitted to a vote of stockholders and there are no cumulative voting rights. The Company’s common stock has no preemptive, redemption, conversion, or subscription rights. The Company has not previously paid cash dividends on its common stock. Any future dividend payments are subject to the discretion of the Company’s board of directors (the “Board” or “Board of Directors”).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number of shares of the Company’s common stock outstanding immediately following the consummation of the Merger is set forth in the table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200"/>
          </w:cols>
          <w:pgMar w:left="320" w:top="117" w:right="379" w:bottom="1440" w:gutter="0" w:footer="0" w:header="0"/>
        </w:sectPr>
      </w:pPr>
    </w:p>
    <w:bookmarkStart w:id="87" w:name="page88"/>
    <w:bookmarkEnd w:id="87"/>
    <w:p>
      <w:pPr>
        <w:jc w:val="center"/>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THE CONSOLIDATED FINANCIAL STATEMENTS </w:t>
      </w:r>
      <w:r>
        <w:rPr>
          <w:rFonts w:ascii="Times New Roman" w:cs="Times New Roman" w:eastAsia="Times New Roman" w:hAnsi="Times New Roman"/>
          <w:sz w:val="18"/>
          <w:szCs w:val="18"/>
          <w:color w:val="auto"/>
        </w:rPr>
        <w:t>(cont.)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A common stock, outstanding prior to the Merger</w:t>
            </w:r>
          </w:p>
        </w:tc>
        <w:tc>
          <w:tcPr>
            <w:tcW w:w="2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10,816,995</w:t>
            </w:r>
          </w:p>
        </w:tc>
      </w:tr>
      <w:tr>
        <w:trPr>
          <w:trHeight w:val="229"/>
        </w:trPr>
        <w:tc>
          <w:tcPr>
            <w:tcW w:w="6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Sponsor forfeiture</w:t>
            </w:r>
          </w:p>
        </w:tc>
        <w:tc>
          <w:tcPr>
            <w:tcW w:w="2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(2,000,000)</w:t>
            </w:r>
          </w:p>
        </w:tc>
      </w:tr>
      <w:tr>
        <w:trPr>
          <w:trHeight w:val="229"/>
        </w:trPr>
        <w:tc>
          <w:tcPr>
            <w:tcW w:w="6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Class A common stock subject to redemption, outstanding prior to the Merger</w:t>
            </w:r>
          </w:p>
        </w:tc>
        <w:tc>
          <w:tcPr>
            <w:tcW w:w="2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4,104,543</w:t>
            </w:r>
          </w:p>
        </w:tc>
      </w:tr>
      <w:tr>
        <w:trPr>
          <w:trHeight w:val="230"/>
        </w:trPr>
        <w:tc>
          <w:tcPr>
            <w:tcW w:w="6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Shareholder note receivable</w:t>
            </w:r>
          </w:p>
        </w:tc>
        <w:tc>
          <w:tcPr>
            <w:tcW w:w="2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750,000</w:t>
            </w:r>
          </w:p>
        </w:tc>
      </w:tr>
      <w:tr>
        <w:trPr>
          <w:trHeight w:val="229"/>
        </w:trPr>
        <w:tc>
          <w:tcPr>
            <w:tcW w:w="6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Redemption of Class A common stock</w:t>
            </w:r>
          </w:p>
        </w:tc>
        <w:tc>
          <w:tcPr>
            <w:tcW w:w="2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(937,844)</w:t>
            </w:r>
          </w:p>
        </w:tc>
      </w:tr>
      <w:tr>
        <w:trPr>
          <w:trHeight w:val="230"/>
        </w:trPr>
        <w:tc>
          <w:tcPr>
            <w:tcW w:w="68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Class A Shares in non-redemption escrow</w:t>
            </w:r>
          </w:p>
        </w:tc>
        <w:tc>
          <w:tcPr>
            <w:tcW w:w="20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(2,791,230)</w:t>
            </w:r>
          </w:p>
        </w:tc>
      </w:tr>
      <w:tr>
        <w:trPr>
          <w:trHeight w:val="223"/>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A common stock</w:t>
            </w:r>
          </w:p>
        </w:tc>
        <w:tc>
          <w:tcPr>
            <w:tcW w:w="2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9,942,464</w:t>
            </w:r>
          </w:p>
        </w:tc>
      </w:tr>
      <w:tr>
        <w:trPr>
          <w:trHeight w:val="229"/>
        </w:trPr>
        <w:tc>
          <w:tcPr>
            <w:tcW w:w="6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PIPE shares</w:t>
            </w:r>
          </w:p>
        </w:tc>
        <w:tc>
          <w:tcPr>
            <w:tcW w:w="2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1,529,500</w:t>
            </w:r>
          </w:p>
        </w:tc>
      </w:tr>
      <w:tr>
        <w:trPr>
          <w:trHeight w:val="230"/>
        </w:trPr>
        <w:tc>
          <w:tcPr>
            <w:tcW w:w="6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Class B common stock, outstanding prior to the Merger</w:t>
            </w:r>
          </w:p>
        </w:tc>
        <w:tc>
          <w:tcPr>
            <w:tcW w:w="206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3"/>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Merger and PIPE financing shares</w:t>
            </w:r>
          </w:p>
        </w:tc>
        <w:tc>
          <w:tcPr>
            <w:tcW w:w="2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11,471,969</w:t>
            </w:r>
          </w:p>
        </w:tc>
      </w:tr>
      <w:tr>
        <w:trPr>
          <w:trHeight w:val="230"/>
        </w:trPr>
        <w:tc>
          <w:tcPr>
            <w:tcW w:w="6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Legacy Blaize shares (see table below)</w:t>
            </w:r>
          </w:p>
        </w:tc>
        <w:tc>
          <w:tcPr>
            <w:tcW w:w="2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87,314,968</w:t>
            </w:r>
          </w:p>
        </w:tc>
      </w:tr>
      <w:tr>
        <w:trPr>
          <w:trHeight w:val="229"/>
        </w:trPr>
        <w:tc>
          <w:tcPr>
            <w:tcW w:w="68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Issuance of common stock to advisors</w:t>
            </w:r>
          </w:p>
        </w:tc>
        <w:tc>
          <w:tcPr>
            <w:tcW w:w="20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94,949</w:t>
            </w:r>
          </w:p>
        </w:tc>
      </w:tr>
      <w:tr>
        <w:trPr>
          <w:trHeight w:val="248"/>
        </w:trPr>
        <w:tc>
          <w:tcPr>
            <w:tcW w:w="6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 outstanding immediately after the Merger</w:t>
            </w:r>
          </w:p>
        </w:tc>
        <w:tc>
          <w:tcPr>
            <w:tcW w:w="2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2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98,881,886</w:t>
            </w:r>
          </w:p>
        </w:tc>
      </w:tr>
      <w:tr>
        <w:trPr>
          <w:trHeight w:val="20"/>
        </w:trPr>
        <w:tc>
          <w:tcPr>
            <w:tcW w:w="888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260" w:type="dxa"/>
            <w:vAlign w:val="bottom"/>
            <w:tcBorders>
              <w:top w:val="single" w:sz="8" w:color="CCEEFF"/>
              <w:bottom w:val="single" w:sz="8" w:color="auto"/>
            </w:tcBorders>
            <w:gridSpan w:val="2"/>
          </w:tcPr>
          <w:p>
            <w:pPr>
              <w:spacing w:after="0" w:line="20" w:lineRule="exact"/>
              <w:rPr>
                <w:sz w:val="1"/>
                <w:szCs w:val="1"/>
                <w:color w:val="auto"/>
              </w:rPr>
            </w:pPr>
          </w:p>
        </w:tc>
      </w:tr>
      <w:tr>
        <w:trPr>
          <w:trHeight w:val="528"/>
        </w:trPr>
        <w:tc>
          <w:tcPr>
            <w:tcW w:w="112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number of Legacy Blaize shares of common stock immediately prior to the Merger and after the Merger is set forth in the table below:</w:t>
            </w:r>
          </w:p>
        </w:tc>
      </w:tr>
      <w:tr>
        <w:trPr>
          <w:trHeight w:val="483"/>
        </w:trPr>
        <w:tc>
          <w:tcPr>
            <w:tcW w:w="6820" w:type="dxa"/>
            <w:vAlign w:val="bottom"/>
          </w:tcPr>
          <w:p>
            <w:pPr>
              <w:spacing w:after="0"/>
              <w:rPr>
                <w:sz w:val="24"/>
                <w:szCs w:val="24"/>
                <w:color w:val="auto"/>
              </w:rPr>
            </w:pPr>
          </w:p>
        </w:tc>
        <w:tc>
          <w:tcPr>
            <w:tcW w:w="2260" w:type="dxa"/>
            <w:vAlign w:val="bottom"/>
            <w:gridSpan w:val="3"/>
          </w:tcPr>
          <w:p>
            <w:pPr>
              <w:ind w:left="540"/>
              <w:spacing w:after="0"/>
              <w:rPr>
                <w:sz w:val="20"/>
                <w:szCs w:val="20"/>
                <w:color w:val="auto"/>
              </w:rPr>
            </w:pPr>
            <w:r>
              <w:rPr>
                <w:rFonts w:ascii="Times New Roman" w:cs="Times New Roman" w:eastAsia="Times New Roman" w:hAnsi="Times New Roman"/>
                <w:sz w:val="16"/>
                <w:szCs w:val="16"/>
                <w:b w:val="1"/>
                <w:bCs w:val="1"/>
                <w:color w:val="auto"/>
              </w:rPr>
              <w:t>Pre-Conversion</w:t>
            </w:r>
          </w:p>
        </w:tc>
        <w:tc>
          <w:tcPr>
            <w:tcW w:w="2160" w:type="dxa"/>
            <w:vAlign w:val="bottom"/>
          </w:tcPr>
          <w:p>
            <w:pPr>
              <w:jc w:val="right"/>
              <w:ind w:right="410"/>
              <w:spacing w:after="0"/>
              <w:rPr>
                <w:sz w:val="20"/>
                <w:szCs w:val="20"/>
                <w:color w:val="auto"/>
              </w:rPr>
            </w:pPr>
            <w:r>
              <w:rPr>
                <w:rFonts w:ascii="Times New Roman" w:cs="Times New Roman" w:eastAsia="Times New Roman" w:hAnsi="Times New Roman"/>
                <w:sz w:val="16"/>
                <w:szCs w:val="16"/>
                <w:b w:val="1"/>
                <w:bCs w:val="1"/>
                <w:color w:val="auto"/>
              </w:rPr>
              <w:t>Post-Conversion</w:t>
            </w:r>
          </w:p>
        </w:tc>
      </w:tr>
      <w:tr>
        <w:trPr>
          <w:trHeight w:val="226"/>
        </w:trPr>
        <w:tc>
          <w:tcPr>
            <w:tcW w:w="6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Legacy Blaize shares of common stock immediately prior to the Merger</w:t>
            </w:r>
          </w:p>
        </w:tc>
        <w:tc>
          <w:tcPr>
            <w:tcW w:w="216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17,518,791</w:t>
            </w:r>
          </w:p>
        </w:tc>
        <w:tc>
          <w:tcPr>
            <w:tcW w:w="100" w:type="dxa"/>
            <w:vAlign w:val="bottom"/>
            <w:tcBorders>
              <w:top w:val="single" w:sz="8" w:color="CCEEFF"/>
            </w:tcBorders>
            <w:shd w:val="clear" w:color="auto" w:fill="CCEEFF"/>
          </w:tcPr>
          <w:p>
            <w:pPr>
              <w:spacing w:after="0"/>
              <w:rPr>
                <w:sz w:val="19"/>
                <w:szCs w:val="19"/>
                <w:color w:val="auto"/>
              </w:rPr>
            </w:pPr>
          </w:p>
        </w:tc>
        <w:tc>
          <w:tcPr>
            <w:tcW w:w="2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13,663,527</w:t>
            </w:r>
          </w:p>
        </w:tc>
      </w:tr>
      <w:tr>
        <w:trPr>
          <w:trHeight w:val="230"/>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Conversion of Legacy Blaize redeemable convertible preferred stock</w:t>
            </w:r>
          </w:p>
        </w:tc>
        <w:tc>
          <w:tcPr>
            <w:tcW w:w="2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44,506,781</w:t>
            </w:r>
          </w:p>
        </w:tc>
        <w:tc>
          <w:tcPr>
            <w:tcW w:w="10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34,712,525</w:t>
            </w:r>
          </w:p>
        </w:tc>
      </w:tr>
      <w:tr>
        <w:trPr>
          <w:trHeight w:val="229"/>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Conversion of Legacy Blaize convertible notes</w:t>
            </w:r>
          </w:p>
        </w:tc>
        <w:tc>
          <w:tcPr>
            <w:tcW w:w="2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40,302,382</w:t>
            </w: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31,433,259</w:t>
            </w:r>
          </w:p>
        </w:tc>
      </w:tr>
      <w:tr>
        <w:trPr>
          <w:trHeight w:val="230"/>
        </w:trPr>
        <w:tc>
          <w:tcPr>
            <w:tcW w:w="6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exercise of Legacy Blaize warrants</w:t>
            </w:r>
          </w:p>
        </w:tc>
        <w:tc>
          <w:tcPr>
            <w:tcW w:w="21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9,623,432</w:t>
            </w:r>
          </w:p>
        </w:tc>
        <w:tc>
          <w:tcPr>
            <w:tcW w:w="100" w:type="dxa"/>
            <w:vAlign w:val="bottom"/>
            <w:tcBorders>
              <w:bottom w:val="single" w:sz="8" w:color="CCEEFF"/>
            </w:tcBorders>
          </w:tcPr>
          <w:p>
            <w:pPr>
              <w:spacing w:after="0"/>
              <w:rPr>
                <w:sz w:val="19"/>
                <w:szCs w:val="19"/>
                <w:color w:val="auto"/>
              </w:rPr>
            </w:pPr>
          </w:p>
        </w:tc>
        <w:tc>
          <w:tcPr>
            <w:tcW w:w="2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7,505,657</w:t>
            </w:r>
          </w:p>
        </w:tc>
      </w:tr>
      <w:tr>
        <w:trPr>
          <w:trHeight w:val="248"/>
        </w:trPr>
        <w:tc>
          <w:tcPr>
            <w:tcW w:w="6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Legacy Blaize shares of common stock immediately after the Merger</w:t>
            </w:r>
          </w:p>
        </w:tc>
        <w:tc>
          <w:tcPr>
            <w:tcW w:w="216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111,951,386</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87,314,968</w:t>
            </w: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2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changes in shares of the Company’s common stock from the Closing Date of the Merger through December 31, 2025:</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 outstanding immediately after the Merger</w:t>
            </w:r>
          </w:p>
        </w:tc>
        <w:tc>
          <w:tcPr>
            <w:tcW w:w="2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98,881,886</w:t>
            </w:r>
          </w:p>
        </w:tc>
      </w:tr>
      <w:tr>
        <w:trPr>
          <w:trHeight w:val="229"/>
        </w:trPr>
        <w:tc>
          <w:tcPr>
            <w:tcW w:w="8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Vesting of restricted stock units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3,961,729</w:t>
            </w:r>
          </w:p>
        </w:tc>
      </w:tr>
      <w:tr>
        <w:trPr>
          <w:trHeight w:val="230"/>
        </w:trPr>
        <w:tc>
          <w:tcPr>
            <w:tcW w:w="8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2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562,446</w:t>
            </w:r>
          </w:p>
        </w:tc>
      </w:tr>
      <w:tr>
        <w:trPr>
          <w:trHeight w:val="230"/>
        </w:trPr>
        <w:tc>
          <w:tcPr>
            <w:tcW w:w="8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issued under Committed Equity Facility</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8,493,674</w:t>
            </w:r>
          </w:p>
        </w:tc>
      </w:tr>
      <w:tr>
        <w:trPr>
          <w:trHeight w:val="230"/>
        </w:trPr>
        <w:tc>
          <w:tcPr>
            <w:tcW w:w="8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issued in Polar Private Placement</w:t>
            </w:r>
          </w:p>
        </w:tc>
        <w:tc>
          <w:tcPr>
            <w:tcW w:w="2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9,375,000</w:t>
            </w:r>
          </w:p>
        </w:tc>
      </w:tr>
      <w:tr>
        <w:trPr>
          <w:trHeight w:val="229"/>
        </w:trPr>
        <w:tc>
          <w:tcPr>
            <w:tcW w:w="8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Shares issued to Cantor Fitzgerald &amp; Co.</w:t>
            </w:r>
          </w:p>
        </w:tc>
        <w:tc>
          <w:tcPr>
            <w:tcW w:w="2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769,231</w:t>
            </w:r>
          </w:p>
        </w:tc>
      </w:tr>
      <w:tr>
        <w:trPr>
          <w:trHeight w:val="248"/>
        </w:trPr>
        <w:tc>
          <w:tcPr>
            <w:tcW w:w="8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 outstanding as of December 31, 2025</w:t>
            </w:r>
          </w:p>
        </w:tc>
        <w:tc>
          <w:tcPr>
            <w:tcW w:w="2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122,043,966</w:t>
            </w:r>
          </w:p>
        </w:tc>
      </w:tr>
      <w:tr>
        <w:trPr>
          <w:trHeight w:val="20"/>
        </w:trPr>
        <w:tc>
          <w:tcPr>
            <w:tcW w:w="8880" w:type="dxa"/>
            <w:vAlign w:val="bottom"/>
            <w:tcBorders>
              <w:top w:val="single" w:sz="8" w:color="CCEEFF"/>
            </w:tcBorders>
          </w:tcPr>
          <w:p>
            <w:pPr>
              <w:spacing w:after="0" w:line="20" w:lineRule="exact"/>
              <w:rPr>
                <w:sz w:val="1"/>
                <w:szCs w:val="1"/>
                <w:color w:val="auto"/>
              </w:rPr>
            </w:pPr>
          </w:p>
        </w:tc>
        <w:tc>
          <w:tcPr>
            <w:tcW w:w="2360" w:type="dxa"/>
            <w:vAlign w:val="bottom"/>
            <w:tcBorders>
              <w:top w:val="single" w:sz="8" w:color="CCEEFF"/>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Shares issued under Committed Equity Facility</w:t>
      </w:r>
    </w:p>
    <w:p>
      <w:pPr>
        <w:spacing w:after="0" w:line="254" w:lineRule="exact"/>
        <w:rPr>
          <w:sz w:val="20"/>
          <w:szCs w:val="20"/>
          <w:color w:val="auto"/>
        </w:rPr>
      </w:pPr>
    </w:p>
    <w:p>
      <w:pPr>
        <w:ind w:right="20"/>
        <w:spacing w:after="0" w:line="274" w:lineRule="auto"/>
        <w:rPr>
          <w:sz w:val="20"/>
          <w:szCs w:val="20"/>
          <w:color w:val="auto"/>
        </w:rPr>
      </w:pPr>
      <w:r>
        <w:rPr>
          <w:rFonts w:ascii="Times New Roman" w:cs="Times New Roman" w:eastAsia="Times New Roman" w:hAnsi="Times New Roman"/>
          <w:sz w:val="17"/>
          <w:szCs w:val="17"/>
          <w:color w:val="auto"/>
        </w:rPr>
        <w:t>On July 14, 2025, the Company entered into the Committed Equity Facility with B. Riley Principal Capital II, LLC (“B. Riley”). Pursuant to the agreement governing the Committed Equity Facility, the Company has the right, but not the obligation, to direct B. Riley to purchase newly issued shares of the Company’s common stock up to an aggregate value of $50.0 million over a defined 36-month period in distinct individual transactions (each, a “Purchase”) subject to certain limitations and conditions set forth in the Committed Equity Facility agreement, as further described below. Without prior stockholder approval, the total aggregate shares of common stock issued to B. Riley under the Committed Equity Facility cannot exceed 20,326,159 shares of common stock, representing 19.99% of the aggregate number of shares issued and outstanding immediately prior to the execution of the Committed Equity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240"/>
          </w:cols>
          <w:pgMar w:left="320" w:top="117" w:right="339" w:bottom="1440" w:gutter="0" w:footer="0" w:header="0"/>
        </w:sectPr>
      </w:pPr>
    </w:p>
    <w:bookmarkStart w:id="88" w:name="page89"/>
    <w:bookmarkEnd w:id="8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xml:space="preserve">NOTES TO THE CONSOLIDATED FINANCIAL STATEMENTS </w:t>
      </w:r>
      <w:r>
        <w:rPr>
          <w:rFonts w:ascii="Times New Roman" w:cs="Times New Roman" w:eastAsia="Times New Roman" w:hAnsi="Times New Roman"/>
          <w:sz w:val="18"/>
          <w:szCs w:val="18"/>
          <w:color w:val="auto"/>
        </w:rPr>
        <w:t>(cont.)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Purchases under the Committed Equity Facility are subject to the following conditions:</w:t>
      </w:r>
    </w:p>
    <w:p>
      <w:pPr>
        <w:spacing w:after="0" w:line="252" w:lineRule="exact"/>
        <w:rPr>
          <w:sz w:val="20"/>
          <w:szCs w:val="20"/>
          <w:color w:val="auto"/>
        </w:rPr>
      </w:pPr>
    </w:p>
    <w:p>
      <w:pPr>
        <w:ind w:left="660" w:right="140" w:hanging="328"/>
        <w:spacing w:after="0" w:line="261"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closing price of the Company’s common stock on the trading day immediately prior to each Purchase is required to be greater than $1.00 per share.</w:t>
      </w:r>
    </w:p>
    <w:p>
      <w:pPr>
        <w:ind w:left="660" w:right="280" w:hanging="328"/>
        <w:spacing w:after="0" w:line="260"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number of shares to be issued per Purchase may not exceed 1.0 million shares and is further limited by a calculated percentage, not to exceed 25%, of the total aggregate trading volume during a defined period of time applicable to each Purchase.</w:t>
      </w:r>
    </w:p>
    <w:p>
      <w:pPr>
        <w:spacing w:after="0" w:line="20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purchase price per share of common stock is defined by the Committed Equity Facility as 97% of the volume-weighted average price (“VWAP”) of the common stock for the defined period applicable to each Purchase, with 3% of the VWAP as commission to B. Riley, excluding specific transactions outlined in the Committed Equity Facility agreement. All such calculations are subject to adjustments for any stock dividend, stock split, stock combination, recapitalization or other similar transactions. The Committed Equity Facility will automatically terminate on the earlier of (i) one day after the 36-month anniversary of the Commencement Date, (ii) the date on which B. Riley shall have purchased the shares of common stock for an aggregate purchase price of $50.0 million or (iii) various other dates associated with events as set forth in the agreement.</w:t>
      </w:r>
    </w:p>
    <w:p>
      <w:pPr>
        <w:spacing w:after="0" w:line="214"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At inception, the Company evaluated the Committed Equity Facility agreement and determined that it was considered to be a derivative instrument. See Note 5 — “Fair Value Measurements and Derivative Instruments”.</w:t>
      </w:r>
    </w:p>
    <w:p>
      <w:pPr>
        <w:spacing w:after="0" w:line="189"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2025, the Company sold a total of 8,493,674 shares of its common stock to B. Riley under the Committed Equity Facility agreement for net proceeds of $33.2 million.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Shares issued in Polar Private Placement</w:t>
      </w:r>
    </w:p>
    <w:p>
      <w:pPr>
        <w:spacing w:after="0" w:line="254"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On November 10, 2025, the Company and affiliates of Polar Asset Management Partners Inc. (“Polar”) entered into a Securities Purchase Agreement (the “Polar Private Placement”). Pursuant to the Polar Private Placement, the Company agreed to the direct sale of 9,375,000 shares of the Company’s common stock at a purchase price of $3.20 per share and the issuance of certain warrants to purchase additional shares of the Company’s common stock, as further described below, resulting in aggregate gross proceeds of approximately $30.0 million, before deducting offering expenses.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Shares issued to Cantor Fitzgerald &amp; Co.</w:t>
      </w:r>
    </w:p>
    <w:p>
      <w:pPr>
        <w:spacing w:after="0" w:line="254"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In April 2025, the Company entered into an engagement letter with Cantor Fitzgerald &amp; Co. (“Cantor”), which required a non-refundable advisory fee in the form of 769,231 shares of the Company’s common stock. In July 2025, the Company issued the shares of common stock due to the Cantor.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Currently Outstanding Warrants to Purchase Common Stock</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BZAI warrants</w:t>
      </w:r>
    </w:p>
    <w:p>
      <w:pPr>
        <w:spacing w:after="0" w:line="254"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Upon the consummation of the Merger, the total of 29,648,250 warrants outstanding immediately prior to the Merger became warrants to purchase the Company’s common stock (the “BZAI warrants”). The Company determined that the BZAI warrants were considered to be freestanding instruments, did not exhibit any of the characteristics in ASC 480 that would require liability classification, were not classified as derivatives or precluded from equity classification under ASC 815, and were therefore classified equity and recognized as an increase in additional paid-in-capital.</w:t>
      </w:r>
    </w:p>
    <w:p>
      <w:pPr>
        <w:spacing w:after="0" w:line="20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Each BZAI warrant entitles the holder to purchase one share of common stock at a price of $11.50 per share, subject to adjustments for stock splits, stock dividends, reorganizations, recapitalizations and similar corporate actions. The warrants expire on January 13, 2030, unless earlier redeemed by the Company. If the Company calls the warrants for redemption, management will have the option to require all holders that wish to exercise warrants to do so on a cashless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240"/>
          </w:cols>
          <w:pgMar w:left="320" w:top="117" w:right="339" w:bottom="1440" w:gutter="0" w:footer="0" w:header="0"/>
        </w:sectPr>
      </w:pPr>
    </w:p>
    <w:bookmarkStart w:id="89" w:name="page90"/>
    <w:bookmarkEnd w:id="89"/>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 xml:space="preserve">NOTES TO THE CONSOLIDATED FINANCIAL STATEMENTS </w:t>
      </w:r>
      <w:r>
        <w:rPr>
          <w:rFonts w:ascii="Times New Roman" w:cs="Times New Roman" w:eastAsia="Times New Roman" w:hAnsi="Times New Roman"/>
          <w:sz w:val="18"/>
          <w:szCs w:val="18"/>
          <w:color w:val="auto"/>
        </w:rPr>
        <w:t>(cont.)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Polar warrants</w:t>
      </w:r>
    </w:p>
    <w:p>
      <w:pPr>
        <w:spacing w:after="0" w:line="254"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On November 10, 2025, the Company issued 9,375,000 freestanding warrants (the “Polar warrants”), each Polar warrant exchangeable for one whole share of the Company’s common stock, in connection with its issuance of common stock to Polar. The Company determined that the Polar warrants were considered to be freestanding instruments, did not exhibit any of the characteristics in ASC 480 that would require liability classification, however, were precluded from equity classification under ASC 815, because these warrants met the definition of a derivative instrument in that they were issued for no initial investment, have the derivative characteristics of an underlying (the value and settlement based on the Company’s common stock), notional (the number of shares deliverable), and mechanism for net settlement (cashless exercise) while at the same time did not qualify for a derivative scope exception of both being indexed to the Company’s own stock and not permitting or requiring net cash settlement in a manner outside the Company’s control. In this case, the Polar warrants permit the counterparty to require net cash settlement in specified circumstances.</w:t>
      </w:r>
    </w:p>
    <w:p>
      <w:pPr>
        <w:spacing w:after="0" w:line="21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At initial recognition, the warrants were recorded at their estimated fair value calculated using the Black-Scholes-Merton (“Black-Scholes”) option pricing model. The liability associated with these warrants is subject to fair value remeasurement at each balance sheet date using the Black-Scholes option pricing model, with changes in fair value recorded as a change in the fair value of warrant liabilities in the consolidated statements of operations. The warrants will continue to be remeasured until the earlier of the exercise during the warrant term or the automatic exercise on a cashless basis at the end of the warrant term of five years, or November 10, 2030.</w:t>
      </w:r>
    </w:p>
    <w:p>
      <w:pPr>
        <w:spacing w:after="0" w:line="21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Polar warrants are considered long-term liabilities, due to the warrants being out-of-the-money with a $5.00 exercise price, although they are immediately exercisable. At the earlier of the date of the warrants being unexercised but in-the-money, or one year from the date of termination with automatic cashless exercise, the Company will reclassify the liability to a short-term liability until the warrants are exercised, whether by Polar or by means of cashless exercise, at which point they will become reclassified to equity.</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Warrants issued to an advisor</w:t>
      </w:r>
    </w:p>
    <w:p>
      <w:pPr>
        <w:spacing w:after="0" w:line="254" w:lineRule="exact"/>
        <w:rPr>
          <w:sz w:val="20"/>
          <w:szCs w:val="20"/>
          <w:color w:val="auto"/>
        </w:rPr>
      </w:pPr>
    </w:p>
    <w:p>
      <w:pPr>
        <w:ind w:right="140"/>
        <w:spacing w:after="0" w:line="281" w:lineRule="auto"/>
        <w:rPr>
          <w:sz w:val="20"/>
          <w:szCs w:val="20"/>
          <w:color w:val="auto"/>
        </w:rPr>
      </w:pPr>
      <w:r>
        <w:rPr>
          <w:rFonts w:ascii="Times New Roman" w:cs="Times New Roman" w:eastAsia="Times New Roman" w:hAnsi="Times New Roman"/>
          <w:sz w:val="17"/>
          <w:szCs w:val="17"/>
          <w:color w:val="auto"/>
        </w:rPr>
        <w:t>In connection with the Merger, the Company issued, to an advisor, warrants to purchase 50,000 shares of common stock at $11.50 per share (the “advisor warrants”), which expire after a term of five years, on February 10, 2030. The Company determined that the advisor warrants were considered to be freestanding instruments, did not exhibit any of the characteristics in ASC 480 that would require liability classification, were not classified as derivatives or precluded from equity classification under ASC 815, and were therefore classified equity and recognized as an increase in additional paid-in-capital.</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Earnout Shares</w:t>
      </w:r>
    </w:p>
    <w:p>
      <w:pPr>
        <w:spacing w:after="0" w:line="256"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In connection with the Merger, Legacy Blaize shareholders and employee equity award holders (including holders of stock options and RSUs) are entitled to receive up to 15,000,000 shares of common stock and Burkhan has the right to receive up to 2,600,000 shares of common stock (collectively, the “Earnout Shares”).</w:t>
      </w:r>
    </w:p>
    <w:p>
      <w:pPr>
        <w:spacing w:after="0" w:line="203"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Earnout Shares issued to eligible Legacy Blaize employee equity award holders (“Employee Earnout Shares”) are considered a compensatory award and are accounted for under ASC 718 — “Share-Based Compensation” (“ASC 718”). Further, these Employee Earnout Shares have been determined to be equity classified and accordingly, will not be remeasured, unless an employee departs from the Company, as further described below.</w:t>
      </w:r>
    </w:p>
    <w:p>
      <w:pPr>
        <w:spacing w:after="0" w:line="20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Earnout Shares issued to Burkhan and Legacy Blaize shareholders that are not within the scope of ASC 718 (the “Other Earnout Shares”), were evaluated by management under ASC 480 — “Distinguishing Liabilities from Equity” (“ASC 480”), and ASC 815. The Company determined that the Other Earnout Shares are freestanding contracts and not liability-classified under ASC 480 but represented a structured forward contract pursuant to ASC 815, which resulted in liability classification. Therefore, the Company considers the Other Earnout Shares a derivative liability and will remeasure the Other Earnout Shares at each reporting date, with changes in the fair value recorded in the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220"/>
          </w:cols>
          <w:pgMar w:left="320" w:top="117" w:right="359" w:bottom="1440" w:gutter="0" w:footer="0" w:header="0"/>
        </w:sectPr>
      </w:pPr>
    </w:p>
    <w:bookmarkStart w:id="90" w:name="page91"/>
    <w:bookmarkEnd w:id="90"/>
    <w:p>
      <w:pPr>
        <w:jc w:val="center"/>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THE CONSOLIDATED FINANCIAL STATEMENTS </w:t>
      </w:r>
      <w:r>
        <w:rPr>
          <w:rFonts w:ascii="Times New Roman" w:cs="Times New Roman" w:eastAsia="Times New Roman" w:hAnsi="Times New Roman"/>
          <w:sz w:val="18"/>
          <w:szCs w:val="18"/>
          <w:color w:val="auto"/>
        </w:rPr>
        <w:t>(cont.)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Legacy Blaize shareholders, Legacy Blaize employee equity award holders, and Burkhan are entitled to Earnout Shares in four tranches upon the occurrence of four separate events (each a “Triggering Event” and collectively, the “Triggering Events”), if they occur between the Merger date and January 13, 2030. The Triggering Events are driven by whether the Company’s closing share price on 20 trading days out of 30 consecutive trading days equals or exceeds defined per-share thresholds in each tranche as follows:</w:t>
      </w:r>
    </w:p>
    <w:p>
      <w:pPr>
        <w:spacing w:after="0" w:line="207" w:lineRule="exact"/>
        <w:rPr>
          <w:sz w:val="20"/>
          <w:szCs w:val="20"/>
          <w:color w:val="auto"/>
        </w:rPr>
      </w:pPr>
    </w:p>
    <w:p>
      <w:pPr>
        <w:ind w:left="660" w:right="100" w:hanging="328"/>
        <w:spacing w:after="0" w:line="261"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price of the Company’s common stock is greater than or equal to $12.50 per share, 3,750,000 Earnout Shares to Legacy Blaize shareholders and Legacy Blaize employee equity award holders and 650,000 Earnout Shares to Burkhan will be issued; and</w:t>
      </w:r>
    </w:p>
    <w:p>
      <w:pPr>
        <w:ind w:left="660" w:right="60" w:hanging="328"/>
        <w:spacing w:after="0" w:line="250"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price of the Company’s common stock is greater than or equal to $15.00 per share, an additional 3,750,000 Earnout Shares to Legacy Blaize shareholders and Legacy Blaize employee equity award holders and an additional 650,000 Earnout Shares to Burkhan will be issued; and</w:t>
      </w:r>
    </w:p>
    <w:p>
      <w:pPr>
        <w:ind w:left="660" w:right="60" w:hanging="328"/>
        <w:spacing w:after="0" w:line="250"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price of the Company’s common stock is greater than or equal to $17.50 per share, an additional 3,750,000 Earnout Shares to Legacy Blaize shareholders and Legacy Blaize employee equity award holders and an additional 650,000 Earnout Shares to Burkhan will be issued; and</w:t>
      </w:r>
    </w:p>
    <w:p>
      <w:pPr>
        <w:ind w:left="660" w:right="60" w:hanging="328"/>
        <w:spacing w:after="0" w:line="260"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price of the Company’s common stock is greater than or equal to $20.00 per share, an additional 3,750,000 Earnout Shares to Legacy Blaize shareholders and Legacy Blaize employee equity award holders and an additional 650,000 Earnout Shares to Burkhan will be issued.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 Earnout Shares</w:t>
      </w:r>
    </w:p>
    <w:p>
      <w:pPr>
        <w:spacing w:after="0" w:line="25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Company employees entitled to receive Employee Earnout Shares are required to provide service through the date the target is achieved and if an employee departs, the forfeited Employee Earnout Shares are reallocated to Legacy Blaize shareholders and the remaining pool of equity award holders who received the right to the Earnout Shares on the Merger date. The reallocated shares are considered a forfeiture of the original award and grant of a new award.</w:t>
      </w:r>
    </w:p>
    <w:p>
      <w:pPr>
        <w:spacing w:after="0" w:line="20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Employee Earnout shares were measured at fair value at the issuance date using a Monte Carlo simulation model and expense is recognized over the derived service period of five years from the Merger date through January 13, 2030. If shares are forfeited and reallocated, as described above, the expense to date for the reallocated shares is reversed, and new expense is calculated for those shares using a Monte Carlo simulation model over the remaining period through January 13, 2030.</w:t>
      </w:r>
    </w:p>
    <w:p>
      <w:pPr>
        <w:spacing w:after="0" w:line="207"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2025, the Company recorded $15.9 million in stock-based compensation expense related to the Employee Earnout Shares. During the year ended December 31, 2025, 212,568 Employee Earnout Shares were forfeited due to employee terminations. As of December 31, 2025, there was $66.7 million of total unrecognized compensation cost related to the Employee Earnout Shares.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Earnout Shares</w:t>
      </w:r>
    </w:p>
    <w:p>
      <w:pPr>
        <w:spacing w:after="0" w:line="254"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The fair value of the derivative liability associated with the Other Earnout Shares is described in Note 5 — “Fair Value Measurements and Derivative Instruments”.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Stock Based Compensation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recorded stock-based compensation expense for stock options and RSUs as set forth in the following table:</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36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4300" w:type="dxa"/>
            <w:vAlign w:val="bottom"/>
            <w:tcBorders>
              <w:bottom w:val="single" w:sz="8" w:color="auto"/>
            </w:tcBorders>
            <w:gridSpan w:val="4"/>
          </w:tcPr>
          <w:p>
            <w:pPr>
              <w:jc w:val="right"/>
              <w:ind w:right="1172"/>
              <w:spacing w:after="0"/>
              <w:rPr>
                <w:sz w:val="20"/>
                <w:szCs w:val="20"/>
                <w:color w:val="auto"/>
              </w:rPr>
            </w:pPr>
            <w:r>
              <w:rPr>
                <w:rFonts w:ascii="Times New Roman" w:cs="Times New Roman" w:eastAsia="Times New Roman" w:hAnsi="Times New Roman"/>
                <w:sz w:val="16"/>
                <w:szCs w:val="16"/>
                <w:b w:val="1"/>
                <w:bCs w:val="1"/>
                <w:color w:val="auto"/>
              </w:rPr>
              <w:t>For the Year Ended December 31,</w:t>
            </w:r>
          </w:p>
        </w:tc>
      </w:tr>
      <w:tr>
        <w:trPr>
          <w:trHeight w:val="214"/>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(Amounts in thousands)</w:t>
            </w:r>
          </w:p>
        </w:tc>
        <w:tc>
          <w:tcPr>
            <w:tcW w:w="58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ind w:right="934"/>
              <w:spacing w:after="0"/>
              <w:rPr>
                <w:sz w:val="20"/>
                <w:szCs w:val="20"/>
                <w:color w:val="auto"/>
              </w:rPr>
            </w:pPr>
            <w:r>
              <w:rPr>
                <w:rFonts w:ascii="Times New Roman" w:cs="Times New Roman" w:eastAsia="Times New Roman" w:hAnsi="Times New Roman"/>
                <w:sz w:val="16"/>
                <w:szCs w:val="16"/>
                <w:b w:val="1"/>
                <w:bCs w:val="1"/>
                <w:color w:val="auto"/>
              </w:rPr>
              <w:t>2025</w:t>
            </w:r>
          </w:p>
        </w:tc>
        <w:tc>
          <w:tcPr>
            <w:tcW w:w="16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ind w:right="932"/>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5"/>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58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17,096</w:t>
            </w: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w:t>
            </w:r>
          </w:p>
        </w:tc>
      </w:tr>
      <w:tr>
        <w:trPr>
          <w:trHeight w:val="229"/>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5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20,450</w:t>
            </w:r>
          </w:p>
        </w:tc>
        <w:tc>
          <w:tcPr>
            <w:tcW w:w="16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2,741</w:t>
            </w:r>
          </w:p>
        </w:tc>
      </w:tr>
      <w:tr>
        <w:trPr>
          <w:trHeight w:val="248"/>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37,546</w:t>
            </w:r>
          </w:p>
        </w:tc>
        <w:tc>
          <w:tcPr>
            <w:tcW w:w="1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3,847</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240"/>
          </w:cols>
          <w:pgMar w:left="320" w:top="117" w:right="339" w:bottom="1440" w:gutter="0" w:footer="0" w:header="0"/>
        </w:sectPr>
      </w:pPr>
    </w:p>
    <w:bookmarkStart w:id="91" w:name="page92"/>
    <w:bookmarkEnd w:id="91"/>
    <w:p>
      <w:pPr>
        <w:jc w:val="center"/>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THE CONSOLIDATED FINANCIAL STATEMENTS </w:t>
      </w:r>
      <w:r>
        <w:rPr>
          <w:rFonts w:ascii="Times New Roman" w:cs="Times New Roman" w:eastAsia="Times New Roman" w:hAnsi="Times New Roman"/>
          <w:sz w:val="18"/>
          <w:szCs w:val="18"/>
          <w:color w:val="auto"/>
        </w:rPr>
        <w:t>(cont.)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Award Plans</w:t>
      </w:r>
    </w:p>
    <w:p>
      <w:pPr>
        <w:spacing w:after="0" w:line="25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January 2025, the Board of Directors approved, and the Company adopted the 2025 Incentive Award Plan (the “2025 Incentive Plan”), replacing the 2011 Amended Stock Plan. The 2025 Incentive Plan provides for the grant of stock or cash-based awards to employees and consultants of the Company and its subsidiaries and members of the Board of Directors of the Company. Authorized shares of common stock available under the 2025 Incentive Plan at inception was 30,500,000 shares of common stock. As of December 31, 2025, 19,189,633 shares of common stock were reserved for issuance under the 2025 Incentive Plan.</w:t>
      </w:r>
    </w:p>
    <w:p>
      <w:pPr>
        <w:spacing w:after="0" w:line="210" w:lineRule="exact"/>
        <w:rPr>
          <w:sz w:val="20"/>
          <w:szCs w:val="20"/>
          <w:color w:val="auto"/>
        </w:rPr>
      </w:pPr>
    </w:p>
    <w:p>
      <w:pPr>
        <w:ind w:right="100"/>
        <w:spacing w:after="0" w:line="289" w:lineRule="auto"/>
        <w:rPr>
          <w:sz w:val="20"/>
          <w:szCs w:val="20"/>
          <w:color w:val="auto"/>
        </w:rPr>
      </w:pPr>
      <w:r>
        <w:rPr>
          <w:rFonts w:ascii="Times New Roman" w:cs="Times New Roman" w:eastAsia="Times New Roman" w:hAnsi="Times New Roman"/>
          <w:sz w:val="17"/>
          <w:szCs w:val="17"/>
          <w:color w:val="auto"/>
        </w:rPr>
        <w:t>Following the effectiveness of the 2025 Incentive Plan, the Company ceased making grants under the 2011 Amended Stock Plan and all remaining unissued shares were retired. However, the 2011 Amended Stock Plan continues to govern the terms and conditions of the outstanding awards granted under it. Awards granted under the 2011 Amended Stock Plan that have subsequently been forfeited are cancelled and are no longer available for issuance.</w:t>
      </w:r>
    </w:p>
    <w:p>
      <w:pPr>
        <w:spacing w:after="0" w:line="185"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Company recognizes compensation expense for grants of stock compensation awards on a straight-line basis over the requisite service period of the award’s vesting term.</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stock option activity is set forth in the following table:</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40" w:type="dxa"/>
            <w:vAlign w:val="bottom"/>
            <w:vMerge w:val="restart"/>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40" w:type="dxa"/>
            <w:vAlign w:val="bottom"/>
          </w:tcPr>
          <w:p>
            <w:pPr>
              <w:spacing w:after="0"/>
              <w:rPr>
                <w:sz w:val="13"/>
                <w:szCs w:val="13"/>
                <w:color w:val="auto"/>
              </w:rPr>
            </w:pPr>
          </w:p>
        </w:tc>
        <w:tc>
          <w:tcPr>
            <w:tcW w:w="17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20" w:type="dxa"/>
            <w:vAlign w:val="bottom"/>
          </w:tcPr>
          <w:p>
            <w:pPr>
              <w:spacing w:after="0"/>
              <w:rPr>
                <w:sz w:val="13"/>
                <w:szCs w:val="13"/>
                <w:color w:val="auto"/>
              </w:rPr>
            </w:pPr>
          </w:p>
        </w:tc>
        <w:tc>
          <w:tcPr>
            <w:tcW w:w="1320" w:type="dxa"/>
            <w:vAlign w:val="bottom"/>
            <w:vMerge w:val="restart"/>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Aggregate intrinsic</w:t>
            </w:r>
          </w:p>
        </w:tc>
        <w:tc>
          <w:tcPr>
            <w:tcW w:w="0" w:type="dxa"/>
            <w:vAlign w:val="bottom"/>
          </w:tcPr>
          <w:p>
            <w:pPr>
              <w:spacing w:after="0"/>
              <w:rPr>
                <w:sz w:val="1"/>
                <w:szCs w:val="1"/>
                <w:color w:val="auto"/>
              </w:rPr>
            </w:pPr>
          </w:p>
        </w:tc>
      </w:tr>
      <w:tr>
        <w:trPr>
          <w:trHeight w:val="146"/>
        </w:trPr>
        <w:tc>
          <w:tcPr>
            <w:tcW w:w="490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(Value in thousands, life in years)</w:t>
            </w:r>
          </w:p>
        </w:tc>
        <w:tc>
          <w:tcPr>
            <w:tcW w:w="16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Number of options</w:t>
            </w:r>
          </w:p>
        </w:tc>
        <w:tc>
          <w:tcPr>
            <w:tcW w:w="14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720" w:type="dxa"/>
            <w:vAlign w:val="bottom"/>
            <w:gridSpan w:val="2"/>
          </w:tcPr>
          <w:p>
            <w:pPr>
              <w:jc w:val="center"/>
              <w:ind w:right="160"/>
              <w:spacing w:after="0" w:line="146" w:lineRule="exact"/>
              <w:rPr>
                <w:sz w:val="20"/>
                <w:szCs w:val="20"/>
                <w:color w:val="auto"/>
              </w:rPr>
            </w:pPr>
            <w:r>
              <w:rPr>
                <w:rFonts w:ascii="Times New Roman" w:cs="Times New Roman" w:eastAsia="Times New Roman" w:hAnsi="Times New Roman"/>
                <w:sz w:val="14"/>
                <w:szCs w:val="14"/>
                <w:b w:val="1"/>
                <w:bCs w:val="1"/>
                <w:color w:val="auto"/>
              </w:rPr>
              <w:t>remaining contractual</w:t>
            </w:r>
          </w:p>
        </w:tc>
        <w:tc>
          <w:tcPr>
            <w:tcW w:w="12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0"/>
        </w:trPr>
        <w:tc>
          <w:tcPr>
            <w:tcW w:w="4900" w:type="dxa"/>
            <w:vAlign w:val="bottom"/>
            <w:vMerge w:val="continue"/>
          </w:tcPr>
          <w:p>
            <w:pPr>
              <w:spacing w:after="0"/>
              <w:rPr>
                <w:sz w:val="17"/>
                <w:szCs w:val="17"/>
                <w:color w:val="auto"/>
              </w:rPr>
            </w:pPr>
          </w:p>
        </w:tc>
        <w:tc>
          <w:tcPr>
            <w:tcW w:w="1600" w:type="dxa"/>
            <w:vAlign w:val="bottom"/>
            <w:gridSpan w:val="2"/>
            <w:vMerge w:val="continue"/>
          </w:tcPr>
          <w:p>
            <w:pPr>
              <w:spacing w:after="0"/>
              <w:rPr>
                <w:sz w:val="17"/>
                <w:szCs w:val="17"/>
                <w:color w:val="auto"/>
              </w:rPr>
            </w:pPr>
          </w:p>
        </w:tc>
        <w:tc>
          <w:tcPr>
            <w:tcW w:w="144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40" w:type="dxa"/>
            <w:vAlign w:val="bottom"/>
          </w:tcPr>
          <w:p>
            <w:pPr>
              <w:spacing w:after="0"/>
              <w:rPr>
                <w:sz w:val="17"/>
                <w:szCs w:val="17"/>
                <w:color w:val="auto"/>
              </w:rPr>
            </w:pPr>
          </w:p>
        </w:tc>
        <w:tc>
          <w:tcPr>
            <w:tcW w:w="17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life</w:t>
            </w:r>
          </w:p>
        </w:tc>
        <w:tc>
          <w:tcPr>
            <w:tcW w:w="120" w:type="dxa"/>
            <w:vAlign w:val="bottom"/>
          </w:tcPr>
          <w:p>
            <w:pPr>
              <w:spacing w:after="0"/>
              <w:rPr>
                <w:sz w:val="17"/>
                <w:szCs w:val="17"/>
                <w:color w:val="auto"/>
              </w:rPr>
            </w:pPr>
          </w:p>
        </w:tc>
        <w:tc>
          <w:tcPr>
            <w:tcW w:w="132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26"/>
        </w:trPr>
        <w:tc>
          <w:tcPr>
            <w:tcW w:w="4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December 31, 2023</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12,820,261</w:t>
            </w:r>
          </w:p>
        </w:tc>
        <w:tc>
          <w:tcPr>
            <w:tcW w:w="14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4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6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13,803</w:t>
            </w:r>
          </w:p>
        </w:tc>
        <w:tc>
          <w:tcPr>
            <w:tcW w:w="0" w:type="dxa"/>
            <w:vAlign w:val="bottom"/>
          </w:tcPr>
          <w:p>
            <w:pPr>
              <w:spacing w:after="0"/>
              <w:rPr>
                <w:sz w:val="1"/>
                <w:szCs w:val="1"/>
                <w:color w:val="auto"/>
              </w:rPr>
            </w:pPr>
          </w:p>
        </w:tc>
      </w:tr>
      <w:tr>
        <w:trPr>
          <w:trHeight w:val="230"/>
        </w:trPr>
        <w:tc>
          <w:tcPr>
            <w:tcW w:w="4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16,635,601</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Exercised</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(51,200)</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4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(4,290)</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$0.95</w:t>
            </w:r>
          </w:p>
        </w:tc>
        <w:tc>
          <w:tcPr>
            <w:tcW w:w="1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Expired</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(1,039,737)</w:t>
            </w:r>
          </w:p>
        </w:tc>
        <w:tc>
          <w:tcPr>
            <w:tcW w:w="14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4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as of December 31, 2024</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28,360,635</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22,741</w:t>
            </w:r>
          </w:p>
        </w:tc>
        <w:tc>
          <w:tcPr>
            <w:tcW w:w="0" w:type="dxa"/>
            <w:vAlign w:val="bottom"/>
          </w:tcPr>
          <w:p>
            <w:pPr>
              <w:spacing w:after="0"/>
              <w:rPr>
                <w:sz w:val="1"/>
                <w:szCs w:val="1"/>
                <w:color w:val="auto"/>
              </w:rPr>
            </w:pPr>
          </w:p>
        </w:tc>
      </w:tr>
      <w:tr>
        <w:trPr>
          <w:trHeight w:val="230"/>
        </w:trPr>
        <w:tc>
          <w:tcPr>
            <w:tcW w:w="4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1,618,456</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14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Exercised</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(562,446)</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$0.61</w:t>
            </w:r>
          </w:p>
        </w:tc>
        <w:tc>
          <w:tcPr>
            <w:tcW w:w="1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(670,367)</w:t>
            </w:r>
          </w:p>
        </w:tc>
        <w:tc>
          <w:tcPr>
            <w:tcW w:w="14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4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as of December 31, 2025</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28,746,278</w:t>
            </w:r>
          </w:p>
        </w:tc>
        <w:tc>
          <w:tcPr>
            <w:tcW w:w="140" w:type="dxa"/>
            <w:vAlign w:val="bottom"/>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27,364</w:t>
            </w:r>
          </w:p>
        </w:tc>
        <w:tc>
          <w:tcPr>
            <w:tcW w:w="0" w:type="dxa"/>
            <w:vAlign w:val="bottom"/>
          </w:tcPr>
          <w:p>
            <w:pPr>
              <w:spacing w:after="0"/>
              <w:rPr>
                <w:sz w:val="1"/>
                <w:szCs w:val="1"/>
                <w:color w:val="auto"/>
              </w:rPr>
            </w:pPr>
          </w:p>
        </w:tc>
      </w:tr>
      <w:tr>
        <w:trPr>
          <w:trHeight w:val="20"/>
        </w:trPr>
        <w:tc>
          <w:tcPr>
            <w:tcW w:w="490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4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 and expected to vest as of December 31, 2025</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28,746,278</w:t>
            </w: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27,364</w:t>
            </w:r>
          </w:p>
        </w:tc>
        <w:tc>
          <w:tcPr>
            <w:tcW w:w="0" w:type="dxa"/>
            <w:vAlign w:val="bottom"/>
          </w:tcPr>
          <w:p>
            <w:pPr>
              <w:spacing w:after="0"/>
              <w:rPr>
                <w:sz w:val="1"/>
                <w:szCs w:val="1"/>
                <w:color w:val="auto"/>
              </w:rPr>
            </w:pP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90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Exercisable as of December 31, 2025</w:t>
            </w:r>
          </w:p>
        </w:tc>
        <w:tc>
          <w:tcPr>
            <w:tcW w:w="14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17,279,846</w:t>
            </w:r>
          </w:p>
        </w:tc>
        <w:tc>
          <w:tcPr>
            <w:tcW w:w="140" w:type="dxa"/>
            <w:vAlign w:val="bottom"/>
          </w:tcPr>
          <w:p>
            <w:pPr>
              <w:spacing w:after="0"/>
              <w:rPr>
                <w:sz w:val="17"/>
                <w:szCs w:val="17"/>
                <w:color w:val="auto"/>
              </w:rPr>
            </w:pPr>
          </w:p>
        </w:tc>
        <w:tc>
          <w:tcPr>
            <w:tcW w:w="14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$1.45</w:t>
            </w:r>
          </w:p>
        </w:tc>
        <w:tc>
          <w:tcPr>
            <w:tcW w:w="1700" w:type="dxa"/>
            <w:vAlign w:val="bottom"/>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8.0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17,848</w:t>
            </w: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2025, the Company accelerated the vesting associated with 388,988 outstanding options resulting in $1.1 million of incremental stock-based compensation expense.</w:t>
      </w:r>
    </w:p>
    <w:p>
      <w:pPr>
        <w:spacing w:after="0" w:line="189"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As of December 31, 2025, there was $14.2 million of total unrecognized compensation cost related to unvested stock options, which is expected to be recognized over a weighted average period of 1.6 years.</w:t>
      </w:r>
    </w:p>
    <w:p>
      <w:pPr>
        <w:spacing w:after="0" w:line="18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aggregate intrinsic value of service-based options exercised during the years ended December 31, 2025 and 2024 was $1.0 million and immaterial, respectively. The intrinsic value is the difference between the estimated fair value of the Company’s common stock at the date of exercise and the exercise price for in-the-money stock options.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240"/>
          </w:cols>
          <w:pgMar w:left="320" w:top="117" w:right="339" w:bottom="1440" w:gutter="0" w:footer="0" w:header="0"/>
        </w:sectPr>
      </w:pPr>
    </w:p>
    <w:bookmarkStart w:id="92" w:name="page93"/>
    <w:bookmarkEnd w:id="92"/>
    <w:p>
      <w:pPr>
        <w:jc w:val="center"/>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THE CONSOLIDATED FINANCIAL STATEMENTS </w:t>
      </w:r>
      <w:r>
        <w:rPr>
          <w:rFonts w:ascii="Times New Roman" w:cs="Times New Roman" w:eastAsia="Times New Roman" w:hAnsi="Times New Roman"/>
          <w:sz w:val="18"/>
          <w:szCs w:val="18"/>
          <w:color w:val="auto"/>
        </w:rPr>
        <w:t>(cont.)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2025 and 2024, the grant date fair value of the stock options granted was $1.93 and $0.88 per share, respectively. The fair value of the options issued was determined using the Black-Scholes option pricing model, using the following inputs: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34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For the Year Ended December 31,</w:t>
            </w: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r>
      <w:tr>
        <w:trPr>
          <w:trHeight w:val="211"/>
        </w:trPr>
        <w:tc>
          <w:tcPr>
            <w:tcW w:w="6340" w:type="dxa"/>
            <w:vAlign w:val="bottom"/>
            <w:tcBorders>
              <w:bottom w:val="single" w:sz="8" w:color="CCEEFF"/>
            </w:tcBorders>
          </w:tcPr>
          <w:p>
            <w:pPr>
              <w:spacing w:after="0"/>
              <w:rPr>
                <w:sz w:val="18"/>
                <w:szCs w:val="18"/>
                <w:color w:val="auto"/>
              </w:rPr>
            </w:pPr>
          </w:p>
        </w:tc>
        <w:tc>
          <w:tcPr>
            <w:tcW w:w="23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40" w:type="dxa"/>
            <w:vAlign w:val="bottom"/>
            <w:tcBorders>
              <w:bottom w:val="single" w:sz="8" w:color="CCEEFF"/>
            </w:tcBorders>
          </w:tcPr>
          <w:p>
            <w:pPr>
              <w:spacing w:after="0"/>
              <w:rPr>
                <w:sz w:val="18"/>
                <w:szCs w:val="18"/>
                <w:color w:val="auto"/>
              </w:rPr>
            </w:pPr>
          </w:p>
        </w:tc>
        <w:tc>
          <w:tcPr>
            <w:tcW w:w="23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2024</w:t>
            </w:r>
          </w:p>
        </w:tc>
      </w:tr>
      <w:tr>
        <w:trPr>
          <w:trHeight w:val="225"/>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exercise price (per share)</w:t>
            </w:r>
          </w:p>
        </w:tc>
        <w:tc>
          <w:tcPr>
            <w:tcW w:w="238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$2.39</w:t>
            </w:r>
          </w:p>
        </w:tc>
        <w:tc>
          <w:tcPr>
            <w:tcW w:w="140" w:type="dxa"/>
            <w:vAlign w:val="bottom"/>
            <w:shd w:val="clear" w:color="auto" w:fill="CCEEFF"/>
          </w:tcPr>
          <w:p>
            <w:pPr>
              <w:spacing w:after="0"/>
              <w:rPr>
                <w:sz w:val="19"/>
                <w:szCs w:val="19"/>
                <w:color w:val="auto"/>
              </w:rPr>
            </w:pPr>
          </w:p>
        </w:tc>
        <w:tc>
          <w:tcPr>
            <w:tcW w:w="238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$1.49</w:t>
            </w:r>
          </w:p>
        </w:tc>
      </w:tr>
      <w:tr>
        <w:trPr>
          <w:trHeight w:val="230"/>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rate</w:t>
            </w:r>
          </w:p>
        </w:tc>
        <w:tc>
          <w:tcPr>
            <w:tcW w:w="11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3.7%</w:t>
            </w:r>
          </w:p>
        </w:tc>
        <w:tc>
          <w:tcPr>
            <w:tcW w:w="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3.8%</w:t>
            </w:r>
          </w:p>
        </w:tc>
        <w:tc>
          <w:tcPr>
            <w:tcW w:w="140" w:type="dxa"/>
            <w:vAlign w:val="bottom"/>
          </w:tcPr>
          <w:p>
            <w:pPr>
              <w:spacing w:after="0"/>
              <w:rPr>
                <w:sz w:val="19"/>
                <w:szCs w:val="19"/>
                <w:color w:val="auto"/>
              </w:rPr>
            </w:pPr>
          </w:p>
        </w:tc>
        <w:tc>
          <w:tcPr>
            <w:tcW w:w="11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4.0%</w:t>
            </w:r>
          </w:p>
        </w:tc>
        <w:tc>
          <w:tcPr>
            <w:tcW w:w="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4.4%</w:t>
            </w:r>
          </w:p>
        </w:tc>
      </w:tr>
      <w:tr>
        <w:trPr>
          <w:trHeight w:val="229"/>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life (in years)</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 years</w:t>
            </w:r>
          </w:p>
        </w:tc>
        <w:tc>
          <w:tcPr>
            <w:tcW w:w="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6.1 years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 years</w:t>
            </w:r>
          </w:p>
        </w:tc>
        <w:tc>
          <w:tcPr>
            <w:tcW w:w="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6.2 years</w:t>
            </w:r>
          </w:p>
        </w:tc>
      </w:tr>
      <w:tr>
        <w:trPr>
          <w:trHeight w:val="230"/>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 rate</w:t>
            </w:r>
          </w:p>
        </w:tc>
        <w:tc>
          <w:tcPr>
            <w:tcW w:w="11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58.7%</w:t>
            </w:r>
          </w:p>
        </w:tc>
        <w:tc>
          <w:tcPr>
            <w:tcW w:w="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60.7%</w:t>
            </w:r>
          </w:p>
        </w:tc>
        <w:tc>
          <w:tcPr>
            <w:tcW w:w="140" w:type="dxa"/>
            <w:vAlign w:val="bottom"/>
          </w:tcPr>
          <w:p>
            <w:pPr>
              <w:spacing w:after="0"/>
              <w:rPr>
                <w:sz w:val="19"/>
                <w:szCs w:val="19"/>
                <w:color w:val="auto"/>
              </w:rPr>
            </w:pPr>
          </w:p>
        </w:tc>
        <w:tc>
          <w:tcPr>
            <w:tcW w:w="11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56.9%</w:t>
            </w:r>
          </w:p>
        </w:tc>
        <w:tc>
          <w:tcPr>
            <w:tcW w:w="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57.5%</w:t>
            </w:r>
          </w:p>
        </w:tc>
      </w:tr>
      <w:tr>
        <w:trPr>
          <w:trHeight w:val="229"/>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 yield rate</w:t>
            </w:r>
          </w:p>
        </w:tc>
        <w:tc>
          <w:tcPr>
            <w:tcW w:w="2520" w:type="dxa"/>
            <w:vAlign w:val="bottom"/>
            <w:gridSpan w:val="4"/>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rPr>
              <w:t>—%</w:t>
            </w:r>
          </w:p>
        </w:tc>
        <w:tc>
          <w:tcPr>
            <w:tcW w:w="238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r>
    </w:tbl>
    <w:p>
      <w:pPr>
        <w:spacing w:after="0" w:line="319"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The total grant date fair value of stock options that vested during the years ended December 31, 2025 and 2024 was $9.5 million and $2.8 million, respectively.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RSUs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Company’s RSU activity is as follows: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360" w:type="dxa"/>
            <w:vAlign w:val="bottom"/>
          </w:tcPr>
          <w:p>
            <w:pPr>
              <w:spacing w:after="0"/>
              <w:rPr>
                <w:sz w:val="16"/>
                <w:szCs w:val="16"/>
                <w:color w:val="auto"/>
              </w:rPr>
            </w:pPr>
          </w:p>
        </w:tc>
        <w:tc>
          <w:tcPr>
            <w:tcW w:w="2540" w:type="dxa"/>
            <w:vAlign w:val="bottom"/>
            <w:gridSpan w:val="2"/>
            <w:vMerge w:val="restart"/>
          </w:tcPr>
          <w:p>
            <w:pPr>
              <w:ind w:left="600"/>
              <w:spacing w:after="0"/>
              <w:rPr>
                <w:sz w:val="20"/>
                <w:szCs w:val="20"/>
                <w:color w:val="auto"/>
              </w:rPr>
            </w:pPr>
            <w:r>
              <w:rPr>
                <w:rFonts w:ascii="Times New Roman" w:cs="Times New Roman" w:eastAsia="Times New Roman" w:hAnsi="Times New Roman"/>
                <w:sz w:val="16"/>
                <w:szCs w:val="16"/>
                <w:b w:val="1"/>
                <w:bCs w:val="1"/>
                <w:color w:val="auto"/>
              </w:rPr>
              <w:t>Number of RSUs</w:t>
            </w:r>
          </w:p>
        </w:tc>
        <w:tc>
          <w:tcPr>
            <w:tcW w:w="23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Weighted average grant date fair</w:t>
            </w:r>
          </w:p>
        </w:tc>
        <w:tc>
          <w:tcPr>
            <w:tcW w:w="0" w:type="dxa"/>
            <w:vAlign w:val="bottom"/>
          </w:tcPr>
          <w:p>
            <w:pPr>
              <w:spacing w:after="0"/>
              <w:rPr>
                <w:sz w:val="1"/>
                <w:szCs w:val="1"/>
                <w:color w:val="auto"/>
              </w:rPr>
            </w:pPr>
          </w:p>
        </w:tc>
      </w:tr>
      <w:tr>
        <w:trPr>
          <w:trHeight w:val="214"/>
        </w:trPr>
        <w:tc>
          <w:tcPr>
            <w:tcW w:w="6360" w:type="dxa"/>
            <w:vAlign w:val="bottom"/>
          </w:tcPr>
          <w:p>
            <w:pPr>
              <w:spacing w:after="0"/>
              <w:rPr>
                <w:sz w:val="18"/>
                <w:szCs w:val="18"/>
                <w:color w:val="auto"/>
              </w:rPr>
            </w:pPr>
          </w:p>
        </w:tc>
        <w:tc>
          <w:tcPr>
            <w:tcW w:w="2540" w:type="dxa"/>
            <w:vAlign w:val="bottom"/>
            <w:gridSpan w:val="2"/>
            <w:vMerge w:val="continue"/>
          </w:tcPr>
          <w:p>
            <w:pPr>
              <w:spacing w:after="0"/>
              <w:rPr>
                <w:sz w:val="18"/>
                <w:szCs w:val="18"/>
                <w:color w:val="auto"/>
              </w:rPr>
            </w:pPr>
          </w:p>
        </w:tc>
        <w:tc>
          <w:tcPr>
            <w:tcW w:w="540" w:type="dxa"/>
            <w:vAlign w:val="bottom"/>
          </w:tcPr>
          <w:p>
            <w:pPr>
              <w:spacing w:after="0"/>
              <w:rPr>
                <w:sz w:val="18"/>
                <w:szCs w:val="18"/>
                <w:color w:val="auto"/>
              </w:rPr>
            </w:pPr>
          </w:p>
        </w:tc>
        <w:tc>
          <w:tcPr>
            <w:tcW w:w="1800" w:type="dxa"/>
            <w:vAlign w:val="bottom"/>
          </w:tcPr>
          <w:p>
            <w:pPr>
              <w:jc w:val="right"/>
              <w:ind w:right="891"/>
              <w:spacing w:after="0"/>
              <w:rPr>
                <w:sz w:val="20"/>
                <w:szCs w:val="20"/>
                <w:color w:val="auto"/>
              </w:rPr>
            </w:pPr>
            <w:r>
              <w:rPr>
                <w:rFonts w:ascii="Times New Roman" w:cs="Times New Roman" w:eastAsia="Times New Roman" w:hAnsi="Times New Roman"/>
                <w:sz w:val="16"/>
                <w:szCs w:val="16"/>
                <w:b w:val="1"/>
                <w:bCs w:val="1"/>
                <w:color w:val="auto"/>
              </w:rPr>
              <w:t>value</w:t>
            </w:r>
          </w:p>
        </w:tc>
        <w:tc>
          <w:tcPr>
            <w:tcW w:w="0" w:type="dxa"/>
            <w:vAlign w:val="bottom"/>
          </w:tcPr>
          <w:p>
            <w:pPr>
              <w:spacing w:after="0"/>
              <w:rPr>
                <w:sz w:val="1"/>
                <w:szCs w:val="1"/>
                <w:color w:val="auto"/>
              </w:rPr>
            </w:pPr>
          </w:p>
        </w:tc>
      </w:tr>
      <w:tr>
        <w:trPr>
          <w:trHeight w:val="225"/>
        </w:trPr>
        <w:tc>
          <w:tcPr>
            <w:tcW w:w="6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2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3,834,443</w:t>
            </w:r>
          </w:p>
        </w:tc>
        <w:tc>
          <w:tcPr>
            <w:tcW w:w="16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229"/>
        </w:trPr>
        <w:tc>
          <w:tcPr>
            <w:tcW w:w="6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Expired</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(198,536)</w:t>
            </w: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2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(5,460)</w:t>
            </w:r>
          </w:p>
        </w:tc>
        <w:tc>
          <w:tcPr>
            <w:tcW w:w="16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23"/>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3,630,447</w:t>
            </w: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2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10,164,477</w:t>
            </w: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0" w:type="dxa"/>
            <w:vAlign w:val="bottom"/>
          </w:tcPr>
          <w:p>
            <w:pPr>
              <w:spacing w:after="0"/>
              <w:rPr>
                <w:sz w:val="1"/>
                <w:szCs w:val="1"/>
                <w:color w:val="auto"/>
              </w:rPr>
            </w:pPr>
          </w:p>
        </w:tc>
      </w:tr>
      <w:tr>
        <w:trPr>
          <w:trHeight w:val="230"/>
        </w:trPr>
        <w:tc>
          <w:tcPr>
            <w:tcW w:w="6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(3,961,729)</w:t>
            </w: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2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(473,696)</w:t>
            </w:r>
          </w:p>
        </w:tc>
        <w:tc>
          <w:tcPr>
            <w:tcW w:w="16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0" w:type="dxa"/>
            <w:vAlign w:val="bottom"/>
          </w:tcPr>
          <w:p>
            <w:pPr>
              <w:spacing w:after="0"/>
              <w:rPr>
                <w:sz w:val="1"/>
                <w:szCs w:val="1"/>
                <w:color w:val="auto"/>
              </w:rPr>
            </w:pPr>
          </w:p>
        </w:tc>
      </w:tr>
      <w:tr>
        <w:trPr>
          <w:trHeight w:val="223"/>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2025</w:t>
            </w:r>
          </w:p>
        </w:tc>
        <w:tc>
          <w:tcPr>
            <w:tcW w:w="2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9,359,499</w:t>
            </w:r>
          </w:p>
        </w:tc>
        <w:tc>
          <w:tcPr>
            <w:tcW w:w="160" w:type="dxa"/>
            <w:vAlign w:val="bottom"/>
          </w:tcPr>
          <w:p>
            <w:pPr>
              <w:spacing w:after="0"/>
              <w:rPr>
                <w:sz w:val="19"/>
                <w:szCs w:val="19"/>
                <w:color w:val="auto"/>
              </w:rPr>
            </w:pPr>
          </w:p>
        </w:tc>
        <w:tc>
          <w:tcPr>
            <w:tcW w:w="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grant date fair value of RSUs granted under the 2011 Amended Stock Plan was determined by the Board of Directors at each grant date. Immediately prior to the consummation of the Merger, the RSUs existing at that time, which had been granted under the 2011 Amended Stock Plan, had both a service-based condition and a liquidity event condition. The liquidity event condition was satisfied on the consummation of the Merger, and on the date of the Merger, the Company recognized $3.9 million in stock-based compensation expense associated with the vesting of the outstanding RSUs.</w:t>
      </w:r>
    </w:p>
    <w:p>
      <w:pPr>
        <w:spacing w:after="0" w:line="207"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As of December 31, 2025, there was $20.6 million of total unrecognized compensation cost related to unvested RSUs, which is expected to be recognized over a weighted average period of 2.5 years.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Earnout Shares</w:t>
      </w:r>
    </w:p>
    <w:p>
      <w:pPr>
        <w:spacing w:after="0" w:line="256"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Certain of the Employee Earnout Shares are subject to ASC 718. See Note 11 — “Common Stock, Currently Outstanding Warrants to Purchase Common Stock, and Earnout Shares”.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256"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In January 2025, the Board of Directors adopted the 2025 Employee Stock Purchase Plan (the “2025 ESPP”) in order to enable eligible employees to purchase shares of common stock with accumulated payroll deductions. As of December 31, 2025, 3,047,669 shares of common stock were reserved for issuance pursuant to the 2025 ESPP, and no shares of stock had been purchased by employees as the Company had not commenced the 2025 ESPP.</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240"/>
          </w:cols>
          <w:pgMar w:left="320" w:top="117" w:right="339" w:bottom="1440" w:gutter="0" w:footer="0" w:header="0"/>
          <w:type w:val="continuous"/>
        </w:sectPr>
      </w:pPr>
    </w:p>
    <w:bookmarkStart w:id="93" w:name="page94"/>
    <w:bookmarkEnd w:id="93"/>
    <w:p>
      <w:pPr>
        <w:jc w:val="center"/>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THE CONSOLIDATED FINANCIAL STATEMENTS </w:t>
      </w:r>
      <w:r>
        <w:rPr>
          <w:rFonts w:ascii="Times New Roman" w:cs="Times New Roman" w:eastAsia="Times New Roman" w:hAnsi="Times New Roman"/>
          <w:sz w:val="18"/>
          <w:szCs w:val="18"/>
          <w:color w:val="auto"/>
        </w:rPr>
        <w:t>(cont.)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Net Loss per Share of Common Stock</w:t>
      </w:r>
    </w:p>
    <w:p>
      <w:pPr>
        <w:spacing w:after="0" w:line="25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Prior to the Merger, the Company used the two-class method required for participating securities. The two-class method determines net income (loss) per share for each class of common and participating securities according to dividends declared or accumulated and participation rights in undistributed earnings. The two-class method requires income (loss) available to common stockholders for the period to be allocated between common and participating securities based upon their respective rights to shares in undistributed earnings as if all income (loss) for the period had been distributed. The Company’s redeemable convertible preferred stock that was outstanding prior to the Merger contractually entitled the holders of such stock to participate in dividends but did not contractually require the holders of such stock to participate in losses of the Company. Accordingly, in periods in which the Company reported a net loss attributable to common stockholders, such losses were not allocated to the redeemable convertible preferred stock.</w:t>
      </w:r>
    </w:p>
    <w:p>
      <w:pPr>
        <w:spacing w:after="0" w:line="216"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After the Merger, the Company applied the treasury stock method to determine the dilutive effect of potentially dilutive securities, and the if-converted method to determine the dilutive effect of any potentially dilutive convertible securities, as post-merger, the Company’s only participating securities were shares of the Company’s common stock, and any dividends declared on the common stock would be forfeitable if not vested.</w:t>
      </w:r>
    </w:p>
    <w:p>
      <w:pPr>
        <w:spacing w:after="0" w:line="20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Basic net loss per share is calculated by dividing the net loss attributable to common stockholders by the weighted average number of common stock outstanding during the period, without consideration of potentially dilutive securities. There are no potentially dilutive securities included in the Company’s diluted net loss per share calculation for the years ended December 31, 2025 and 2024, as the effect of any potentially dilutive security is anti-dilutive due to the net losses in those periods.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sets forth the computation of basic and dilutive net loss per share:</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36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4300" w:type="dxa"/>
            <w:vAlign w:val="bottom"/>
            <w:tcBorders>
              <w:bottom w:val="single" w:sz="8" w:color="auto"/>
            </w:tcBorders>
            <w:gridSpan w:val="4"/>
          </w:tcPr>
          <w:p>
            <w:pPr>
              <w:jc w:val="right"/>
              <w:ind w:right="1172"/>
              <w:spacing w:after="0"/>
              <w:rPr>
                <w:sz w:val="20"/>
                <w:szCs w:val="20"/>
                <w:color w:val="auto"/>
              </w:rPr>
            </w:pPr>
            <w:r>
              <w:rPr>
                <w:rFonts w:ascii="Times New Roman" w:cs="Times New Roman" w:eastAsia="Times New Roman" w:hAnsi="Times New Roman"/>
                <w:sz w:val="16"/>
                <w:szCs w:val="16"/>
                <w:b w:val="1"/>
                <w:bCs w:val="1"/>
                <w:color w:val="auto"/>
              </w:rPr>
              <w:t>For the Year Ended December 31,</w:t>
            </w:r>
          </w:p>
        </w:tc>
      </w:tr>
      <w:tr>
        <w:trPr>
          <w:trHeight w:val="214"/>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(Amounts in thousands, except share and per share amounts)</w:t>
            </w:r>
          </w:p>
        </w:tc>
        <w:tc>
          <w:tcPr>
            <w:tcW w:w="58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ind w:right="934"/>
              <w:spacing w:after="0"/>
              <w:rPr>
                <w:sz w:val="20"/>
                <w:szCs w:val="20"/>
                <w:color w:val="auto"/>
              </w:rPr>
            </w:pPr>
            <w:r>
              <w:rPr>
                <w:rFonts w:ascii="Times New Roman" w:cs="Times New Roman" w:eastAsia="Times New Roman" w:hAnsi="Times New Roman"/>
                <w:sz w:val="16"/>
                <w:szCs w:val="16"/>
                <w:b w:val="1"/>
                <w:bCs w:val="1"/>
                <w:color w:val="auto"/>
              </w:rPr>
              <w:t>2025</w:t>
            </w:r>
          </w:p>
        </w:tc>
        <w:tc>
          <w:tcPr>
            <w:tcW w:w="16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ind w:right="932"/>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1"/>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58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r>
      <w:tr>
        <w:trPr>
          <w:trHeight w:val="23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5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(206,904)</w:t>
            </w:r>
          </w:p>
        </w:tc>
        <w:tc>
          <w:tcPr>
            <w:tcW w:w="160" w:type="dxa"/>
            <w:vAlign w:val="bottom"/>
          </w:tcPr>
          <w:p>
            <w:pPr>
              <w:spacing w:after="0"/>
              <w:rPr>
                <w:sz w:val="19"/>
                <w:szCs w:val="19"/>
                <w:color w:val="auto"/>
              </w:rPr>
            </w:pP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(61,195)</w:t>
            </w:r>
          </w:p>
        </w:tc>
      </w:tr>
      <w:tr>
        <w:trPr>
          <w:trHeight w:val="23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58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r>
      <w:tr>
        <w:trPr>
          <w:trHeight w:val="230"/>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Weighted-average shares outstanding, basic and diluted</w:t>
            </w:r>
          </w:p>
        </w:tc>
        <w:tc>
          <w:tcPr>
            <w:tcW w:w="5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104,275,265</w:t>
            </w:r>
          </w:p>
        </w:tc>
        <w:tc>
          <w:tcPr>
            <w:tcW w:w="16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17,476,105</w:t>
            </w:r>
          </w:p>
        </w:tc>
      </w:tr>
      <w:tr>
        <w:trPr>
          <w:trHeight w:val="248"/>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 table below sets forth a listing of potentially dilutive securities that were excluded from the calculation of diluted net loss per share attributable to common shareholders because the impact of including them would have been anti-dilutive or out-of-the-money:</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360" w:type="dxa"/>
            <w:vAlign w:val="bottom"/>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3"/>
          </w:tcPr>
          <w:p>
            <w:pPr>
              <w:ind w:left="360"/>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1600" w:type="dxa"/>
            <w:vAlign w:val="bottom"/>
            <w:tcBorders>
              <w:bottom w:val="single" w:sz="8" w:color="auto"/>
            </w:tcBorders>
          </w:tcPr>
          <w:p>
            <w:pPr>
              <w:spacing w:after="0"/>
              <w:rPr>
                <w:sz w:val="18"/>
                <w:szCs w:val="18"/>
                <w:color w:val="auto"/>
              </w:rPr>
            </w:pPr>
          </w:p>
        </w:tc>
      </w:tr>
      <w:tr>
        <w:trPr>
          <w:trHeight w:val="213"/>
        </w:trPr>
        <w:tc>
          <w:tcPr>
            <w:tcW w:w="6360" w:type="dxa"/>
            <w:vAlign w:val="bottom"/>
            <w:tcBorders>
              <w:bottom w:val="single" w:sz="8" w:color="CCEEFF"/>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94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851"/>
              <w:spacing w:after="0" w:line="213" w:lineRule="exact"/>
              <w:rPr>
                <w:sz w:val="20"/>
                <w:szCs w:val="20"/>
                <w:color w:val="auto"/>
              </w:rPr>
            </w:pPr>
            <w:r>
              <w:rPr>
                <w:rFonts w:ascii="Times New Roman" w:cs="Times New Roman" w:eastAsia="Times New Roman" w:hAnsi="Times New Roman"/>
                <w:sz w:val="16"/>
                <w:szCs w:val="16"/>
                <w:b w:val="1"/>
                <w:bCs w:val="1"/>
                <w:color w:val="auto"/>
              </w:rPr>
              <w:t xml:space="preserve">2024 </w:t>
            </w:r>
            <w:r>
              <w:rPr>
                <w:rFonts w:ascii="Times New Roman" w:cs="Times New Roman" w:eastAsia="Times New Roman" w:hAnsi="Times New Roman"/>
                <w:sz w:val="21"/>
                <w:szCs w:val="21"/>
                <w:b w:val="1"/>
                <w:bCs w:val="1"/>
                <w:color w:val="auto"/>
                <w:vertAlign w:val="superscript"/>
              </w:rPr>
              <w:t>(1)</w:t>
            </w:r>
          </w:p>
        </w:tc>
      </w:tr>
      <w:tr>
        <w:trPr>
          <w:trHeight w:val="223"/>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14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28,746,278</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12,736,621</w:t>
            </w:r>
          </w:p>
        </w:tc>
      </w:tr>
      <w:tr>
        <w:trPr>
          <w:trHeight w:val="230"/>
        </w:trPr>
        <w:tc>
          <w:tcPr>
            <w:tcW w:w="7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RSUs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9,359,499</w:t>
            </w: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3,743,578</w:t>
            </w:r>
          </w:p>
        </w:tc>
      </w:tr>
      <w:tr>
        <w:trPr>
          <w:trHeight w:val="230"/>
        </w:trPr>
        <w:tc>
          <w:tcPr>
            <w:tcW w:w="7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Earnout shares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17,600,000</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Warrants issued to an advisor</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Polar warrants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9,375,000</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BZAI warrants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29,648,250</w:t>
            </w: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Legacy Blaize redeemable convertible preferred stock</w:t>
            </w:r>
          </w:p>
        </w:tc>
        <w:tc>
          <w:tcPr>
            <w:tcW w:w="1860" w:type="dxa"/>
            <w:vAlign w:val="bottom"/>
            <w:gridSpan w:val="3"/>
            <w:shd w:val="clear" w:color="auto" w:fill="CCEEFF"/>
          </w:tcPr>
          <w:p>
            <w:pPr>
              <w:jc w:val="right"/>
              <w:ind w:right="98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34,702,999</w:t>
            </w:r>
          </w:p>
        </w:tc>
      </w:tr>
      <w:tr>
        <w:trPr>
          <w:trHeight w:val="230"/>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Legacy Blaize warrants</w:t>
            </w:r>
          </w:p>
        </w:tc>
        <w:tc>
          <w:tcPr>
            <w:tcW w:w="14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4,695,604</w:t>
            </w:r>
          </w:p>
        </w:tc>
      </w:tr>
      <w:tr>
        <w:trPr>
          <w:trHeight w:val="243"/>
        </w:trPr>
        <w:tc>
          <w:tcPr>
            <w:tcW w:w="7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94,779,027</w:t>
            </w:r>
          </w:p>
        </w:tc>
        <w:tc>
          <w:tcPr>
            <w:tcW w:w="16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55,878,802</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right="140" w:firstLine="8"/>
        <w:spacing w:after="0" w:line="242" w:lineRule="auto"/>
        <w:tabs>
          <w:tab w:leader="none" w:pos="181" w:val="left"/>
        </w:tabs>
        <w:numPr>
          <w:ilvl w:val="0"/>
          <w:numId w:val="3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On the date of the Merger, the Legacy Blaize redeemable convertible preferred stock and Legacy Blaize warrants were converted into common stock of the Company. Upon the consummation of the Merger, each outstanding stock</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240"/>
          </w:cols>
          <w:pgMar w:left="320" w:top="117" w:right="339" w:bottom="1440" w:gutter="0" w:footer="0" w:header="0"/>
        </w:sectPr>
      </w:pPr>
    </w:p>
    <w:bookmarkStart w:id="94" w:name="page95"/>
    <w:bookmarkEnd w:id="94"/>
    <w:p>
      <w:pPr>
        <w:jc w:val="center"/>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THE CONSOLIDATED FINANCIAL STATEMENTS </w:t>
      </w:r>
      <w:r>
        <w:rPr>
          <w:rFonts w:ascii="Times New Roman" w:cs="Times New Roman" w:eastAsia="Times New Roman" w:hAnsi="Times New Roman"/>
          <w:sz w:val="18"/>
          <w:szCs w:val="18"/>
          <w:color w:val="auto"/>
        </w:rPr>
        <w:t>(cont.)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option to purchase Legacy Blaize common stock was converted into a stock option of the Company, upon substantially the same terms and conditions as in effect with respect to the corresponding Legacy Blaize option, and the right to receive a number of earnout shares. Additionally, each Legacy Blaize RSU was converted into an RSU of the Company, upon substantially the same terms and conditions as in effect with respect to the corresponding Legacy Blaize RSU, and the right to receive a number of earnout shares. Certain Legacy Blaize RSUs were converted to shares of the Company’s common stock on the date of the Merger, as these RSUs included a liquidity condition which was satisfied upon the event of the Merger.</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Segment Reporting</w:t>
      </w:r>
    </w:p>
    <w:p>
      <w:pPr>
        <w:spacing w:after="0" w:line="25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 operates as a single operating and reportable segment. “Operating segments” are defined as components of the Company that engage in business activities with distinct financial information that is evaluated regularly by the chief operating decision maker (“CODM”) in deciding how to allocate resources and assess performance. The Company’s CODM is its chief executive officer, who regularly reviews financial information presented on a consolidated basis for the purpose of making decisions and assessing financial performance, as the Company’s products and services have similar economic characteristics.</w:t>
      </w:r>
    </w:p>
    <w:p>
      <w:pPr>
        <w:spacing w:after="0" w:line="210"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financial information received by the CODM focuses primarily on total available cash and cash equivalents, total revenue, significant expenses, net loss, and earnings before interest, tax, depreciation and amortization (“EBITDA”), and EBITDA as further adjusted for certain non-cash items and other adjustments that the CODM does not consider in their evaluation of ongoing operating performance from period to period (“Adjusted EBITDA”), to make decisions regarding the Company’s strategy, including the allocation of resources, as well as the Company’s assessment of operating performance.</w:t>
      </w:r>
    </w:p>
    <w:p>
      <w:pPr>
        <w:spacing w:after="0" w:line="207"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As the Company operates as a single operating segment, the measures of total available cash and cash equivalents, total revenue and net loss, as reviewed by the CODM, are set forth on the consolidated financial statements, as well as in certain notes to the consolidated financial statements. See Note 5 — “Fair Value Measurements and Derivative Instruments” for details regarding the Company’s cash equivalents. See Note 4 — “Revenue and Accounts Receivable” for details regarding the Company’s total revenue disaggregated by customer geographical location and the major customer concentrations of the Company’s total revenue and accounts receivable balances.</w:t>
      </w:r>
    </w:p>
    <w:p>
      <w:pPr>
        <w:spacing w:after="0" w:line="210"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Similarly, as the Company operates in a single segment, the consolidated statements of operations provide one view of the Company’s significant expenses. Additional to the consolidated statements of operations, the CODM regularly reviews the significant expense categories in the calculation of net loss, set forth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36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4300" w:type="dxa"/>
            <w:vAlign w:val="bottom"/>
            <w:tcBorders>
              <w:bottom w:val="single" w:sz="8" w:color="auto"/>
            </w:tcBorders>
            <w:gridSpan w:val="4"/>
          </w:tcPr>
          <w:p>
            <w:pPr>
              <w:jc w:val="right"/>
              <w:ind w:right="1171"/>
              <w:spacing w:after="0"/>
              <w:rPr>
                <w:sz w:val="20"/>
                <w:szCs w:val="20"/>
                <w:color w:val="auto"/>
              </w:rPr>
            </w:pPr>
            <w:r>
              <w:rPr>
                <w:rFonts w:ascii="Times New Roman" w:cs="Times New Roman" w:eastAsia="Times New Roman" w:hAnsi="Times New Roman"/>
                <w:sz w:val="16"/>
                <w:szCs w:val="16"/>
                <w:b w:val="1"/>
                <w:bCs w:val="1"/>
                <w:color w:val="auto"/>
              </w:rPr>
              <w:t>For the Year Ended December 31,</w:t>
            </w:r>
          </w:p>
        </w:tc>
      </w:tr>
      <w:tr>
        <w:trPr>
          <w:trHeight w:val="214"/>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(Amounts in thousands)</w:t>
            </w:r>
          </w:p>
        </w:tc>
        <w:tc>
          <w:tcPr>
            <w:tcW w:w="58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ind w:right="93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6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ind w:right="931"/>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5"/>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Revenue</w:t>
            </w:r>
          </w:p>
        </w:tc>
        <w:tc>
          <w:tcPr>
            <w:tcW w:w="58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38,632</w:t>
            </w: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1,554</w:t>
            </w:r>
          </w:p>
        </w:tc>
      </w:tr>
      <w:tr>
        <w:trPr>
          <w:trHeight w:val="230"/>
        </w:trPr>
        <w:tc>
          <w:tcPr>
            <w:tcW w:w="6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Cost of revenue</w:t>
            </w:r>
          </w:p>
        </w:tc>
        <w:tc>
          <w:tcPr>
            <w:tcW w:w="5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(32,438)</w:t>
            </w: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w:t>
            </w:r>
          </w:p>
        </w:tc>
      </w:tr>
      <w:tr>
        <w:trPr>
          <w:trHeight w:val="230"/>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Employee costs</w:t>
            </w:r>
          </w:p>
        </w:tc>
        <w:tc>
          <w:tcPr>
            <w:tcW w:w="5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(69,090)</w:t>
            </w: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(31,981)</w:t>
            </w:r>
          </w:p>
        </w:tc>
      </w:tr>
      <w:tr>
        <w:trPr>
          <w:trHeight w:val="230"/>
        </w:trPr>
        <w:tc>
          <w:tcPr>
            <w:tcW w:w="6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Technology costs</w:t>
            </w:r>
          </w:p>
        </w:tc>
        <w:tc>
          <w:tcPr>
            <w:tcW w:w="5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(6,327)</w:t>
            </w: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(4,694)</w:t>
            </w:r>
          </w:p>
        </w:tc>
      </w:tr>
      <w:tr>
        <w:trPr>
          <w:trHeight w:val="229"/>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w:t>
            </w:r>
          </w:p>
        </w:tc>
        <w:tc>
          <w:tcPr>
            <w:tcW w:w="5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(1,195)</w:t>
            </w: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w:t>
            </w:r>
          </w:p>
        </w:tc>
      </w:tr>
      <w:tr>
        <w:trPr>
          <w:trHeight w:val="230"/>
        </w:trPr>
        <w:tc>
          <w:tcPr>
            <w:tcW w:w="6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income, net</w:t>
            </w:r>
          </w:p>
        </w:tc>
        <w:tc>
          <w:tcPr>
            <w:tcW w:w="5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1,752</w:t>
            </w: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1,904</w:t>
            </w:r>
          </w:p>
        </w:tc>
      </w:tr>
      <w:tr>
        <w:trPr>
          <w:trHeight w:val="230"/>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Fair value changes and financing charges</w:t>
            </w:r>
          </w:p>
        </w:tc>
        <w:tc>
          <w:tcPr>
            <w:tcW w:w="5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(104,872)</w:t>
            </w: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(16,187)</w:t>
            </w:r>
          </w:p>
        </w:tc>
      </w:tr>
      <w:tr>
        <w:trPr>
          <w:trHeight w:val="230"/>
        </w:trPr>
        <w:tc>
          <w:tcPr>
            <w:tcW w:w="6360" w:type="dxa"/>
            <w:vAlign w:val="bottom"/>
            <w:tcBorders>
              <w:bottom w:val="single" w:sz="8" w:color="CCEEFF"/>
            </w:tcBorders>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Other items </w:t>
            </w:r>
            <w:r>
              <w:rPr>
                <w:rFonts w:ascii="Times New Roman" w:cs="Times New Roman" w:eastAsia="Times New Roman" w:hAnsi="Times New Roman"/>
                <w:sz w:val="23"/>
                <w:szCs w:val="23"/>
                <w:color w:val="auto"/>
                <w:vertAlign w:val="superscript"/>
              </w:rPr>
              <w:t>(1)</w:t>
            </w:r>
          </w:p>
        </w:tc>
        <w:tc>
          <w:tcPr>
            <w:tcW w:w="5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(33,366)</w:t>
            </w:r>
          </w:p>
        </w:tc>
        <w:tc>
          <w:tcPr>
            <w:tcW w:w="16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(10,326)</w:t>
            </w:r>
          </w:p>
        </w:tc>
      </w:tr>
      <w:tr>
        <w:trPr>
          <w:trHeight w:val="248"/>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(206,904)</w:t>
            </w:r>
          </w:p>
        </w:tc>
        <w:tc>
          <w:tcPr>
            <w:tcW w:w="1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(61,195)</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60" w:firstLine="8"/>
        <w:spacing w:after="0" w:line="242" w:lineRule="auto"/>
        <w:tabs>
          <w:tab w:leader="none" w:pos="181" w:val="left"/>
        </w:tabs>
        <w:numPr>
          <w:ilvl w:val="0"/>
          <w:numId w:val="3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“Other items” includes marketing expenses, professional fees, facilities costs, foreign exchange gains and losses, credit loss estimates, income taxes, and other overhead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1240"/>
          </w:cols>
          <w:pgMar w:left="320" w:top="117" w:right="339" w:bottom="1440" w:gutter="0" w:footer="0" w:header="0"/>
        </w:sectPr>
      </w:pPr>
    </w:p>
    <w:bookmarkStart w:id="95" w:name="page96"/>
    <w:bookmarkEnd w:id="95"/>
    <w:p>
      <w:pPr>
        <w:jc w:val="center"/>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THE CONSOLIDATED FINANCIAL STATEMENTS </w:t>
      </w:r>
      <w:r>
        <w:rPr>
          <w:rFonts w:ascii="Times New Roman" w:cs="Times New Roman" w:eastAsia="Times New Roman" w:hAnsi="Times New Roman"/>
          <w:sz w:val="18"/>
          <w:szCs w:val="18"/>
          <w:color w:val="auto"/>
        </w:rPr>
        <w:t>(cont.)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Company’s reconciliation of net loss to EBITDA and Adjusted EBITDA:</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82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3900" w:type="dxa"/>
            <w:vAlign w:val="bottom"/>
            <w:tcBorders>
              <w:bottom w:val="single" w:sz="8" w:color="auto"/>
            </w:tcBorders>
            <w:gridSpan w:val="4"/>
          </w:tcPr>
          <w:p>
            <w:pPr>
              <w:jc w:val="right"/>
              <w:ind w:right="951"/>
              <w:spacing w:after="0"/>
              <w:rPr>
                <w:sz w:val="20"/>
                <w:szCs w:val="20"/>
                <w:color w:val="auto"/>
              </w:rPr>
            </w:pPr>
            <w:r>
              <w:rPr>
                <w:rFonts w:ascii="Times New Roman" w:cs="Times New Roman" w:eastAsia="Times New Roman" w:hAnsi="Times New Roman"/>
                <w:sz w:val="16"/>
                <w:szCs w:val="16"/>
                <w:b w:val="1"/>
                <w:bCs w:val="1"/>
                <w:color w:val="auto"/>
              </w:rPr>
              <w:t>For the Year Ended December 31,</w:t>
            </w:r>
          </w:p>
        </w:tc>
      </w:tr>
      <w:tr>
        <w:trPr>
          <w:trHeight w:val="214"/>
        </w:trPr>
        <w:tc>
          <w:tcPr>
            <w:tcW w:w="6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(Amounts in thousands)</w:t>
            </w:r>
          </w:p>
        </w:tc>
        <w:tc>
          <w:tcPr>
            <w:tcW w:w="5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83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831"/>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5"/>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5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(206,904)</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(61,195)</w:t>
            </w:r>
          </w:p>
        </w:tc>
      </w:tr>
      <w:tr>
        <w:trPr>
          <w:trHeight w:val="230"/>
        </w:trPr>
        <w:tc>
          <w:tcPr>
            <w:tcW w:w="6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w:t>
            </w:r>
          </w:p>
        </w:tc>
        <w:tc>
          <w:tcPr>
            <w:tcW w:w="5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1,195</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886</w:t>
            </w:r>
          </w:p>
        </w:tc>
      </w:tr>
      <w:tr>
        <w:trPr>
          <w:trHeight w:val="229"/>
        </w:trPr>
        <w:tc>
          <w:tcPr>
            <w:tcW w:w="6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5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w:t>
            </w:r>
          </w:p>
        </w:tc>
      </w:tr>
      <w:tr>
        <w:trPr>
          <w:trHeight w:val="230"/>
        </w:trPr>
        <w:tc>
          <w:tcPr>
            <w:tcW w:w="68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Interest income, net</w:t>
            </w:r>
          </w:p>
        </w:tc>
        <w:tc>
          <w:tcPr>
            <w:tcW w:w="5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(1,752)</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(1,904)</w:t>
            </w:r>
          </w:p>
        </w:tc>
      </w:tr>
      <w:tr>
        <w:trPr>
          <w:trHeight w:val="223"/>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EBITDA</w:t>
            </w:r>
          </w:p>
        </w:tc>
        <w:tc>
          <w:tcPr>
            <w:tcW w:w="5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(207,244)</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(63,165)</w:t>
            </w:r>
          </w:p>
        </w:tc>
      </w:tr>
      <w:tr>
        <w:trPr>
          <w:trHeight w:val="230"/>
        </w:trPr>
        <w:tc>
          <w:tcPr>
            <w:tcW w:w="6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5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37,546</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3,847</w:t>
            </w:r>
          </w:p>
        </w:tc>
      </w:tr>
      <w:tr>
        <w:trPr>
          <w:trHeight w:val="229"/>
        </w:trPr>
        <w:tc>
          <w:tcPr>
            <w:tcW w:w="6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Fair value changes and financing charges</w:t>
            </w:r>
          </w:p>
        </w:tc>
        <w:tc>
          <w:tcPr>
            <w:tcW w:w="5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104,872</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16,187</w:t>
            </w:r>
          </w:p>
        </w:tc>
      </w:tr>
      <w:tr>
        <w:trPr>
          <w:trHeight w:val="229"/>
        </w:trPr>
        <w:tc>
          <w:tcPr>
            <w:tcW w:w="6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Transaction costs</w:t>
            </w:r>
          </w:p>
        </w:tc>
        <w:tc>
          <w:tcPr>
            <w:tcW w:w="5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12,043</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r>
      <w:tr>
        <w:trPr>
          <w:trHeight w:val="230"/>
        </w:trPr>
        <w:tc>
          <w:tcPr>
            <w:tcW w:w="6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Non-cash inventory cost realignment adjustments</w:t>
            </w:r>
          </w:p>
        </w:tc>
        <w:tc>
          <w:tcPr>
            <w:tcW w:w="5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w:t>
            </w:r>
          </w:p>
        </w:tc>
      </w:tr>
      <w:tr>
        <w:trPr>
          <w:trHeight w:val="229"/>
        </w:trPr>
        <w:tc>
          <w:tcPr>
            <w:tcW w:w="6820" w:type="dxa"/>
            <w:vAlign w:val="bottom"/>
            <w:tcBorders>
              <w:bottom w:val="single" w:sz="8" w:color="CCEEFF"/>
            </w:tcBorders>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Other adjustments </w:t>
            </w:r>
            <w:r>
              <w:rPr>
                <w:rFonts w:ascii="Times New Roman" w:cs="Times New Roman" w:eastAsia="Times New Roman" w:hAnsi="Times New Roman"/>
                <w:sz w:val="23"/>
                <w:szCs w:val="23"/>
                <w:color w:val="auto"/>
                <w:vertAlign w:val="superscript"/>
              </w:rPr>
              <w:t>(1)</w:t>
            </w:r>
          </w:p>
        </w:tc>
        <w:tc>
          <w:tcPr>
            <w:tcW w:w="5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3,091</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567</w:t>
            </w:r>
          </w:p>
        </w:tc>
      </w:tr>
      <w:tr>
        <w:trPr>
          <w:trHeight w:val="248"/>
        </w:trPr>
        <w:tc>
          <w:tcPr>
            <w:tcW w:w="6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(50,478)</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(42,696)</w:t>
            </w: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right="60" w:firstLine="8"/>
        <w:spacing w:after="0" w:line="404" w:lineRule="auto"/>
        <w:tabs>
          <w:tab w:leader="none" w:pos="165" w:val="left"/>
        </w:tabs>
        <w:numPr>
          <w:ilvl w:val="0"/>
          <w:numId w:val="36"/>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“Other adjustments” includes, but is not limited to, other non-cash expenses, including foreign exchange gains and losses, and income and expenses that are not expected to be ongoing, including litigation expenses, financing advisory fees, and fines and penalties (or the recoveries and reversals of such). The Company believes that these items are not reflective of its ongoing operating performance and excluding these items provides a more meaningful comparison of its results of operations over comparative periods.</w:t>
      </w:r>
    </w:p>
    <w:p>
      <w:pPr>
        <w:spacing w:after="0" w:line="100"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The measure of segment assets is reported on the consolidated balance sheet as the Company operates as a single operating segment and the CODM reviews the assets on a consolidated basis. As such, no asset reconciliation adjustments are required. See Note 8 — “Leases and Geographic Location of ROU Assets” and Note 9 — “Property and Equipment Details and Geographic Location” for details regarding the geographic location of the Company’s long-lived assets.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Related Party Transactions and Balances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Transactions with the Sponsor and its affiliates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Partner Referral Agreement</w:t>
      </w:r>
    </w:p>
    <w:p>
      <w:pPr>
        <w:spacing w:after="0" w:line="254"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On June 30, 2025, the Company entered into a Sales Partner Referral Agreement (the “Referral Agreement”) with Burkhan LLC (the “Sales Partner”), an affiliate of the Sponsor.</w:t>
      </w:r>
    </w:p>
    <w:p>
      <w:pPr>
        <w:spacing w:after="0" w:line="189" w:lineRule="exact"/>
        <w:rPr>
          <w:sz w:val="20"/>
          <w:szCs w:val="20"/>
          <w:color w:val="auto"/>
        </w:rPr>
      </w:pPr>
    </w:p>
    <w:p>
      <w:pPr>
        <w:jc w:val="both"/>
        <w:ind w:right="220"/>
        <w:spacing w:after="0" w:line="258" w:lineRule="auto"/>
        <w:rPr>
          <w:sz w:val="20"/>
          <w:szCs w:val="20"/>
          <w:color w:val="auto"/>
        </w:rPr>
      </w:pPr>
      <w:r>
        <w:rPr>
          <w:rFonts w:ascii="Times New Roman" w:cs="Times New Roman" w:eastAsia="Times New Roman" w:hAnsi="Times New Roman"/>
          <w:sz w:val="18"/>
          <w:szCs w:val="18"/>
          <w:color w:val="auto"/>
        </w:rPr>
        <w:t>The Referral Agreement has an initial approved customer of BurTech Systems Tech LLC (“BST”), an affiliate of the Sales Partner. Under the agreement, BST will purchase, subject to the issuance of purchase orders, up to $56.5 million of the Company’s products on behalf of a certain unaffiliated end user. The Sales Partner will receive a commission from the Company of up to 10%, depending on the Company’s gross margins under the purchase order. The sales commission is payable in cash, or, partially, at the Company’s discretion, in shares of the Company’s common stock. The commission is payable to BST once the Company receives cash from these sales.</w:t>
      </w:r>
    </w:p>
    <w:p>
      <w:pPr>
        <w:spacing w:after="0" w:line="210"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2025, the Company recognized $3.0 million in revenue from the Referral Agreement, inclusive of sales commissions of $0.3 million, which was reported as a reduction of revenue.</w:t>
      </w:r>
    </w:p>
    <w:p>
      <w:pPr>
        <w:spacing w:after="0" w:line="18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As of December 31, 2025, the Company had recorded $3.4 million, gross, in accounts receivable - related party due from BST in relation to these sales. The sales commission payable of $0.3 million was recorded as “accrued expenses - related party” on the Company’s consolidated balance sheet as of December 31, 2025. Subsequent to December 31, 2025, BST paid the Company in full, and the Company released the sales commission payable, electing full cash payment for the sales commission.</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1240"/>
          </w:cols>
          <w:pgMar w:left="320" w:top="117" w:right="339" w:bottom="1440" w:gutter="0" w:footer="0" w:header="0"/>
          <w:type w:val="continuous"/>
        </w:sectPr>
      </w:pPr>
    </w:p>
    <w:bookmarkStart w:id="96" w:name="page97"/>
    <w:bookmarkEnd w:id="96"/>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 xml:space="preserve">NOTES TO THE CONSOLIDATED FINANCIAL STATEMENTS </w:t>
      </w:r>
      <w:r>
        <w:rPr>
          <w:rFonts w:ascii="Times New Roman" w:cs="Times New Roman" w:eastAsia="Times New Roman" w:hAnsi="Times New Roman"/>
          <w:sz w:val="18"/>
          <w:szCs w:val="18"/>
          <w:color w:val="auto"/>
        </w:rPr>
        <w:t>(cont.)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earnout shares - related party</w:t>
      </w:r>
    </w:p>
    <w:p>
      <w:pPr>
        <w:spacing w:after="0" w:line="254"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A portion of the “other earnout shares” were issued to an affiliate of the Sponsor at the time of the Merger. See Note 11 — “Common Stock, Currently Outstanding Warrants to Purchase Common Stock, and Earnout Shares”. The fair value of these other earnout shares as of December 31, 2025 was $2.2 million as set forth on the Company’s consolidated balance sheets as of December 31, 2025.</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Working capital loan - related party</w:t>
      </w:r>
    </w:p>
    <w:p>
      <w:pPr>
        <w:spacing w:after="0" w:line="254"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Immediately prior to the consummation of the Merger, the Company issued an unsecured promissory note to the Sponsor, pursuant to which it borrowed $1.5 million for general corporate purposes. On the date of the Merger, this loan was recorded on the Company’s consolidated balance sheet, and was outstanding as of December 31, 2025. Repayment has been demanded by the Sponsor.</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Advances from related party</w:t>
      </w:r>
    </w:p>
    <w:p>
      <w:pPr>
        <w:spacing w:after="0" w:line="254"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Immediately prior to the consummation of the Merger, the Sponsor provided the Company with certain working capital advances, which are non-interest bearing and payable on demand, in the amount of $2.9 million. These amounts are reflected on the consolidated balance sheet as of December 31, 2025 as “advances from related party”. Repayment has been demanded by the Sponsor.</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Accounts payable - related party</w:t>
      </w:r>
    </w:p>
    <w:p>
      <w:pPr>
        <w:spacing w:after="0" w:line="254"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Immediately prior to the consummation of the Merger, the Company owed management fees in the amount of $0.2 million to the Sponsor. These amounts are reflected on the consolidated balance sheets as of December 31, 2025 as “accounts payable - related party”.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Shareholder note receivable</w:t>
      </w:r>
    </w:p>
    <w:p>
      <w:pPr>
        <w:spacing w:after="0" w:line="25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Immediately prior to the consummation of the Merger, the Sponsor issued a secured promissory note and pledge agreement (the “shareholder note receivable”) to the Company which will decrease when the Sponsor pays for transaction costs that the Company assumed from the Sponsor during the Merger. The shareholder note receivable is secured by collateral of 2,000,000 shares of the Company’s common stock owned by the Sponsor. As of December 31, 2025, the outstanding principal of the shareholder note receivable was $8.6 million, the amount of which has been deducted from additional paid-in capital on the Company’s consolidated balance sheet as of that date.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Non-Redemption Agreements</w:t>
      </w:r>
    </w:p>
    <w:p>
      <w:pPr>
        <w:spacing w:after="0" w:line="25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On December 31, 2024 and through January 13, 2025, the Company, its Sponsor, and Legacy Blaize entered into non-redemption agreements with several unaffiliated stockholders (each, an “Investor”) who agreed not to redeem (or, alternately, to validly rescind any redemption requests on) their shares of common stock (“Non-Redeemed Shares”) through up to 180 days after the Closing Date. These Non-Redeemed Shares were exchanged for shares of the Company’s common stock and were held in a separate escrow account. In exchange for the foregoing commitments not to redeem the Non-Redeemed Shares, the Sponsor agreed to guarantee that each Investor receive a return of $1.50 per Non-Redeemed Share held in a related cash escrow account, subject to certain conditions. The Sponsor, and not the Company, was contractually obligated for the $1.50 per share premium related to these non-redemption agreements. Accordingly, the Company did not recognize a non-redemption liability for the Sponsor’s commitment.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1140"/>
          </w:cols>
          <w:pgMar w:left="320" w:top="117" w:right="439" w:bottom="1440" w:gutter="0" w:footer="0" w:header="0"/>
        </w:sectPr>
      </w:pPr>
    </w:p>
    <w:bookmarkStart w:id="97" w:name="page98"/>
    <w:bookmarkEnd w:id="97"/>
    <w:p>
      <w:pPr>
        <w:jc w:val="center"/>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THE CONSOLIDATED FINANCIAL STATEMENTS </w:t>
      </w:r>
      <w:r>
        <w:rPr>
          <w:rFonts w:ascii="Times New Roman" w:cs="Times New Roman" w:eastAsia="Times New Roman" w:hAnsi="Times New Roman"/>
          <w:sz w:val="18"/>
          <w:szCs w:val="18"/>
          <w:color w:val="auto"/>
        </w:rPr>
        <w:t>(cont.)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Transactions with other related parties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Transactions with other related parties for advisory and marketing services, and a related party employed by the Company are set forth in the table below:</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8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4000" w:type="dxa"/>
            <w:vAlign w:val="bottom"/>
            <w:tcBorders>
              <w:bottom w:val="single" w:sz="8" w:color="auto"/>
            </w:tcBorders>
            <w:gridSpan w:val="4"/>
          </w:tcPr>
          <w:p>
            <w:pPr>
              <w:jc w:val="right"/>
              <w:ind w:right="610"/>
              <w:spacing w:after="0"/>
              <w:rPr>
                <w:sz w:val="20"/>
                <w:szCs w:val="20"/>
                <w:color w:val="auto"/>
              </w:rPr>
            </w:pPr>
            <w:r>
              <w:rPr>
                <w:rFonts w:ascii="Times New Roman" w:cs="Times New Roman" w:eastAsia="Times New Roman" w:hAnsi="Times New Roman"/>
                <w:sz w:val="16"/>
                <w:szCs w:val="16"/>
                <w:b w:val="1"/>
                <w:bCs w:val="1"/>
                <w:color w:val="auto"/>
              </w:rPr>
              <w:t>As of and for the Year Ended December 31,</w:t>
            </w:r>
          </w:p>
        </w:tc>
      </w:tr>
      <w:tr>
        <w:trPr>
          <w:trHeight w:val="226"/>
        </w:trPr>
        <w:tc>
          <w:tcPr>
            <w:tcW w:w="6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(Amounts in thousands)</w:t>
            </w:r>
          </w:p>
        </w:tc>
        <w:tc>
          <w:tcPr>
            <w:tcW w:w="4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ind w:right="811"/>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09"/>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to other related parties:</w:t>
            </w:r>
          </w:p>
        </w:tc>
        <w:tc>
          <w:tcPr>
            <w:tcW w:w="4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r>
      <w:tr>
        <w:trPr>
          <w:trHeight w:val="230"/>
        </w:trPr>
        <w:tc>
          <w:tcPr>
            <w:tcW w:w="6820" w:type="dxa"/>
            <w:vAlign w:val="bottom"/>
          </w:tcPr>
          <w:p>
            <w:pPr>
              <w:ind w:left="240"/>
              <w:spacing w:after="0" w:line="230" w:lineRule="exact"/>
              <w:rPr>
                <w:sz w:val="20"/>
                <w:szCs w:val="20"/>
                <w:color w:val="auto"/>
              </w:rPr>
            </w:pPr>
            <w:r>
              <w:rPr>
                <w:rFonts w:ascii="Times New Roman" w:cs="Times New Roman" w:eastAsia="Times New Roman" w:hAnsi="Times New Roman"/>
                <w:sz w:val="18"/>
                <w:szCs w:val="18"/>
                <w:color w:val="auto"/>
              </w:rPr>
              <w:t xml:space="preserve">Advisory services </w:t>
            </w:r>
            <w:r>
              <w:rPr>
                <w:rFonts w:ascii="Times New Roman" w:cs="Times New Roman" w:eastAsia="Times New Roman" w:hAnsi="Times New Roman"/>
                <w:sz w:val="23"/>
                <w:szCs w:val="23"/>
                <w:color w:val="auto"/>
                <w:vertAlign w:val="superscript"/>
              </w:rPr>
              <w:t>(1)</w:t>
            </w: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820" w:type="dxa"/>
            <w:vAlign w:val="bottom"/>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 xml:space="preserve">Marketing services </w:t>
            </w:r>
            <w:r>
              <w:rPr>
                <w:rFonts w:ascii="Times New Roman" w:cs="Times New Roman" w:eastAsia="Times New Roman" w:hAnsi="Times New Roman"/>
                <w:sz w:val="23"/>
                <w:szCs w:val="23"/>
                <w:color w:val="auto"/>
                <w:vertAlign w:val="superscript"/>
              </w:rPr>
              <w:t>(2)</w:t>
            </w:r>
          </w:p>
        </w:tc>
        <w:tc>
          <w:tcPr>
            <w:tcW w:w="4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w:t>
            </w:r>
          </w:p>
        </w:tc>
      </w:tr>
      <w:tr>
        <w:trPr>
          <w:trHeight w:val="229"/>
        </w:trPr>
        <w:tc>
          <w:tcPr>
            <w:tcW w:w="6820" w:type="dxa"/>
            <w:vAlign w:val="bottom"/>
            <w:tcBorders>
              <w:bottom w:val="single" w:sz="8" w:color="CCEEFF"/>
            </w:tcBorders>
          </w:tcPr>
          <w:p>
            <w:pPr>
              <w:ind w:left="240"/>
              <w:spacing w:after="0" w:line="230" w:lineRule="exact"/>
              <w:rPr>
                <w:sz w:val="20"/>
                <w:szCs w:val="20"/>
                <w:color w:val="auto"/>
              </w:rPr>
            </w:pPr>
            <w:r>
              <w:rPr>
                <w:rFonts w:ascii="Times New Roman" w:cs="Times New Roman" w:eastAsia="Times New Roman" w:hAnsi="Times New Roman"/>
                <w:sz w:val="18"/>
                <w:szCs w:val="18"/>
                <w:color w:val="auto"/>
              </w:rPr>
              <w:t xml:space="preserve">Cash compensation paid to related party employee </w:t>
            </w:r>
            <w:r>
              <w:rPr>
                <w:rFonts w:ascii="Times New Roman" w:cs="Times New Roman" w:eastAsia="Times New Roman" w:hAnsi="Times New Roman"/>
                <w:sz w:val="23"/>
                <w:szCs w:val="23"/>
                <w:color w:val="auto"/>
                <w:vertAlign w:val="superscript"/>
              </w:rPr>
              <w:t>(3)</w:t>
            </w:r>
          </w:p>
        </w:tc>
        <w:tc>
          <w:tcPr>
            <w:tcW w:w="4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w:t>
            </w:r>
          </w:p>
        </w:tc>
      </w:tr>
      <w:tr>
        <w:trPr>
          <w:trHeight w:val="248"/>
        </w:trPr>
        <w:tc>
          <w:tcPr>
            <w:tcW w:w="6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cash paid to other related parties</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w:t>
            </w: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68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175"/>
        </w:trPr>
        <w:tc>
          <w:tcPr>
            <w:tcW w:w="68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Included in “prepaid expenses and other current assets - related parties” on the Company’s</w:t>
            </w:r>
          </w:p>
        </w:tc>
        <w:tc>
          <w:tcPr>
            <w:tcW w:w="420" w:type="dxa"/>
            <w:vAlign w:val="bottom"/>
            <w:shd w:val="clear" w:color="auto" w:fill="CCEEFF"/>
          </w:tcPr>
          <w:p>
            <w:pPr>
              <w:spacing w:after="0"/>
              <w:rPr>
                <w:sz w:val="15"/>
                <w:szCs w:val="15"/>
                <w:color w:val="auto"/>
              </w:rPr>
            </w:pPr>
          </w:p>
        </w:tc>
        <w:tc>
          <w:tcPr>
            <w:tcW w:w="1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r>
      <w:tr>
        <w:trPr>
          <w:trHeight w:val="243"/>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consolidated balance sheets</w:t>
            </w: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r>
      <w:tr>
        <w:trPr>
          <w:trHeight w:val="175"/>
        </w:trPr>
        <w:tc>
          <w:tcPr>
            <w:tcW w:w="68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Included in “selling, general and administrative - related party” on the Company’s</w:t>
            </w:r>
          </w:p>
        </w:tc>
        <w:tc>
          <w:tcPr>
            <w:tcW w:w="42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60" w:type="dxa"/>
            <w:vAlign w:val="bottom"/>
          </w:tcPr>
          <w:p>
            <w:pPr>
              <w:spacing w:after="0"/>
              <w:rPr>
                <w:sz w:val="15"/>
                <w:szCs w:val="15"/>
                <w:color w:val="auto"/>
              </w:rPr>
            </w:pPr>
          </w:p>
        </w:tc>
      </w:tr>
      <w:tr>
        <w:trPr>
          <w:trHeight w:val="312"/>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consolidated statements of operations </w:t>
            </w:r>
            <w:r>
              <w:rPr>
                <w:rFonts w:ascii="Times New Roman" w:cs="Times New Roman" w:eastAsia="Times New Roman" w:hAnsi="Times New Roman"/>
                <w:sz w:val="23"/>
                <w:szCs w:val="23"/>
                <w:color w:val="auto"/>
                <w:vertAlign w:val="superscript"/>
              </w:rPr>
              <w:t>(3)</w:t>
            </w:r>
          </w:p>
        </w:tc>
        <w:tc>
          <w:tcPr>
            <w:tcW w:w="420" w:type="dxa"/>
            <w:vAlign w:val="bottom"/>
          </w:tcPr>
          <w:p>
            <w:pPr>
              <w:spacing w:after="0"/>
              <w:rPr>
                <w:sz w:val="24"/>
                <w:szCs w:val="24"/>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r>
    </w:tbl>
    <w:p>
      <w:pPr>
        <w:spacing w:after="0" w:line="232" w:lineRule="exact"/>
        <w:rPr>
          <w:sz w:val="20"/>
          <w:szCs w:val="20"/>
          <w:color w:val="auto"/>
        </w:rPr>
      </w:pPr>
    </w:p>
    <w:p>
      <w:pPr>
        <w:ind w:left="180" w:hanging="172"/>
        <w:spacing w:after="0"/>
        <w:tabs>
          <w:tab w:leader="none" w:pos="180" w:val="left"/>
        </w:tabs>
        <w:numPr>
          <w:ilvl w:val="0"/>
          <w:numId w:val="3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Advisory fees were incurred with a family member of a key employee of the Company.</w:t>
      </w:r>
    </w:p>
    <w:p>
      <w:pPr>
        <w:spacing w:after="0" w:line="1" w:lineRule="exact"/>
        <w:rPr>
          <w:rFonts w:ascii="Times New Roman" w:cs="Times New Roman" w:eastAsia="Times New Roman" w:hAnsi="Times New Roman"/>
          <w:sz w:val="22"/>
          <w:szCs w:val="22"/>
          <w:color w:val="auto"/>
          <w:vertAlign w:val="superscript"/>
        </w:rPr>
      </w:pPr>
    </w:p>
    <w:p>
      <w:pPr>
        <w:ind w:right="80" w:firstLine="8"/>
        <w:spacing w:after="0" w:line="230" w:lineRule="auto"/>
        <w:tabs>
          <w:tab w:leader="none" w:pos="181" w:val="left"/>
        </w:tabs>
        <w:numPr>
          <w:ilvl w:val="0"/>
          <w:numId w:val="3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Marketing expenses were incurred with a company owned by a direct family member of a minority stockholder and member of the Company’s Board of Directors.</w:t>
      </w:r>
    </w:p>
    <w:p>
      <w:pPr>
        <w:ind w:right="220" w:firstLine="8"/>
        <w:spacing w:after="0" w:line="242" w:lineRule="auto"/>
        <w:tabs>
          <w:tab w:leader="none" w:pos="181" w:val="left"/>
        </w:tabs>
        <w:numPr>
          <w:ilvl w:val="0"/>
          <w:numId w:val="3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A relative of one of the Company’s named executive officers is employed by the Company, with a total compensation of $0.2 million and $0.1 million during the years ended December 31, 2025 and 2024, respectively. Total compensation as presented in “included in selling, general and administrative - related party” includes an immaterial expense for RSUs, with the fair value of the RSUs as determined on the date of grant.</w:t>
      </w:r>
    </w:p>
    <w:p>
      <w:pPr>
        <w:spacing w:after="0" w:line="223"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2024, the Company recognized revenues of approximately $1.5 million, or approximately 98% of its total revenue, from sales of strategic consulting services to two minority stockholders.</w:t>
      </w:r>
    </w:p>
    <w:p>
      <w:pPr>
        <w:spacing w:after="0" w:line="189"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2024, the Company repaid a demand note due to a minority stockholder and member of the Company’s Board of Directors in the amount of $4.8 million.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Commitments and Contingencies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United States Employees — 401(k) Plan</w:t>
      </w:r>
    </w:p>
    <w:p>
      <w:pPr>
        <w:spacing w:after="0" w:line="256"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A 401(k) plan is provided to employees in the United States that covers substantially all employees meeting certain age and service requirements. The Company makes discretionary matching contributions to the 401(k) plan, with the exception that “highly compensated employees” as defined by U.S. Internal Revenue Service regulations do not receive a matching contribution. Employees who receive matching contributions are immediately fully vested in the employer matching contribution. The Company recorded $0.4 million and $0.2 million in matching contributions for the years ended December 31, 2025 and 2024, respectively.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United Kingdom Employees — Defined Contribution Pension Plan</w:t>
      </w:r>
    </w:p>
    <w:p>
      <w:pPr>
        <w:spacing w:after="0" w:line="25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 voluntary defined contribution pension plan is provided to employees in the United Kingdom that covers substantially all employees meeting certain age, income, and service requirements. The Company makes matching contributions to the pension plan in the amount of up to 8% of employees’ annual salary. Employees are immediately fully vested in the employer matching contribution. The Company recorded $0.3 million and $0.3 million in matching contributions for the years ended December 31, 2025 and 2024,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1240"/>
          </w:cols>
          <w:pgMar w:left="320" w:top="117" w:right="339" w:bottom="1440" w:gutter="0" w:footer="0" w:header="0"/>
        </w:sectPr>
      </w:pPr>
    </w:p>
    <w:bookmarkStart w:id="98" w:name="page99"/>
    <w:bookmarkEnd w:id="98"/>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 xml:space="preserve">NOTES TO THE CONSOLIDATED FINANCIAL STATEMENTS </w:t>
      </w:r>
      <w:r>
        <w:rPr>
          <w:rFonts w:ascii="Times New Roman" w:cs="Times New Roman" w:eastAsia="Times New Roman" w:hAnsi="Times New Roman"/>
          <w:sz w:val="18"/>
          <w:szCs w:val="18"/>
          <w:color w:val="auto"/>
        </w:rPr>
        <w:t>(cont.)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India Employees — Long-term Employee Benefits</w:t>
      </w:r>
    </w:p>
    <w:p>
      <w:pPr>
        <w:spacing w:after="0" w:line="256"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The Company provides its employees in India an opportunity to participate in a long-term defined benefit plan. The liability the Company bears for providing this benefit is determined through an actuarial valuation at each reporting date. The benefit plan provides for lump sum payments to vested employees on retirement, death while in service, or on termination of employment for an amount equivalent to 15 days of basic salary for each completed year of service. Vesting occurs upon completion of five years of service. The present value of this obligation is determined by the projected unit credit method and adjusted for past service cost and fair value of plan assets as at the balance sheet date through which the obligations are to be settled. The actuarial gain or loss on change in present value of the defined benefit obligation or change in return of the plan assets is recognized as an income or expense in the consolidated statement of operations. The expected return on plan assets is based on the assumed rate of return of such assets. As of December 31, 2025 and 2024, respectively, the related net liability of $1.0 million and $1.1 million is included within “accrued expenses and other current liabilities” on the consolidated balance sheets.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 Commitments</w:t>
      </w:r>
    </w:p>
    <w:p>
      <w:pPr>
        <w:spacing w:after="0" w:line="256"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Purchase commitments outstanding for manufactured inventories as of December 31, 2025 were not material, and manufactured inventory components purchased during the year ended December 31, 2025 under purchase commitments were not material.</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256"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On September 9, 2024, BurTech entered into an Advisory Services Engagement Letter with Jefferies to serve as its exclusive capital markets advisor in connection with the Merger involving Legacy Blaize (the “Jefferies Engagement Letter”), pursuant to which Jefferies would be eligible for a fee of $4.5 million contingent upon the closing of the Merger and for reimbursement of expenses up to $0.5 million.</w:t>
      </w:r>
    </w:p>
    <w:p>
      <w:pPr>
        <w:spacing w:after="0" w:line="20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 April 7, 2025, Jefferies commenced a lawsuit against the Company, as successor to BurTech, in the Supreme Court of the State of New York, County of New York, asserting that, pursuant to the Jefferies Engagement Letter, it is entitled to payment of the amounts described above, along with pre- and post-judgment interest and legal costs and seeking summary judgment in lieu of complaint. On September 4, 2025, the court denied Jefferies’s motion for summary judgment, and on September 19, 2025, Jefferies filed a complaint.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September 30, 2025, Jefferies and the Company settled the matter, and no amounts were outstanding as of December 31, 2025.</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Subsequent Events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evaluated subsequent events through the date of issuance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1200"/>
          </w:cols>
          <w:pgMar w:left="320" w:top="117" w:right="37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DISCLOSURE CONTROLS AND PROCEDURES</w:t>
      </w:r>
    </w:p>
    <w:p>
      <w:pPr>
        <w:spacing w:after="0" w:line="25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Company’s management, with the participation of the Company’s Chief Executive Officer (principal executive officer) and Chief Financial Officer (principal financial officer), has evaluated the effectiveness of the Company’s disclosure controls and procedures (as such term is defined in Rules 13a-15(e) and 15d-15(e) under the Exchange Act) as of December 31, 2025, the end of the period covered by this Annual Report on Form 10-K The Company’s disclosure controls and procedures are designed to provide reasonable assurance that information is recorded, processed, summarized and reported accurately and on a timely basis. Based on such evaluation, the Company’s Chief Executive Officer and Chief Financial Officer have concluded that, as of the end of the period covered by this Annual Report on Form 10-K, the Company’s disclosure controls and procedures were effective.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ANNUAL REPORT ON INTERNAL CONTROLS OVER FINANCIAL REPORTING</w:t>
      </w:r>
    </w:p>
    <w:p>
      <w:pPr>
        <w:spacing w:after="0" w:line="256" w:lineRule="exact"/>
        <w:rPr>
          <w:sz w:val="20"/>
          <w:szCs w:val="20"/>
          <w:color w:val="auto"/>
        </w:rPr>
      </w:pPr>
    </w:p>
    <w:p>
      <w:pPr>
        <w:jc w:val="both"/>
        <w:ind w:right="100"/>
        <w:spacing w:after="0" w:line="258" w:lineRule="auto"/>
        <w:rPr>
          <w:sz w:val="20"/>
          <w:szCs w:val="20"/>
          <w:color w:val="auto"/>
        </w:rPr>
      </w:pPr>
      <w:r>
        <w:rPr>
          <w:rFonts w:ascii="Times New Roman" w:cs="Times New Roman" w:eastAsia="Times New Roman" w:hAnsi="Times New Roman"/>
          <w:sz w:val="18"/>
          <w:szCs w:val="18"/>
          <w:color w:val="auto"/>
        </w:rPr>
        <w:t>Management of the Company is responsible for establishing and maintaining adequate internal control over financial reporting for the Company. Internal control over financial reporting is defined in Rules 13a-15(f) and 15d-15(f) under the Exchange Act as a process designed by, or under the supervision of, the Company’s principal executive and principal financial officers and effected by the Company’s Board of Directors, management, and other personnel to provide reasonable assurance regarding the reliability of financial reporting and the preparation of financial statements for external purposes in accordance with GAAP and includes those policies and procedures that:</w:t>
      </w:r>
    </w:p>
    <w:p>
      <w:pPr>
        <w:spacing w:after="0" w:line="210" w:lineRule="exact"/>
        <w:rPr>
          <w:sz w:val="20"/>
          <w:szCs w:val="20"/>
          <w:color w:val="auto"/>
        </w:rPr>
      </w:pPr>
    </w:p>
    <w:p>
      <w:pPr>
        <w:ind w:left="120" w:hanging="112"/>
        <w:spacing w:after="0"/>
        <w:tabs>
          <w:tab w:leader="none" w:pos="1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pertain to the maintenance of records that in reasonable detail accurately and fairly reflect the transactions and dispositions of the assets of the Company;</w:t>
      </w:r>
    </w:p>
    <w:p>
      <w:pPr>
        <w:spacing w:after="0" w:line="27" w:lineRule="exact"/>
        <w:rPr>
          <w:rFonts w:ascii="Times New Roman" w:cs="Times New Roman" w:eastAsia="Times New Roman" w:hAnsi="Times New Roman"/>
          <w:sz w:val="18"/>
          <w:szCs w:val="18"/>
          <w:color w:val="auto"/>
        </w:rPr>
      </w:pPr>
    </w:p>
    <w:p>
      <w:pPr>
        <w:ind w:right="100" w:firstLine="8"/>
        <w:spacing w:after="0" w:line="250" w:lineRule="auto"/>
        <w:tabs>
          <w:tab w:leader="none" w:pos="108"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that transactions are recorded as necessary to permit preparation of financial statements in accordance with GAAP, and that receipts and expenditures of the Company are being made only in accordance with authorizations of management and directors of the Company; and</w:t>
      </w:r>
    </w:p>
    <w:p>
      <w:pPr>
        <w:ind w:right="140" w:firstLine="8"/>
        <w:spacing w:after="0" w:line="260" w:lineRule="auto"/>
        <w:tabs>
          <w:tab w:leader="none" w:pos="108"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regarding prevention or timely detection of unauthorized acquisition, use or disposition of the Company’s assets that could have a material effect on the financial statements.</w:t>
      </w:r>
    </w:p>
    <w:p>
      <w:pPr>
        <w:spacing w:after="0" w:line="208" w:lineRule="exact"/>
        <w:rPr>
          <w:sz w:val="20"/>
          <w:szCs w:val="20"/>
          <w:color w:val="auto"/>
        </w:rPr>
      </w:pPr>
    </w:p>
    <w:p>
      <w:pPr>
        <w:ind w:right="500"/>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Projections of any evaluation of effectiveness to future periods are subject to the risks that controls may become inadequate because of changes in conditions or that the degree of compliance with the policies or procedures may deteriorate.</w:t>
      </w:r>
    </w:p>
    <w:p>
      <w:pPr>
        <w:spacing w:after="0" w:line="203"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Company’s management assessed the effectiveness of the Company’s internal control over financial reporting as of December 31, 2025. In making this assessment, the Company’s management used criteria set forth by the Committee of Sponsoring Organizations of the Treadway Commission (COSO) in Internal Control-Integrated Framework (2013).</w:t>
      </w:r>
    </w:p>
    <w:p>
      <w:pPr>
        <w:spacing w:after="0" w:line="203"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Based on its assessment, the Company’s management believes that, as of December 31, 2025, the Company’s internal control over financial reporting was effective based on those criteria.</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REPORT OF THE INDEPENDENT REGISTERED PUBLIC ACCOUNTING FIRM</w:t>
      </w:r>
    </w:p>
    <w:p>
      <w:pPr>
        <w:spacing w:after="0" w:line="256"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This Annual Report on Form 10-K does not include an attestation report of our independent registered public accounting firm due to our non-accelerated filer status.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1240"/>
          </w:cols>
          <w:pgMar w:left="320" w:top="1413"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5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following reports information regarding the adoption of “Rule 10b5-1 trading arrangements” or “non-Rule 10b5-1 trading arrangements,” each as defined in Item 408(a) of Regulation S-K, during the three months ended December 31, 2025 for the Company’s directors and “officers,” as defined in Rule 16a-1(f) under the Exchange Act. There were no modifications or terminations of such trading arrangements during the three months ended December 31, 2025.</w:t>
      </w:r>
    </w:p>
    <w:p>
      <w:pPr>
        <w:spacing w:after="0" w:line="207" w:lineRule="exact"/>
        <w:rPr>
          <w:sz w:val="20"/>
          <w:szCs w:val="20"/>
          <w:color w:val="auto"/>
        </w:rPr>
      </w:pPr>
    </w:p>
    <w:p>
      <w:pPr>
        <w:ind w:left="660" w:right="80" w:hanging="328"/>
        <w:spacing w:after="0" w:line="255" w:lineRule="auto"/>
        <w:tabs>
          <w:tab w:leader="none" w:pos="65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December 11, 2025, Mr. Anthony Cannestra, a director of Blaize Holdings, Inc. (the “Company”), adopted a Rule 10b5-1 trading arrangement in accordance with guidelines specified by Rule 10b5-1 under the Securities Exchange Act of 1934, and the Company’s policies regarding transactions in its securities by insiders (a “Rule 10b5-1 Plan”). Mr. Cannestra’s Rule 10b5-1 Plan will commence on April 6, 2026. Such plan provides for the potential sale of up to (i) 75,258 shares of the Company’s common stock issued to him upon the vesting of an equal number of previously granted restricted stock units and (ii) 200,000 shares of the Company’s common stock underlying vested stock options to be exercised and sold pursuant to the plan. The plan will terminate automatically on December 31, 2026, and any shares remaining unsold as of that date will not be sold pursuant to the plan.</w:t>
      </w:r>
    </w:p>
    <w:p>
      <w:pPr>
        <w:spacing w:after="0" w:line="215" w:lineRule="exact"/>
        <w:rPr>
          <w:rFonts w:ascii="Times New Roman" w:cs="Times New Roman" w:eastAsia="Times New Roman" w:hAnsi="Times New Roman"/>
          <w:sz w:val="18"/>
          <w:szCs w:val="18"/>
          <w:color w:val="auto"/>
        </w:rPr>
      </w:pPr>
    </w:p>
    <w:p>
      <w:pPr>
        <w:ind w:left="660" w:right="180" w:hanging="328"/>
        <w:spacing w:after="0" w:line="258" w:lineRule="auto"/>
        <w:tabs>
          <w:tab w:leader="none" w:pos="65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December 12, 2025, Mr. Dinakar Munagala, the Chief Executive Officer of the Company, adopted a Rule 10b5-1 Plan. Mr. Munagala’s Rule 10b5-1 Plan will commence on April 6, 2026. Such plan provides for the potential sale of up to (i) 125,000 shares of the Company’s common stock issued to him previously and (ii) 807,325 shares of the Company’s common stock underlying vested stock options to be exercised and sold pursuant to the plan. The plan will terminate automatically on March 15, 2027, and any shares remaining unsold as of that date will not be sold pursuant to the plan.</w:t>
      </w:r>
    </w:p>
    <w:p>
      <w:pPr>
        <w:spacing w:after="0" w:line="210" w:lineRule="exact"/>
        <w:rPr>
          <w:rFonts w:ascii="Times New Roman" w:cs="Times New Roman" w:eastAsia="Times New Roman" w:hAnsi="Times New Roman"/>
          <w:sz w:val="18"/>
          <w:szCs w:val="18"/>
          <w:color w:val="auto"/>
        </w:rPr>
      </w:pPr>
    </w:p>
    <w:p>
      <w:pPr>
        <w:ind w:left="660" w:right="20" w:hanging="328"/>
        <w:spacing w:after="0" w:line="261" w:lineRule="auto"/>
        <w:tabs>
          <w:tab w:leader="none" w:pos="65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December 12, 2025, Mr. Harminder Sehmi, the Chief Financial Officer of the Company, adopted a Rule 10b5-1 Plan. Mr. Sehmi’s Rule 10b5-1 Plan will commence on April 19, 2026. Such plan provides for the potential sale of up to 505,060 shares of the Company’s common stock underlying vested stock options to be exercised and sold pursuant to the plan. The plan will terminate automatically on December 31, 2026, and any shares remaining unsold as of that date will not be sold pursuant to the plan.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1240"/>
          </w:cols>
          <w:pgMar w:left="320" w:top="1413" w:right="339" w:bottom="1440" w:gutter="0" w:footer="0" w:header="0"/>
        </w:sectPr>
      </w:pPr>
    </w:p>
    <w:bookmarkStart w:id="101" w:name="page102"/>
    <w:bookmarkEnd w:id="101"/>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5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information required by Items 10 (Directors, Executive Officer and Corporate Governance), 11 (Executive Compensation), 12 (Security Ownership of Certain Beneficial Owners and Management and Related Stockholder Matters), 13 (Certain Relationships and Related Transactions, and Director Independence) and 14 (Principal Accountant Fees and Services) will be furnished on or prior to April 30, 2026 (and is hereby incorporated by reference) pursuant to a definitive proxy statement involving the election of directors pursuant to Regulation 14A that will contain such information. Notwithstanding the foregoing, information appearing in the section “Report of the Audit Committee of the Board” shall not be deemed to be incorporated by reference in this Annual Report on Form 10-K.</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5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information required by Items 10 (Directors, Executive Officer and Corporate Governance), 11 (Executive Compensation), 12 (Security Ownership of Certain Beneficial Owners and Management and Related Stockholder Matters), 13 (Certain Relationships and Related Transactions, and Director Independence) and 14 (Principal Accountant Fees and Services) will be furnished on or prior to April 30, 2026 (and is hereby incorporated by reference) pursuant to a definitive proxy statement involving the election of directors pursuant to Regulation 14A that will contain such information. Notwithstanding the foregoing, information appearing in the section “Report of the Audit Committee of the Board” shall not be deemed to be incorporated by reference in this Annual Report on Form 10-K.</w:t>
      </w:r>
    </w:p>
    <w:p>
      <w:pPr>
        <w:spacing w:after="0" w:line="210"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8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information required by Items 10 (Directors, Executive Officer and Corporate Governance), 11 (Executive Compensation), 12 (Security Ownership of Certain Beneficial Owners and Management and Related Stockholder Matters), 13 (Certain Relationships and Related Transactions, and Director Independence) and 14 (Principal Accountant Fees and Services) will be furnished on or prior to April 30, 2026 (and is hereby incorporated by reference) pursuant to a definitive proxy statement involving the election of directors pursuant to Regulation 14A that will contain such information. Notwithstanding the foregoing, information appearing in the section “Report of the Audit Committee of the Board” shall not be deemed to be incorporated by reference in this Annual Report on Form 10-K.</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5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information required by Items 10 (Directors, Executive Officer and Corporate Governance), 11 (Executive Compensation), 12 (Security Ownership of Certain Beneficial Owners and Management and Related Stockholder Matters), 13 (Certain Relationships and Related Transactions, and Director Independence) and 14 (Principal Accountant Fees and Services) will be furnished on or prior to April 30, 2026 (and is hereby incorporated by reference) pursuant to a definitive proxy statement involving the election of directors pursuant to Regulation 14A that will contain such information. Notwithstanding the foregoing, information appearing in the section “Report of the Audit Committee of the Board” shall not be deemed to be incorporated by reference in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11160"/>
          </w:cols>
          <w:pgMar w:left="320" w:top="1413" w:right="41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25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information required by Items 10 (Directors, Executive Officer and Corporate Governance), 11 (Executive Compensation), 12 (Security Ownership of Certain Beneficial Owners and Management and Related Stockholder Matters), 13 (Certain Relationships and Related Transactions, and Director Independence) and 14 (Principal Accountant Fees and Services) will be furnished on or prior to April 30, 2026 (and is hereby incorporated by reference) pursuant to a definitive proxy statement involving the election of directors pursuant to Regulation 14A that will contain such information. Notwithstanding the foregoing, information appearing in the section “Report of the Audit Committee of the Board” shall not be deemed to be incorporated by reference in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99</w:t>
      </w:r>
    </w:p>
    <w:p>
      <w:pPr>
        <w:sectPr>
          <w:pgSz w:w="11900" w:h="16838" w:orient="portrait"/>
          <w:cols w:equalWidth="0" w:num="1">
            <w:col w:w="11160"/>
          </w:cols>
          <w:pgMar w:left="320" w:top="1413" w:right="419" w:bottom="1440" w:gutter="0" w:footer="0" w:header="0"/>
        </w:sectPr>
      </w:pPr>
    </w:p>
    <w:bookmarkStart w:id="103" w:name="page104"/>
    <w:bookmarkEnd w:id="103"/>
    <w:p>
      <w:pPr>
        <w:ind w:left="526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Documents filed as part of this Annual Report on Form 10-K:</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Index to financial statements and supplementary data filed as part of this Annual Report on Form 10-K.</w:t>
      </w:r>
    </w:p>
    <w:p>
      <w:pPr>
        <w:spacing w:after="0" w:line="252" w:lineRule="exact"/>
        <w:rPr>
          <w:sz w:val="20"/>
          <w:szCs w:val="20"/>
          <w:color w:val="auto"/>
        </w:rPr>
      </w:pPr>
    </w:p>
    <w:p>
      <w:pPr>
        <w:ind w:left="660" w:right="40"/>
        <w:spacing w:after="0" w:line="282" w:lineRule="auto"/>
        <w:rPr>
          <w:sz w:val="20"/>
          <w:szCs w:val="20"/>
          <w:color w:val="auto"/>
        </w:rPr>
      </w:pPr>
      <w:r>
        <w:rPr>
          <w:rFonts w:ascii="Times New Roman" w:cs="Times New Roman" w:eastAsia="Times New Roman" w:hAnsi="Times New Roman"/>
          <w:sz w:val="18"/>
          <w:szCs w:val="18"/>
          <w:color w:val="auto"/>
        </w:rPr>
        <w:t>Our consolidated financial statements are listed in the “Index to Consolidated Financial Statements” under Part II, Item 8 of this Annual Report on Form 10-K.</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 Financial Statement Schedules:</w:t>
      </w:r>
    </w:p>
    <w:p>
      <w:pPr>
        <w:spacing w:after="0" w:line="252" w:lineRule="exact"/>
        <w:rPr>
          <w:sz w:val="20"/>
          <w:szCs w:val="20"/>
          <w:color w:val="auto"/>
        </w:rPr>
      </w:pPr>
    </w:p>
    <w:p>
      <w:pPr>
        <w:ind w:left="660" w:right="40"/>
        <w:spacing w:after="0" w:line="282" w:lineRule="auto"/>
        <w:rPr>
          <w:sz w:val="20"/>
          <w:szCs w:val="20"/>
          <w:color w:val="auto"/>
        </w:rPr>
      </w:pPr>
      <w:r>
        <w:rPr>
          <w:rFonts w:ascii="Times New Roman" w:cs="Times New Roman" w:eastAsia="Times New Roman" w:hAnsi="Times New Roman"/>
          <w:sz w:val="18"/>
          <w:szCs w:val="18"/>
          <w:color w:val="auto"/>
        </w:rPr>
        <w:t>All financial statement schedules have been omitted because they are not applicable, not material or the required information is included in Part II, Item 8 of this Annual Report on Form 10-K.</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(3) Exhibits:</w:t>
            </w: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500"/>
        </w:trPr>
        <w:tc>
          <w:tcPr>
            <w:tcW w:w="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4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840" w:type="dxa"/>
            <w:vAlign w:val="bottom"/>
            <w:tcBorders>
              <w:bottom w:val="single" w:sz="8" w:color="auto"/>
            </w:tcBorders>
            <w:gridSpan w:val="27"/>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83"/>
        </w:trPr>
        <w:tc>
          <w:tcPr>
            <w:tcW w:w="96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color w:val="auto"/>
              </w:rPr>
              <w:t>2.1</w:t>
            </w: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40" w:type="dxa"/>
            <w:vAlign w:val="bottom"/>
            <w:gridSpan w:val="27"/>
          </w:tcPr>
          <w:p>
            <w:pPr>
              <w:spacing w:after="0" w:line="182" w:lineRule="exact"/>
              <w:rPr>
                <w:rFonts w:ascii="Times New Roman" w:cs="Times New Roman" w:eastAsia="Times New Roman" w:hAnsi="Times New Roman"/>
                <w:sz w:val="18"/>
                <w:szCs w:val="18"/>
                <w:color w:val="0000FF"/>
                <w:w w:val="99"/>
              </w:rPr>
            </w:pPr>
            <w:hyperlink r:id="rId60">
              <w:r>
                <w:rPr>
                  <w:rFonts w:ascii="Times New Roman" w:cs="Times New Roman" w:eastAsia="Times New Roman" w:hAnsi="Times New Roman"/>
                  <w:sz w:val="18"/>
                  <w:szCs w:val="18"/>
                  <w:color w:val="0000FF"/>
                  <w:w w:val="99"/>
                </w:rPr>
                <w:t>Agreement and Plan of Merger Agreement, dated as of December 22, 2023, by and among BurTech Acquisition Corp., BurTech Merger</w:t>
              </w:r>
            </w:hyperlink>
          </w:p>
        </w:tc>
      </w:tr>
      <w:tr>
        <w:trPr>
          <w:trHeight w:val="155"/>
        </w:trPr>
        <w:tc>
          <w:tcPr>
            <w:tcW w:w="9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0" w:type="dxa"/>
            <w:vAlign w:val="bottom"/>
            <w:tcBorders>
              <w:top w:val="single" w:sz="8" w:color="0000FF"/>
            </w:tcBorders>
            <w:gridSpan w:val="25"/>
          </w:tcPr>
          <w:p>
            <w:pPr>
              <w:spacing w:after="0" w:line="156" w:lineRule="exact"/>
              <w:rPr>
                <w:rFonts w:ascii="Times New Roman" w:cs="Times New Roman" w:eastAsia="Times New Roman" w:hAnsi="Times New Roman"/>
                <w:sz w:val="18"/>
                <w:szCs w:val="18"/>
                <w:color w:val="0000FF"/>
              </w:rPr>
            </w:pPr>
            <w:hyperlink r:id="rId60">
              <w:r>
                <w:rPr>
                  <w:rFonts w:ascii="Times New Roman" w:cs="Times New Roman" w:eastAsia="Times New Roman" w:hAnsi="Times New Roman"/>
                  <w:sz w:val="18"/>
                  <w:szCs w:val="18"/>
                  <w:color w:val="0000FF"/>
                </w:rPr>
                <w:t>Sub Inc., Blaize, Inc. and Burkhan Capital LLC (for the limited purposes set forth therein) (incorporated by reference to Exhibit 2.1 to</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9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180" w:type="dxa"/>
            <w:vAlign w:val="bottom"/>
            <w:tcBorders>
              <w:top w:val="single" w:sz="8" w:color="0000FF"/>
              <w:bottom w:val="single" w:sz="8" w:color="0000FF"/>
            </w:tcBorders>
            <w:gridSpan w:val="7"/>
          </w:tcPr>
          <w:p>
            <w:pPr>
              <w:spacing w:after="0" w:line="169" w:lineRule="exact"/>
              <w:rPr>
                <w:rFonts w:ascii="Times New Roman" w:cs="Times New Roman" w:eastAsia="Times New Roman" w:hAnsi="Times New Roman"/>
                <w:sz w:val="18"/>
                <w:szCs w:val="18"/>
                <w:color w:val="0000FF"/>
                <w:w w:val="99"/>
              </w:rPr>
            </w:pPr>
            <w:hyperlink r:id="rId60">
              <w:r>
                <w:rPr>
                  <w:rFonts w:ascii="Times New Roman" w:cs="Times New Roman" w:eastAsia="Times New Roman" w:hAnsi="Times New Roman"/>
                  <w:sz w:val="18"/>
                  <w:szCs w:val="18"/>
                  <w:color w:val="0000FF"/>
                  <w:w w:val="99"/>
                </w:rPr>
                <w:t>the Company’s Registration Statement on Form S-4 filed July 19, 2024)</w:t>
              </w:r>
            </w:hyperlink>
          </w:p>
        </w:tc>
        <w:tc>
          <w:tcPr>
            <w:tcW w:w="4480" w:type="dxa"/>
            <w:vAlign w:val="bottom"/>
            <w:tcBorders>
              <w:top w:val="single" w:sz="8" w:color="0000FF"/>
            </w:tcBorders>
            <w:gridSpan w:val="1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r>
      <w:tr>
        <w:trPr>
          <w:trHeight w:val="209"/>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2.2</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40" w:type="dxa"/>
            <w:vAlign w:val="bottom"/>
            <w:gridSpan w:val="27"/>
          </w:tcPr>
          <w:p>
            <w:pPr>
              <w:spacing w:after="0"/>
              <w:rPr>
                <w:rFonts w:ascii="Times New Roman" w:cs="Times New Roman" w:eastAsia="Times New Roman" w:hAnsi="Times New Roman"/>
                <w:sz w:val="18"/>
                <w:szCs w:val="18"/>
                <w:color w:val="0000FF"/>
              </w:rPr>
            </w:pPr>
            <w:hyperlink r:id="rId60">
              <w:r>
                <w:rPr>
                  <w:rFonts w:ascii="Times New Roman" w:cs="Times New Roman" w:eastAsia="Times New Roman" w:hAnsi="Times New Roman"/>
                  <w:sz w:val="18"/>
                  <w:szCs w:val="18"/>
                  <w:color w:val="0000FF"/>
                </w:rPr>
                <w:t>Amendment to Agreement and Plan of Merger Agreement, dated as of April 22, 2024, by and among BurTech Acquisition Corp.,</w:t>
              </w:r>
            </w:hyperlink>
          </w:p>
        </w:tc>
      </w:tr>
      <w:tr>
        <w:trPr>
          <w:trHeight w:val="20"/>
        </w:trPr>
        <w:tc>
          <w:tcPr>
            <w:tcW w:w="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126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6"/>
        </w:trPr>
        <w:tc>
          <w:tcPr>
            <w:tcW w:w="9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40" w:type="dxa"/>
            <w:vAlign w:val="bottom"/>
            <w:gridSpan w:val="27"/>
          </w:tcPr>
          <w:p>
            <w:pPr>
              <w:spacing w:after="0" w:line="156" w:lineRule="exact"/>
              <w:rPr>
                <w:rFonts w:ascii="Times New Roman" w:cs="Times New Roman" w:eastAsia="Times New Roman" w:hAnsi="Times New Roman"/>
                <w:sz w:val="18"/>
                <w:szCs w:val="18"/>
                <w:color w:val="0000FF"/>
              </w:rPr>
            </w:pPr>
            <w:hyperlink r:id="rId60">
              <w:r>
                <w:rPr>
                  <w:rFonts w:ascii="Times New Roman" w:cs="Times New Roman" w:eastAsia="Times New Roman" w:hAnsi="Times New Roman"/>
                  <w:sz w:val="18"/>
                  <w:szCs w:val="18"/>
                  <w:color w:val="0000FF"/>
                </w:rPr>
                <w:t>BurTech Merger Sub Inc., Blaize, Inc. and Burkhan Capital LLC (for the limited purposes set forth therein) (incorporated by reference</w:t>
              </w:r>
            </w:hyperlink>
          </w:p>
        </w:tc>
      </w:tr>
      <w:tr>
        <w:trPr>
          <w:trHeight w:val="169"/>
        </w:trPr>
        <w:tc>
          <w:tcPr>
            <w:tcW w:w="9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700" w:type="dxa"/>
            <w:vAlign w:val="bottom"/>
            <w:tcBorders>
              <w:top w:val="single" w:sz="8" w:color="0000FF"/>
            </w:tcBorders>
            <w:gridSpan w:val="22"/>
          </w:tcPr>
          <w:p>
            <w:pPr>
              <w:spacing w:after="0" w:line="169" w:lineRule="exact"/>
              <w:rPr>
                <w:rFonts w:ascii="Times New Roman" w:cs="Times New Roman" w:eastAsia="Times New Roman" w:hAnsi="Times New Roman"/>
                <w:sz w:val="18"/>
                <w:szCs w:val="18"/>
                <w:color w:val="0000FF"/>
              </w:rPr>
            </w:pPr>
            <w:hyperlink r:id="rId60">
              <w:r>
                <w:rPr>
                  <w:rFonts w:ascii="Times New Roman" w:cs="Times New Roman" w:eastAsia="Times New Roman" w:hAnsi="Times New Roman"/>
                  <w:sz w:val="18"/>
                  <w:szCs w:val="18"/>
                  <w:color w:val="0000FF"/>
                </w:rPr>
                <w:t>to Exhibit 2.2 to the Company’s Registration Statement on Form S-4 filed July 19, 2024)</w:t>
              </w:r>
            </w:hyperlink>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126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2.3</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40" w:type="dxa"/>
            <w:vAlign w:val="bottom"/>
            <w:gridSpan w:val="27"/>
          </w:tcPr>
          <w:p>
            <w:pPr>
              <w:spacing w:after="0"/>
              <w:rPr>
                <w:rFonts w:ascii="Times New Roman" w:cs="Times New Roman" w:eastAsia="Times New Roman" w:hAnsi="Times New Roman"/>
                <w:sz w:val="18"/>
                <w:szCs w:val="18"/>
                <w:color w:val="0000FF"/>
              </w:rPr>
            </w:pPr>
            <w:hyperlink r:id="rId61">
              <w:r>
                <w:rPr>
                  <w:rFonts w:ascii="Times New Roman" w:cs="Times New Roman" w:eastAsia="Times New Roman" w:hAnsi="Times New Roman"/>
                  <w:sz w:val="18"/>
                  <w:szCs w:val="18"/>
                  <w:color w:val="0000FF"/>
                </w:rPr>
                <w:t>Amendment No. 2 to Agreement and Plan of Merger, dated as of October 24, 2024, by and among BurTech Acquisition Corp., BurTech</w:t>
              </w:r>
            </w:hyperlink>
          </w:p>
        </w:tc>
      </w:tr>
      <w:tr>
        <w:trPr>
          <w:trHeight w:val="155"/>
        </w:trPr>
        <w:tc>
          <w:tcPr>
            <w:tcW w:w="9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60" w:type="dxa"/>
            <w:vAlign w:val="bottom"/>
            <w:tcBorders>
              <w:top w:val="single" w:sz="8" w:color="0000FF"/>
              <w:bottom w:val="single" w:sz="8" w:color="0000FF"/>
            </w:tcBorders>
            <w:gridSpan w:val="23"/>
          </w:tcPr>
          <w:p>
            <w:pPr>
              <w:spacing w:after="0" w:line="156" w:lineRule="exact"/>
              <w:rPr>
                <w:rFonts w:ascii="Times New Roman" w:cs="Times New Roman" w:eastAsia="Times New Roman" w:hAnsi="Times New Roman"/>
                <w:sz w:val="18"/>
                <w:szCs w:val="18"/>
                <w:color w:val="0000FF"/>
                <w:w w:val="99"/>
              </w:rPr>
            </w:pPr>
            <w:hyperlink r:id="rId61">
              <w:r>
                <w:rPr>
                  <w:rFonts w:ascii="Times New Roman" w:cs="Times New Roman" w:eastAsia="Times New Roman" w:hAnsi="Times New Roman"/>
                  <w:sz w:val="18"/>
                  <w:szCs w:val="18"/>
                  <w:color w:val="0000FF"/>
                  <w:w w:val="99"/>
                </w:rPr>
                <w:t>Merger Sub Inc., Blaize, Inc. and Burkhan Capital LLC (for the limited purposes set forth therein) (incorporated by reference to Exhibit</w:t>
              </w:r>
            </w:hyperlink>
          </w:p>
        </w:tc>
        <w:tc>
          <w:tcPr>
            <w:tcW w:w="20" w:type="dxa"/>
            <w:vAlign w:val="bottom"/>
            <w:tcBorders>
              <w:bottom w:val="single" w:sz="8" w:color="0000FF"/>
            </w:tcBorders>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9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780" w:type="dxa"/>
            <w:vAlign w:val="bottom"/>
            <w:gridSpan w:val="24"/>
          </w:tcPr>
          <w:p>
            <w:pPr>
              <w:spacing w:after="0" w:line="169" w:lineRule="exact"/>
              <w:rPr>
                <w:rFonts w:ascii="Times New Roman" w:cs="Times New Roman" w:eastAsia="Times New Roman" w:hAnsi="Times New Roman"/>
                <w:sz w:val="18"/>
                <w:szCs w:val="18"/>
                <w:color w:val="0000FF"/>
              </w:rPr>
            </w:pPr>
            <w:hyperlink r:id="rId61">
              <w:r>
                <w:rPr>
                  <w:rFonts w:ascii="Times New Roman" w:cs="Times New Roman" w:eastAsia="Times New Roman" w:hAnsi="Times New Roman"/>
                  <w:sz w:val="18"/>
                  <w:szCs w:val="18"/>
                  <w:color w:val="0000FF"/>
                </w:rPr>
                <w:t>2.</w:t>
              </w:r>
              <w:r>
                <w:rPr>
                  <w:rFonts w:ascii="Times New Roman" w:cs="Times New Roman" w:eastAsia="Times New Roman" w:hAnsi="Times New Roman"/>
                  <w:sz w:val="18"/>
                  <w:szCs w:val="18"/>
                  <w:u w:val="single" w:color="auto"/>
                  <w:color w:val="0000FF"/>
                </w:rPr>
                <w:t>3</w:t>
              </w:r>
              <w:r>
                <w:rPr>
                  <w:rFonts w:ascii="Times New Roman" w:cs="Times New Roman" w:eastAsia="Times New Roman" w:hAnsi="Times New Roman"/>
                  <w:sz w:val="18"/>
                  <w:szCs w:val="18"/>
                  <w:color w:val="0000FF"/>
                </w:rPr>
                <w:t xml:space="preserve"> to the Company’s Registration Statement on Form S-4 filed October 30, 2024)</w:t>
              </w:r>
            </w:hyperlink>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1260" w:type="dxa"/>
            <w:vAlign w:val="bottom"/>
            <w:gridSpan w:val="2"/>
            <w:shd w:val="clear" w:color="auto" w:fill="0000FF"/>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2.4</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40" w:type="dxa"/>
            <w:vAlign w:val="bottom"/>
            <w:gridSpan w:val="27"/>
          </w:tcPr>
          <w:p>
            <w:pPr>
              <w:spacing w:after="0"/>
              <w:rPr>
                <w:rFonts w:ascii="Times New Roman" w:cs="Times New Roman" w:eastAsia="Times New Roman" w:hAnsi="Times New Roman"/>
                <w:sz w:val="18"/>
                <w:szCs w:val="18"/>
                <w:color w:val="0000FF"/>
              </w:rPr>
            </w:pPr>
            <w:hyperlink r:id="rId62">
              <w:r>
                <w:rPr>
                  <w:rFonts w:ascii="Times New Roman" w:cs="Times New Roman" w:eastAsia="Times New Roman" w:hAnsi="Times New Roman"/>
                  <w:sz w:val="18"/>
                  <w:szCs w:val="18"/>
                  <w:color w:val="0000FF"/>
                </w:rPr>
                <w:t>Amendment No. 3 to Agreement and Plan of Merger, dated as of November 21, 2024, by and among BurTech Acquisition Corp.,</w:t>
              </w:r>
            </w:hyperlink>
          </w:p>
        </w:tc>
      </w:tr>
      <w:tr>
        <w:trPr>
          <w:trHeight w:val="20"/>
        </w:trPr>
        <w:tc>
          <w:tcPr>
            <w:tcW w:w="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2200" w:type="dxa"/>
            <w:vAlign w:val="bottom"/>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5"/>
        </w:trPr>
        <w:tc>
          <w:tcPr>
            <w:tcW w:w="9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40" w:type="dxa"/>
            <w:vAlign w:val="bottom"/>
            <w:gridSpan w:val="27"/>
          </w:tcPr>
          <w:p>
            <w:pPr>
              <w:spacing w:after="0" w:line="156" w:lineRule="exact"/>
              <w:rPr>
                <w:rFonts w:ascii="Times New Roman" w:cs="Times New Roman" w:eastAsia="Times New Roman" w:hAnsi="Times New Roman"/>
                <w:sz w:val="18"/>
                <w:szCs w:val="18"/>
                <w:color w:val="0000FF"/>
              </w:rPr>
            </w:pPr>
            <w:hyperlink r:id="rId62">
              <w:r>
                <w:rPr>
                  <w:rFonts w:ascii="Times New Roman" w:cs="Times New Roman" w:eastAsia="Times New Roman" w:hAnsi="Times New Roman"/>
                  <w:sz w:val="18"/>
                  <w:szCs w:val="18"/>
                  <w:color w:val="0000FF"/>
                </w:rPr>
                <w:t>BurTech Merger Sub Inc., Blaize, Inc. and Burkhan Capital LLC (for the limited purposes set forth therein) (incorporated by reference</w:t>
              </w:r>
            </w:hyperlink>
          </w:p>
        </w:tc>
      </w:tr>
      <w:tr>
        <w:trPr>
          <w:trHeight w:val="169"/>
        </w:trPr>
        <w:tc>
          <w:tcPr>
            <w:tcW w:w="9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700" w:type="dxa"/>
            <w:vAlign w:val="bottom"/>
            <w:tcBorders>
              <w:top w:val="single" w:sz="8" w:color="0000FF"/>
            </w:tcBorders>
            <w:gridSpan w:val="22"/>
          </w:tcPr>
          <w:p>
            <w:pPr>
              <w:spacing w:after="0" w:line="169" w:lineRule="exact"/>
              <w:rPr>
                <w:rFonts w:ascii="Times New Roman" w:cs="Times New Roman" w:eastAsia="Times New Roman" w:hAnsi="Times New Roman"/>
                <w:sz w:val="18"/>
                <w:szCs w:val="18"/>
                <w:color w:val="0000FF"/>
              </w:rPr>
            </w:pPr>
            <w:hyperlink r:id="rId62">
              <w:r>
                <w:rPr>
                  <w:rFonts w:ascii="Times New Roman" w:cs="Times New Roman" w:eastAsia="Times New Roman" w:hAnsi="Times New Roman"/>
                  <w:sz w:val="18"/>
                  <w:szCs w:val="18"/>
                  <w:color w:val="0000FF"/>
                </w:rPr>
                <w:t>to Exhibit 2.4 to the Company’s Registration Statement on Form S-4 filed November 26, 2024)</w:t>
              </w:r>
            </w:hyperlink>
          </w:p>
        </w:tc>
        <w:tc>
          <w:tcPr>
            <w:tcW w:w="12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2200" w:type="dxa"/>
            <w:vAlign w:val="bottom"/>
            <w:gridSpan w:val="4"/>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40" w:type="dxa"/>
            <w:vAlign w:val="bottom"/>
            <w:gridSpan w:val="27"/>
          </w:tcPr>
          <w:p>
            <w:pPr>
              <w:spacing w:after="0"/>
              <w:rPr>
                <w:rFonts w:ascii="Times New Roman" w:cs="Times New Roman" w:eastAsia="Times New Roman" w:hAnsi="Times New Roman"/>
                <w:sz w:val="18"/>
                <w:szCs w:val="18"/>
                <w:color w:val="0000FF"/>
              </w:rPr>
            </w:pPr>
            <w:hyperlink r:id="rId63">
              <w:r>
                <w:rPr>
                  <w:rFonts w:ascii="Times New Roman" w:cs="Times New Roman" w:eastAsia="Times New Roman" w:hAnsi="Times New Roman"/>
                  <w:sz w:val="18"/>
                  <w:szCs w:val="18"/>
                  <w:color w:val="0000FF"/>
                </w:rPr>
                <w:t>Third Amended and Restated Certificate of Incorporation of Blaize Holdings, Inc. (incorporated by reference to Exhibit 3.1 to the</w:t>
              </w:r>
            </w:hyperlink>
          </w:p>
        </w:tc>
      </w:tr>
      <w:tr>
        <w:trPr>
          <w:trHeight w:val="156"/>
        </w:trPr>
        <w:tc>
          <w:tcPr>
            <w:tcW w:w="9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40" w:type="dxa"/>
            <w:vAlign w:val="bottom"/>
            <w:tcBorders>
              <w:top w:val="single" w:sz="8" w:color="0000FF"/>
              <w:bottom w:val="single" w:sz="8" w:color="0000FF"/>
            </w:tcBorders>
            <w:gridSpan w:val="6"/>
          </w:tcPr>
          <w:p>
            <w:pPr>
              <w:spacing w:after="0" w:line="156" w:lineRule="exact"/>
              <w:rPr>
                <w:rFonts w:ascii="Times New Roman" w:cs="Times New Roman" w:eastAsia="Times New Roman" w:hAnsi="Times New Roman"/>
                <w:sz w:val="18"/>
                <w:szCs w:val="18"/>
                <w:color w:val="0000FF"/>
                <w:w w:val="99"/>
              </w:rPr>
            </w:pPr>
            <w:hyperlink r:id="rId63">
              <w:r>
                <w:rPr>
                  <w:rFonts w:ascii="Times New Roman" w:cs="Times New Roman" w:eastAsia="Times New Roman" w:hAnsi="Times New Roman"/>
                  <w:sz w:val="18"/>
                  <w:szCs w:val="18"/>
                  <w:color w:val="0000FF"/>
                  <w:w w:val="99"/>
                </w:rPr>
                <w:t>Company’s Current Report on Form 8-K filed January 17, 2025)</w:t>
              </w:r>
            </w:hyperlink>
          </w:p>
        </w:tc>
        <w:tc>
          <w:tcPr>
            <w:tcW w:w="4680" w:type="dxa"/>
            <w:vAlign w:val="bottom"/>
            <w:tcBorders>
              <w:top w:val="single" w:sz="8" w:color="0000FF"/>
            </w:tcBorders>
            <w:gridSpan w:val="8"/>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14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40" w:type="dxa"/>
            <w:vAlign w:val="bottom"/>
            <w:gridSpan w:val="27"/>
          </w:tcPr>
          <w:p>
            <w:pPr>
              <w:spacing w:after="0"/>
              <w:rPr>
                <w:rFonts w:ascii="Times New Roman" w:cs="Times New Roman" w:eastAsia="Times New Roman" w:hAnsi="Times New Roman"/>
                <w:sz w:val="18"/>
                <w:szCs w:val="18"/>
                <w:color w:val="0000FF"/>
              </w:rPr>
            </w:pPr>
            <w:hyperlink r:id="rId64">
              <w:r>
                <w:rPr>
                  <w:rFonts w:ascii="Times New Roman" w:cs="Times New Roman" w:eastAsia="Times New Roman" w:hAnsi="Times New Roman"/>
                  <w:sz w:val="18"/>
                  <w:szCs w:val="18"/>
                  <w:color w:val="0000FF"/>
                </w:rPr>
                <w:t>Amended and Restated Bylaws of Blaize Holdings, Inc. (incorporated by reference to Exhibit 3.2 to the Company’s Current Report on</w:t>
              </w:r>
            </w:hyperlink>
          </w:p>
        </w:tc>
      </w:tr>
      <w:tr>
        <w:trPr>
          <w:trHeight w:val="156"/>
        </w:trPr>
        <w:tc>
          <w:tcPr>
            <w:tcW w:w="9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20" w:type="dxa"/>
            <w:vAlign w:val="bottom"/>
            <w:tcBorders>
              <w:top w:val="single" w:sz="8" w:color="0000FF"/>
              <w:bottom w:val="single" w:sz="8" w:color="0000FF"/>
            </w:tcBorders>
            <w:gridSpan w:val="5"/>
          </w:tcPr>
          <w:p>
            <w:pPr>
              <w:spacing w:after="0" w:line="156" w:lineRule="exact"/>
              <w:rPr>
                <w:rFonts w:ascii="Times New Roman" w:cs="Times New Roman" w:eastAsia="Times New Roman" w:hAnsi="Times New Roman"/>
                <w:sz w:val="18"/>
                <w:szCs w:val="18"/>
                <w:color w:val="0000FF"/>
                <w:w w:val="98"/>
              </w:rPr>
            </w:pPr>
            <w:hyperlink r:id="rId64">
              <w:r>
                <w:rPr>
                  <w:rFonts w:ascii="Times New Roman" w:cs="Times New Roman" w:eastAsia="Times New Roman" w:hAnsi="Times New Roman"/>
                  <w:sz w:val="18"/>
                  <w:szCs w:val="18"/>
                  <w:color w:val="0000FF"/>
                  <w:w w:val="98"/>
                </w:rPr>
                <w:t>Form 8-K filed January 17, 2025)</w:t>
              </w:r>
            </w:hyperlink>
          </w:p>
        </w:tc>
        <w:tc>
          <w:tcPr>
            <w:tcW w:w="7260" w:type="dxa"/>
            <w:vAlign w:val="bottom"/>
            <w:tcBorders>
              <w:top w:val="single" w:sz="8" w:color="0000FF"/>
            </w:tcBorders>
            <w:gridSpan w:val="16"/>
          </w:tcPr>
          <w:p>
            <w:pPr>
              <w:spacing w:after="0"/>
              <w:rPr>
                <w:sz w:val="13"/>
                <w:szCs w:val="13"/>
                <w:color w:val="auto"/>
              </w:rPr>
            </w:pPr>
          </w:p>
        </w:tc>
        <w:tc>
          <w:tcPr>
            <w:tcW w:w="14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Pr>
          <w:p>
            <w:pPr>
              <w:spacing w:after="0"/>
              <w:rPr>
                <w:sz w:val="19"/>
                <w:szCs w:val="19"/>
                <w:color w:val="auto"/>
              </w:rPr>
            </w:pPr>
          </w:p>
        </w:tc>
        <w:tc>
          <w:tcPr>
            <w:tcW w:w="7140" w:type="dxa"/>
            <w:vAlign w:val="bottom"/>
            <w:tcBorders>
              <w:bottom w:val="single" w:sz="8" w:color="0000FF"/>
            </w:tcBorders>
            <w:gridSpan w:val="11"/>
          </w:tcPr>
          <w:p>
            <w:pPr>
              <w:spacing w:after="0"/>
              <w:rPr>
                <w:rFonts w:ascii="Times New Roman" w:cs="Times New Roman" w:eastAsia="Times New Roman" w:hAnsi="Times New Roman"/>
                <w:sz w:val="18"/>
                <w:szCs w:val="18"/>
                <w:color w:val="0000FF"/>
                <w:w w:val="99"/>
              </w:rPr>
            </w:pPr>
            <w:hyperlink r:id="rId65">
              <w:r>
                <w:rPr>
                  <w:rFonts w:ascii="Times New Roman" w:cs="Times New Roman" w:eastAsia="Times New Roman" w:hAnsi="Times New Roman"/>
                  <w:sz w:val="18"/>
                  <w:szCs w:val="18"/>
                  <w:color w:val="0000FF"/>
                  <w:w w:val="99"/>
                </w:rPr>
                <w:t>Description of Securities Registered Pursuant to Section 12 of the Securities Exchange Act of 1934</w:t>
              </w:r>
            </w:hyperlink>
          </w:p>
        </w:tc>
        <w:tc>
          <w:tcPr>
            <w:tcW w:w="2700" w:type="dxa"/>
            <w:vAlign w:val="bottom"/>
            <w:gridSpan w:val="16"/>
          </w:tcPr>
          <w:p>
            <w:pPr>
              <w:spacing w:after="0"/>
              <w:rPr>
                <w:sz w:val="19"/>
                <w:szCs w:val="19"/>
                <w:color w:val="auto"/>
              </w:rPr>
            </w:pPr>
          </w:p>
        </w:tc>
      </w:tr>
      <w:tr>
        <w:trPr>
          <w:trHeight w:val="210"/>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4.2</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40" w:type="dxa"/>
            <w:vAlign w:val="bottom"/>
            <w:gridSpan w:val="27"/>
          </w:tcPr>
          <w:p>
            <w:pPr>
              <w:spacing w:after="0"/>
              <w:rPr>
                <w:rFonts w:ascii="Times New Roman" w:cs="Times New Roman" w:eastAsia="Times New Roman" w:hAnsi="Times New Roman"/>
                <w:sz w:val="18"/>
                <w:szCs w:val="18"/>
                <w:color w:val="0000FF"/>
              </w:rPr>
            </w:pPr>
            <w:hyperlink r:id="rId66">
              <w:r>
                <w:rPr>
                  <w:rFonts w:ascii="Times New Roman" w:cs="Times New Roman" w:eastAsia="Times New Roman" w:hAnsi="Times New Roman"/>
                  <w:sz w:val="18"/>
                  <w:szCs w:val="18"/>
                  <w:color w:val="0000FF"/>
                </w:rPr>
                <w:t>Warrant Agreement, dated as of December 10, 2021, by and between BurTech Acquisition Corp. and Continental Stock Transfer &amp;</w:t>
              </w:r>
            </w:hyperlink>
          </w:p>
        </w:tc>
      </w:tr>
      <w:tr>
        <w:trPr>
          <w:trHeight w:val="155"/>
        </w:trPr>
        <w:tc>
          <w:tcPr>
            <w:tcW w:w="9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20" w:type="dxa"/>
            <w:vAlign w:val="bottom"/>
            <w:tcBorders>
              <w:top w:val="single" w:sz="8" w:color="0000FF"/>
            </w:tcBorders>
            <w:gridSpan w:val="15"/>
          </w:tcPr>
          <w:p>
            <w:pPr>
              <w:spacing w:after="0" w:line="156" w:lineRule="exact"/>
              <w:rPr>
                <w:rFonts w:ascii="Times New Roman" w:cs="Times New Roman" w:eastAsia="Times New Roman" w:hAnsi="Times New Roman"/>
                <w:sz w:val="18"/>
                <w:szCs w:val="18"/>
                <w:color w:val="0000FF"/>
              </w:rPr>
            </w:pPr>
            <w:hyperlink r:id="rId66">
              <w:r>
                <w:rPr>
                  <w:rFonts w:ascii="Times New Roman" w:cs="Times New Roman" w:eastAsia="Times New Roman" w:hAnsi="Times New Roman"/>
                  <w:sz w:val="18"/>
                  <w:szCs w:val="18"/>
                  <w:color w:val="0000FF"/>
                </w:rPr>
                <w:t>Trust Company, as warrant agent (incorporated by reference to Exhibit 4.1 to the Company’s Current Report on Form 8-K filed</w:t>
              </w:r>
            </w:hyperlink>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gridSpan w:val="7"/>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9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160" w:type="dxa"/>
            <w:vAlign w:val="bottom"/>
            <w:tcBorders>
              <w:top w:val="single" w:sz="8" w:color="0000FF"/>
            </w:tcBorders>
            <w:gridSpan w:val="12"/>
          </w:tcPr>
          <w:p>
            <w:pPr>
              <w:spacing w:after="0" w:line="169" w:lineRule="exact"/>
              <w:rPr>
                <w:rFonts w:ascii="Times New Roman" w:cs="Times New Roman" w:eastAsia="Times New Roman" w:hAnsi="Times New Roman"/>
                <w:sz w:val="18"/>
                <w:szCs w:val="18"/>
                <w:color w:val="0000FF"/>
              </w:rPr>
            </w:pPr>
            <w:hyperlink r:id="rId66">
              <w:r>
                <w:rPr>
                  <w:rFonts w:ascii="Times New Roman" w:cs="Times New Roman" w:eastAsia="Times New Roman" w:hAnsi="Times New Roman"/>
                  <w:sz w:val="18"/>
                  <w:szCs w:val="18"/>
                  <w:color w:val="0000FF"/>
                </w:rPr>
                <w:t>December 16, 2021)</w:t>
              </w:r>
            </w:hyperlink>
          </w:p>
        </w:tc>
        <w:tc>
          <w:tcPr>
            <w:tcW w:w="3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gridSpan w:val="7"/>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80" w:type="dxa"/>
            <w:vAlign w:val="bottom"/>
            <w:gridSpan w:val="1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4.3</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40" w:type="dxa"/>
            <w:vAlign w:val="bottom"/>
            <w:gridSpan w:val="27"/>
          </w:tcPr>
          <w:p>
            <w:pPr>
              <w:spacing w:after="0"/>
              <w:rPr>
                <w:rFonts w:ascii="Times New Roman" w:cs="Times New Roman" w:eastAsia="Times New Roman" w:hAnsi="Times New Roman"/>
                <w:sz w:val="18"/>
                <w:szCs w:val="18"/>
                <w:color w:val="0000FF"/>
              </w:rPr>
            </w:pPr>
            <w:hyperlink r:id="rId67">
              <w:r>
                <w:rPr>
                  <w:rFonts w:ascii="Times New Roman" w:cs="Times New Roman" w:eastAsia="Times New Roman" w:hAnsi="Times New Roman"/>
                  <w:sz w:val="18"/>
                  <w:szCs w:val="18"/>
                  <w:color w:val="0000FF"/>
                </w:rPr>
                <w:t>Specimen Common Stock Certificate (incorporated by reference to Exhibit 4.2 to the Company’s Registration Statement on Form S-1/A</w:t>
              </w:r>
            </w:hyperlink>
          </w:p>
        </w:tc>
      </w:tr>
      <w:tr>
        <w:trPr>
          <w:trHeight w:val="155"/>
        </w:trPr>
        <w:tc>
          <w:tcPr>
            <w:tcW w:w="9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60" w:type="dxa"/>
            <w:vAlign w:val="bottom"/>
            <w:tcBorders>
              <w:top w:val="single" w:sz="8" w:color="0000FF"/>
              <w:bottom w:val="single" w:sz="8" w:color="0000FF"/>
            </w:tcBorders>
            <w:gridSpan w:val="4"/>
          </w:tcPr>
          <w:p>
            <w:pPr>
              <w:spacing w:after="0" w:line="156" w:lineRule="exact"/>
              <w:rPr>
                <w:rFonts w:ascii="Times New Roman" w:cs="Times New Roman" w:eastAsia="Times New Roman" w:hAnsi="Times New Roman"/>
                <w:sz w:val="18"/>
                <w:szCs w:val="18"/>
                <w:color w:val="0000FF"/>
                <w:w w:val="98"/>
              </w:rPr>
            </w:pPr>
            <w:hyperlink r:id="rId67">
              <w:r>
                <w:rPr>
                  <w:rFonts w:ascii="Times New Roman" w:cs="Times New Roman" w:eastAsia="Times New Roman" w:hAnsi="Times New Roman"/>
                  <w:sz w:val="18"/>
                  <w:szCs w:val="18"/>
                  <w:color w:val="0000FF"/>
                  <w:w w:val="98"/>
                </w:rPr>
                <w:t>filed November 19, 2021)</w:t>
              </w:r>
            </w:hyperlink>
          </w:p>
        </w:tc>
        <w:tc>
          <w:tcPr>
            <w:tcW w:w="7960" w:type="dxa"/>
            <w:vAlign w:val="bottom"/>
            <w:tcBorders>
              <w:top w:val="single" w:sz="8" w:color="0000FF"/>
            </w:tcBorders>
            <w:gridSpan w:val="22"/>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4.4</w:t>
            </w: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40" w:type="dxa"/>
            <w:vAlign w:val="bottom"/>
            <w:gridSpan w:val="27"/>
          </w:tcPr>
          <w:p>
            <w:pPr>
              <w:spacing w:after="0"/>
              <w:rPr>
                <w:rFonts w:ascii="Times New Roman" w:cs="Times New Roman" w:eastAsia="Times New Roman" w:hAnsi="Times New Roman"/>
                <w:sz w:val="18"/>
                <w:szCs w:val="18"/>
                <w:color w:val="0000FF"/>
              </w:rPr>
            </w:pPr>
            <w:hyperlink r:id="rId68">
              <w:r>
                <w:rPr>
                  <w:rFonts w:ascii="Times New Roman" w:cs="Times New Roman" w:eastAsia="Times New Roman" w:hAnsi="Times New Roman"/>
                  <w:sz w:val="18"/>
                  <w:szCs w:val="18"/>
                  <w:color w:val="0000FF"/>
                </w:rPr>
                <w:t>Specimen Warrant Certificate (incorporated by reference to Exhibit 4.3 to the Company’s Registration Statement on Form S-1/A filed</w:t>
              </w:r>
            </w:hyperlink>
          </w:p>
        </w:tc>
      </w:tr>
      <w:tr>
        <w:trPr>
          <w:trHeight w:val="156"/>
        </w:trPr>
        <w:tc>
          <w:tcPr>
            <w:tcW w:w="9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20" w:type="dxa"/>
            <w:vAlign w:val="bottom"/>
            <w:tcBorders>
              <w:top w:val="single" w:sz="8" w:color="0000FF"/>
            </w:tcBorders>
            <w:gridSpan w:val="19"/>
          </w:tcPr>
          <w:p>
            <w:pPr>
              <w:spacing w:after="0" w:line="156" w:lineRule="exact"/>
              <w:rPr>
                <w:rFonts w:ascii="Times New Roman" w:cs="Times New Roman" w:eastAsia="Times New Roman" w:hAnsi="Times New Roman"/>
                <w:sz w:val="18"/>
                <w:szCs w:val="18"/>
                <w:color w:val="0000FF"/>
              </w:rPr>
            </w:pPr>
            <w:hyperlink r:id="rId68">
              <w:r>
                <w:rPr>
                  <w:rFonts w:ascii="Times New Roman" w:cs="Times New Roman" w:eastAsia="Times New Roman" w:hAnsi="Times New Roman"/>
                  <w:sz w:val="18"/>
                  <w:szCs w:val="18"/>
                  <w:color w:val="0000FF"/>
                </w:rPr>
                <w:t>November 19, 2021)</w:t>
              </w:r>
            </w:hyperlink>
          </w:p>
        </w:tc>
        <w:tc>
          <w:tcPr>
            <w:tcW w:w="220" w:type="dxa"/>
            <w:vAlign w:val="bottom"/>
            <w:gridSpan w:val="8"/>
          </w:tcPr>
          <w:p>
            <w:pPr>
              <w:spacing w:after="0"/>
              <w:rPr>
                <w:sz w:val="13"/>
                <w:szCs w:val="13"/>
                <w:color w:val="auto"/>
              </w:rPr>
            </w:pPr>
          </w:p>
        </w:tc>
      </w:tr>
      <w:tr>
        <w:trPr>
          <w:trHeight w:val="20"/>
        </w:trPr>
        <w:tc>
          <w:tcPr>
            <w:tcW w:w="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8060" w:type="dxa"/>
            <w:vAlign w:val="bottom"/>
            <w:gridSpan w:val="1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9"/>
          </w:tcPr>
          <w:p>
            <w:pPr>
              <w:spacing w:after="0" w:line="20" w:lineRule="exact"/>
              <w:rPr>
                <w:sz w:val="1"/>
                <w:szCs w:val="1"/>
                <w:color w:val="auto"/>
              </w:rPr>
            </w:pPr>
          </w:p>
        </w:tc>
      </w:tr>
      <w:tr>
        <w:trPr>
          <w:trHeight w:val="223"/>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4.5</w:t>
            </w: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40" w:type="dxa"/>
            <w:vAlign w:val="bottom"/>
            <w:gridSpan w:val="27"/>
          </w:tcPr>
          <w:p>
            <w:pPr>
              <w:spacing w:after="0"/>
              <w:rPr>
                <w:rFonts w:ascii="Times New Roman" w:cs="Times New Roman" w:eastAsia="Times New Roman" w:hAnsi="Times New Roman"/>
                <w:sz w:val="18"/>
                <w:szCs w:val="18"/>
                <w:color w:val="0000FF"/>
              </w:rPr>
            </w:pPr>
            <w:hyperlink r:id="rId69">
              <w:r>
                <w:rPr>
                  <w:rFonts w:ascii="Times New Roman" w:cs="Times New Roman" w:eastAsia="Times New Roman" w:hAnsi="Times New Roman"/>
                  <w:sz w:val="18"/>
                  <w:szCs w:val="18"/>
                  <w:color w:val="0000FF"/>
                </w:rPr>
                <w:t>Form of Warrant (incorporated by reference to Exhibit 10.5 to the Company’s Quarterly Report on Form 10-Q filed on November 13,</w:t>
              </w:r>
            </w:hyperlink>
          </w:p>
        </w:tc>
      </w:tr>
      <w:tr>
        <w:trPr>
          <w:trHeight w:val="155"/>
        </w:trPr>
        <w:tc>
          <w:tcPr>
            <w:tcW w:w="9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0"/>
              </w:rPr>
            </w:pPr>
            <w:hyperlink r:id="rId69">
              <w:r>
                <w:rPr>
                  <w:rFonts w:ascii="Times New Roman" w:cs="Times New Roman" w:eastAsia="Times New Roman" w:hAnsi="Times New Roman"/>
                  <w:sz w:val="18"/>
                  <w:szCs w:val="18"/>
                  <w:color w:val="0000FF"/>
                  <w:w w:val="90"/>
                </w:rPr>
                <w:t>2025)</w:t>
              </w:r>
            </w:hyperlink>
          </w:p>
        </w:tc>
        <w:tc>
          <w:tcPr>
            <w:tcW w:w="10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380" w:type="dxa"/>
            <w:vAlign w:val="bottom"/>
            <w:tcBorders>
              <w:top w:val="single" w:sz="8" w:color="0000FF"/>
            </w:tcBorders>
          </w:tcPr>
          <w:p>
            <w:pPr>
              <w:spacing w:after="0"/>
              <w:rPr>
                <w:sz w:val="13"/>
                <w:szCs w:val="13"/>
                <w:color w:val="auto"/>
              </w:rPr>
            </w:pPr>
          </w:p>
        </w:tc>
        <w:tc>
          <w:tcPr>
            <w:tcW w:w="560" w:type="dxa"/>
            <w:vAlign w:val="bottom"/>
            <w:tcBorders>
              <w:top w:val="single" w:sz="8" w:color="0000FF"/>
            </w:tcBorders>
          </w:tcPr>
          <w:p>
            <w:pPr>
              <w:spacing w:after="0"/>
              <w:rPr>
                <w:sz w:val="13"/>
                <w:szCs w:val="13"/>
                <w:color w:val="auto"/>
              </w:rPr>
            </w:pPr>
          </w:p>
        </w:tc>
        <w:tc>
          <w:tcPr>
            <w:tcW w:w="2220" w:type="dxa"/>
            <w:vAlign w:val="bottom"/>
            <w:tcBorders>
              <w:top w:val="single" w:sz="8" w:color="0000FF"/>
            </w:tcBorders>
          </w:tcPr>
          <w:p>
            <w:pPr>
              <w:spacing w:after="0"/>
              <w:rPr>
                <w:sz w:val="13"/>
                <w:szCs w:val="13"/>
                <w:color w:val="auto"/>
              </w:rPr>
            </w:pPr>
          </w:p>
        </w:tc>
        <w:tc>
          <w:tcPr>
            <w:tcW w:w="540" w:type="dxa"/>
            <w:vAlign w:val="bottom"/>
            <w:tcBorders>
              <w:top w:val="single" w:sz="8" w:color="0000FF"/>
            </w:tcBorders>
          </w:tcPr>
          <w:p>
            <w:pPr>
              <w:spacing w:after="0"/>
              <w:rPr>
                <w:sz w:val="13"/>
                <w:szCs w:val="13"/>
                <w:color w:val="auto"/>
              </w:rPr>
            </w:pPr>
          </w:p>
        </w:tc>
        <w:tc>
          <w:tcPr>
            <w:tcW w:w="720" w:type="dxa"/>
            <w:vAlign w:val="bottom"/>
            <w:tcBorders>
              <w:top w:val="single" w:sz="8" w:color="0000FF"/>
            </w:tcBorders>
          </w:tcPr>
          <w:p>
            <w:pPr>
              <w:spacing w:after="0"/>
              <w:rPr>
                <w:sz w:val="13"/>
                <w:szCs w:val="13"/>
                <w:color w:val="auto"/>
              </w:rPr>
            </w:pPr>
          </w:p>
        </w:tc>
        <w:tc>
          <w:tcPr>
            <w:tcW w:w="480" w:type="dxa"/>
            <w:vAlign w:val="bottom"/>
            <w:tcBorders>
              <w:top w:val="single" w:sz="8" w:color="0000FF"/>
            </w:tcBorders>
          </w:tcPr>
          <w:p>
            <w:pPr>
              <w:spacing w:after="0"/>
              <w:rPr>
                <w:sz w:val="13"/>
                <w:szCs w:val="13"/>
                <w:color w:val="auto"/>
              </w:rPr>
            </w:pPr>
          </w:p>
        </w:tc>
        <w:tc>
          <w:tcPr>
            <w:tcW w:w="46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202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4.6</w:t>
            </w: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40" w:type="dxa"/>
            <w:vAlign w:val="bottom"/>
            <w:gridSpan w:val="27"/>
          </w:tcPr>
          <w:p>
            <w:pPr>
              <w:spacing w:after="0"/>
              <w:rPr>
                <w:rFonts w:ascii="Times New Roman" w:cs="Times New Roman" w:eastAsia="Times New Roman" w:hAnsi="Times New Roman"/>
                <w:sz w:val="18"/>
                <w:szCs w:val="18"/>
                <w:color w:val="0000FF"/>
              </w:rPr>
            </w:pPr>
            <w:hyperlink r:id="rId70">
              <w:r>
                <w:rPr>
                  <w:rFonts w:ascii="Times New Roman" w:cs="Times New Roman" w:eastAsia="Times New Roman" w:hAnsi="Times New Roman"/>
                  <w:sz w:val="18"/>
                  <w:szCs w:val="18"/>
                  <w:color w:val="0000FF"/>
                </w:rPr>
                <w:t>Registration Rights Agreement, dated as of January 13, 2025, by and among the Company and certain stockholders of Legacy Blaize</w:t>
              </w:r>
            </w:hyperlink>
          </w:p>
        </w:tc>
      </w:tr>
      <w:tr>
        <w:trPr>
          <w:trHeight w:val="155"/>
        </w:trPr>
        <w:tc>
          <w:tcPr>
            <w:tcW w:w="9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40" w:type="dxa"/>
            <w:vAlign w:val="bottom"/>
            <w:tcBorders>
              <w:top w:val="single" w:sz="8" w:color="0000FF"/>
              <w:bottom w:val="single" w:sz="8" w:color="0000FF"/>
            </w:tcBorders>
            <w:gridSpan w:val="16"/>
          </w:tcPr>
          <w:p>
            <w:pPr>
              <w:spacing w:after="0" w:line="156" w:lineRule="exact"/>
              <w:rPr>
                <w:rFonts w:ascii="Times New Roman" w:cs="Times New Roman" w:eastAsia="Times New Roman" w:hAnsi="Times New Roman"/>
                <w:sz w:val="18"/>
                <w:szCs w:val="18"/>
                <w:color w:val="0000FF"/>
                <w:w w:val="99"/>
              </w:rPr>
            </w:pPr>
            <w:hyperlink r:id="rId70">
              <w:r>
                <w:rPr>
                  <w:rFonts w:ascii="Times New Roman" w:cs="Times New Roman" w:eastAsia="Times New Roman" w:hAnsi="Times New Roman"/>
                  <w:sz w:val="18"/>
                  <w:szCs w:val="18"/>
                  <w:color w:val="0000FF"/>
                  <w:w w:val="99"/>
                </w:rPr>
                <w:t>named therein (incorporated by reference to Exhibit 10.11 to the Company’s Current Report on Form 8-K filed on January 17, 2025)</w:t>
              </w:r>
            </w:hyperlink>
          </w:p>
        </w:tc>
        <w:tc>
          <w:tcPr>
            <w:tcW w:w="20" w:type="dxa"/>
            <w:vAlign w:val="bottom"/>
            <w:tcBorders>
              <w:top w:val="single" w:sz="8" w:color="0000FF"/>
            </w:tcBorders>
          </w:tcPr>
          <w:p>
            <w:pPr>
              <w:spacing w:after="0"/>
              <w:rPr>
                <w:sz w:val="13"/>
                <w:szCs w:val="13"/>
                <w:color w:val="auto"/>
              </w:rPr>
            </w:pPr>
          </w:p>
        </w:tc>
        <w:tc>
          <w:tcPr>
            <w:tcW w:w="280" w:type="dxa"/>
            <w:vAlign w:val="bottom"/>
            <w:gridSpan w:val="10"/>
          </w:tcPr>
          <w:p>
            <w:pPr>
              <w:spacing w:after="0"/>
              <w:rPr>
                <w:sz w:val="13"/>
                <w:szCs w:val="1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ectPr>
          <w:pgSz w:w="11900" w:h="16838" w:orient="portrait"/>
          <w:cols w:equalWidth="0" w:num="1">
            <w:col w:w="11240"/>
          </w:cols>
          <w:pgMar w:left="320" w:top="1413" w:right="339" w:bottom="1440" w:gutter="0" w:footer="0" w:header="0"/>
        </w:sectPr>
      </w:pPr>
    </w:p>
    <w:bookmarkStart w:id="104" w:name="page105"/>
    <w:bookmarkEnd w:id="104"/>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4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9840" w:type="dxa"/>
            <w:vAlign w:val="bottom"/>
            <w:tcBorders>
              <w:bottom w:val="single" w:sz="8" w:color="auto"/>
            </w:tcBorders>
            <w:gridSpan w:val="37"/>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83"/>
        </w:trPr>
        <w:tc>
          <w:tcPr>
            <w:tcW w:w="96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color w:val="auto"/>
              </w:rPr>
              <w:t>4.7</w:t>
            </w: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40" w:type="dxa"/>
            <w:vAlign w:val="bottom"/>
            <w:gridSpan w:val="37"/>
          </w:tcPr>
          <w:p>
            <w:pPr>
              <w:spacing w:after="0" w:line="182" w:lineRule="exact"/>
              <w:rPr>
                <w:rFonts w:ascii="Times New Roman" w:cs="Times New Roman" w:eastAsia="Times New Roman" w:hAnsi="Times New Roman"/>
                <w:sz w:val="18"/>
                <w:szCs w:val="18"/>
                <w:color w:val="0000FF"/>
              </w:rPr>
            </w:pPr>
            <w:hyperlink r:id="rId71">
              <w:r>
                <w:rPr>
                  <w:rFonts w:ascii="Times New Roman" w:cs="Times New Roman" w:eastAsia="Times New Roman" w:hAnsi="Times New Roman"/>
                  <w:sz w:val="18"/>
                  <w:szCs w:val="18"/>
                  <w:color w:val="0000FF"/>
                </w:rPr>
                <w:t>Amended and Restated Registration Rights Agreement, dated as of January 13, 2025, by and among the Company, certain stockholders</w:t>
              </w:r>
            </w:hyperlink>
          </w:p>
        </w:tc>
      </w:tr>
      <w:tr>
        <w:trPr>
          <w:trHeight w:val="156"/>
        </w:trPr>
        <w:tc>
          <w:tcPr>
            <w:tcW w:w="9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60" w:type="dxa"/>
            <w:vAlign w:val="bottom"/>
            <w:tcBorders>
              <w:top w:val="single" w:sz="8" w:color="0000FF"/>
            </w:tcBorders>
            <w:gridSpan w:val="35"/>
          </w:tcPr>
          <w:p>
            <w:pPr>
              <w:spacing w:after="0" w:line="156" w:lineRule="exact"/>
              <w:rPr>
                <w:rFonts w:ascii="Times New Roman" w:cs="Times New Roman" w:eastAsia="Times New Roman" w:hAnsi="Times New Roman"/>
                <w:sz w:val="18"/>
                <w:szCs w:val="18"/>
                <w:color w:val="0000FF"/>
              </w:rPr>
            </w:pPr>
            <w:hyperlink r:id="rId71">
              <w:r>
                <w:rPr>
                  <w:rFonts w:ascii="Times New Roman" w:cs="Times New Roman" w:eastAsia="Times New Roman" w:hAnsi="Times New Roman"/>
                  <w:sz w:val="18"/>
                  <w:szCs w:val="18"/>
                  <w:color w:val="0000FF"/>
                </w:rPr>
                <w:t>of BurTech named therein and certain stockholders of Legacy Blaize named therein (incorporated by reference to Exhibit 10.1 to the</w:t>
              </w:r>
            </w:hyperlink>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69"/>
        </w:trPr>
        <w:tc>
          <w:tcPr>
            <w:tcW w:w="9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580" w:type="dxa"/>
            <w:vAlign w:val="bottom"/>
            <w:tcBorders>
              <w:top w:val="single" w:sz="8" w:color="0000FF"/>
            </w:tcBorders>
            <w:gridSpan w:val="27"/>
          </w:tcPr>
          <w:p>
            <w:pPr>
              <w:spacing w:after="0" w:line="169" w:lineRule="exact"/>
              <w:rPr>
                <w:rFonts w:ascii="Times New Roman" w:cs="Times New Roman" w:eastAsia="Times New Roman" w:hAnsi="Times New Roman"/>
                <w:sz w:val="18"/>
                <w:szCs w:val="18"/>
                <w:color w:val="0000FF"/>
              </w:rPr>
            </w:pPr>
            <w:hyperlink r:id="rId71">
              <w:r>
                <w:rPr>
                  <w:rFonts w:ascii="Times New Roman" w:cs="Times New Roman" w:eastAsia="Times New Roman" w:hAnsi="Times New Roman"/>
                  <w:sz w:val="18"/>
                  <w:szCs w:val="18"/>
                  <w:color w:val="0000FF"/>
                </w:rPr>
                <w:t>Company’s Current Report on Form 8-K filed on January 17, 2025)</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0"/>
        </w:trPr>
        <w:tc>
          <w:tcPr>
            <w:tcW w:w="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4.8</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40" w:type="dxa"/>
            <w:vAlign w:val="bottom"/>
            <w:gridSpan w:val="37"/>
          </w:tcPr>
          <w:p>
            <w:pPr>
              <w:spacing w:after="0"/>
              <w:rPr>
                <w:rFonts w:ascii="Times New Roman" w:cs="Times New Roman" w:eastAsia="Times New Roman" w:hAnsi="Times New Roman"/>
                <w:sz w:val="18"/>
                <w:szCs w:val="18"/>
                <w:color w:val="0000FF"/>
              </w:rPr>
            </w:pPr>
            <w:hyperlink r:id="rId72">
              <w:r>
                <w:rPr>
                  <w:rFonts w:ascii="Times New Roman" w:cs="Times New Roman" w:eastAsia="Times New Roman" w:hAnsi="Times New Roman"/>
                  <w:sz w:val="18"/>
                  <w:szCs w:val="18"/>
                  <w:color w:val="0000FF"/>
                </w:rPr>
                <w:t>Form of Indenture (incorporated by reference to Exhibit 4.3 to the Company’s Registration Statement on Form S-3 filed on January 27,</w:t>
              </w:r>
            </w:hyperlink>
          </w:p>
        </w:tc>
      </w:tr>
      <w:tr>
        <w:trPr>
          <w:trHeight w:val="156"/>
        </w:trPr>
        <w:tc>
          <w:tcPr>
            <w:tcW w:w="9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0"/>
              </w:rPr>
            </w:pPr>
            <w:hyperlink r:id="rId72">
              <w:r>
                <w:rPr>
                  <w:rFonts w:ascii="Times New Roman" w:cs="Times New Roman" w:eastAsia="Times New Roman" w:hAnsi="Times New Roman"/>
                  <w:sz w:val="18"/>
                  <w:szCs w:val="18"/>
                  <w:color w:val="0000FF"/>
                  <w:w w:val="90"/>
                </w:rPr>
                <w:t>2026)</w:t>
              </w:r>
            </w:hyperlink>
          </w:p>
        </w:tc>
        <w:tc>
          <w:tcPr>
            <w:tcW w:w="280" w:type="dxa"/>
            <w:vAlign w:val="bottom"/>
            <w:tcBorders>
              <w:top w:val="single" w:sz="8" w:color="0000FF"/>
            </w:tcBorders>
          </w:tcPr>
          <w:p>
            <w:pPr>
              <w:spacing w:after="0"/>
              <w:rPr>
                <w:sz w:val="13"/>
                <w:szCs w:val="13"/>
                <w:color w:val="auto"/>
              </w:rPr>
            </w:pPr>
          </w:p>
        </w:tc>
        <w:tc>
          <w:tcPr>
            <w:tcW w:w="60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74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19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6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660" w:type="dxa"/>
            <w:vAlign w:val="bottom"/>
            <w:tcBorders>
              <w:top w:val="single" w:sz="8" w:color="0000FF"/>
            </w:tcBorders>
          </w:tcPr>
          <w:p>
            <w:pPr>
              <w:spacing w:after="0"/>
              <w:rPr>
                <w:sz w:val="13"/>
                <w:szCs w:val="13"/>
                <w:color w:val="auto"/>
              </w:rPr>
            </w:pPr>
          </w:p>
        </w:tc>
        <w:tc>
          <w:tcPr>
            <w:tcW w:w="920" w:type="dxa"/>
            <w:vAlign w:val="bottom"/>
            <w:tcBorders>
              <w:top w:val="single" w:sz="8" w:color="0000FF"/>
            </w:tcBorders>
          </w:tcPr>
          <w:p>
            <w:pPr>
              <w:spacing w:after="0"/>
              <w:rPr>
                <w:sz w:val="13"/>
                <w:szCs w:val="13"/>
                <w:color w:val="auto"/>
              </w:rPr>
            </w:pPr>
          </w:p>
        </w:tc>
        <w:tc>
          <w:tcPr>
            <w:tcW w:w="1120" w:type="dxa"/>
            <w:vAlign w:val="bottom"/>
            <w:tcBorders>
              <w:top w:val="single" w:sz="8" w:color="0000FF"/>
            </w:tcBorders>
          </w:tcPr>
          <w:p>
            <w:pPr>
              <w:spacing w:after="0"/>
              <w:rPr>
                <w:sz w:val="13"/>
                <w:szCs w:val="13"/>
                <w:color w:val="auto"/>
              </w:rPr>
            </w:pPr>
          </w:p>
        </w:tc>
        <w:tc>
          <w:tcPr>
            <w:tcW w:w="60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23"/>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340" w:type="dxa"/>
            <w:vAlign w:val="bottom"/>
            <w:tcBorders>
              <w:bottom w:val="single" w:sz="8" w:color="0000FF"/>
            </w:tcBorders>
            <w:gridSpan w:val="20"/>
          </w:tcPr>
          <w:p>
            <w:pPr>
              <w:spacing w:after="0"/>
              <w:rPr>
                <w:rFonts w:ascii="Times New Roman" w:cs="Times New Roman" w:eastAsia="Times New Roman" w:hAnsi="Times New Roman"/>
                <w:sz w:val="18"/>
                <w:szCs w:val="18"/>
                <w:color w:val="0000FF"/>
                <w:w w:val="99"/>
              </w:rPr>
            </w:pPr>
            <w:hyperlink r:id="rId73">
              <w:r>
                <w:rPr>
                  <w:rFonts w:ascii="Times New Roman" w:cs="Times New Roman" w:eastAsia="Times New Roman" w:hAnsi="Times New Roman"/>
                  <w:sz w:val="18"/>
                  <w:szCs w:val="18"/>
                  <w:color w:val="0000FF"/>
                  <w:w w:val="99"/>
                </w:rPr>
                <w:t>Letter Agreement, dated December 10, 2021, by and among the Company, its officers and directors, the Sponsor and certain other</w:t>
              </w:r>
            </w:hyperlink>
          </w:p>
        </w:tc>
        <w:tc>
          <w:tcPr>
            <w:tcW w:w="500" w:type="dxa"/>
            <w:vAlign w:val="bottom"/>
            <w:gridSpan w:val="17"/>
          </w:tcPr>
          <w:p>
            <w:pPr>
              <w:spacing w:after="0"/>
              <w:rPr>
                <w:sz w:val="19"/>
                <w:szCs w:val="19"/>
                <w:color w:val="auto"/>
              </w:rPr>
            </w:pPr>
          </w:p>
        </w:tc>
      </w:tr>
      <w:tr>
        <w:trPr>
          <w:trHeight w:val="156"/>
        </w:trPr>
        <w:tc>
          <w:tcPr>
            <w:tcW w:w="9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40" w:type="dxa"/>
            <w:vAlign w:val="bottom"/>
            <w:gridSpan w:val="37"/>
          </w:tcPr>
          <w:p>
            <w:pPr>
              <w:spacing w:after="0" w:line="156" w:lineRule="exact"/>
              <w:rPr>
                <w:rFonts w:ascii="Times New Roman" w:cs="Times New Roman" w:eastAsia="Times New Roman" w:hAnsi="Times New Roman"/>
                <w:sz w:val="18"/>
                <w:szCs w:val="18"/>
                <w:color w:val="0000FF"/>
              </w:rPr>
            </w:pPr>
            <w:hyperlink r:id="rId73">
              <w:r>
                <w:rPr>
                  <w:rFonts w:ascii="Times New Roman" w:cs="Times New Roman" w:eastAsia="Times New Roman" w:hAnsi="Times New Roman"/>
                  <w:sz w:val="18"/>
                  <w:szCs w:val="18"/>
                  <w:color w:val="0000FF"/>
                </w:rPr>
                <w:t>stockholders party thereto (incorporated by reference to Exhibit 10.2 to the Company’s Current Report on Form 8-K filed on December</w:t>
              </w:r>
            </w:hyperlink>
          </w:p>
        </w:tc>
      </w:tr>
      <w:tr>
        <w:trPr>
          <w:trHeight w:val="169"/>
        </w:trPr>
        <w:tc>
          <w:tcPr>
            <w:tcW w:w="9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Borders>
              <w:top w:val="single" w:sz="8" w:color="0000FF"/>
              <w:bottom w:val="single" w:sz="8" w:color="0000FF"/>
            </w:tcBorders>
            <w:gridSpan w:val="2"/>
          </w:tcPr>
          <w:p>
            <w:pPr>
              <w:spacing w:after="0" w:line="169" w:lineRule="exact"/>
              <w:rPr>
                <w:rFonts w:ascii="Times New Roman" w:cs="Times New Roman" w:eastAsia="Times New Roman" w:hAnsi="Times New Roman"/>
                <w:sz w:val="18"/>
                <w:szCs w:val="18"/>
                <w:color w:val="0000FF"/>
                <w:w w:val="95"/>
              </w:rPr>
            </w:pPr>
            <w:hyperlink r:id="rId73">
              <w:r>
                <w:rPr>
                  <w:rFonts w:ascii="Times New Roman" w:cs="Times New Roman" w:eastAsia="Times New Roman" w:hAnsi="Times New Roman"/>
                  <w:sz w:val="18"/>
                  <w:szCs w:val="18"/>
                  <w:color w:val="0000FF"/>
                  <w:w w:val="95"/>
                </w:rPr>
                <w:t>16, 2021)</w:t>
              </w:r>
            </w:hyperlink>
          </w:p>
        </w:tc>
        <w:tc>
          <w:tcPr>
            <w:tcW w:w="60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740" w:type="dxa"/>
            <w:vAlign w:val="bottom"/>
            <w:tcBorders>
              <w:top w:val="single" w:sz="8" w:color="0000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192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460" w:type="dxa"/>
            <w:vAlign w:val="bottom"/>
            <w:tcBorders>
              <w:top w:val="single" w:sz="8" w:color="0000FF"/>
            </w:tcBorders>
          </w:tcPr>
          <w:p>
            <w:pPr>
              <w:spacing w:after="0"/>
              <w:rPr>
                <w:sz w:val="14"/>
                <w:szCs w:val="14"/>
                <w:color w:val="auto"/>
              </w:rPr>
            </w:pPr>
          </w:p>
        </w:tc>
        <w:tc>
          <w:tcPr>
            <w:tcW w:w="360" w:type="dxa"/>
            <w:vAlign w:val="bottom"/>
            <w:tcBorders>
              <w:top w:val="single" w:sz="8" w:color="0000FF"/>
            </w:tcBorders>
          </w:tcPr>
          <w:p>
            <w:pPr>
              <w:spacing w:after="0"/>
              <w:rPr>
                <w:sz w:val="14"/>
                <w:szCs w:val="14"/>
                <w:color w:val="auto"/>
              </w:rPr>
            </w:pPr>
          </w:p>
        </w:tc>
        <w:tc>
          <w:tcPr>
            <w:tcW w:w="660" w:type="dxa"/>
            <w:vAlign w:val="bottom"/>
            <w:tcBorders>
              <w:top w:val="single" w:sz="8" w:color="0000FF"/>
            </w:tcBorders>
          </w:tcPr>
          <w:p>
            <w:pPr>
              <w:spacing w:after="0"/>
              <w:rPr>
                <w:sz w:val="14"/>
                <w:szCs w:val="14"/>
                <w:color w:val="auto"/>
              </w:rPr>
            </w:pPr>
          </w:p>
        </w:tc>
        <w:tc>
          <w:tcPr>
            <w:tcW w:w="920" w:type="dxa"/>
            <w:vAlign w:val="bottom"/>
            <w:tcBorders>
              <w:top w:val="single" w:sz="8" w:color="0000FF"/>
            </w:tcBorders>
          </w:tcPr>
          <w:p>
            <w:pPr>
              <w:spacing w:after="0"/>
              <w:rPr>
                <w:sz w:val="14"/>
                <w:szCs w:val="14"/>
                <w:color w:val="auto"/>
              </w:rPr>
            </w:pPr>
          </w:p>
        </w:tc>
        <w:tc>
          <w:tcPr>
            <w:tcW w:w="1120" w:type="dxa"/>
            <w:vAlign w:val="bottom"/>
            <w:tcBorders>
              <w:top w:val="single" w:sz="8" w:color="0000FF"/>
            </w:tcBorders>
          </w:tcPr>
          <w:p>
            <w:pPr>
              <w:spacing w:after="0"/>
              <w:rPr>
                <w:sz w:val="14"/>
                <w:szCs w:val="14"/>
                <w:color w:val="auto"/>
              </w:rPr>
            </w:pPr>
          </w:p>
        </w:tc>
        <w:tc>
          <w:tcPr>
            <w:tcW w:w="60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60" w:type="dxa"/>
            <w:vAlign w:val="bottom"/>
          </w:tcPr>
          <w:p>
            <w:pPr>
              <w:spacing w:after="0"/>
              <w:rPr>
                <w:sz w:val="14"/>
                <w:szCs w:val="14"/>
                <w:color w:val="auto"/>
              </w:rPr>
            </w:pPr>
          </w:p>
        </w:tc>
      </w:tr>
      <w:tr>
        <w:trPr>
          <w:trHeight w:val="209"/>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9840" w:type="dxa"/>
            <w:vAlign w:val="bottom"/>
            <w:gridSpan w:val="37"/>
          </w:tcPr>
          <w:p>
            <w:pPr>
              <w:spacing w:after="0"/>
              <w:rPr>
                <w:rFonts w:ascii="Times New Roman" w:cs="Times New Roman" w:eastAsia="Times New Roman" w:hAnsi="Times New Roman"/>
                <w:sz w:val="18"/>
                <w:szCs w:val="18"/>
                <w:color w:val="0000FF"/>
              </w:rPr>
            </w:pPr>
            <w:hyperlink r:id="rId74">
              <w:r>
                <w:rPr>
                  <w:rFonts w:ascii="Times New Roman" w:cs="Times New Roman" w:eastAsia="Times New Roman" w:hAnsi="Times New Roman"/>
                  <w:sz w:val="18"/>
                  <w:szCs w:val="18"/>
                  <w:color w:val="0000FF"/>
                </w:rPr>
                <w:t>Form of Indemnification Agreement (incorporated by reference to Exhibit 10.3 to the Company’s Current Report on Form 8-K filed on</w:t>
              </w:r>
            </w:hyperlink>
          </w:p>
        </w:tc>
      </w:tr>
      <w:tr>
        <w:trPr>
          <w:trHeight w:val="156"/>
        </w:trPr>
        <w:tc>
          <w:tcPr>
            <w:tcW w:w="9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20" w:type="dxa"/>
            <w:vAlign w:val="bottom"/>
            <w:tcBorders>
              <w:top w:val="single" w:sz="8" w:color="0000FF"/>
            </w:tcBorders>
            <w:gridSpan w:val="33"/>
          </w:tcPr>
          <w:p>
            <w:pPr>
              <w:spacing w:after="0" w:line="156" w:lineRule="exact"/>
              <w:rPr>
                <w:rFonts w:ascii="Times New Roman" w:cs="Times New Roman" w:eastAsia="Times New Roman" w:hAnsi="Times New Roman"/>
                <w:sz w:val="18"/>
                <w:szCs w:val="18"/>
                <w:color w:val="0000FF"/>
              </w:rPr>
            </w:pPr>
            <w:hyperlink r:id="rId74">
              <w:r>
                <w:rPr>
                  <w:rFonts w:ascii="Times New Roman" w:cs="Times New Roman" w:eastAsia="Times New Roman" w:hAnsi="Times New Roman"/>
                  <w:sz w:val="18"/>
                  <w:szCs w:val="18"/>
                  <w:color w:val="0000FF"/>
                </w:rPr>
                <w:t>January 17, 2025)</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0"/>
        </w:trPr>
        <w:tc>
          <w:tcPr>
            <w:tcW w:w="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gridSpan w:val="3"/>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3"/>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w:t>
            </w:r>
          </w:p>
        </w:tc>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9840" w:type="dxa"/>
            <w:vAlign w:val="bottom"/>
            <w:gridSpan w:val="37"/>
          </w:tcPr>
          <w:p>
            <w:pPr>
              <w:spacing w:after="0"/>
              <w:rPr>
                <w:rFonts w:ascii="Times New Roman" w:cs="Times New Roman" w:eastAsia="Times New Roman" w:hAnsi="Times New Roman"/>
                <w:sz w:val="18"/>
                <w:szCs w:val="18"/>
                <w:color w:val="0000FF"/>
              </w:rPr>
            </w:pPr>
            <w:hyperlink r:id="rId75">
              <w:r>
                <w:rPr>
                  <w:rFonts w:ascii="Times New Roman" w:cs="Times New Roman" w:eastAsia="Times New Roman" w:hAnsi="Times New Roman"/>
                  <w:sz w:val="18"/>
                  <w:szCs w:val="18"/>
                  <w:color w:val="0000FF"/>
                </w:rPr>
                <w:t>Blaize, Inc. Amended and Restated 2011 Stock Plan (incorporated by reference to Exhibit 10.4 to the Company’s Current Report on</w:t>
              </w:r>
            </w:hyperlink>
          </w:p>
        </w:tc>
      </w:tr>
      <w:tr>
        <w:trPr>
          <w:trHeight w:val="156"/>
        </w:trPr>
        <w:tc>
          <w:tcPr>
            <w:tcW w:w="9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20" w:type="dxa"/>
            <w:vAlign w:val="bottom"/>
            <w:tcBorders>
              <w:top w:val="single" w:sz="8" w:color="0000FF"/>
            </w:tcBorders>
            <w:gridSpan w:val="24"/>
          </w:tcPr>
          <w:p>
            <w:pPr>
              <w:spacing w:after="0" w:line="156" w:lineRule="exact"/>
              <w:rPr>
                <w:rFonts w:ascii="Times New Roman" w:cs="Times New Roman" w:eastAsia="Times New Roman" w:hAnsi="Times New Roman"/>
                <w:sz w:val="18"/>
                <w:szCs w:val="18"/>
                <w:color w:val="0000FF"/>
              </w:rPr>
            </w:pPr>
            <w:hyperlink r:id="rId75">
              <w:r>
                <w:rPr>
                  <w:rFonts w:ascii="Times New Roman" w:cs="Times New Roman" w:eastAsia="Times New Roman" w:hAnsi="Times New Roman"/>
                  <w:sz w:val="18"/>
                  <w:szCs w:val="18"/>
                  <w:color w:val="0000FF"/>
                </w:rPr>
                <w:t>Form 8-K filed on January 17, 2025)</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0"/>
        </w:trPr>
        <w:tc>
          <w:tcPr>
            <w:tcW w:w="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tcBorders>
              <w:right w:val="single" w:sz="8" w:color="0000FF"/>
            </w:tcBorders>
            <w:gridSpan w:val="4"/>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3"/>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9840" w:type="dxa"/>
            <w:vAlign w:val="bottom"/>
            <w:gridSpan w:val="37"/>
          </w:tcPr>
          <w:p>
            <w:pPr>
              <w:spacing w:after="0"/>
              <w:rPr>
                <w:rFonts w:ascii="Times New Roman" w:cs="Times New Roman" w:eastAsia="Times New Roman" w:hAnsi="Times New Roman"/>
                <w:sz w:val="18"/>
                <w:szCs w:val="18"/>
                <w:color w:val="0000FF"/>
              </w:rPr>
            </w:pPr>
            <w:hyperlink r:id="rId76">
              <w:r>
                <w:rPr>
                  <w:rFonts w:ascii="Times New Roman" w:cs="Times New Roman" w:eastAsia="Times New Roman" w:hAnsi="Times New Roman"/>
                  <w:sz w:val="18"/>
                  <w:szCs w:val="18"/>
                  <w:color w:val="0000FF"/>
                </w:rPr>
                <w:t>Form of Stock Option Grant Agreement (Installment Exercise) and Grant Notice under the Blaize, Inc. Amended and Restated 2011</w:t>
              </w:r>
            </w:hyperlink>
          </w:p>
        </w:tc>
      </w:tr>
      <w:tr>
        <w:trPr>
          <w:trHeight w:val="156"/>
        </w:trPr>
        <w:tc>
          <w:tcPr>
            <w:tcW w:w="9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40" w:type="dxa"/>
            <w:vAlign w:val="bottom"/>
            <w:tcBorders>
              <w:top w:val="single" w:sz="8" w:color="0000FF"/>
            </w:tcBorders>
            <w:gridSpan w:val="25"/>
          </w:tcPr>
          <w:p>
            <w:pPr>
              <w:spacing w:after="0" w:line="156" w:lineRule="exact"/>
              <w:rPr>
                <w:rFonts w:ascii="Times New Roman" w:cs="Times New Roman" w:eastAsia="Times New Roman" w:hAnsi="Times New Roman"/>
                <w:sz w:val="18"/>
                <w:szCs w:val="18"/>
                <w:color w:val="0000FF"/>
              </w:rPr>
            </w:pPr>
            <w:hyperlink r:id="rId76">
              <w:r>
                <w:rPr>
                  <w:rFonts w:ascii="Times New Roman" w:cs="Times New Roman" w:eastAsia="Times New Roman" w:hAnsi="Times New Roman"/>
                  <w:sz w:val="18"/>
                  <w:szCs w:val="18"/>
                  <w:color w:val="0000FF"/>
                </w:rPr>
                <w:t>Stock Plan (incorporated by reference to Exhibit 10.7 to the Company’s Current Report on Form 8-K filed on January 17, 2025)</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0"/>
        </w:trPr>
        <w:tc>
          <w:tcPr>
            <w:tcW w:w="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tcBorders>
              <w:right w:val="single" w:sz="8" w:color="0000FF"/>
            </w:tcBorders>
            <w:gridSpan w:val="4"/>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3"/>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10.5</w:t>
            </w:r>
          </w:p>
        </w:tc>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9840" w:type="dxa"/>
            <w:vAlign w:val="bottom"/>
            <w:gridSpan w:val="37"/>
          </w:tcPr>
          <w:p>
            <w:pPr>
              <w:spacing w:after="0"/>
              <w:rPr>
                <w:rFonts w:ascii="Times New Roman" w:cs="Times New Roman" w:eastAsia="Times New Roman" w:hAnsi="Times New Roman"/>
                <w:sz w:val="18"/>
                <w:szCs w:val="18"/>
                <w:color w:val="0000FF"/>
              </w:rPr>
            </w:pPr>
            <w:hyperlink r:id="rId77">
              <w:r>
                <w:rPr>
                  <w:rFonts w:ascii="Times New Roman" w:cs="Times New Roman" w:eastAsia="Times New Roman" w:hAnsi="Times New Roman"/>
                  <w:sz w:val="18"/>
                  <w:szCs w:val="18"/>
                  <w:color w:val="0000FF"/>
                </w:rPr>
                <w:t>Form of Stock Option Grant Agreement (Contingent Exercise) and Grant Notice under the Blaize, Inc. Amended and Restated 2011</w:t>
              </w:r>
            </w:hyperlink>
          </w:p>
        </w:tc>
      </w:tr>
      <w:tr>
        <w:trPr>
          <w:trHeight w:val="156"/>
        </w:trPr>
        <w:tc>
          <w:tcPr>
            <w:tcW w:w="9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00" w:type="dxa"/>
            <w:vAlign w:val="bottom"/>
            <w:tcBorders>
              <w:top w:val="single" w:sz="8" w:color="0000FF"/>
              <w:bottom w:val="single" w:sz="8" w:color="0000FF"/>
            </w:tcBorders>
            <w:gridSpan w:val="18"/>
          </w:tcPr>
          <w:p>
            <w:pPr>
              <w:spacing w:after="0" w:line="156" w:lineRule="exact"/>
              <w:rPr>
                <w:rFonts w:ascii="Times New Roman" w:cs="Times New Roman" w:eastAsia="Times New Roman" w:hAnsi="Times New Roman"/>
                <w:sz w:val="18"/>
                <w:szCs w:val="18"/>
                <w:color w:val="0000FF"/>
                <w:w w:val="99"/>
              </w:rPr>
            </w:pPr>
            <w:hyperlink r:id="rId77">
              <w:r>
                <w:rPr>
                  <w:rFonts w:ascii="Times New Roman" w:cs="Times New Roman" w:eastAsia="Times New Roman" w:hAnsi="Times New Roman"/>
                  <w:sz w:val="18"/>
                  <w:szCs w:val="18"/>
                  <w:color w:val="0000FF"/>
                  <w:w w:val="99"/>
                </w:rPr>
                <w:t>Stock Plan (incorporated by reference to Exhibit 10.22 to the Company’s Current Report on Form 8-K filed on January 17, 2025)</w:t>
              </w:r>
            </w:hyperlink>
          </w:p>
        </w:tc>
        <w:tc>
          <w:tcPr>
            <w:tcW w:w="200" w:type="dxa"/>
            <w:vAlign w:val="bottom"/>
            <w:tcBorders>
              <w:top w:val="single" w:sz="8" w:color="0000FF"/>
            </w:tcBorders>
            <w:gridSpan w:val="5"/>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23"/>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10.6</w:t>
            </w:r>
          </w:p>
        </w:tc>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9840" w:type="dxa"/>
            <w:vAlign w:val="bottom"/>
            <w:gridSpan w:val="37"/>
          </w:tcPr>
          <w:p>
            <w:pPr>
              <w:spacing w:after="0"/>
              <w:rPr>
                <w:rFonts w:ascii="Times New Roman" w:cs="Times New Roman" w:eastAsia="Times New Roman" w:hAnsi="Times New Roman"/>
                <w:sz w:val="18"/>
                <w:szCs w:val="18"/>
                <w:color w:val="0000FF"/>
              </w:rPr>
            </w:pPr>
            <w:hyperlink r:id="rId78">
              <w:r>
                <w:rPr>
                  <w:rFonts w:ascii="Times New Roman" w:cs="Times New Roman" w:eastAsia="Times New Roman" w:hAnsi="Times New Roman"/>
                  <w:sz w:val="18"/>
                  <w:szCs w:val="18"/>
                  <w:color w:val="0000FF"/>
                </w:rPr>
                <w:t>Form of Restricted Stock Unit Grant Agreement and Grant Notice under the Blaize, Inc. Amended and Restated 2011 Stock Plan</w:t>
              </w:r>
            </w:hyperlink>
          </w:p>
        </w:tc>
      </w:tr>
      <w:tr>
        <w:trPr>
          <w:trHeight w:val="155"/>
        </w:trPr>
        <w:tc>
          <w:tcPr>
            <w:tcW w:w="9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80" w:type="dxa"/>
            <w:vAlign w:val="bottom"/>
            <w:tcBorders>
              <w:top w:val="single" w:sz="8" w:color="0000FF"/>
            </w:tcBorders>
            <w:gridSpan w:val="17"/>
          </w:tcPr>
          <w:p>
            <w:pPr>
              <w:spacing w:after="0" w:line="156" w:lineRule="exact"/>
              <w:rPr>
                <w:rFonts w:ascii="Times New Roman" w:cs="Times New Roman" w:eastAsia="Times New Roman" w:hAnsi="Times New Roman"/>
                <w:sz w:val="18"/>
                <w:szCs w:val="18"/>
                <w:color w:val="0000FF"/>
              </w:rPr>
            </w:pPr>
            <w:hyperlink r:id="rId78">
              <w:r>
                <w:rPr>
                  <w:rFonts w:ascii="Times New Roman" w:cs="Times New Roman" w:eastAsia="Times New Roman" w:hAnsi="Times New Roman"/>
                  <w:sz w:val="18"/>
                  <w:szCs w:val="18"/>
                  <w:color w:val="0000FF"/>
                </w:rPr>
                <w:t>(incorporated by reference to Exhibit 10.8 to the Company’s Current Report on Form 8-K filed on January 17, 2025)</w:t>
              </w:r>
            </w:hyperlink>
          </w:p>
        </w:tc>
        <w:tc>
          <w:tcPr>
            <w:tcW w:w="40" w:type="dxa"/>
            <w:vAlign w:val="bottom"/>
            <w:gridSpan w:val="2"/>
          </w:tcPr>
          <w:p>
            <w:pPr>
              <w:spacing w:after="0"/>
              <w:rPr>
                <w:sz w:val="13"/>
                <w:szCs w:val="13"/>
                <w:color w:val="auto"/>
              </w:rPr>
            </w:pPr>
          </w:p>
        </w:tc>
        <w:tc>
          <w:tcPr>
            <w:tcW w:w="10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0"/>
        </w:trPr>
        <w:tc>
          <w:tcPr>
            <w:tcW w:w="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tcBorders>
              <w:right w:val="single" w:sz="8" w:color="0000FF"/>
            </w:tcBorders>
            <w:gridSpan w:val="4"/>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3"/>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10.7</w:t>
            </w:r>
          </w:p>
        </w:tc>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9840" w:type="dxa"/>
            <w:vAlign w:val="bottom"/>
            <w:gridSpan w:val="37"/>
          </w:tcPr>
          <w:p>
            <w:pPr>
              <w:spacing w:after="0"/>
              <w:rPr>
                <w:rFonts w:ascii="Times New Roman" w:cs="Times New Roman" w:eastAsia="Times New Roman" w:hAnsi="Times New Roman"/>
                <w:sz w:val="18"/>
                <w:szCs w:val="18"/>
                <w:color w:val="0000FF"/>
              </w:rPr>
            </w:pPr>
            <w:hyperlink r:id="rId79">
              <w:r>
                <w:rPr>
                  <w:rFonts w:ascii="Times New Roman" w:cs="Times New Roman" w:eastAsia="Times New Roman" w:hAnsi="Times New Roman"/>
                  <w:sz w:val="18"/>
                  <w:szCs w:val="18"/>
                  <w:color w:val="0000FF"/>
                </w:rPr>
                <w:t>Blaize Holdings, Inc. 2025 Incentive Award Plan (incorporated by reference to Exhibit 10.5 to the Company’s Current Report on Form</w:t>
              </w:r>
            </w:hyperlink>
          </w:p>
        </w:tc>
      </w:tr>
      <w:tr>
        <w:trPr>
          <w:trHeight w:val="156"/>
        </w:trPr>
        <w:tc>
          <w:tcPr>
            <w:tcW w:w="9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00" w:type="dxa"/>
            <w:vAlign w:val="bottom"/>
            <w:tcBorders>
              <w:top w:val="single" w:sz="8" w:color="0000FF"/>
            </w:tcBorders>
            <w:gridSpan w:val="32"/>
          </w:tcPr>
          <w:p>
            <w:pPr>
              <w:spacing w:after="0" w:line="156" w:lineRule="exact"/>
              <w:rPr>
                <w:rFonts w:ascii="Times New Roman" w:cs="Times New Roman" w:eastAsia="Times New Roman" w:hAnsi="Times New Roman"/>
                <w:sz w:val="18"/>
                <w:szCs w:val="18"/>
                <w:color w:val="0000FF"/>
              </w:rPr>
            </w:pPr>
            <w:hyperlink r:id="rId79">
              <w:r>
                <w:rPr>
                  <w:rFonts w:ascii="Times New Roman" w:cs="Times New Roman" w:eastAsia="Times New Roman" w:hAnsi="Times New Roman"/>
                  <w:sz w:val="18"/>
                  <w:szCs w:val="18"/>
                  <w:color w:val="0000FF"/>
                </w:rPr>
                <w:t>8-K filed on January 17, 2025)</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0"/>
        </w:trPr>
        <w:tc>
          <w:tcPr>
            <w:tcW w:w="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tcBorders>
              <w:right w:val="single" w:sz="8" w:color="0000FF"/>
            </w:tcBorders>
            <w:gridSpan w:val="4"/>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3"/>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10.8</w:t>
            </w:r>
          </w:p>
        </w:tc>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9660" w:type="dxa"/>
            <w:vAlign w:val="bottom"/>
            <w:tcBorders>
              <w:bottom w:val="single" w:sz="8" w:color="0000FF"/>
            </w:tcBorders>
            <w:gridSpan w:val="31"/>
          </w:tcPr>
          <w:p>
            <w:pPr>
              <w:spacing w:after="0"/>
              <w:rPr>
                <w:rFonts w:ascii="Times New Roman" w:cs="Times New Roman" w:eastAsia="Times New Roman" w:hAnsi="Times New Roman"/>
                <w:sz w:val="18"/>
                <w:szCs w:val="18"/>
                <w:color w:val="0000FF"/>
                <w:w w:val="99"/>
              </w:rPr>
            </w:pPr>
            <w:hyperlink r:id="rId80">
              <w:r>
                <w:rPr>
                  <w:rFonts w:ascii="Times New Roman" w:cs="Times New Roman" w:eastAsia="Times New Roman" w:hAnsi="Times New Roman"/>
                  <w:sz w:val="18"/>
                  <w:szCs w:val="18"/>
                  <w:color w:val="0000FF"/>
                  <w:w w:val="99"/>
                </w:rPr>
                <w:t>Form of Global Restricted Stock Unit Grant Notice and Global Restricted Stock Unit Agreement under the Blaize Holdings, Inc. 2025</w:t>
              </w:r>
            </w:hyperlink>
          </w:p>
        </w:tc>
        <w:tc>
          <w:tcPr>
            <w:tcW w:w="180" w:type="dxa"/>
            <w:vAlign w:val="bottom"/>
            <w:gridSpan w:val="6"/>
          </w:tcPr>
          <w:p>
            <w:pPr>
              <w:spacing w:after="0"/>
              <w:rPr>
                <w:sz w:val="19"/>
                <w:szCs w:val="19"/>
                <w:color w:val="auto"/>
              </w:rPr>
            </w:pPr>
          </w:p>
        </w:tc>
      </w:tr>
      <w:tr>
        <w:trPr>
          <w:trHeight w:val="155"/>
        </w:trPr>
        <w:tc>
          <w:tcPr>
            <w:tcW w:w="9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40" w:type="dxa"/>
            <w:vAlign w:val="bottom"/>
            <w:gridSpan w:val="37"/>
          </w:tcPr>
          <w:p>
            <w:pPr>
              <w:spacing w:after="0" w:line="156" w:lineRule="exact"/>
              <w:rPr>
                <w:rFonts w:ascii="Times New Roman" w:cs="Times New Roman" w:eastAsia="Times New Roman" w:hAnsi="Times New Roman"/>
                <w:sz w:val="18"/>
                <w:szCs w:val="18"/>
                <w:color w:val="0000FF"/>
              </w:rPr>
            </w:pPr>
            <w:hyperlink r:id="rId80">
              <w:r>
                <w:rPr>
                  <w:rFonts w:ascii="Times New Roman" w:cs="Times New Roman" w:eastAsia="Times New Roman" w:hAnsi="Times New Roman"/>
                  <w:sz w:val="18"/>
                  <w:szCs w:val="18"/>
                  <w:color w:val="0000FF"/>
                </w:rPr>
                <w:t>Incentive Award Plan (incorporated by reference to Exhibit 99.3 to the Company’s registration Statement on Form S-8 filed on May 12,</w:t>
              </w:r>
            </w:hyperlink>
          </w:p>
        </w:tc>
      </w:tr>
      <w:tr>
        <w:trPr>
          <w:trHeight w:val="169"/>
        </w:trPr>
        <w:tc>
          <w:tcPr>
            <w:tcW w:w="9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Borders>
              <w:top w:val="single" w:sz="8" w:color="0000FF"/>
              <w:bottom w:val="single" w:sz="8" w:color="0000FF"/>
            </w:tcBorders>
          </w:tcPr>
          <w:p>
            <w:pPr>
              <w:spacing w:after="0" w:line="169" w:lineRule="exact"/>
              <w:rPr>
                <w:rFonts w:ascii="Times New Roman" w:cs="Times New Roman" w:eastAsia="Times New Roman" w:hAnsi="Times New Roman"/>
                <w:sz w:val="18"/>
                <w:szCs w:val="18"/>
                <w:color w:val="0000FF"/>
                <w:w w:val="90"/>
              </w:rPr>
            </w:pPr>
            <w:hyperlink r:id="rId80">
              <w:r>
                <w:rPr>
                  <w:rFonts w:ascii="Times New Roman" w:cs="Times New Roman" w:eastAsia="Times New Roman" w:hAnsi="Times New Roman"/>
                  <w:sz w:val="18"/>
                  <w:szCs w:val="18"/>
                  <w:color w:val="0000FF"/>
                  <w:w w:val="90"/>
                </w:rPr>
                <w:t>2025)</w:t>
              </w:r>
            </w:hyperlink>
          </w:p>
        </w:tc>
        <w:tc>
          <w:tcPr>
            <w:tcW w:w="280" w:type="dxa"/>
            <w:vAlign w:val="bottom"/>
            <w:tcBorders>
              <w:top w:val="single" w:sz="8" w:color="0000FF"/>
            </w:tcBorders>
          </w:tcPr>
          <w:p>
            <w:pPr>
              <w:spacing w:after="0"/>
              <w:rPr>
                <w:sz w:val="14"/>
                <w:szCs w:val="14"/>
                <w:color w:val="auto"/>
              </w:rPr>
            </w:pPr>
          </w:p>
        </w:tc>
        <w:tc>
          <w:tcPr>
            <w:tcW w:w="60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740" w:type="dxa"/>
            <w:vAlign w:val="bottom"/>
            <w:tcBorders>
              <w:top w:val="single" w:sz="8" w:color="0000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192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460" w:type="dxa"/>
            <w:vAlign w:val="bottom"/>
            <w:tcBorders>
              <w:top w:val="single" w:sz="8" w:color="0000FF"/>
            </w:tcBorders>
          </w:tcPr>
          <w:p>
            <w:pPr>
              <w:spacing w:after="0"/>
              <w:rPr>
                <w:sz w:val="14"/>
                <w:szCs w:val="14"/>
                <w:color w:val="auto"/>
              </w:rPr>
            </w:pPr>
          </w:p>
        </w:tc>
        <w:tc>
          <w:tcPr>
            <w:tcW w:w="360" w:type="dxa"/>
            <w:vAlign w:val="bottom"/>
            <w:tcBorders>
              <w:top w:val="single" w:sz="8" w:color="0000FF"/>
            </w:tcBorders>
          </w:tcPr>
          <w:p>
            <w:pPr>
              <w:spacing w:after="0"/>
              <w:rPr>
                <w:sz w:val="14"/>
                <w:szCs w:val="14"/>
                <w:color w:val="auto"/>
              </w:rPr>
            </w:pPr>
          </w:p>
        </w:tc>
        <w:tc>
          <w:tcPr>
            <w:tcW w:w="660" w:type="dxa"/>
            <w:vAlign w:val="bottom"/>
            <w:tcBorders>
              <w:top w:val="single" w:sz="8" w:color="0000FF"/>
            </w:tcBorders>
          </w:tcPr>
          <w:p>
            <w:pPr>
              <w:spacing w:after="0"/>
              <w:rPr>
                <w:sz w:val="14"/>
                <w:szCs w:val="14"/>
                <w:color w:val="auto"/>
              </w:rPr>
            </w:pPr>
          </w:p>
        </w:tc>
        <w:tc>
          <w:tcPr>
            <w:tcW w:w="920" w:type="dxa"/>
            <w:vAlign w:val="bottom"/>
            <w:tcBorders>
              <w:top w:val="single" w:sz="8" w:color="0000FF"/>
            </w:tcBorders>
          </w:tcPr>
          <w:p>
            <w:pPr>
              <w:spacing w:after="0"/>
              <w:rPr>
                <w:sz w:val="14"/>
                <w:szCs w:val="14"/>
                <w:color w:val="auto"/>
              </w:rPr>
            </w:pPr>
          </w:p>
        </w:tc>
        <w:tc>
          <w:tcPr>
            <w:tcW w:w="1120" w:type="dxa"/>
            <w:vAlign w:val="bottom"/>
            <w:tcBorders>
              <w:top w:val="single" w:sz="8" w:color="0000FF"/>
            </w:tcBorders>
          </w:tcPr>
          <w:p>
            <w:pPr>
              <w:spacing w:after="0"/>
              <w:rPr>
                <w:sz w:val="14"/>
                <w:szCs w:val="14"/>
                <w:color w:val="auto"/>
              </w:rPr>
            </w:pPr>
          </w:p>
        </w:tc>
        <w:tc>
          <w:tcPr>
            <w:tcW w:w="60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60" w:type="dxa"/>
            <w:vAlign w:val="bottom"/>
          </w:tcPr>
          <w:p>
            <w:pPr>
              <w:spacing w:after="0"/>
              <w:rPr>
                <w:sz w:val="14"/>
                <w:szCs w:val="14"/>
                <w:color w:val="auto"/>
              </w:rPr>
            </w:pPr>
          </w:p>
        </w:tc>
      </w:tr>
      <w:tr>
        <w:trPr>
          <w:trHeight w:val="209"/>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10.9</w:t>
            </w:r>
          </w:p>
        </w:tc>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9840" w:type="dxa"/>
            <w:vAlign w:val="bottom"/>
            <w:gridSpan w:val="37"/>
          </w:tcPr>
          <w:p>
            <w:pPr>
              <w:spacing w:after="0"/>
              <w:rPr>
                <w:rFonts w:ascii="Times New Roman" w:cs="Times New Roman" w:eastAsia="Times New Roman" w:hAnsi="Times New Roman"/>
                <w:sz w:val="18"/>
                <w:szCs w:val="18"/>
                <w:color w:val="0000FF"/>
              </w:rPr>
            </w:pPr>
            <w:hyperlink r:id="rId81">
              <w:r>
                <w:rPr>
                  <w:rFonts w:ascii="Times New Roman" w:cs="Times New Roman" w:eastAsia="Times New Roman" w:hAnsi="Times New Roman"/>
                  <w:sz w:val="18"/>
                  <w:szCs w:val="18"/>
                  <w:color w:val="0000FF"/>
                </w:rPr>
                <w:t>Blaize Holdings, Inc. Form of Stock Option Agreement under the Blaize Holdings, Inc. 2025 Incentive Award Plan (incorporated by</w:t>
              </w:r>
            </w:hyperlink>
          </w:p>
        </w:tc>
      </w:tr>
      <w:tr>
        <w:trPr>
          <w:trHeight w:val="156"/>
        </w:trPr>
        <w:tc>
          <w:tcPr>
            <w:tcW w:w="9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60" w:type="dxa"/>
            <w:vAlign w:val="bottom"/>
            <w:tcBorders>
              <w:top w:val="single" w:sz="8" w:color="0000FF"/>
            </w:tcBorders>
            <w:gridSpan w:val="26"/>
          </w:tcPr>
          <w:p>
            <w:pPr>
              <w:spacing w:after="0" w:line="156" w:lineRule="exact"/>
              <w:rPr>
                <w:rFonts w:ascii="Times New Roman" w:cs="Times New Roman" w:eastAsia="Times New Roman" w:hAnsi="Times New Roman"/>
                <w:sz w:val="18"/>
                <w:szCs w:val="18"/>
                <w:color w:val="0000FF"/>
              </w:rPr>
            </w:pPr>
            <w:hyperlink r:id="rId81">
              <w:r>
                <w:rPr>
                  <w:rFonts w:ascii="Times New Roman" w:cs="Times New Roman" w:eastAsia="Times New Roman" w:hAnsi="Times New Roman"/>
                  <w:sz w:val="18"/>
                  <w:szCs w:val="18"/>
                  <w:color w:val="0000FF"/>
                </w:rPr>
                <w:t>reference to Exhibit 10.1 to the Company’s Current Report on Form 8-K filed on September 2, 2025)</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r>
      <w:tr>
        <w:trPr>
          <w:trHeight w:val="20"/>
        </w:trPr>
        <w:tc>
          <w:tcPr>
            <w:tcW w:w="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tcBorders>
              <w:right w:val="single" w:sz="8" w:color="0000FF"/>
            </w:tcBorders>
            <w:gridSpan w:val="4"/>
            <w:shd w:val="clear" w:color="auto" w:fill="0000FF"/>
          </w:tcPr>
          <w:p>
            <w:pPr>
              <w:spacing w:after="0" w:line="20" w:lineRule="exact"/>
              <w:rPr>
                <w:sz w:val="1"/>
                <w:szCs w:val="1"/>
                <w:color w:val="auto"/>
              </w:rPr>
            </w:pPr>
          </w:p>
        </w:tc>
        <w:tc>
          <w:tcPr>
            <w:tcW w:w="1400" w:type="dxa"/>
            <w:vAlign w:val="bottom"/>
            <w:gridSpan w:val="3"/>
            <w:shd w:val="clear" w:color="auto" w:fill="0000FF"/>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3"/>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10.10</w:t>
            </w:r>
          </w:p>
        </w:tc>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9840" w:type="dxa"/>
            <w:vAlign w:val="bottom"/>
            <w:gridSpan w:val="37"/>
          </w:tcPr>
          <w:p>
            <w:pPr>
              <w:spacing w:after="0"/>
              <w:rPr>
                <w:rFonts w:ascii="Times New Roman" w:cs="Times New Roman" w:eastAsia="Times New Roman" w:hAnsi="Times New Roman"/>
                <w:sz w:val="18"/>
                <w:szCs w:val="18"/>
                <w:color w:val="0000FF"/>
              </w:rPr>
            </w:pPr>
            <w:hyperlink r:id="rId82">
              <w:r>
                <w:rPr>
                  <w:rFonts w:ascii="Times New Roman" w:cs="Times New Roman" w:eastAsia="Times New Roman" w:hAnsi="Times New Roman"/>
                  <w:sz w:val="18"/>
                  <w:szCs w:val="18"/>
                  <w:color w:val="0000FF"/>
                </w:rPr>
                <w:t>Blaize Holdings, Inc. 2025 Employee Stock Purchase Plan (incorporated by reference to Exhibit 10.6 to the Company’s Current Report</w:t>
              </w:r>
            </w:hyperlink>
          </w:p>
        </w:tc>
      </w:tr>
      <w:tr>
        <w:trPr>
          <w:trHeight w:val="156"/>
        </w:trPr>
        <w:tc>
          <w:tcPr>
            <w:tcW w:w="9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40" w:type="dxa"/>
            <w:vAlign w:val="bottom"/>
            <w:tcBorders>
              <w:top w:val="single" w:sz="8" w:color="0000FF"/>
            </w:tcBorders>
            <w:gridSpan w:val="34"/>
          </w:tcPr>
          <w:p>
            <w:pPr>
              <w:spacing w:after="0" w:line="156" w:lineRule="exact"/>
              <w:rPr>
                <w:rFonts w:ascii="Times New Roman" w:cs="Times New Roman" w:eastAsia="Times New Roman" w:hAnsi="Times New Roman"/>
                <w:sz w:val="18"/>
                <w:szCs w:val="18"/>
                <w:color w:val="0000FF"/>
              </w:rPr>
            </w:pPr>
            <w:hyperlink r:id="rId82">
              <w:r>
                <w:rPr>
                  <w:rFonts w:ascii="Times New Roman" w:cs="Times New Roman" w:eastAsia="Times New Roman" w:hAnsi="Times New Roman"/>
                  <w:sz w:val="18"/>
                  <w:szCs w:val="18"/>
                  <w:color w:val="0000FF"/>
                </w:rPr>
                <w:t>on Form 8-K filed on January 17, 2025)</w:t>
              </w:r>
            </w:hyperlink>
          </w:p>
        </w:tc>
        <w:tc>
          <w:tcPr>
            <w:tcW w:w="4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r>
      <w:tr>
        <w:trPr>
          <w:trHeight w:val="20"/>
        </w:trPr>
        <w:tc>
          <w:tcPr>
            <w:tcW w:w="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tcBorders>
              <w:right w:val="single" w:sz="8" w:color="0000FF"/>
            </w:tcBorders>
            <w:gridSpan w:val="4"/>
            <w:shd w:val="clear" w:color="auto" w:fill="0000FF"/>
          </w:tcPr>
          <w:p>
            <w:pPr>
              <w:spacing w:after="0" w:line="20" w:lineRule="exact"/>
              <w:rPr>
                <w:sz w:val="1"/>
                <w:szCs w:val="1"/>
                <w:color w:val="auto"/>
              </w:rPr>
            </w:pPr>
          </w:p>
        </w:tc>
        <w:tc>
          <w:tcPr>
            <w:tcW w:w="1400" w:type="dxa"/>
            <w:vAlign w:val="bottom"/>
            <w:gridSpan w:val="3"/>
            <w:shd w:val="clear" w:color="auto" w:fill="0000FF"/>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3"/>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10.11</w:t>
            </w:r>
          </w:p>
        </w:tc>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9840" w:type="dxa"/>
            <w:vAlign w:val="bottom"/>
            <w:gridSpan w:val="37"/>
          </w:tcPr>
          <w:p>
            <w:pPr>
              <w:spacing w:after="0"/>
              <w:rPr>
                <w:rFonts w:ascii="Times New Roman" w:cs="Times New Roman" w:eastAsia="Times New Roman" w:hAnsi="Times New Roman"/>
                <w:sz w:val="18"/>
                <w:szCs w:val="18"/>
                <w:color w:val="0000FF"/>
              </w:rPr>
            </w:pPr>
            <w:hyperlink r:id="rId83">
              <w:r>
                <w:rPr>
                  <w:rFonts w:ascii="Times New Roman" w:cs="Times New Roman" w:eastAsia="Times New Roman" w:hAnsi="Times New Roman"/>
                  <w:sz w:val="18"/>
                  <w:szCs w:val="18"/>
                  <w:color w:val="0000FF"/>
                </w:rPr>
                <w:t>Amended and Restated Blaize Holdings, Inc. Non-Employee Director Compensation Program (incorporated by reference to Exhibit</w:t>
              </w:r>
            </w:hyperlink>
          </w:p>
        </w:tc>
      </w:tr>
      <w:tr>
        <w:trPr>
          <w:trHeight w:val="155"/>
        </w:trPr>
        <w:tc>
          <w:tcPr>
            <w:tcW w:w="9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80" w:type="dxa"/>
            <w:vAlign w:val="bottom"/>
            <w:tcBorders>
              <w:top w:val="single" w:sz="8" w:color="0000FF"/>
              <w:bottom w:val="single" w:sz="8" w:color="0000FF"/>
            </w:tcBorders>
            <w:gridSpan w:val="11"/>
          </w:tcPr>
          <w:p>
            <w:pPr>
              <w:spacing w:after="0" w:line="156" w:lineRule="exact"/>
              <w:rPr>
                <w:rFonts w:ascii="Times New Roman" w:cs="Times New Roman" w:eastAsia="Times New Roman" w:hAnsi="Times New Roman"/>
                <w:sz w:val="18"/>
                <w:szCs w:val="18"/>
                <w:color w:val="0000FF"/>
                <w:w w:val="99"/>
              </w:rPr>
            </w:pPr>
            <w:hyperlink r:id="rId83">
              <w:r>
                <w:rPr>
                  <w:rFonts w:ascii="Times New Roman" w:cs="Times New Roman" w:eastAsia="Times New Roman" w:hAnsi="Times New Roman"/>
                  <w:sz w:val="18"/>
                  <w:szCs w:val="18"/>
                  <w:color w:val="0000FF"/>
                  <w:w w:val="99"/>
                </w:rPr>
                <w:t>10.</w:t>
              </w:r>
              <w:r>
                <w:rPr>
                  <w:rFonts w:ascii="Times New Roman" w:cs="Times New Roman" w:eastAsia="Times New Roman" w:hAnsi="Times New Roman"/>
                  <w:sz w:val="18"/>
                  <w:szCs w:val="18"/>
                  <w:u w:val="single" w:color="auto"/>
                  <w:color w:val="0000FF"/>
                  <w:w w:val="99"/>
                </w:rPr>
                <w:t>7</w:t>
              </w:r>
              <w:r>
                <w:rPr>
                  <w:rFonts w:ascii="Times New Roman" w:cs="Times New Roman" w:eastAsia="Times New Roman" w:hAnsi="Times New Roman"/>
                  <w:sz w:val="18"/>
                  <w:szCs w:val="18"/>
                  <w:color w:val="0000FF"/>
                  <w:w w:val="99"/>
                </w:rPr>
                <w:t xml:space="preserve"> to the Company’s Quarterly Report on Form 10-Q filed on May 14, 2025)</w:t>
              </w:r>
            </w:hyperlink>
          </w:p>
        </w:tc>
        <w:tc>
          <w:tcPr>
            <w:tcW w:w="3800" w:type="dxa"/>
            <w:vAlign w:val="bottom"/>
            <w:tcBorders>
              <w:top w:val="single" w:sz="8" w:color="0000FF"/>
            </w:tcBorders>
            <w:gridSpan w:val="11"/>
          </w:tcPr>
          <w:p>
            <w:pPr>
              <w:spacing w:after="0"/>
              <w:rPr>
                <w:sz w:val="13"/>
                <w:szCs w:val="13"/>
                <w:color w:val="auto"/>
              </w:rPr>
            </w:pPr>
          </w:p>
        </w:tc>
        <w:tc>
          <w:tcPr>
            <w:tcW w:w="120" w:type="dxa"/>
            <w:vAlign w:val="bottom"/>
            <w:gridSpan w:val="6"/>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5"/>
          </w:tcPr>
          <w:p>
            <w:pPr>
              <w:spacing w:after="0"/>
              <w:rPr>
                <w:sz w:val="13"/>
                <w:szCs w:val="13"/>
                <w:color w:val="auto"/>
              </w:rPr>
            </w:pPr>
          </w:p>
        </w:tc>
        <w:tc>
          <w:tcPr>
            <w:tcW w:w="60" w:type="dxa"/>
            <w:vAlign w:val="bottom"/>
          </w:tcPr>
          <w:p>
            <w:pPr>
              <w:spacing w:after="0"/>
              <w:rPr>
                <w:sz w:val="13"/>
                <w:szCs w:val="13"/>
                <w:color w:val="auto"/>
              </w:rPr>
            </w:pPr>
          </w:p>
        </w:tc>
      </w:tr>
      <w:tr>
        <w:trPr>
          <w:trHeight w:val="223"/>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10.12</w:t>
            </w:r>
          </w:p>
        </w:tc>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9840" w:type="dxa"/>
            <w:vAlign w:val="bottom"/>
            <w:gridSpan w:val="37"/>
          </w:tcPr>
          <w:p>
            <w:pPr>
              <w:spacing w:after="0"/>
              <w:rPr>
                <w:rFonts w:ascii="Times New Roman" w:cs="Times New Roman" w:eastAsia="Times New Roman" w:hAnsi="Times New Roman"/>
                <w:sz w:val="18"/>
                <w:szCs w:val="18"/>
                <w:color w:val="0000FF"/>
              </w:rPr>
            </w:pPr>
            <w:hyperlink r:id="rId84">
              <w:r>
                <w:rPr>
                  <w:rFonts w:ascii="Times New Roman" w:cs="Times New Roman" w:eastAsia="Times New Roman" w:hAnsi="Times New Roman"/>
                  <w:sz w:val="18"/>
                  <w:szCs w:val="18"/>
                  <w:color w:val="0000FF"/>
                </w:rPr>
                <w:t>Form of Blaize Holdings, Inc. Change in Control and Severance Agreement (incorporated by reference to Exhibit 10.1 to the</w:t>
              </w:r>
            </w:hyperlink>
          </w:p>
        </w:tc>
      </w:tr>
      <w:tr>
        <w:trPr>
          <w:trHeight w:val="155"/>
        </w:trPr>
        <w:tc>
          <w:tcPr>
            <w:tcW w:w="9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780" w:type="dxa"/>
            <w:vAlign w:val="bottom"/>
            <w:tcBorders>
              <w:top w:val="single" w:sz="8" w:color="0000FF"/>
              <w:bottom w:val="single" w:sz="8" w:color="0000FF"/>
            </w:tcBorders>
            <w:gridSpan w:val="8"/>
          </w:tcPr>
          <w:p>
            <w:pPr>
              <w:spacing w:after="0" w:line="156" w:lineRule="exact"/>
              <w:rPr>
                <w:rFonts w:ascii="Times New Roman" w:cs="Times New Roman" w:eastAsia="Times New Roman" w:hAnsi="Times New Roman"/>
                <w:sz w:val="18"/>
                <w:szCs w:val="18"/>
                <w:color w:val="0000FF"/>
                <w:w w:val="99"/>
              </w:rPr>
            </w:pPr>
            <w:hyperlink r:id="rId84">
              <w:r>
                <w:rPr>
                  <w:rFonts w:ascii="Times New Roman" w:cs="Times New Roman" w:eastAsia="Times New Roman" w:hAnsi="Times New Roman"/>
                  <w:sz w:val="18"/>
                  <w:szCs w:val="18"/>
                  <w:color w:val="0000FF"/>
                  <w:w w:val="99"/>
                </w:rPr>
                <w:t>Company’s Current Report on Form 8-K filed on January 5, 2026)</w:t>
              </w:r>
            </w:hyperlink>
          </w:p>
        </w:tc>
        <w:tc>
          <w:tcPr>
            <w:tcW w:w="4200" w:type="dxa"/>
            <w:vAlign w:val="bottom"/>
            <w:tcBorders>
              <w:top w:val="single" w:sz="8" w:color="0000FF"/>
            </w:tcBorders>
            <w:gridSpan w:val="7"/>
          </w:tcPr>
          <w:p>
            <w:pPr>
              <w:spacing w:after="0"/>
              <w:rPr>
                <w:sz w:val="13"/>
                <w:szCs w:val="13"/>
                <w:color w:val="auto"/>
              </w:rPr>
            </w:pPr>
          </w:p>
        </w:tc>
        <w:tc>
          <w:tcPr>
            <w:tcW w:w="340" w:type="dxa"/>
            <w:vAlign w:val="bottom"/>
            <w:gridSpan w:val="4"/>
          </w:tcPr>
          <w:p>
            <w:pPr>
              <w:spacing w:after="0"/>
              <w:rPr>
                <w:sz w:val="13"/>
                <w:szCs w:val="13"/>
                <w:color w:val="auto"/>
              </w:rPr>
            </w:pPr>
          </w:p>
        </w:tc>
        <w:tc>
          <w:tcPr>
            <w:tcW w:w="100" w:type="dxa"/>
            <w:vAlign w:val="bottom"/>
            <w:gridSpan w:val="2"/>
          </w:tcPr>
          <w:p>
            <w:pPr>
              <w:spacing w:after="0"/>
              <w:rPr>
                <w:sz w:val="13"/>
                <w:szCs w:val="13"/>
                <w:color w:val="auto"/>
              </w:rPr>
            </w:pPr>
          </w:p>
        </w:tc>
        <w:tc>
          <w:tcPr>
            <w:tcW w:w="180" w:type="dxa"/>
            <w:vAlign w:val="bottom"/>
            <w:gridSpan w:val="7"/>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5"/>
          </w:tcPr>
          <w:p>
            <w:pPr>
              <w:spacing w:after="0"/>
              <w:rPr>
                <w:sz w:val="13"/>
                <w:szCs w:val="13"/>
                <w:color w:val="auto"/>
              </w:rPr>
            </w:pPr>
          </w:p>
        </w:tc>
        <w:tc>
          <w:tcPr>
            <w:tcW w:w="60" w:type="dxa"/>
            <w:vAlign w:val="bottom"/>
          </w:tcPr>
          <w:p>
            <w:pPr>
              <w:spacing w:after="0"/>
              <w:rPr>
                <w:sz w:val="13"/>
                <w:szCs w:val="13"/>
                <w:color w:val="auto"/>
              </w:rPr>
            </w:pPr>
          </w:p>
        </w:tc>
      </w:tr>
      <w:tr>
        <w:trPr>
          <w:trHeight w:val="223"/>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10.13</w:t>
            </w:r>
          </w:p>
        </w:tc>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9840" w:type="dxa"/>
            <w:vAlign w:val="bottom"/>
            <w:gridSpan w:val="37"/>
          </w:tcPr>
          <w:p>
            <w:pPr>
              <w:spacing w:after="0"/>
              <w:rPr>
                <w:rFonts w:ascii="Times New Roman" w:cs="Times New Roman" w:eastAsia="Times New Roman" w:hAnsi="Times New Roman"/>
                <w:sz w:val="18"/>
                <w:szCs w:val="18"/>
                <w:color w:val="0000FF"/>
              </w:rPr>
            </w:pPr>
            <w:hyperlink r:id="rId85">
              <w:r>
                <w:rPr>
                  <w:rFonts w:ascii="Times New Roman" w:cs="Times New Roman" w:eastAsia="Times New Roman" w:hAnsi="Times New Roman"/>
                  <w:sz w:val="18"/>
                  <w:szCs w:val="18"/>
                  <w:color w:val="0000FF"/>
                </w:rPr>
                <w:t>Offer Letter, dated as of June 18, 2018, by and between ThinCI, Inc. and Dinakar Munagala (incorporated by reference to Exhibit 10.16</w:t>
              </w:r>
            </w:hyperlink>
          </w:p>
        </w:tc>
      </w:tr>
      <w:tr>
        <w:trPr>
          <w:trHeight w:val="156"/>
        </w:trPr>
        <w:tc>
          <w:tcPr>
            <w:tcW w:w="9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320" w:type="dxa"/>
            <w:vAlign w:val="bottom"/>
            <w:tcBorders>
              <w:top w:val="single" w:sz="8" w:color="0000FF"/>
              <w:bottom w:val="single" w:sz="8" w:color="0000FF"/>
            </w:tcBorders>
            <w:gridSpan w:val="10"/>
          </w:tcPr>
          <w:p>
            <w:pPr>
              <w:spacing w:after="0" w:line="156" w:lineRule="exact"/>
              <w:rPr>
                <w:rFonts w:ascii="Times New Roman" w:cs="Times New Roman" w:eastAsia="Times New Roman" w:hAnsi="Times New Roman"/>
                <w:sz w:val="18"/>
                <w:szCs w:val="18"/>
                <w:color w:val="0000FF"/>
                <w:w w:val="99"/>
              </w:rPr>
            </w:pPr>
            <w:hyperlink r:id="rId85">
              <w:r>
                <w:rPr>
                  <w:rFonts w:ascii="Times New Roman" w:cs="Times New Roman" w:eastAsia="Times New Roman" w:hAnsi="Times New Roman"/>
                  <w:sz w:val="18"/>
                  <w:szCs w:val="18"/>
                  <w:color w:val="0000FF"/>
                  <w:w w:val="99"/>
                </w:rPr>
                <w:t>to the Company’s Current Report on Form 8-K filed on January 17, 2025)</w:t>
              </w:r>
            </w:hyperlink>
          </w:p>
        </w:tc>
        <w:tc>
          <w:tcPr>
            <w:tcW w:w="4460" w:type="dxa"/>
            <w:vAlign w:val="bottom"/>
            <w:tcBorders>
              <w:top w:val="single" w:sz="8" w:color="0000FF"/>
            </w:tcBorders>
            <w:gridSpan w:val="26"/>
          </w:tcPr>
          <w:p>
            <w:pPr>
              <w:spacing w:after="0"/>
              <w:rPr>
                <w:sz w:val="13"/>
                <w:szCs w:val="13"/>
                <w:color w:val="auto"/>
              </w:rPr>
            </w:pPr>
          </w:p>
        </w:tc>
        <w:tc>
          <w:tcPr>
            <w:tcW w:w="60" w:type="dxa"/>
            <w:vAlign w:val="bottom"/>
          </w:tcPr>
          <w:p>
            <w:pPr>
              <w:spacing w:after="0"/>
              <w:rPr>
                <w:sz w:val="13"/>
                <w:szCs w:val="13"/>
                <w:color w:val="auto"/>
              </w:rPr>
            </w:pPr>
          </w:p>
        </w:tc>
      </w:tr>
      <w:tr>
        <w:trPr>
          <w:trHeight w:val="223"/>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10.14</w:t>
            </w:r>
          </w:p>
        </w:tc>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9840" w:type="dxa"/>
            <w:vAlign w:val="bottom"/>
            <w:gridSpan w:val="37"/>
          </w:tcPr>
          <w:p>
            <w:pPr>
              <w:spacing w:after="0"/>
              <w:rPr>
                <w:rFonts w:ascii="Times New Roman" w:cs="Times New Roman" w:eastAsia="Times New Roman" w:hAnsi="Times New Roman"/>
                <w:sz w:val="18"/>
                <w:szCs w:val="18"/>
                <w:color w:val="0000FF"/>
              </w:rPr>
            </w:pPr>
            <w:hyperlink r:id="rId86">
              <w:r>
                <w:rPr>
                  <w:rFonts w:ascii="Times New Roman" w:cs="Times New Roman" w:eastAsia="Times New Roman" w:hAnsi="Times New Roman"/>
                  <w:sz w:val="18"/>
                  <w:szCs w:val="18"/>
                  <w:color w:val="0000FF"/>
                </w:rPr>
                <w:t>Offer Letter, dated as of June 20, 2018, by and between ThinCI, Inc. and Val Cook (incorporated by reference to Exhibit 10.17 to the</w:t>
              </w:r>
            </w:hyperlink>
          </w:p>
        </w:tc>
      </w:tr>
      <w:tr>
        <w:trPr>
          <w:trHeight w:val="155"/>
        </w:trPr>
        <w:tc>
          <w:tcPr>
            <w:tcW w:w="9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20" w:type="dxa"/>
            <w:vAlign w:val="bottom"/>
            <w:tcBorders>
              <w:top w:val="single" w:sz="8" w:color="0000FF"/>
            </w:tcBorders>
            <w:gridSpan w:val="29"/>
          </w:tcPr>
          <w:p>
            <w:pPr>
              <w:spacing w:after="0" w:line="156" w:lineRule="exact"/>
              <w:rPr>
                <w:rFonts w:ascii="Times New Roman" w:cs="Times New Roman" w:eastAsia="Times New Roman" w:hAnsi="Times New Roman"/>
                <w:sz w:val="18"/>
                <w:szCs w:val="18"/>
                <w:color w:val="0000FF"/>
              </w:rPr>
            </w:pPr>
            <w:hyperlink r:id="rId86">
              <w:r>
                <w:rPr>
                  <w:rFonts w:ascii="Times New Roman" w:cs="Times New Roman" w:eastAsia="Times New Roman" w:hAnsi="Times New Roman"/>
                  <w:sz w:val="18"/>
                  <w:szCs w:val="18"/>
                  <w:color w:val="0000FF"/>
                </w:rPr>
                <w:t>Company’s Current Report on Form 8-K filed on January 17, 2025)</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gridSpan w:val="6"/>
          </w:tcPr>
          <w:p>
            <w:pPr>
              <w:spacing w:after="0"/>
              <w:rPr>
                <w:sz w:val="13"/>
                <w:szCs w:val="13"/>
                <w:color w:val="auto"/>
              </w:rPr>
            </w:pPr>
          </w:p>
        </w:tc>
      </w:tr>
      <w:tr>
        <w:trPr>
          <w:trHeight w:val="20"/>
        </w:trPr>
        <w:tc>
          <w:tcPr>
            <w:tcW w:w="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tcBorders>
              <w:right w:val="single" w:sz="8" w:color="0000FF"/>
            </w:tcBorders>
            <w:gridSpan w:val="4"/>
            <w:shd w:val="clear" w:color="auto" w:fill="0000FF"/>
          </w:tcPr>
          <w:p>
            <w:pPr>
              <w:spacing w:after="0" w:line="20" w:lineRule="exact"/>
              <w:rPr>
                <w:sz w:val="1"/>
                <w:szCs w:val="1"/>
                <w:color w:val="auto"/>
              </w:rPr>
            </w:pPr>
          </w:p>
        </w:tc>
        <w:tc>
          <w:tcPr>
            <w:tcW w:w="3400" w:type="dxa"/>
            <w:vAlign w:val="bottom"/>
            <w:gridSpan w:val="5"/>
            <w:shd w:val="clear" w:color="auto" w:fill="0000FF"/>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60" w:type="dxa"/>
            <w:vAlign w:val="bottom"/>
            <w:gridSpan w:val="6"/>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gridSpan w:val="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r>
      <w:tr>
        <w:trPr>
          <w:trHeight w:val="223"/>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10.15</w:t>
            </w:r>
          </w:p>
        </w:tc>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9840" w:type="dxa"/>
            <w:vAlign w:val="bottom"/>
            <w:gridSpan w:val="37"/>
          </w:tcPr>
          <w:p>
            <w:pPr>
              <w:spacing w:after="0"/>
              <w:rPr>
                <w:rFonts w:ascii="Times New Roman" w:cs="Times New Roman" w:eastAsia="Times New Roman" w:hAnsi="Times New Roman"/>
                <w:sz w:val="18"/>
                <w:szCs w:val="18"/>
                <w:color w:val="0000FF"/>
              </w:rPr>
            </w:pPr>
            <w:hyperlink r:id="rId87">
              <w:r>
                <w:rPr>
                  <w:rFonts w:ascii="Times New Roman" w:cs="Times New Roman" w:eastAsia="Times New Roman" w:hAnsi="Times New Roman"/>
                  <w:sz w:val="18"/>
                  <w:szCs w:val="18"/>
                  <w:color w:val="0000FF"/>
                </w:rPr>
                <w:t>Offer Letter, dated as of November 15, 2018, by and between ThinCI, Inc. and Dmitry Zakharchenko (incorporated by reference to</w:t>
              </w:r>
            </w:hyperlink>
          </w:p>
        </w:tc>
      </w:tr>
      <w:tr>
        <w:trPr>
          <w:trHeight w:val="155"/>
        </w:trPr>
        <w:tc>
          <w:tcPr>
            <w:tcW w:w="9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340" w:type="dxa"/>
            <w:vAlign w:val="bottom"/>
            <w:tcBorders>
              <w:top w:val="single" w:sz="8" w:color="0000FF"/>
              <w:bottom w:val="single" w:sz="8" w:color="0000FF"/>
            </w:tcBorders>
            <w:gridSpan w:val="12"/>
          </w:tcPr>
          <w:p>
            <w:pPr>
              <w:spacing w:after="0" w:line="156" w:lineRule="exact"/>
              <w:rPr>
                <w:rFonts w:ascii="Times New Roman" w:cs="Times New Roman" w:eastAsia="Times New Roman" w:hAnsi="Times New Roman"/>
                <w:sz w:val="18"/>
                <w:szCs w:val="18"/>
                <w:color w:val="0000FF"/>
                <w:w w:val="99"/>
              </w:rPr>
            </w:pPr>
            <w:hyperlink r:id="rId87">
              <w:r>
                <w:rPr>
                  <w:rFonts w:ascii="Times New Roman" w:cs="Times New Roman" w:eastAsia="Times New Roman" w:hAnsi="Times New Roman"/>
                  <w:sz w:val="18"/>
                  <w:szCs w:val="18"/>
                  <w:color w:val="0000FF"/>
                  <w:w w:val="99"/>
                </w:rPr>
                <w:t>Exhibit 10.18 to the Company’s Current Report on Form 8-K filed on January 17, 2025)</w:t>
              </w:r>
            </w:hyperlink>
          </w:p>
        </w:tc>
        <w:tc>
          <w:tcPr>
            <w:tcW w:w="3080" w:type="dxa"/>
            <w:vAlign w:val="bottom"/>
            <w:tcBorders>
              <w:top w:val="single" w:sz="8" w:color="0000FF"/>
            </w:tcBorders>
            <w:gridSpan w:val="9"/>
          </w:tcPr>
          <w:p>
            <w:pPr>
              <w:spacing w:after="0"/>
              <w:rPr>
                <w:sz w:val="13"/>
                <w:szCs w:val="13"/>
                <w:color w:val="auto"/>
              </w:rPr>
            </w:pPr>
          </w:p>
        </w:tc>
        <w:tc>
          <w:tcPr>
            <w:tcW w:w="180" w:type="dxa"/>
            <w:vAlign w:val="bottom"/>
            <w:gridSpan w:val="7"/>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gridSpan w:val="6"/>
          </w:tcPr>
          <w:p>
            <w:pPr>
              <w:spacing w:after="0"/>
              <w:rPr>
                <w:sz w:val="13"/>
                <w:szCs w:val="13"/>
                <w:color w:val="auto"/>
              </w:rPr>
            </w:pPr>
          </w:p>
        </w:tc>
      </w:tr>
      <w:tr>
        <w:trPr>
          <w:trHeight w:val="223"/>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10.16</w:t>
            </w:r>
          </w:p>
        </w:tc>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9840" w:type="dxa"/>
            <w:vAlign w:val="bottom"/>
            <w:gridSpan w:val="37"/>
          </w:tcPr>
          <w:p>
            <w:pPr>
              <w:spacing w:after="0"/>
              <w:rPr>
                <w:rFonts w:ascii="Times New Roman" w:cs="Times New Roman" w:eastAsia="Times New Roman" w:hAnsi="Times New Roman"/>
                <w:sz w:val="18"/>
                <w:szCs w:val="18"/>
                <w:color w:val="0000FF"/>
              </w:rPr>
            </w:pPr>
            <w:hyperlink r:id="rId88">
              <w:r>
                <w:rPr>
                  <w:rFonts w:ascii="Times New Roman" w:cs="Times New Roman" w:eastAsia="Times New Roman" w:hAnsi="Times New Roman"/>
                  <w:sz w:val="18"/>
                  <w:szCs w:val="18"/>
                  <w:color w:val="0000FF"/>
                </w:rPr>
                <w:t>Amendment to Offer Letter, dated as of February 22, 2022, by and between ThinCI, Inc. and Dmitry Zakharchenko (incorporated by</w:t>
              </w:r>
            </w:hyperlink>
          </w:p>
        </w:tc>
      </w:tr>
      <w:tr>
        <w:trPr>
          <w:trHeight w:val="156"/>
        </w:trPr>
        <w:tc>
          <w:tcPr>
            <w:tcW w:w="9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60" w:type="dxa"/>
            <w:vAlign w:val="bottom"/>
            <w:tcBorders>
              <w:top w:val="single" w:sz="8" w:color="0000FF"/>
              <w:bottom w:val="single" w:sz="8" w:color="0000FF"/>
            </w:tcBorders>
            <w:gridSpan w:val="13"/>
          </w:tcPr>
          <w:p>
            <w:pPr>
              <w:spacing w:after="0" w:line="156" w:lineRule="exact"/>
              <w:rPr>
                <w:rFonts w:ascii="Times New Roman" w:cs="Times New Roman" w:eastAsia="Times New Roman" w:hAnsi="Times New Roman"/>
                <w:sz w:val="18"/>
                <w:szCs w:val="18"/>
                <w:color w:val="0000FF"/>
                <w:w w:val="99"/>
              </w:rPr>
            </w:pPr>
            <w:hyperlink r:id="rId88">
              <w:r>
                <w:rPr>
                  <w:rFonts w:ascii="Times New Roman" w:cs="Times New Roman" w:eastAsia="Times New Roman" w:hAnsi="Times New Roman"/>
                  <w:sz w:val="18"/>
                  <w:szCs w:val="18"/>
                  <w:color w:val="0000FF"/>
                  <w:w w:val="99"/>
                </w:rPr>
                <w:t>reference to Exhibit 10.19 to the Company’s Current Report on Form 8-K filed on January 17, 2025)</w:t>
              </w:r>
            </w:hyperlink>
          </w:p>
        </w:tc>
        <w:tc>
          <w:tcPr>
            <w:tcW w:w="2340" w:type="dxa"/>
            <w:vAlign w:val="bottom"/>
            <w:tcBorders>
              <w:top w:val="single" w:sz="8" w:color="0000FF"/>
            </w:tcBorders>
            <w:gridSpan w:val="15"/>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gridSpan w:val="6"/>
          </w:tcPr>
          <w:p>
            <w:pPr>
              <w:spacing w:after="0"/>
              <w:rPr>
                <w:sz w:val="13"/>
                <w:szCs w:val="13"/>
                <w:color w:val="auto"/>
              </w:rPr>
            </w:pPr>
          </w:p>
        </w:tc>
      </w:tr>
      <w:tr>
        <w:trPr>
          <w:trHeight w:val="223"/>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10.17</w:t>
            </w:r>
          </w:p>
        </w:tc>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9840" w:type="dxa"/>
            <w:vAlign w:val="bottom"/>
            <w:gridSpan w:val="37"/>
          </w:tcPr>
          <w:p>
            <w:pPr>
              <w:spacing w:after="0"/>
              <w:rPr>
                <w:rFonts w:ascii="Times New Roman" w:cs="Times New Roman" w:eastAsia="Times New Roman" w:hAnsi="Times New Roman"/>
                <w:sz w:val="18"/>
                <w:szCs w:val="18"/>
                <w:color w:val="0000FF"/>
              </w:rPr>
            </w:pPr>
            <w:hyperlink r:id="rId89">
              <w:r>
                <w:rPr>
                  <w:rFonts w:ascii="Times New Roman" w:cs="Times New Roman" w:eastAsia="Times New Roman" w:hAnsi="Times New Roman"/>
                  <w:sz w:val="18"/>
                  <w:szCs w:val="18"/>
                  <w:color w:val="0000FF"/>
                </w:rPr>
                <w:t>Offer Letter, dated as of July 4, 2018, by and between ThinCI, Inc. and Santiago Fernandez-Gomez. (incorporated by reference to</w:t>
              </w:r>
            </w:hyperlink>
          </w:p>
        </w:tc>
      </w:tr>
      <w:tr>
        <w:trPr>
          <w:trHeight w:val="155"/>
        </w:trPr>
        <w:tc>
          <w:tcPr>
            <w:tcW w:w="9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340" w:type="dxa"/>
            <w:vAlign w:val="bottom"/>
            <w:tcBorders>
              <w:top w:val="single" w:sz="8" w:color="0000FF"/>
              <w:bottom w:val="single" w:sz="8" w:color="0000FF"/>
            </w:tcBorders>
            <w:gridSpan w:val="12"/>
          </w:tcPr>
          <w:p>
            <w:pPr>
              <w:spacing w:after="0" w:line="156" w:lineRule="exact"/>
              <w:rPr>
                <w:rFonts w:ascii="Times New Roman" w:cs="Times New Roman" w:eastAsia="Times New Roman" w:hAnsi="Times New Roman"/>
                <w:sz w:val="18"/>
                <w:szCs w:val="18"/>
                <w:color w:val="0000FF"/>
                <w:w w:val="99"/>
              </w:rPr>
            </w:pPr>
            <w:hyperlink r:id="rId89">
              <w:r>
                <w:rPr>
                  <w:rFonts w:ascii="Times New Roman" w:cs="Times New Roman" w:eastAsia="Times New Roman" w:hAnsi="Times New Roman"/>
                  <w:sz w:val="18"/>
                  <w:szCs w:val="18"/>
                  <w:color w:val="0000FF"/>
                  <w:w w:val="99"/>
                </w:rPr>
                <w:t>Exhibit 10.20 to the Company’s Current Report on Form 8-K filed on January 17, 2025)</w:t>
              </w:r>
            </w:hyperlink>
          </w:p>
        </w:tc>
        <w:tc>
          <w:tcPr>
            <w:tcW w:w="2980" w:type="dxa"/>
            <w:vAlign w:val="bottom"/>
            <w:tcBorders>
              <w:top w:val="single" w:sz="8" w:color="0000FF"/>
            </w:tcBorders>
            <w:gridSpan w:val="7"/>
          </w:tcPr>
          <w:p>
            <w:pPr>
              <w:spacing w:after="0"/>
              <w:rPr>
                <w:sz w:val="13"/>
                <w:szCs w:val="13"/>
                <w:color w:val="auto"/>
              </w:rPr>
            </w:pPr>
          </w:p>
        </w:tc>
        <w:tc>
          <w:tcPr>
            <w:tcW w:w="320" w:type="dxa"/>
            <w:vAlign w:val="bottom"/>
            <w:gridSpan w:val="11"/>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gridSpan w:val="6"/>
          </w:tcPr>
          <w:p>
            <w:pPr>
              <w:spacing w:after="0"/>
              <w:rPr>
                <w:sz w:val="13"/>
                <w:szCs w:val="13"/>
                <w:color w:val="auto"/>
              </w:rPr>
            </w:pPr>
          </w:p>
        </w:tc>
      </w:tr>
      <w:tr>
        <w:trPr>
          <w:trHeight w:val="223"/>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10.18</w:t>
            </w: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40" w:type="dxa"/>
            <w:vAlign w:val="bottom"/>
            <w:gridSpan w:val="37"/>
          </w:tcPr>
          <w:p>
            <w:pPr>
              <w:spacing w:after="0"/>
              <w:rPr>
                <w:rFonts w:ascii="Times New Roman" w:cs="Times New Roman" w:eastAsia="Times New Roman" w:hAnsi="Times New Roman"/>
                <w:sz w:val="18"/>
                <w:szCs w:val="18"/>
                <w:color w:val="0000FF"/>
              </w:rPr>
            </w:pPr>
            <w:hyperlink r:id="rId90">
              <w:r>
                <w:rPr>
                  <w:rFonts w:ascii="Times New Roman" w:cs="Times New Roman" w:eastAsia="Times New Roman" w:hAnsi="Times New Roman"/>
                  <w:sz w:val="18"/>
                  <w:szCs w:val="18"/>
                  <w:color w:val="0000FF"/>
                </w:rPr>
                <w:t>Form of Non-Redemption Agreement (incorporated by reference to Exhibit 10.1 to the Company’s Current Report on Form 8-K filed</w:t>
              </w:r>
            </w:hyperlink>
          </w:p>
        </w:tc>
      </w:tr>
      <w:tr>
        <w:trPr>
          <w:trHeight w:val="155"/>
        </w:trPr>
        <w:tc>
          <w:tcPr>
            <w:tcW w:w="9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40" w:type="dxa"/>
            <w:vAlign w:val="bottom"/>
            <w:tcBorders>
              <w:top w:val="single" w:sz="8" w:color="0000FF"/>
            </w:tcBorders>
            <w:gridSpan w:val="30"/>
          </w:tcPr>
          <w:p>
            <w:pPr>
              <w:spacing w:after="0" w:line="156" w:lineRule="exact"/>
              <w:rPr>
                <w:rFonts w:ascii="Times New Roman" w:cs="Times New Roman" w:eastAsia="Times New Roman" w:hAnsi="Times New Roman"/>
                <w:sz w:val="18"/>
                <w:szCs w:val="18"/>
                <w:color w:val="0000FF"/>
              </w:rPr>
            </w:pPr>
            <w:hyperlink r:id="rId90">
              <w:r>
                <w:rPr>
                  <w:rFonts w:ascii="Times New Roman" w:cs="Times New Roman" w:eastAsia="Times New Roman" w:hAnsi="Times New Roman"/>
                  <w:sz w:val="18"/>
                  <w:szCs w:val="18"/>
                  <w:color w:val="0000FF"/>
                </w:rPr>
                <w:t>December 31, 2024)</w:t>
              </w:r>
            </w:hyperlink>
          </w:p>
        </w:tc>
        <w:tc>
          <w:tcPr>
            <w:tcW w:w="20" w:type="dxa"/>
            <w:vAlign w:val="bottom"/>
          </w:tcPr>
          <w:p>
            <w:pPr>
              <w:spacing w:after="0"/>
              <w:rPr>
                <w:sz w:val="13"/>
                <w:szCs w:val="13"/>
                <w:color w:val="auto"/>
              </w:rPr>
            </w:pPr>
          </w:p>
        </w:tc>
        <w:tc>
          <w:tcPr>
            <w:tcW w:w="180" w:type="dxa"/>
            <w:vAlign w:val="bottom"/>
            <w:gridSpan w:val="6"/>
          </w:tcPr>
          <w:p>
            <w:pPr>
              <w:spacing w:after="0"/>
              <w:rPr>
                <w:sz w:val="13"/>
                <w:szCs w:val="13"/>
                <w:color w:val="auto"/>
              </w:rPr>
            </w:pPr>
          </w:p>
        </w:tc>
      </w:tr>
      <w:tr>
        <w:trPr>
          <w:trHeight w:val="20"/>
        </w:trPr>
        <w:tc>
          <w:tcPr>
            <w:tcW w:w="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tcBorders>
              <w:right w:val="single" w:sz="8" w:color="0000FF"/>
            </w:tcBorders>
            <w:gridSpan w:val="4"/>
            <w:shd w:val="clear" w:color="auto" w:fill="0000FF"/>
          </w:tcPr>
          <w:p>
            <w:pPr>
              <w:spacing w:after="0" w:line="20" w:lineRule="exact"/>
              <w:rPr>
                <w:sz w:val="1"/>
                <w:szCs w:val="1"/>
                <w:color w:val="auto"/>
              </w:rPr>
            </w:pPr>
          </w:p>
        </w:tc>
        <w:tc>
          <w:tcPr>
            <w:tcW w:w="8200" w:type="dxa"/>
            <w:vAlign w:val="bottom"/>
            <w:gridSpan w:val="27"/>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r>
      <w:tr>
        <w:trPr>
          <w:trHeight w:val="223"/>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10.19</w:t>
            </w: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40" w:type="dxa"/>
            <w:vAlign w:val="bottom"/>
            <w:gridSpan w:val="37"/>
          </w:tcPr>
          <w:p>
            <w:pPr>
              <w:spacing w:after="0"/>
              <w:rPr>
                <w:rFonts w:ascii="Times New Roman" w:cs="Times New Roman" w:eastAsia="Times New Roman" w:hAnsi="Times New Roman"/>
                <w:sz w:val="18"/>
                <w:szCs w:val="18"/>
                <w:color w:val="0000FF"/>
              </w:rPr>
            </w:pPr>
            <w:hyperlink r:id="rId91">
              <w:r>
                <w:rPr>
                  <w:rFonts w:ascii="Times New Roman" w:cs="Times New Roman" w:eastAsia="Times New Roman" w:hAnsi="Times New Roman"/>
                  <w:sz w:val="18"/>
                  <w:szCs w:val="18"/>
                  <w:color w:val="0000FF"/>
                </w:rPr>
                <w:t>Form of PIPE Subscription Agreement (incorporated by reference to Exhibit 10.1 to the Company’s Current Report on Form 8-K filed</w:t>
              </w:r>
            </w:hyperlink>
          </w:p>
        </w:tc>
      </w:tr>
      <w:tr>
        <w:trPr>
          <w:trHeight w:val="156"/>
        </w:trPr>
        <w:tc>
          <w:tcPr>
            <w:tcW w:w="9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60" w:type="dxa"/>
            <w:vAlign w:val="bottom"/>
            <w:tcBorders>
              <w:top w:val="single" w:sz="8" w:color="0000FF"/>
              <w:bottom w:val="single" w:sz="8" w:color="0000FF"/>
            </w:tcBorders>
            <w:gridSpan w:val="4"/>
          </w:tcPr>
          <w:p>
            <w:pPr>
              <w:spacing w:after="0" w:line="156" w:lineRule="exact"/>
              <w:rPr>
                <w:rFonts w:ascii="Times New Roman" w:cs="Times New Roman" w:eastAsia="Times New Roman" w:hAnsi="Times New Roman"/>
                <w:sz w:val="18"/>
                <w:szCs w:val="18"/>
                <w:color w:val="0000FF"/>
                <w:w w:val="99"/>
              </w:rPr>
            </w:pPr>
            <w:hyperlink r:id="rId91">
              <w:r>
                <w:rPr>
                  <w:rFonts w:ascii="Times New Roman" w:cs="Times New Roman" w:eastAsia="Times New Roman" w:hAnsi="Times New Roman"/>
                  <w:sz w:val="18"/>
                  <w:szCs w:val="18"/>
                  <w:color w:val="0000FF"/>
                  <w:w w:val="99"/>
                </w:rPr>
                <w:t>on January 8, 2025)</w:t>
              </w:r>
            </w:hyperlink>
          </w:p>
        </w:tc>
        <w:tc>
          <w:tcPr>
            <w:tcW w:w="8200" w:type="dxa"/>
            <w:vAlign w:val="bottom"/>
            <w:tcBorders>
              <w:top w:val="single" w:sz="8" w:color="0000FF"/>
            </w:tcBorders>
            <w:gridSpan w:val="27"/>
          </w:tcPr>
          <w:p>
            <w:pPr>
              <w:spacing w:after="0"/>
              <w:rPr>
                <w:sz w:val="13"/>
                <w:szCs w:val="13"/>
                <w:color w:val="auto"/>
              </w:rPr>
            </w:pPr>
          </w:p>
        </w:tc>
        <w:tc>
          <w:tcPr>
            <w:tcW w:w="180" w:type="dxa"/>
            <w:vAlign w:val="bottom"/>
            <w:gridSpan w:val="6"/>
          </w:tcPr>
          <w:p>
            <w:pPr>
              <w:spacing w:after="0"/>
              <w:rPr>
                <w:sz w:val="13"/>
                <w:szCs w:val="1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ectPr>
          <w:pgSz w:w="11900" w:h="16838" w:orient="portrait"/>
          <w:cols w:equalWidth="0" w:num="1">
            <w:col w:w="11240"/>
          </w:cols>
          <w:pgMar w:left="320" w:top="1440" w:right="339" w:bottom="1440" w:gutter="0" w:footer="0" w:header="0"/>
        </w:sectPr>
      </w:pPr>
    </w:p>
    <w:bookmarkStart w:id="105" w:name="page106"/>
    <w:bookmarkEnd w:id="105"/>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4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9920" w:type="dxa"/>
            <w:vAlign w:val="bottom"/>
            <w:tcBorders>
              <w:bottom w:val="single" w:sz="8" w:color="auto"/>
            </w:tcBorders>
            <w:gridSpan w:val="34"/>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82"/>
        </w:trPr>
        <w:tc>
          <w:tcPr>
            <w:tcW w:w="96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color w:val="auto"/>
              </w:rPr>
              <w:t>10.20</w:t>
            </w: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920" w:type="dxa"/>
            <w:vAlign w:val="bottom"/>
            <w:gridSpan w:val="34"/>
          </w:tcPr>
          <w:p>
            <w:pPr>
              <w:spacing w:after="0" w:line="182" w:lineRule="exact"/>
              <w:rPr>
                <w:rFonts w:ascii="Times New Roman" w:cs="Times New Roman" w:eastAsia="Times New Roman" w:hAnsi="Times New Roman"/>
                <w:sz w:val="18"/>
                <w:szCs w:val="18"/>
                <w:color w:val="0000FF"/>
              </w:rPr>
            </w:pPr>
            <w:hyperlink r:id="rId92">
              <w:r>
                <w:rPr>
                  <w:rFonts w:ascii="Times New Roman" w:cs="Times New Roman" w:eastAsia="Times New Roman" w:hAnsi="Times New Roman"/>
                  <w:sz w:val="18"/>
                  <w:szCs w:val="18"/>
                  <w:color w:val="0000FF"/>
                </w:rPr>
                <w:t>Letter Agreement, dated as of January 13, 2025, by and among BurTech, Merger Sub, Blaize and Burkhan BurTech LP LLC and Blaize</w:t>
              </w:r>
            </w:hyperlink>
          </w:p>
        </w:tc>
      </w:tr>
      <w:tr>
        <w:trPr>
          <w:trHeight w:val="156"/>
        </w:trPr>
        <w:tc>
          <w:tcPr>
            <w:tcW w:w="9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80" w:type="dxa"/>
            <w:vAlign w:val="bottom"/>
            <w:tcBorders>
              <w:top w:val="single" w:sz="8" w:color="0000FF"/>
              <w:bottom w:val="single" w:sz="8" w:color="0000FF"/>
            </w:tcBorders>
            <w:gridSpan w:val="11"/>
          </w:tcPr>
          <w:p>
            <w:pPr>
              <w:spacing w:after="0" w:line="156" w:lineRule="exact"/>
              <w:rPr>
                <w:rFonts w:ascii="Times New Roman" w:cs="Times New Roman" w:eastAsia="Times New Roman" w:hAnsi="Times New Roman"/>
                <w:sz w:val="18"/>
                <w:szCs w:val="18"/>
                <w:color w:val="0000FF"/>
                <w:w w:val="99"/>
              </w:rPr>
            </w:pPr>
            <w:hyperlink r:id="rId92">
              <w:r>
                <w:rPr>
                  <w:rFonts w:ascii="Times New Roman" w:cs="Times New Roman" w:eastAsia="Times New Roman" w:hAnsi="Times New Roman"/>
                  <w:sz w:val="18"/>
                  <w:szCs w:val="18"/>
                  <w:color w:val="0000FF"/>
                  <w:w w:val="99"/>
                </w:rPr>
                <w:t>(incorporated by reference to Exhibit 10.15 to the Company’s Current Report on Form 8-K filed on January 17, 2025)</w:t>
              </w:r>
            </w:hyperlink>
          </w:p>
        </w:tc>
        <w:tc>
          <w:tcPr>
            <w:tcW w:w="1360" w:type="dxa"/>
            <w:vAlign w:val="bottom"/>
            <w:tcBorders>
              <w:top w:val="single" w:sz="8" w:color="0000FF"/>
            </w:tcBorders>
            <w:gridSpan w:val="19"/>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10.21</w:t>
            </w: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920" w:type="dxa"/>
            <w:vAlign w:val="bottom"/>
            <w:gridSpan w:val="34"/>
          </w:tcPr>
          <w:p>
            <w:pPr>
              <w:spacing w:after="0"/>
              <w:rPr>
                <w:rFonts w:ascii="Times New Roman" w:cs="Times New Roman" w:eastAsia="Times New Roman" w:hAnsi="Times New Roman"/>
                <w:sz w:val="18"/>
                <w:szCs w:val="18"/>
                <w:color w:val="0000FF"/>
              </w:rPr>
            </w:pPr>
            <w:hyperlink r:id="rId93">
              <w:r>
                <w:rPr>
                  <w:rFonts w:ascii="Times New Roman" w:cs="Times New Roman" w:eastAsia="Times New Roman" w:hAnsi="Times New Roman"/>
                  <w:sz w:val="18"/>
                  <w:szCs w:val="18"/>
                  <w:color w:val="0000FF"/>
                </w:rPr>
                <w:t>Registration Rights Agreement, dated as of November 10, 2025, by and among the Company, Polar Long/Short Master Fund and Polar</w:t>
              </w:r>
            </w:hyperlink>
          </w:p>
        </w:tc>
      </w:tr>
      <w:tr>
        <w:trPr>
          <w:trHeight w:val="156"/>
        </w:trPr>
        <w:tc>
          <w:tcPr>
            <w:tcW w:w="9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40" w:type="dxa"/>
            <w:vAlign w:val="bottom"/>
            <w:tcBorders>
              <w:top w:val="single" w:sz="8" w:color="0000FF"/>
            </w:tcBorders>
            <w:gridSpan w:val="25"/>
          </w:tcPr>
          <w:p>
            <w:pPr>
              <w:spacing w:after="0" w:line="156" w:lineRule="exact"/>
              <w:rPr>
                <w:rFonts w:ascii="Times New Roman" w:cs="Times New Roman" w:eastAsia="Times New Roman" w:hAnsi="Times New Roman"/>
                <w:sz w:val="18"/>
                <w:szCs w:val="18"/>
                <w:color w:val="0000FF"/>
              </w:rPr>
            </w:pPr>
            <w:hyperlink r:id="rId93">
              <w:r>
                <w:rPr>
                  <w:rFonts w:ascii="Times New Roman" w:cs="Times New Roman" w:eastAsia="Times New Roman" w:hAnsi="Times New Roman"/>
                  <w:sz w:val="18"/>
                  <w:szCs w:val="18"/>
                  <w:color w:val="0000FF"/>
                </w:rPr>
                <w:t>Multi-Strategy Master Fund (incorporated by reference to Exhibit 10.6 to the Company’s Quarterly Report on Form 10-Q filed on</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9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340" w:type="dxa"/>
            <w:vAlign w:val="bottom"/>
            <w:tcBorders>
              <w:top w:val="single" w:sz="8" w:color="0000FF"/>
            </w:tcBorders>
            <w:gridSpan w:val="16"/>
          </w:tcPr>
          <w:p>
            <w:pPr>
              <w:spacing w:after="0" w:line="169" w:lineRule="exact"/>
              <w:rPr>
                <w:rFonts w:ascii="Times New Roman" w:cs="Times New Roman" w:eastAsia="Times New Roman" w:hAnsi="Times New Roman"/>
                <w:sz w:val="18"/>
                <w:szCs w:val="18"/>
                <w:color w:val="0000FF"/>
              </w:rPr>
            </w:pPr>
            <w:hyperlink r:id="rId93">
              <w:r>
                <w:rPr>
                  <w:rFonts w:ascii="Times New Roman" w:cs="Times New Roman" w:eastAsia="Times New Roman" w:hAnsi="Times New Roman"/>
                  <w:sz w:val="18"/>
                  <w:szCs w:val="18"/>
                  <w:color w:val="0000FF"/>
                </w:rPr>
                <w:t>November 13, 2025)</w:t>
              </w:r>
            </w:hyperlink>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10.22</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920" w:type="dxa"/>
            <w:vAlign w:val="bottom"/>
            <w:gridSpan w:val="34"/>
          </w:tcPr>
          <w:p>
            <w:pPr>
              <w:spacing w:after="0"/>
              <w:rPr>
                <w:rFonts w:ascii="Times New Roman" w:cs="Times New Roman" w:eastAsia="Times New Roman" w:hAnsi="Times New Roman"/>
                <w:sz w:val="18"/>
                <w:szCs w:val="18"/>
                <w:color w:val="0000FF"/>
              </w:rPr>
            </w:pPr>
            <w:hyperlink r:id="rId94">
              <w:r>
                <w:rPr>
                  <w:rFonts w:ascii="Times New Roman" w:cs="Times New Roman" w:eastAsia="Times New Roman" w:hAnsi="Times New Roman"/>
                  <w:sz w:val="18"/>
                  <w:szCs w:val="18"/>
                  <w:color w:val="0000FF"/>
                </w:rPr>
                <w:t>Registration Rights Agreement, dated July 14, 2025, by and between the Company and B. Riley Principal Capital II, LLC (incorporated</w:t>
              </w:r>
            </w:hyperlink>
          </w:p>
        </w:tc>
      </w:tr>
      <w:tr>
        <w:trPr>
          <w:trHeight w:val="156"/>
        </w:trPr>
        <w:tc>
          <w:tcPr>
            <w:tcW w:w="9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120" w:type="dxa"/>
            <w:vAlign w:val="bottom"/>
            <w:tcBorders>
              <w:top w:val="single" w:sz="8" w:color="0000FF"/>
              <w:bottom w:val="single" w:sz="8" w:color="0000FF"/>
            </w:tcBorders>
            <w:gridSpan w:val="9"/>
          </w:tcPr>
          <w:p>
            <w:pPr>
              <w:spacing w:after="0" w:line="156" w:lineRule="exact"/>
              <w:rPr>
                <w:rFonts w:ascii="Times New Roman" w:cs="Times New Roman" w:eastAsia="Times New Roman" w:hAnsi="Times New Roman"/>
                <w:sz w:val="18"/>
                <w:szCs w:val="18"/>
                <w:color w:val="0000FF"/>
                <w:w w:val="99"/>
              </w:rPr>
            </w:pPr>
            <w:hyperlink r:id="rId94">
              <w:r>
                <w:rPr>
                  <w:rFonts w:ascii="Times New Roman" w:cs="Times New Roman" w:eastAsia="Times New Roman" w:hAnsi="Times New Roman"/>
                  <w:sz w:val="18"/>
                  <w:szCs w:val="18"/>
                  <w:color w:val="0000FF"/>
                  <w:w w:val="99"/>
                </w:rPr>
                <w:t>by reference to Exhibit 10.2 to the Company’s Current Report on Form 8-K filed on July 15, 2025)</w:t>
              </w:r>
            </w:hyperlink>
          </w:p>
        </w:tc>
        <w:tc>
          <w:tcPr>
            <w:tcW w:w="2760" w:type="dxa"/>
            <w:vAlign w:val="bottom"/>
            <w:tcBorders>
              <w:top w:val="single" w:sz="8" w:color="0000FF"/>
            </w:tcBorders>
            <w:gridSpan w:val="2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10.23</w:t>
            </w: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920" w:type="dxa"/>
            <w:vAlign w:val="bottom"/>
            <w:gridSpan w:val="34"/>
          </w:tcPr>
          <w:p>
            <w:pPr>
              <w:spacing w:after="0"/>
              <w:rPr>
                <w:rFonts w:ascii="Times New Roman" w:cs="Times New Roman" w:eastAsia="Times New Roman" w:hAnsi="Times New Roman"/>
                <w:sz w:val="18"/>
                <w:szCs w:val="18"/>
                <w:color w:val="0000FF"/>
              </w:rPr>
            </w:pPr>
            <w:hyperlink r:id="rId95">
              <w:r>
                <w:rPr>
                  <w:rFonts w:ascii="Times New Roman" w:cs="Times New Roman" w:eastAsia="Times New Roman" w:hAnsi="Times New Roman"/>
                  <w:sz w:val="18"/>
                  <w:szCs w:val="18"/>
                  <w:color w:val="0000FF"/>
                </w:rPr>
                <w:t>Secured Promissory Note and Pledge Agreement, dated as of January 13, 2025, by and among BurTech LP LLC and BurTech</w:t>
              </w:r>
            </w:hyperlink>
          </w:p>
        </w:tc>
      </w:tr>
      <w:tr>
        <w:trPr>
          <w:trHeight w:val="156"/>
        </w:trPr>
        <w:tc>
          <w:tcPr>
            <w:tcW w:w="9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80" w:type="dxa"/>
            <w:vAlign w:val="bottom"/>
            <w:tcBorders>
              <w:top w:val="single" w:sz="8" w:color="0000FF"/>
              <w:bottom w:val="single" w:sz="8" w:color="0000FF"/>
            </w:tcBorders>
            <w:gridSpan w:val="11"/>
          </w:tcPr>
          <w:p>
            <w:pPr>
              <w:spacing w:after="0" w:line="156" w:lineRule="exact"/>
              <w:rPr>
                <w:rFonts w:ascii="Times New Roman" w:cs="Times New Roman" w:eastAsia="Times New Roman" w:hAnsi="Times New Roman"/>
                <w:sz w:val="18"/>
                <w:szCs w:val="18"/>
                <w:color w:val="0000FF"/>
                <w:w w:val="99"/>
              </w:rPr>
            </w:pPr>
            <w:hyperlink r:id="rId95">
              <w:r>
                <w:rPr>
                  <w:rFonts w:ascii="Times New Roman" w:cs="Times New Roman" w:eastAsia="Times New Roman" w:hAnsi="Times New Roman"/>
                  <w:sz w:val="18"/>
                  <w:szCs w:val="18"/>
                  <w:color w:val="0000FF"/>
                  <w:w w:val="99"/>
                </w:rPr>
                <w:t>(incorporated by reference to Exhibit 10.14 to the Company’s Current Report on Form 8-K filed on January 17, 2025)</w:t>
              </w:r>
            </w:hyperlink>
          </w:p>
        </w:tc>
        <w:tc>
          <w:tcPr>
            <w:tcW w:w="560" w:type="dxa"/>
            <w:vAlign w:val="bottom"/>
            <w:tcBorders>
              <w:top w:val="single" w:sz="8" w:color="0000FF"/>
            </w:tcBorders>
            <w:gridSpan w:val="2"/>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10.24</w:t>
            </w: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920" w:type="dxa"/>
            <w:vAlign w:val="bottom"/>
            <w:gridSpan w:val="34"/>
          </w:tcPr>
          <w:p>
            <w:pPr>
              <w:spacing w:after="0"/>
              <w:rPr>
                <w:rFonts w:ascii="Times New Roman" w:cs="Times New Roman" w:eastAsia="Times New Roman" w:hAnsi="Times New Roman"/>
                <w:sz w:val="18"/>
                <w:szCs w:val="18"/>
                <w:color w:val="0000FF"/>
              </w:rPr>
            </w:pPr>
            <w:hyperlink r:id="rId96">
              <w:r>
                <w:rPr>
                  <w:rFonts w:ascii="Times New Roman" w:cs="Times New Roman" w:eastAsia="Times New Roman" w:hAnsi="Times New Roman"/>
                  <w:sz w:val="18"/>
                  <w:szCs w:val="18"/>
                  <w:color w:val="0000FF"/>
                </w:rPr>
                <w:t>Common Stock Purchase Agreement, dated July 14, 2025, by and between the Company and B. Riley Principal Capital II, LLC</w:t>
              </w:r>
            </w:hyperlink>
          </w:p>
        </w:tc>
      </w:tr>
      <w:tr>
        <w:trPr>
          <w:trHeight w:val="155"/>
        </w:trPr>
        <w:tc>
          <w:tcPr>
            <w:tcW w:w="9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180" w:type="dxa"/>
            <w:vAlign w:val="bottom"/>
            <w:tcBorders>
              <w:top w:val="single" w:sz="8" w:color="0000FF"/>
            </w:tcBorders>
            <w:gridSpan w:val="15"/>
          </w:tcPr>
          <w:p>
            <w:pPr>
              <w:spacing w:after="0" w:line="156" w:lineRule="exact"/>
              <w:rPr>
                <w:rFonts w:ascii="Times New Roman" w:cs="Times New Roman" w:eastAsia="Times New Roman" w:hAnsi="Times New Roman"/>
                <w:sz w:val="18"/>
                <w:szCs w:val="18"/>
                <w:color w:val="0000FF"/>
              </w:rPr>
            </w:pPr>
            <w:hyperlink r:id="rId96">
              <w:r>
                <w:rPr>
                  <w:rFonts w:ascii="Times New Roman" w:cs="Times New Roman" w:eastAsia="Times New Roman" w:hAnsi="Times New Roman"/>
                  <w:sz w:val="18"/>
                  <w:szCs w:val="18"/>
                  <w:color w:val="0000FF"/>
                </w:rPr>
                <w:t>(incorporated by reference to Exhibit 10.1 to the Company’s Current Report on Form 8-K filed on July 15, 2025)</w:t>
              </w:r>
            </w:hyperlink>
          </w:p>
        </w:tc>
        <w:tc>
          <w:tcPr>
            <w:tcW w:w="18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10.25</w:t>
            </w: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920" w:type="dxa"/>
            <w:vAlign w:val="bottom"/>
            <w:gridSpan w:val="34"/>
          </w:tcPr>
          <w:p>
            <w:pPr>
              <w:spacing w:after="0"/>
              <w:rPr>
                <w:rFonts w:ascii="Times New Roman" w:cs="Times New Roman" w:eastAsia="Times New Roman" w:hAnsi="Times New Roman"/>
                <w:sz w:val="18"/>
                <w:szCs w:val="18"/>
                <w:color w:val="0000FF"/>
              </w:rPr>
            </w:pPr>
            <w:hyperlink r:id="rId97">
              <w:r>
                <w:rPr>
                  <w:rFonts w:ascii="Times New Roman" w:cs="Times New Roman" w:eastAsia="Times New Roman" w:hAnsi="Times New Roman"/>
                  <w:sz w:val="18"/>
                  <w:szCs w:val="18"/>
                  <w:color w:val="0000FF"/>
                </w:rPr>
                <w:t>Securities Purchase Agreement, dated as of November 10, 2025, by and among the Company, Polar Long/Short Master Fund and Polar</w:t>
              </w:r>
            </w:hyperlink>
          </w:p>
        </w:tc>
      </w:tr>
      <w:tr>
        <w:trPr>
          <w:trHeight w:val="156"/>
        </w:trPr>
        <w:tc>
          <w:tcPr>
            <w:tcW w:w="9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60" w:type="dxa"/>
            <w:vAlign w:val="bottom"/>
            <w:tcBorders>
              <w:top w:val="single" w:sz="8" w:color="0000FF"/>
            </w:tcBorders>
            <w:gridSpan w:val="26"/>
          </w:tcPr>
          <w:p>
            <w:pPr>
              <w:spacing w:after="0" w:line="156" w:lineRule="exact"/>
              <w:rPr>
                <w:rFonts w:ascii="Times New Roman" w:cs="Times New Roman" w:eastAsia="Times New Roman" w:hAnsi="Times New Roman"/>
                <w:sz w:val="18"/>
                <w:szCs w:val="18"/>
                <w:color w:val="0000FF"/>
              </w:rPr>
            </w:pPr>
            <w:hyperlink r:id="rId97">
              <w:r>
                <w:rPr>
                  <w:rFonts w:ascii="Times New Roman" w:cs="Times New Roman" w:eastAsia="Times New Roman" w:hAnsi="Times New Roman"/>
                  <w:sz w:val="18"/>
                  <w:szCs w:val="18"/>
                  <w:color w:val="0000FF"/>
                </w:rPr>
                <w:t>Multi-Strategy Master Fund (incorporated by reference to Exhibit 10.4 to the Company’s Quarterly Report on Form 10-Q filed on</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9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340" w:type="dxa"/>
            <w:vAlign w:val="bottom"/>
            <w:tcBorders>
              <w:top w:val="single" w:sz="8" w:color="0000FF"/>
            </w:tcBorders>
            <w:gridSpan w:val="16"/>
          </w:tcPr>
          <w:p>
            <w:pPr>
              <w:spacing w:after="0" w:line="169" w:lineRule="exact"/>
              <w:rPr>
                <w:rFonts w:ascii="Times New Roman" w:cs="Times New Roman" w:eastAsia="Times New Roman" w:hAnsi="Times New Roman"/>
                <w:sz w:val="18"/>
                <w:szCs w:val="18"/>
                <w:color w:val="0000FF"/>
              </w:rPr>
            </w:pPr>
            <w:hyperlink r:id="rId97">
              <w:r>
                <w:rPr>
                  <w:rFonts w:ascii="Times New Roman" w:cs="Times New Roman" w:eastAsia="Times New Roman" w:hAnsi="Times New Roman"/>
                  <w:sz w:val="18"/>
                  <w:szCs w:val="18"/>
                  <w:color w:val="0000FF"/>
                </w:rPr>
                <w:t>November 13, 2025)</w:t>
              </w:r>
            </w:hyperlink>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40" w:type="dxa"/>
            <w:vAlign w:val="bottom"/>
            <w:gridSpan w:val="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10.26</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920" w:type="dxa"/>
            <w:vAlign w:val="bottom"/>
            <w:gridSpan w:val="34"/>
          </w:tcPr>
          <w:p>
            <w:pPr>
              <w:spacing w:after="0"/>
              <w:rPr>
                <w:rFonts w:ascii="Times New Roman" w:cs="Times New Roman" w:eastAsia="Times New Roman" w:hAnsi="Times New Roman"/>
                <w:sz w:val="18"/>
                <w:szCs w:val="18"/>
                <w:color w:val="0000FF"/>
              </w:rPr>
            </w:pPr>
            <w:hyperlink r:id="rId98">
              <w:r>
                <w:rPr>
                  <w:rFonts w:ascii="Times New Roman" w:cs="Times New Roman" w:eastAsia="Times New Roman" w:hAnsi="Times New Roman"/>
                  <w:sz w:val="18"/>
                  <w:szCs w:val="18"/>
                  <w:color w:val="0000FF"/>
                </w:rPr>
                <w:t>Stockholder Lock-Up Agreement, dated as of January 13, 2025, by and among the Company and certain stockholders of Legacy Blaize</w:t>
              </w:r>
            </w:hyperlink>
          </w:p>
        </w:tc>
      </w:tr>
      <w:tr>
        <w:trPr>
          <w:trHeight w:val="155"/>
        </w:trPr>
        <w:tc>
          <w:tcPr>
            <w:tcW w:w="9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0" w:type="dxa"/>
            <w:vAlign w:val="bottom"/>
            <w:tcBorders>
              <w:top w:val="single" w:sz="8" w:color="0000FF"/>
            </w:tcBorders>
            <w:gridSpan w:val="28"/>
          </w:tcPr>
          <w:p>
            <w:pPr>
              <w:spacing w:after="0" w:line="156" w:lineRule="exact"/>
              <w:rPr>
                <w:rFonts w:ascii="Times New Roman" w:cs="Times New Roman" w:eastAsia="Times New Roman" w:hAnsi="Times New Roman"/>
                <w:sz w:val="18"/>
                <w:szCs w:val="18"/>
                <w:color w:val="0000FF"/>
              </w:rPr>
            </w:pPr>
            <w:hyperlink r:id="rId98">
              <w:r>
                <w:rPr>
                  <w:rFonts w:ascii="Times New Roman" w:cs="Times New Roman" w:eastAsia="Times New Roman" w:hAnsi="Times New Roman"/>
                  <w:sz w:val="18"/>
                  <w:szCs w:val="18"/>
                  <w:color w:val="0000FF"/>
                </w:rPr>
                <w:t>named therein (incorporated by reference to Exhibit 10.12 to the Company’s Current Report on Form 8-K filed on January 17, 2025)</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10.27</w:t>
            </w: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540" w:type="dxa"/>
            <w:vAlign w:val="bottom"/>
            <w:tcBorders>
              <w:top w:val="single" w:sz="8" w:color="0000FF"/>
            </w:tcBorders>
            <w:gridSpan w:val="21"/>
          </w:tcPr>
          <w:p>
            <w:pPr>
              <w:spacing w:after="0"/>
              <w:rPr>
                <w:rFonts w:ascii="Times New Roman" w:cs="Times New Roman" w:eastAsia="Times New Roman" w:hAnsi="Times New Roman"/>
                <w:sz w:val="18"/>
                <w:szCs w:val="18"/>
                <w:color w:val="0000FF"/>
              </w:rPr>
            </w:pPr>
            <w:hyperlink r:id="rId99">
              <w:r>
                <w:rPr>
                  <w:rFonts w:ascii="Times New Roman" w:cs="Times New Roman" w:eastAsia="Times New Roman" w:hAnsi="Times New Roman"/>
                  <w:sz w:val="18"/>
                  <w:szCs w:val="18"/>
                  <w:color w:val="0000FF"/>
                </w:rPr>
                <w:t>Noteholder Lock-Up Agreement, dated as of January 13, 2025, by and among the Company and certain securityholders of Legacy</w:t>
              </w:r>
            </w:hyperlink>
          </w:p>
        </w:tc>
        <w:tc>
          <w:tcPr>
            <w:tcW w:w="380" w:type="dxa"/>
            <w:vAlign w:val="bottom"/>
            <w:gridSpan w:val="13"/>
          </w:tcPr>
          <w:p>
            <w:pPr>
              <w:spacing w:after="0"/>
              <w:rPr>
                <w:sz w:val="19"/>
                <w:szCs w:val="19"/>
                <w:color w:val="auto"/>
              </w:rPr>
            </w:pPr>
          </w:p>
        </w:tc>
      </w:tr>
      <w:tr>
        <w:trPr>
          <w:trHeight w:val="156"/>
        </w:trPr>
        <w:tc>
          <w:tcPr>
            <w:tcW w:w="9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60" w:type="dxa"/>
            <w:vAlign w:val="bottom"/>
            <w:tcBorders>
              <w:top w:val="single" w:sz="8" w:color="0000FF"/>
            </w:tcBorders>
            <w:gridSpan w:val="17"/>
          </w:tcPr>
          <w:p>
            <w:pPr>
              <w:spacing w:after="0" w:line="156" w:lineRule="exact"/>
              <w:rPr>
                <w:rFonts w:ascii="Times New Roman" w:cs="Times New Roman" w:eastAsia="Times New Roman" w:hAnsi="Times New Roman"/>
                <w:sz w:val="18"/>
                <w:szCs w:val="18"/>
                <w:color w:val="0000FF"/>
              </w:rPr>
            </w:pPr>
            <w:hyperlink r:id="rId99">
              <w:r>
                <w:rPr>
                  <w:rFonts w:ascii="Times New Roman" w:cs="Times New Roman" w:eastAsia="Times New Roman" w:hAnsi="Times New Roman"/>
                  <w:sz w:val="18"/>
                  <w:szCs w:val="18"/>
                  <w:color w:val="0000FF"/>
                </w:rPr>
                <w:t>Blaize named therein (incorporated by reference to Exhibit 10.13 to the Company’s Current Report on Form 8-K filed on January</w:t>
              </w:r>
            </w:hyperlink>
          </w:p>
        </w:tc>
        <w:tc>
          <w:tcPr>
            <w:tcW w:w="340" w:type="dxa"/>
            <w:vAlign w:val="bottom"/>
            <w:gridSpan w:val="6"/>
          </w:tcPr>
          <w:p>
            <w:pPr>
              <w:jc w:val="right"/>
              <w:ind w:right="120"/>
              <w:spacing w:after="0" w:line="156" w:lineRule="exact"/>
              <w:rPr>
                <w:rFonts w:ascii="Times New Roman" w:cs="Times New Roman" w:eastAsia="Times New Roman" w:hAnsi="Times New Roman"/>
                <w:sz w:val="18"/>
                <w:szCs w:val="18"/>
                <w:color w:val="0000FF"/>
                <w:w w:val="88"/>
              </w:rPr>
            </w:pPr>
            <w:hyperlink r:id="rId99">
              <w:r>
                <w:rPr>
                  <w:rFonts w:ascii="Times New Roman" w:cs="Times New Roman" w:eastAsia="Times New Roman" w:hAnsi="Times New Roman"/>
                  <w:sz w:val="18"/>
                  <w:szCs w:val="18"/>
                  <w:color w:val="0000FF"/>
                  <w:w w:val="88"/>
                </w:rPr>
                <w:t>17,</w:t>
              </w:r>
            </w:hyperlink>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9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80" w:type="dxa"/>
            <w:vAlign w:val="bottom"/>
            <w:tcBorders>
              <w:top w:val="single" w:sz="8" w:color="0000FF"/>
            </w:tcBorders>
            <w:gridSpan w:val="2"/>
          </w:tcPr>
          <w:p>
            <w:pPr>
              <w:spacing w:after="0" w:line="169" w:lineRule="exact"/>
              <w:rPr>
                <w:rFonts w:ascii="Times New Roman" w:cs="Times New Roman" w:eastAsia="Times New Roman" w:hAnsi="Times New Roman"/>
                <w:sz w:val="18"/>
                <w:szCs w:val="18"/>
                <w:color w:val="0000FF"/>
              </w:rPr>
            </w:pPr>
            <w:hyperlink r:id="rId99">
              <w:r>
                <w:rPr>
                  <w:rFonts w:ascii="Times New Roman" w:cs="Times New Roman" w:eastAsia="Times New Roman" w:hAnsi="Times New Roman"/>
                  <w:sz w:val="18"/>
                  <w:szCs w:val="18"/>
                  <w:color w:val="0000FF"/>
                </w:rPr>
                <w:t>2025)</w:t>
              </w:r>
            </w:hyperlink>
          </w:p>
        </w:tc>
        <w:tc>
          <w:tcPr>
            <w:tcW w:w="320" w:type="dxa"/>
            <w:vAlign w:val="bottom"/>
            <w:tcBorders>
              <w:top w:val="single" w:sz="8" w:color="0000FF"/>
            </w:tcBorders>
          </w:tcPr>
          <w:p>
            <w:pPr>
              <w:spacing w:after="0"/>
              <w:rPr>
                <w:sz w:val="14"/>
                <w:szCs w:val="14"/>
                <w:color w:val="auto"/>
              </w:rPr>
            </w:pPr>
          </w:p>
        </w:tc>
        <w:tc>
          <w:tcPr>
            <w:tcW w:w="1600" w:type="dxa"/>
            <w:vAlign w:val="bottom"/>
            <w:tcBorders>
              <w:top w:val="single" w:sz="8" w:color="0000FF"/>
            </w:tcBorders>
          </w:tcPr>
          <w:p>
            <w:pPr>
              <w:spacing w:after="0"/>
              <w:rPr>
                <w:sz w:val="14"/>
                <w:szCs w:val="14"/>
                <w:color w:val="auto"/>
              </w:rPr>
            </w:pPr>
          </w:p>
        </w:tc>
        <w:tc>
          <w:tcPr>
            <w:tcW w:w="580" w:type="dxa"/>
            <w:vAlign w:val="bottom"/>
            <w:tcBorders>
              <w:top w:val="single" w:sz="8" w:color="0000FF"/>
            </w:tcBorders>
          </w:tcPr>
          <w:p>
            <w:pPr>
              <w:spacing w:after="0"/>
              <w:rPr>
                <w:sz w:val="14"/>
                <w:szCs w:val="14"/>
                <w:color w:val="auto"/>
              </w:rPr>
            </w:pPr>
          </w:p>
        </w:tc>
        <w:tc>
          <w:tcPr>
            <w:tcW w:w="860" w:type="dxa"/>
            <w:vAlign w:val="bottom"/>
            <w:tcBorders>
              <w:top w:val="single" w:sz="8" w:color="0000FF"/>
            </w:tcBorders>
          </w:tcPr>
          <w:p>
            <w:pPr>
              <w:spacing w:after="0"/>
              <w:rPr>
                <w:sz w:val="14"/>
                <w:szCs w:val="14"/>
                <w:color w:val="auto"/>
              </w:rPr>
            </w:pPr>
          </w:p>
        </w:tc>
        <w:tc>
          <w:tcPr>
            <w:tcW w:w="820" w:type="dxa"/>
            <w:vAlign w:val="bottom"/>
            <w:tcBorders>
              <w:top w:val="single" w:sz="8" w:color="0000FF"/>
            </w:tcBorders>
          </w:tcPr>
          <w:p>
            <w:pPr>
              <w:spacing w:after="0"/>
              <w:rPr>
                <w:sz w:val="14"/>
                <w:szCs w:val="14"/>
                <w:color w:val="auto"/>
              </w:rPr>
            </w:pPr>
          </w:p>
        </w:tc>
        <w:tc>
          <w:tcPr>
            <w:tcW w:w="126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1000" w:type="dxa"/>
            <w:vAlign w:val="bottom"/>
            <w:tcBorders>
              <w:top w:val="single" w:sz="8" w:color="0000FF"/>
            </w:tcBorders>
          </w:tcPr>
          <w:p>
            <w:pPr>
              <w:spacing w:after="0"/>
              <w:rPr>
                <w:sz w:val="14"/>
                <w:szCs w:val="14"/>
                <w:color w:val="auto"/>
              </w:rPr>
            </w:pPr>
          </w:p>
        </w:tc>
        <w:tc>
          <w:tcPr>
            <w:tcW w:w="360" w:type="dxa"/>
            <w:vAlign w:val="bottom"/>
            <w:tcBorders>
              <w:top w:val="single" w:sz="8" w:color="0000FF"/>
            </w:tcBorders>
          </w:tcPr>
          <w:p>
            <w:pPr>
              <w:spacing w:after="0"/>
              <w:rPr>
                <w:sz w:val="14"/>
                <w:szCs w:val="14"/>
                <w:color w:val="auto"/>
              </w:rPr>
            </w:pPr>
          </w:p>
        </w:tc>
        <w:tc>
          <w:tcPr>
            <w:tcW w:w="48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40" w:type="dxa"/>
            <w:vAlign w:val="bottom"/>
            <w:gridSpan w:val="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10.28</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920" w:type="dxa"/>
            <w:vAlign w:val="bottom"/>
            <w:gridSpan w:val="34"/>
          </w:tcPr>
          <w:p>
            <w:pPr>
              <w:spacing w:after="0"/>
              <w:rPr>
                <w:rFonts w:ascii="Times New Roman" w:cs="Times New Roman" w:eastAsia="Times New Roman" w:hAnsi="Times New Roman"/>
                <w:sz w:val="18"/>
                <w:szCs w:val="18"/>
                <w:color w:val="0000FF"/>
              </w:rPr>
            </w:pPr>
            <w:hyperlink r:id="rId100">
              <w:r>
                <w:rPr>
                  <w:rFonts w:ascii="Times New Roman" w:cs="Times New Roman" w:eastAsia="Times New Roman" w:hAnsi="Times New Roman"/>
                  <w:sz w:val="18"/>
                  <w:szCs w:val="18"/>
                  <w:color w:val="0000FF"/>
                </w:rPr>
                <w:t>Sales Partner Referral Agreement, dated as of June 30, 2025, by and between the Company and Burkhan LLC (incorporated by</w:t>
              </w:r>
            </w:hyperlink>
          </w:p>
        </w:tc>
      </w:tr>
      <w:tr>
        <w:trPr>
          <w:trHeight w:val="156"/>
        </w:trPr>
        <w:tc>
          <w:tcPr>
            <w:tcW w:w="9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920" w:type="dxa"/>
            <w:vAlign w:val="bottom"/>
            <w:tcBorders>
              <w:top w:val="single" w:sz="8" w:color="0000FF"/>
              <w:bottom w:val="single" w:sz="8" w:color="0000FF"/>
            </w:tcBorders>
            <w:gridSpan w:val="8"/>
          </w:tcPr>
          <w:p>
            <w:pPr>
              <w:spacing w:after="0" w:line="156" w:lineRule="exact"/>
              <w:rPr>
                <w:rFonts w:ascii="Times New Roman" w:cs="Times New Roman" w:eastAsia="Times New Roman" w:hAnsi="Times New Roman"/>
                <w:sz w:val="18"/>
                <w:szCs w:val="18"/>
                <w:color w:val="0000FF"/>
                <w:w w:val="99"/>
              </w:rPr>
            </w:pPr>
            <w:hyperlink r:id="rId100">
              <w:r>
                <w:rPr>
                  <w:rFonts w:ascii="Times New Roman" w:cs="Times New Roman" w:eastAsia="Times New Roman" w:hAnsi="Times New Roman"/>
                  <w:sz w:val="18"/>
                  <w:szCs w:val="18"/>
                  <w:color w:val="0000FF"/>
                  <w:w w:val="99"/>
                </w:rPr>
                <w:t>reference to Exhibit 10.1 to the Company’s Current Report on Form 8-K filed on June 30, 2025)</w:t>
              </w:r>
            </w:hyperlink>
          </w:p>
        </w:tc>
        <w:tc>
          <w:tcPr>
            <w:tcW w:w="2240" w:type="dxa"/>
            <w:vAlign w:val="bottom"/>
            <w:tcBorders>
              <w:top w:val="single" w:sz="8" w:color="0000FF"/>
            </w:tcBorders>
            <w:gridSpan w:val="6"/>
          </w:tcPr>
          <w:p>
            <w:pPr>
              <w:spacing w:after="0"/>
              <w:rPr>
                <w:sz w:val="13"/>
                <w:szCs w:val="13"/>
                <w:color w:val="auto"/>
              </w:rPr>
            </w:pPr>
          </w:p>
        </w:tc>
        <w:tc>
          <w:tcPr>
            <w:tcW w:w="26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14.1</w:t>
            </w:r>
          </w:p>
        </w:tc>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9920" w:type="dxa"/>
            <w:vAlign w:val="bottom"/>
            <w:gridSpan w:val="34"/>
          </w:tcPr>
          <w:p>
            <w:pPr>
              <w:spacing w:after="0"/>
              <w:rPr>
                <w:rFonts w:ascii="Times New Roman" w:cs="Times New Roman" w:eastAsia="Times New Roman" w:hAnsi="Times New Roman"/>
                <w:sz w:val="18"/>
                <w:szCs w:val="18"/>
                <w:color w:val="0000FF"/>
              </w:rPr>
            </w:pPr>
            <w:hyperlink r:id="rId101">
              <w:r>
                <w:rPr>
                  <w:rFonts w:ascii="Times New Roman" w:cs="Times New Roman" w:eastAsia="Times New Roman" w:hAnsi="Times New Roman"/>
                  <w:sz w:val="18"/>
                  <w:szCs w:val="18"/>
                  <w:color w:val="0000FF"/>
                </w:rPr>
                <w:t>Code of Business Ethics and Conduct of Blaize Holdings, Inc. (incorporated by reference to Exhibit 14.1 to the Company’s Annual</w:t>
              </w:r>
            </w:hyperlink>
          </w:p>
        </w:tc>
      </w:tr>
      <w:tr>
        <w:trPr>
          <w:trHeight w:val="156"/>
        </w:trPr>
        <w:tc>
          <w:tcPr>
            <w:tcW w:w="9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40" w:type="dxa"/>
            <w:vAlign w:val="bottom"/>
            <w:tcBorders>
              <w:top w:val="single" w:sz="8" w:color="0000FF"/>
            </w:tcBorders>
            <w:gridSpan w:val="19"/>
          </w:tcPr>
          <w:p>
            <w:pPr>
              <w:spacing w:after="0" w:line="156" w:lineRule="exact"/>
              <w:rPr>
                <w:rFonts w:ascii="Times New Roman" w:cs="Times New Roman" w:eastAsia="Times New Roman" w:hAnsi="Times New Roman"/>
                <w:sz w:val="18"/>
                <w:szCs w:val="18"/>
                <w:color w:val="0000FF"/>
              </w:rPr>
            </w:pPr>
            <w:hyperlink r:id="rId101">
              <w:r>
                <w:rPr>
                  <w:rFonts w:ascii="Times New Roman" w:cs="Times New Roman" w:eastAsia="Times New Roman" w:hAnsi="Times New Roman"/>
                  <w:sz w:val="18"/>
                  <w:szCs w:val="18"/>
                  <w:color w:val="0000FF"/>
                </w:rPr>
                <w:t>Report on Form 10-K filed on March 24, 2026)</w:t>
              </w:r>
            </w:hyperlink>
          </w:p>
        </w:tc>
        <w:tc>
          <w:tcPr>
            <w:tcW w:w="80" w:type="dxa"/>
            <w:vAlign w:val="bottom"/>
          </w:tcPr>
          <w:p>
            <w:pPr>
              <w:spacing w:after="0"/>
              <w:rPr>
                <w:sz w:val="13"/>
                <w:szCs w:val="13"/>
                <w:color w:val="auto"/>
              </w:rPr>
            </w:pPr>
          </w:p>
        </w:tc>
        <w:tc>
          <w:tcPr>
            <w:tcW w:w="1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0" w:type="dxa"/>
            <w:vAlign w:val="bottom"/>
            <w:gridSpan w:val="3"/>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300" w:type="dxa"/>
            <w:vAlign w:val="bottom"/>
            <w:gridSpan w:val="5"/>
          </w:tcPr>
          <w:p>
            <w:pPr>
              <w:spacing w:after="0" w:line="20" w:lineRule="exact"/>
              <w:rPr>
                <w:sz w:val="1"/>
                <w:szCs w:val="1"/>
                <w:color w:val="auto"/>
              </w:rPr>
            </w:pPr>
          </w:p>
        </w:tc>
        <w:tc>
          <w:tcPr>
            <w:tcW w:w="460" w:type="dxa"/>
            <w:vAlign w:val="bottom"/>
            <w:gridSpan w:val="6"/>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19.1</w:t>
            </w:r>
          </w:p>
        </w:tc>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9920" w:type="dxa"/>
            <w:vAlign w:val="bottom"/>
            <w:gridSpan w:val="34"/>
          </w:tcPr>
          <w:p>
            <w:pPr>
              <w:spacing w:after="0"/>
              <w:rPr>
                <w:rFonts w:ascii="Times New Roman" w:cs="Times New Roman" w:eastAsia="Times New Roman" w:hAnsi="Times New Roman"/>
                <w:sz w:val="18"/>
                <w:szCs w:val="18"/>
                <w:color w:val="0000FF"/>
              </w:rPr>
            </w:pPr>
            <w:hyperlink r:id="rId102">
              <w:r>
                <w:rPr>
                  <w:rFonts w:ascii="Times New Roman" w:cs="Times New Roman" w:eastAsia="Times New Roman" w:hAnsi="Times New Roman"/>
                  <w:sz w:val="18"/>
                  <w:szCs w:val="18"/>
                  <w:color w:val="0000FF"/>
                </w:rPr>
                <w:t>Blaize Holdings Inc. Insider Trading Policy (incorporated by reference to Exhibit 19.1 to the Company’s Annual Report on Form 10-K</w:t>
              </w:r>
            </w:hyperlink>
          </w:p>
        </w:tc>
      </w:tr>
      <w:tr>
        <w:trPr>
          <w:trHeight w:val="156"/>
        </w:trPr>
        <w:tc>
          <w:tcPr>
            <w:tcW w:w="9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0" w:type="dxa"/>
            <w:vAlign w:val="bottom"/>
            <w:tcBorders>
              <w:top w:val="single" w:sz="8" w:color="0000FF"/>
              <w:bottom w:val="single" w:sz="8" w:color="0000FF"/>
            </w:tcBorders>
            <w:gridSpan w:val="3"/>
          </w:tcPr>
          <w:p>
            <w:pPr>
              <w:spacing w:after="0" w:line="156" w:lineRule="exact"/>
              <w:rPr>
                <w:rFonts w:ascii="Times New Roman" w:cs="Times New Roman" w:eastAsia="Times New Roman" w:hAnsi="Times New Roman"/>
                <w:sz w:val="18"/>
                <w:szCs w:val="18"/>
                <w:color w:val="0000FF"/>
                <w:w w:val="98"/>
              </w:rPr>
            </w:pPr>
            <w:hyperlink r:id="rId102">
              <w:r>
                <w:rPr>
                  <w:rFonts w:ascii="Times New Roman" w:cs="Times New Roman" w:eastAsia="Times New Roman" w:hAnsi="Times New Roman"/>
                  <w:sz w:val="18"/>
                  <w:szCs w:val="18"/>
                  <w:color w:val="0000FF"/>
                  <w:w w:val="98"/>
                </w:rPr>
                <w:t>filed on March 24, 2026)</w:t>
              </w:r>
            </w:hyperlink>
          </w:p>
        </w:tc>
        <w:tc>
          <w:tcPr>
            <w:tcW w:w="7920" w:type="dxa"/>
            <w:vAlign w:val="bottom"/>
            <w:tcBorders>
              <w:top w:val="single" w:sz="8" w:color="0000FF"/>
            </w:tcBorders>
            <w:gridSpan w:val="21"/>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21.1</w:t>
            </w:r>
          </w:p>
        </w:tc>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9920" w:type="dxa"/>
            <w:vAlign w:val="bottom"/>
            <w:gridSpan w:val="34"/>
          </w:tcPr>
          <w:p>
            <w:pPr>
              <w:spacing w:after="0"/>
              <w:rPr>
                <w:rFonts w:ascii="Times New Roman" w:cs="Times New Roman" w:eastAsia="Times New Roman" w:hAnsi="Times New Roman"/>
                <w:sz w:val="18"/>
                <w:szCs w:val="18"/>
                <w:color w:val="0000FF"/>
              </w:rPr>
            </w:pPr>
            <w:hyperlink r:id="rId103">
              <w:r>
                <w:rPr>
                  <w:rFonts w:ascii="Times New Roman" w:cs="Times New Roman" w:eastAsia="Times New Roman" w:hAnsi="Times New Roman"/>
                  <w:sz w:val="18"/>
                  <w:szCs w:val="18"/>
                  <w:color w:val="0000FF"/>
                </w:rPr>
                <w:t>List of Subsidiaries of Blaize Holdings, Inc. (incorporated by reference to Exhibit 21.1 to the Company’s Annual Report on Form 10-K</w:t>
              </w:r>
            </w:hyperlink>
          </w:p>
        </w:tc>
      </w:tr>
      <w:tr>
        <w:trPr>
          <w:trHeight w:val="155"/>
        </w:trPr>
        <w:tc>
          <w:tcPr>
            <w:tcW w:w="9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0" w:type="dxa"/>
            <w:vAlign w:val="bottom"/>
            <w:tcBorders>
              <w:top w:val="single" w:sz="8" w:color="0000FF"/>
              <w:bottom w:val="single" w:sz="8" w:color="0000FF"/>
            </w:tcBorders>
            <w:gridSpan w:val="3"/>
          </w:tcPr>
          <w:p>
            <w:pPr>
              <w:spacing w:after="0" w:line="156" w:lineRule="exact"/>
              <w:rPr>
                <w:rFonts w:ascii="Times New Roman" w:cs="Times New Roman" w:eastAsia="Times New Roman" w:hAnsi="Times New Roman"/>
                <w:sz w:val="18"/>
                <w:szCs w:val="18"/>
                <w:color w:val="0000FF"/>
                <w:w w:val="98"/>
              </w:rPr>
            </w:pPr>
            <w:hyperlink r:id="rId103">
              <w:r>
                <w:rPr>
                  <w:rFonts w:ascii="Times New Roman" w:cs="Times New Roman" w:eastAsia="Times New Roman" w:hAnsi="Times New Roman"/>
                  <w:sz w:val="18"/>
                  <w:szCs w:val="18"/>
                  <w:color w:val="0000FF"/>
                  <w:w w:val="98"/>
                </w:rPr>
                <w:t>filed on March 24, 2026)</w:t>
              </w:r>
            </w:hyperlink>
          </w:p>
        </w:tc>
        <w:tc>
          <w:tcPr>
            <w:tcW w:w="7980" w:type="dxa"/>
            <w:vAlign w:val="bottom"/>
            <w:tcBorders>
              <w:top w:val="single" w:sz="8" w:color="0000FF"/>
            </w:tcBorders>
            <w:gridSpan w:val="24"/>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23.1</w:t>
            </w:r>
          </w:p>
        </w:tc>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9920" w:type="dxa"/>
            <w:vAlign w:val="bottom"/>
            <w:gridSpan w:val="34"/>
          </w:tcPr>
          <w:p>
            <w:pPr>
              <w:spacing w:after="0"/>
              <w:rPr>
                <w:rFonts w:ascii="Times New Roman" w:cs="Times New Roman" w:eastAsia="Times New Roman" w:hAnsi="Times New Roman"/>
                <w:sz w:val="18"/>
                <w:szCs w:val="18"/>
                <w:color w:val="0000FF"/>
              </w:rPr>
            </w:pPr>
            <w:hyperlink r:id="rId104">
              <w:r>
                <w:rPr>
                  <w:rFonts w:ascii="Times New Roman" w:cs="Times New Roman" w:eastAsia="Times New Roman" w:hAnsi="Times New Roman"/>
                  <w:sz w:val="18"/>
                  <w:szCs w:val="18"/>
                  <w:color w:val="0000FF"/>
                </w:rPr>
                <w:t>Consent of UHY LLP, Independent Registered Public Accounting Firm (incorporated by reference to Exhibit 23.1 to the Company’s</w:t>
              </w:r>
            </w:hyperlink>
          </w:p>
        </w:tc>
      </w:tr>
      <w:tr>
        <w:trPr>
          <w:trHeight w:val="155"/>
        </w:trPr>
        <w:tc>
          <w:tcPr>
            <w:tcW w:w="9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980" w:type="dxa"/>
            <w:vAlign w:val="bottom"/>
            <w:tcBorders>
              <w:top w:val="single" w:sz="8" w:color="0000FF"/>
              <w:bottom w:val="single" w:sz="8" w:color="0000FF"/>
            </w:tcBorders>
            <w:gridSpan w:val="5"/>
          </w:tcPr>
          <w:p>
            <w:pPr>
              <w:spacing w:after="0" w:line="156" w:lineRule="exact"/>
              <w:rPr>
                <w:rFonts w:ascii="Times New Roman" w:cs="Times New Roman" w:eastAsia="Times New Roman" w:hAnsi="Times New Roman"/>
                <w:sz w:val="18"/>
                <w:szCs w:val="18"/>
                <w:color w:val="0000FF"/>
                <w:w w:val="99"/>
              </w:rPr>
            </w:pPr>
            <w:hyperlink r:id="rId104">
              <w:r>
                <w:rPr>
                  <w:rFonts w:ascii="Times New Roman" w:cs="Times New Roman" w:eastAsia="Times New Roman" w:hAnsi="Times New Roman"/>
                  <w:sz w:val="18"/>
                  <w:szCs w:val="18"/>
                  <w:color w:val="0000FF"/>
                  <w:w w:val="99"/>
                </w:rPr>
                <w:t>Annual Report on Form 10-K filed on March 24, 2026)</w:t>
              </w:r>
            </w:hyperlink>
          </w:p>
        </w:tc>
        <w:tc>
          <w:tcPr>
            <w:tcW w:w="5540" w:type="dxa"/>
            <w:vAlign w:val="bottom"/>
            <w:tcBorders>
              <w:top w:val="single" w:sz="8" w:color="0000FF"/>
            </w:tcBorders>
            <w:gridSpan w:val="15"/>
          </w:tcPr>
          <w:p>
            <w:pPr>
              <w:spacing w:after="0"/>
              <w:rPr>
                <w:sz w:val="13"/>
                <w:szCs w:val="13"/>
                <w:color w:val="auto"/>
              </w:rPr>
            </w:pPr>
          </w:p>
        </w:tc>
        <w:tc>
          <w:tcPr>
            <w:tcW w:w="180" w:type="dxa"/>
            <w:vAlign w:val="bottom"/>
            <w:gridSpan w:val="3"/>
          </w:tcPr>
          <w:p>
            <w:pPr>
              <w:spacing w:after="0"/>
              <w:rPr>
                <w:sz w:val="13"/>
                <w:szCs w:val="13"/>
                <w:color w:val="auto"/>
              </w:rPr>
            </w:pPr>
          </w:p>
        </w:tc>
        <w:tc>
          <w:tcPr>
            <w:tcW w:w="120" w:type="dxa"/>
            <w:vAlign w:val="bottom"/>
            <w:gridSpan w:val="6"/>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9920" w:type="dxa"/>
            <w:vAlign w:val="bottom"/>
            <w:gridSpan w:val="34"/>
          </w:tcPr>
          <w:p>
            <w:pPr>
              <w:spacing w:after="0"/>
              <w:rPr>
                <w:rFonts w:ascii="Times New Roman" w:cs="Times New Roman" w:eastAsia="Times New Roman" w:hAnsi="Times New Roman"/>
                <w:sz w:val="18"/>
                <w:szCs w:val="18"/>
                <w:color w:val="0000FF"/>
              </w:rPr>
            </w:pPr>
            <w:hyperlink r:id="rId105">
              <w:r>
                <w:rPr>
                  <w:rFonts w:ascii="Times New Roman" w:cs="Times New Roman" w:eastAsia="Times New Roman" w:hAnsi="Times New Roman"/>
                  <w:sz w:val="18"/>
                  <w:szCs w:val="18"/>
                  <w:color w:val="0000FF"/>
                </w:rPr>
                <w:t>Chief Executive Officer Certifications pursuant to Section 302 of the Sarbanes Oxley Act of 2002 (incorporated by reference to Exhibit</w:t>
              </w:r>
            </w:hyperlink>
          </w:p>
        </w:tc>
      </w:tr>
      <w:tr>
        <w:trPr>
          <w:trHeight w:val="155"/>
        </w:trPr>
        <w:tc>
          <w:tcPr>
            <w:tcW w:w="9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60" w:type="dxa"/>
            <w:vAlign w:val="bottom"/>
            <w:tcBorders>
              <w:top w:val="single" w:sz="8" w:color="0000FF"/>
              <w:bottom w:val="single" w:sz="8" w:color="0000FF"/>
            </w:tcBorders>
            <w:gridSpan w:val="7"/>
          </w:tcPr>
          <w:p>
            <w:pPr>
              <w:spacing w:after="0" w:line="156" w:lineRule="exact"/>
              <w:rPr>
                <w:rFonts w:ascii="Times New Roman" w:cs="Times New Roman" w:eastAsia="Times New Roman" w:hAnsi="Times New Roman"/>
                <w:sz w:val="18"/>
                <w:szCs w:val="18"/>
                <w:color w:val="0000FF"/>
                <w:w w:val="99"/>
              </w:rPr>
            </w:pPr>
            <w:hyperlink r:id="rId105">
              <w:r>
                <w:rPr>
                  <w:rFonts w:ascii="Times New Roman" w:cs="Times New Roman" w:eastAsia="Times New Roman" w:hAnsi="Times New Roman"/>
                  <w:sz w:val="18"/>
                  <w:szCs w:val="18"/>
                  <w:color w:val="0000FF"/>
                  <w:w w:val="99"/>
                </w:rPr>
                <w:t>31.</w:t>
              </w:r>
              <w:r>
                <w:rPr>
                  <w:rFonts w:ascii="Times New Roman" w:cs="Times New Roman" w:eastAsia="Times New Roman" w:hAnsi="Times New Roman"/>
                  <w:sz w:val="18"/>
                  <w:szCs w:val="18"/>
                  <w:u w:val="single" w:color="auto"/>
                  <w:color w:val="0000FF"/>
                  <w:w w:val="99"/>
                </w:rPr>
                <w:t>1</w:t>
              </w:r>
              <w:r>
                <w:rPr>
                  <w:rFonts w:ascii="Times New Roman" w:cs="Times New Roman" w:eastAsia="Times New Roman" w:hAnsi="Times New Roman"/>
                  <w:sz w:val="18"/>
                  <w:szCs w:val="18"/>
                  <w:color w:val="0000FF"/>
                  <w:w w:val="99"/>
                </w:rPr>
                <w:t xml:space="preserve"> to the Company’s Annual Report on Form 10-K filed on March 24, 2026)</w:t>
              </w:r>
            </w:hyperlink>
          </w:p>
        </w:tc>
        <w:tc>
          <w:tcPr>
            <w:tcW w:w="4160" w:type="dxa"/>
            <w:vAlign w:val="bottom"/>
            <w:tcBorders>
              <w:top w:val="single" w:sz="8" w:color="0000FF"/>
            </w:tcBorders>
            <w:gridSpan w:val="2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9920" w:type="dxa"/>
            <w:vAlign w:val="bottom"/>
            <w:gridSpan w:val="34"/>
          </w:tcPr>
          <w:p>
            <w:pPr>
              <w:spacing w:after="0"/>
              <w:rPr>
                <w:rFonts w:ascii="Times New Roman" w:cs="Times New Roman" w:eastAsia="Times New Roman" w:hAnsi="Times New Roman"/>
                <w:sz w:val="18"/>
                <w:szCs w:val="18"/>
                <w:color w:val="0000FF"/>
              </w:rPr>
            </w:pPr>
            <w:hyperlink r:id="rId106">
              <w:r>
                <w:rPr>
                  <w:rFonts w:ascii="Times New Roman" w:cs="Times New Roman" w:eastAsia="Times New Roman" w:hAnsi="Times New Roman"/>
                  <w:sz w:val="18"/>
                  <w:szCs w:val="18"/>
                  <w:color w:val="0000FF"/>
                </w:rPr>
                <w:t>Chief Financial Officer Certifications pursuant to Section 302 of the Sarbanes Oxley Act of 2002 (incorporated by reference to Exhibit</w:t>
              </w:r>
            </w:hyperlink>
          </w:p>
        </w:tc>
      </w:tr>
      <w:tr>
        <w:trPr>
          <w:trHeight w:val="156"/>
        </w:trPr>
        <w:tc>
          <w:tcPr>
            <w:tcW w:w="9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60" w:type="dxa"/>
            <w:vAlign w:val="bottom"/>
            <w:tcBorders>
              <w:top w:val="single" w:sz="8" w:color="0000FF"/>
              <w:bottom w:val="single" w:sz="8" w:color="0000FF"/>
            </w:tcBorders>
            <w:gridSpan w:val="7"/>
          </w:tcPr>
          <w:p>
            <w:pPr>
              <w:spacing w:after="0" w:line="156" w:lineRule="exact"/>
              <w:rPr>
                <w:rFonts w:ascii="Times New Roman" w:cs="Times New Roman" w:eastAsia="Times New Roman" w:hAnsi="Times New Roman"/>
                <w:sz w:val="18"/>
                <w:szCs w:val="18"/>
                <w:color w:val="0000FF"/>
                <w:w w:val="99"/>
              </w:rPr>
            </w:pPr>
            <w:hyperlink r:id="rId106">
              <w:r>
                <w:rPr>
                  <w:rFonts w:ascii="Times New Roman" w:cs="Times New Roman" w:eastAsia="Times New Roman" w:hAnsi="Times New Roman"/>
                  <w:sz w:val="18"/>
                  <w:szCs w:val="18"/>
                  <w:color w:val="0000FF"/>
                  <w:w w:val="99"/>
                </w:rPr>
                <w:t>31.</w:t>
              </w:r>
              <w:r>
                <w:rPr>
                  <w:rFonts w:ascii="Times New Roman" w:cs="Times New Roman" w:eastAsia="Times New Roman" w:hAnsi="Times New Roman"/>
                  <w:sz w:val="18"/>
                  <w:szCs w:val="18"/>
                  <w:u w:val="single" w:color="auto"/>
                  <w:color w:val="0000FF"/>
                  <w:w w:val="99"/>
                </w:rPr>
                <w:t>2</w:t>
              </w:r>
              <w:r>
                <w:rPr>
                  <w:rFonts w:ascii="Times New Roman" w:cs="Times New Roman" w:eastAsia="Times New Roman" w:hAnsi="Times New Roman"/>
                  <w:sz w:val="18"/>
                  <w:szCs w:val="18"/>
                  <w:color w:val="0000FF"/>
                  <w:w w:val="99"/>
                </w:rPr>
                <w:t xml:space="preserve"> to the Company’s Annual Report on Form 10-K filed on March 24, 2026)</w:t>
              </w:r>
            </w:hyperlink>
          </w:p>
        </w:tc>
        <w:tc>
          <w:tcPr>
            <w:tcW w:w="4040" w:type="dxa"/>
            <w:vAlign w:val="bottom"/>
            <w:tcBorders>
              <w:top w:val="single" w:sz="8" w:color="0000FF"/>
            </w:tcBorders>
            <w:gridSpan w:val="16"/>
          </w:tcPr>
          <w:p>
            <w:pPr>
              <w:spacing w:after="0"/>
              <w:rPr>
                <w:sz w:val="13"/>
                <w:szCs w:val="13"/>
                <w:color w:val="auto"/>
              </w:rPr>
            </w:pPr>
          </w:p>
        </w:tc>
        <w:tc>
          <w:tcPr>
            <w:tcW w:w="160" w:type="dxa"/>
            <w:vAlign w:val="bottom"/>
            <w:gridSpan w:val="8"/>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9920" w:type="dxa"/>
            <w:vAlign w:val="bottom"/>
            <w:gridSpan w:val="34"/>
          </w:tcPr>
          <w:p>
            <w:pPr>
              <w:spacing w:after="0"/>
              <w:rPr>
                <w:rFonts w:ascii="Times New Roman" w:cs="Times New Roman" w:eastAsia="Times New Roman" w:hAnsi="Times New Roman"/>
                <w:sz w:val="18"/>
                <w:szCs w:val="18"/>
                <w:color w:val="0000FF"/>
              </w:rPr>
            </w:pPr>
            <w:hyperlink r:id="rId107">
              <w:r>
                <w:rPr>
                  <w:rFonts w:ascii="Times New Roman" w:cs="Times New Roman" w:eastAsia="Times New Roman" w:hAnsi="Times New Roman"/>
                  <w:sz w:val="18"/>
                  <w:szCs w:val="18"/>
                  <w:color w:val="0000FF"/>
                </w:rPr>
                <w:t>Chief Executive Officer Certification pursuant to 18 U.S.C. Section 1350, as adopted pursuant to Section 906 of the Sarbanes Oxley Act</w:t>
              </w:r>
            </w:hyperlink>
          </w:p>
        </w:tc>
      </w:tr>
      <w:tr>
        <w:trPr>
          <w:trHeight w:val="155"/>
        </w:trPr>
        <w:tc>
          <w:tcPr>
            <w:tcW w:w="9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00" w:type="dxa"/>
            <w:vAlign w:val="bottom"/>
            <w:tcBorders>
              <w:top w:val="single" w:sz="8" w:color="0000FF"/>
            </w:tcBorders>
            <w:gridSpan w:val="33"/>
          </w:tcPr>
          <w:p>
            <w:pPr>
              <w:spacing w:after="0" w:line="156" w:lineRule="exact"/>
              <w:rPr>
                <w:rFonts w:ascii="Times New Roman" w:cs="Times New Roman" w:eastAsia="Times New Roman" w:hAnsi="Times New Roman"/>
                <w:sz w:val="18"/>
                <w:szCs w:val="18"/>
                <w:color w:val="0000FF"/>
              </w:rPr>
            </w:pPr>
            <w:hyperlink r:id="rId107">
              <w:r>
                <w:rPr>
                  <w:rFonts w:ascii="Times New Roman" w:cs="Times New Roman" w:eastAsia="Times New Roman" w:hAnsi="Times New Roman"/>
                  <w:sz w:val="18"/>
                  <w:szCs w:val="18"/>
                  <w:color w:val="0000FF"/>
                </w:rPr>
                <w:t>of 2002 (incorporated by reference to Exhibit 32.1 to the Company’s Annual Report on Form 10-K filed on March 24, 2026)</w:t>
              </w:r>
            </w:hyperlink>
          </w:p>
        </w:tc>
        <w:tc>
          <w:tcPr>
            <w:tcW w:w="20" w:type="dxa"/>
            <w:vAlign w:val="bottom"/>
          </w:tcPr>
          <w:p>
            <w:pPr>
              <w:spacing w:after="0"/>
              <w:rPr>
                <w:sz w:val="13"/>
                <w:szCs w:val="13"/>
                <w:color w:val="auto"/>
              </w:rPr>
            </w:pPr>
          </w:p>
        </w:tc>
      </w:tr>
      <w:tr>
        <w:trPr>
          <w:trHeight w:val="20"/>
        </w:trPr>
        <w:tc>
          <w:tcPr>
            <w:tcW w:w="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40" w:type="dxa"/>
            <w:vAlign w:val="bottom"/>
            <w:gridSpan w:val="6"/>
            <w:shd w:val="clear" w:color="auto" w:fill="0000FF"/>
          </w:tcPr>
          <w:p>
            <w:pPr>
              <w:spacing w:after="0" w:line="20" w:lineRule="exact"/>
              <w:rPr>
                <w:sz w:val="1"/>
                <w:szCs w:val="1"/>
                <w:color w:val="auto"/>
              </w:rPr>
            </w:pPr>
          </w:p>
        </w:tc>
        <w:tc>
          <w:tcPr>
            <w:tcW w:w="4120" w:type="dxa"/>
            <w:vAlign w:val="bottom"/>
            <w:gridSpan w:val="6"/>
            <w:shd w:val="clear" w:color="auto" w:fill="0000FF"/>
          </w:tcPr>
          <w:p>
            <w:pPr>
              <w:spacing w:after="0" w:line="20" w:lineRule="exact"/>
              <w:rPr>
                <w:sz w:val="1"/>
                <w:szCs w:val="1"/>
                <w:color w:val="auto"/>
              </w:rPr>
            </w:pPr>
          </w:p>
        </w:tc>
        <w:tc>
          <w:tcPr>
            <w:tcW w:w="460" w:type="dxa"/>
            <w:vAlign w:val="bottom"/>
            <w:gridSpan w:val="6"/>
          </w:tcPr>
          <w:p>
            <w:pPr>
              <w:spacing w:after="0" w:line="20" w:lineRule="exact"/>
              <w:rPr>
                <w:sz w:val="1"/>
                <w:szCs w:val="1"/>
                <w:color w:val="auto"/>
              </w:rPr>
            </w:pPr>
          </w:p>
        </w:tc>
        <w:tc>
          <w:tcPr>
            <w:tcW w:w="440" w:type="dxa"/>
            <w:vAlign w:val="bottom"/>
            <w:gridSpan w:val="1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23"/>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9920" w:type="dxa"/>
            <w:vAlign w:val="bottom"/>
            <w:gridSpan w:val="34"/>
          </w:tcPr>
          <w:p>
            <w:pPr>
              <w:spacing w:after="0"/>
              <w:rPr>
                <w:rFonts w:ascii="Times New Roman" w:cs="Times New Roman" w:eastAsia="Times New Roman" w:hAnsi="Times New Roman"/>
                <w:sz w:val="18"/>
                <w:szCs w:val="18"/>
                <w:color w:val="0000FF"/>
              </w:rPr>
            </w:pPr>
            <w:hyperlink r:id="rId108">
              <w:r>
                <w:rPr>
                  <w:rFonts w:ascii="Times New Roman" w:cs="Times New Roman" w:eastAsia="Times New Roman" w:hAnsi="Times New Roman"/>
                  <w:sz w:val="18"/>
                  <w:szCs w:val="18"/>
                  <w:color w:val="0000FF"/>
                </w:rPr>
                <w:t>Chief Financial Officer Certification pursuant to 18 U.S.C. Section 1350, as adopted pursuant to Section 906 of the Sarbanes Oxley Act</w:t>
              </w:r>
            </w:hyperlink>
          </w:p>
        </w:tc>
      </w:tr>
      <w:tr>
        <w:trPr>
          <w:trHeight w:val="156"/>
        </w:trPr>
        <w:tc>
          <w:tcPr>
            <w:tcW w:w="9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60" w:type="dxa"/>
            <w:vAlign w:val="bottom"/>
            <w:tcBorders>
              <w:top w:val="single" w:sz="8" w:color="0000FF"/>
            </w:tcBorders>
            <w:gridSpan w:val="31"/>
          </w:tcPr>
          <w:p>
            <w:pPr>
              <w:spacing w:after="0" w:line="156" w:lineRule="exact"/>
              <w:rPr>
                <w:rFonts w:ascii="Times New Roman" w:cs="Times New Roman" w:eastAsia="Times New Roman" w:hAnsi="Times New Roman"/>
                <w:sz w:val="18"/>
                <w:szCs w:val="18"/>
                <w:color w:val="0000FF"/>
              </w:rPr>
            </w:pPr>
            <w:hyperlink r:id="rId108">
              <w:r>
                <w:rPr>
                  <w:rFonts w:ascii="Times New Roman" w:cs="Times New Roman" w:eastAsia="Times New Roman" w:hAnsi="Times New Roman"/>
                  <w:sz w:val="18"/>
                  <w:szCs w:val="18"/>
                  <w:color w:val="0000FF"/>
                </w:rPr>
                <w:t>of 2002 (incorporated by reference to Exhibit 32.2 to the Company’s Annual Report on Form 10-K filed on March 24, 2026)</w:t>
              </w:r>
            </w:hyperlink>
          </w:p>
        </w:tc>
        <w:tc>
          <w:tcPr>
            <w:tcW w:w="60" w:type="dxa"/>
            <w:vAlign w:val="bottom"/>
            <w:gridSpan w:val="3"/>
          </w:tcPr>
          <w:p>
            <w:pPr>
              <w:spacing w:after="0"/>
              <w:rPr>
                <w:sz w:val="13"/>
                <w:szCs w:val="13"/>
                <w:color w:val="auto"/>
              </w:rPr>
            </w:pPr>
          </w:p>
        </w:tc>
      </w:tr>
      <w:tr>
        <w:trPr>
          <w:trHeight w:val="20"/>
        </w:trPr>
        <w:tc>
          <w:tcPr>
            <w:tcW w:w="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40" w:type="dxa"/>
            <w:vAlign w:val="bottom"/>
            <w:gridSpan w:val="6"/>
            <w:shd w:val="clear" w:color="auto" w:fill="0000FF"/>
          </w:tcPr>
          <w:p>
            <w:pPr>
              <w:spacing w:after="0" w:line="20" w:lineRule="exact"/>
              <w:rPr>
                <w:sz w:val="1"/>
                <w:szCs w:val="1"/>
                <w:color w:val="auto"/>
              </w:rPr>
            </w:pPr>
          </w:p>
        </w:tc>
        <w:tc>
          <w:tcPr>
            <w:tcW w:w="4120" w:type="dxa"/>
            <w:vAlign w:val="bottom"/>
            <w:gridSpan w:val="6"/>
            <w:shd w:val="clear" w:color="auto" w:fill="0000FF"/>
          </w:tcPr>
          <w:p>
            <w:pPr>
              <w:spacing w:after="0" w:line="20" w:lineRule="exact"/>
              <w:rPr>
                <w:sz w:val="1"/>
                <w:szCs w:val="1"/>
                <w:color w:val="auto"/>
              </w:rPr>
            </w:pPr>
          </w:p>
        </w:tc>
        <w:tc>
          <w:tcPr>
            <w:tcW w:w="460" w:type="dxa"/>
            <w:vAlign w:val="bottom"/>
            <w:gridSpan w:val="6"/>
          </w:tcPr>
          <w:p>
            <w:pPr>
              <w:spacing w:after="0" w:line="20" w:lineRule="exact"/>
              <w:rPr>
                <w:sz w:val="1"/>
                <w:szCs w:val="1"/>
                <w:color w:val="auto"/>
              </w:rPr>
            </w:pPr>
          </w:p>
        </w:tc>
        <w:tc>
          <w:tcPr>
            <w:tcW w:w="500" w:type="dxa"/>
            <w:vAlign w:val="bottom"/>
            <w:gridSpan w:val="16"/>
          </w:tcPr>
          <w:p>
            <w:pPr>
              <w:spacing w:after="0" w:line="20" w:lineRule="exact"/>
              <w:rPr>
                <w:sz w:val="1"/>
                <w:szCs w:val="1"/>
                <w:color w:val="auto"/>
              </w:rPr>
            </w:pPr>
          </w:p>
        </w:tc>
      </w:tr>
      <w:tr>
        <w:trPr>
          <w:trHeight w:val="223"/>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97.1</w:t>
            </w:r>
          </w:p>
        </w:tc>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9920" w:type="dxa"/>
            <w:vAlign w:val="bottom"/>
            <w:gridSpan w:val="34"/>
          </w:tcPr>
          <w:p>
            <w:pPr>
              <w:spacing w:after="0"/>
              <w:rPr>
                <w:rFonts w:ascii="Times New Roman" w:cs="Times New Roman" w:eastAsia="Times New Roman" w:hAnsi="Times New Roman"/>
                <w:sz w:val="18"/>
                <w:szCs w:val="18"/>
                <w:color w:val="0000FF"/>
              </w:rPr>
            </w:pPr>
            <w:hyperlink r:id="rId109">
              <w:r>
                <w:rPr>
                  <w:rFonts w:ascii="Times New Roman" w:cs="Times New Roman" w:eastAsia="Times New Roman" w:hAnsi="Times New Roman"/>
                  <w:sz w:val="18"/>
                  <w:szCs w:val="18"/>
                  <w:color w:val="0000FF"/>
                </w:rPr>
                <w:t>Blaize Holdings. Inc. Policy for Recovery of Erroneously Awarded Compensation (incorporated by reference to Exhibit 97.1 to the</w:t>
              </w:r>
            </w:hyperlink>
          </w:p>
        </w:tc>
      </w:tr>
      <w:tr>
        <w:trPr>
          <w:trHeight w:val="156"/>
        </w:trPr>
        <w:tc>
          <w:tcPr>
            <w:tcW w:w="9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20" w:type="dxa"/>
            <w:vAlign w:val="bottom"/>
            <w:tcBorders>
              <w:top w:val="single" w:sz="8" w:color="0000FF"/>
            </w:tcBorders>
            <w:gridSpan w:val="18"/>
          </w:tcPr>
          <w:p>
            <w:pPr>
              <w:spacing w:after="0" w:line="156" w:lineRule="exact"/>
              <w:rPr>
                <w:rFonts w:ascii="Times New Roman" w:cs="Times New Roman" w:eastAsia="Times New Roman" w:hAnsi="Times New Roman"/>
                <w:sz w:val="18"/>
                <w:szCs w:val="18"/>
                <w:color w:val="0000FF"/>
              </w:rPr>
            </w:pPr>
            <w:hyperlink r:id="rId109">
              <w:r>
                <w:rPr>
                  <w:rFonts w:ascii="Times New Roman" w:cs="Times New Roman" w:eastAsia="Times New Roman" w:hAnsi="Times New Roman"/>
                  <w:sz w:val="18"/>
                  <w:szCs w:val="18"/>
                  <w:color w:val="0000FF"/>
                </w:rPr>
                <w:t>Company’s Annual Report on Form 10-K filed on March 24, 2026)</w:t>
              </w:r>
            </w:hyperlink>
          </w:p>
        </w:tc>
        <w:tc>
          <w:tcPr>
            <w:tcW w:w="500" w:type="dxa"/>
            <w:vAlign w:val="bottom"/>
            <w:gridSpan w:val="16"/>
          </w:tcPr>
          <w:p>
            <w:pPr>
              <w:spacing w:after="0"/>
              <w:rPr>
                <w:sz w:val="13"/>
                <w:szCs w:val="13"/>
                <w:color w:val="auto"/>
              </w:rPr>
            </w:pPr>
          </w:p>
        </w:tc>
      </w:tr>
      <w:tr>
        <w:trPr>
          <w:trHeight w:val="259"/>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4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84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auto"/>
              </w:rPr>
              <w:t>Definition Linkbase Document</w:t>
            </w:r>
          </w:p>
        </w:tc>
        <w:tc>
          <w:tcPr>
            <w:tcW w:w="5080" w:type="dxa"/>
            <w:vAlign w:val="bottom"/>
            <w:gridSpan w:val="28"/>
          </w:tcPr>
          <w:p>
            <w:pPr>
              <w:spacing w:after="0"/>
              <w:rPr>
                <w:sz w:val="22"/>
                <w:szCs w:val="22"/>
                <w:color w:val="auto"/>
              </w:rPr>
            </w:pPr>
          </w:p>
        </w:tc>
      </w:tr>
      <w:tr>
        <w:trPr>
          <w:trHeight w:val="230"/>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920" w:type="dxa"/>
            <w:vAlign w:val="bottom"/>
            <w:gridSpan w:val="34"/>
          </w:tcPr>
          <w:p>
            <w:pPr>
              <w:spacing w:after="0"/>
              <w:rPr>
                <w:sz w:val="20"/>
                <w:szCs w:val="20"/>
                <w:color w:val="auto"/>
              </w:rPr>
            </w:pPr>
            <w:r>
              <w:rPr>
                <w:rFonts w:ascii="Times New Roman" w:cs="Times New Roman" w:eastAsia="Times New Roman" w:hAnsi="Times New Roman"/>
                <w:sz w:val="18"/>
                <w:szCs w:val="18"/>
                <w:color w:val="auto"/>
              </w:rPr>
              <w:t>Presentation Linkbase Document</w:t>
            </w:r>
          </w:p>
        </w:tc>
      </w:tr>
      <w:tr>
        <w:trPr>
          <w:trHeight w:val="230"/>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920" w:type="dxa"/>
            <w:vAlign w:val="bottom"/>
            <w:gridSpan w:val="34"/>
          </w:tcPr>
          <w:p>
            <w:pPr>
              <w:spacing w:after="0"/>
              <w:rPr>
                <w:sz w:val="20"/>
                <w:szCs w:val="20"/>
                <w:color w:val="auto"/>
              </w:rPr>
            </w:pPr>
            <w:r>
              <w:rPr>
                <w:rFonts w:ascii="Times New Roman" w:cs="Times New Roman" w:eastAsia="Times New Roman" w:hAnsi="Times New Roman"/>
                <w:sz w:val="18"/>
                <w:szCs w:val="18"/>
                <w:color w:val="auto"/>
              </w:rPr>
              <w:t>Labels Linkbase Document</w:t>
            </w:r>
          </w:p>
        </w:tc>
      </w:tr>
      <w:tr>
        <w:trPr>
          <w:trHeight w:val="234"/>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920" w:type="dxa"/>
            <w:vAlign w:val="bottom"/>
            <w:gridSpan w:val="34"/>
          </w:tcPr>
          <w:p>
            <w:pPr>
              <w:spacing w:after="0"/>
              <w:rPr>
                <w:sz w:val="20"/>
                <w:szCs w:val="20"/>
                <w:color w:val="auto"/>
              </w:rPr>
            </w:pPr>
            <w:r>
              <w:rPr>
                <w:rFonts w:ascii="Times New Roman" w:cs="Times New Roman" w:eastAsia="Times New Roman" w:hAnsi="Times New Roman"/>
                <w:sz w:val="18"/>
                <w:szCs w:val="18"/>
                <w:color w:val="auto"/>
              </w:rPr>
              <w:t>Calculation Linkbase Document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ectPr>
          <w:pgSz w:w="11900" w:h="16838" w:orient="portrait"/>
          <w:cols w:equalWidth="0" w:num="1">
            <w:col w:w="11240"/>
          </w:cols>
          <w:pgMar w:left="320" w:top="1440" w:right="339" w:bottom="1440" w:gutter="0" w:footer="0" w:header="0"/>
        </w:sectPr>
      </w:pPr>
    </w:p>
    <w:bookmarkStart w:id="106" w:name="page107"/>
    <w:bookmarkEnd w:id="106"/>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3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18"/>
        </w:trPr>
        <w:tc>
          <w:tcPr>
            <w:tcW w:w="9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420" w:type="dxa"/>
            <w:vAlign w:val="bottom"/>
          </w:tcPr>
          <w:p>
            <w:pPr>
              <w:spacing w:after="0"/>
              <w:rPr>
                <w:sz w:val="18"/>
                <w:szCs w:val="18"/>
                <w:color w:val="auto"/>
              </w:rPr>
            </w:pPr>
          </w:p>
        </w:tc>
        <w:tc>
          <w:tcPr>
            <w:tcW w:w="98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Schema Document</w:t>
            </w:r>
          </w:p>
        </w:tc>
      </w:tr>
      <w:tr>
        <w:trPr>
          <w:trHeight w:val="180"/>
        </w:trPr>
        <w:tc>
          <w:tcPr>
            <w:tcW w:w="138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101.Ins</w:t>
            </w:r>
          </w:p>
        </w:tc>
        <w:tc>
          <w:tcPr>
            <w:tcW w:w="986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Instance Document - the instance document does not appear in the Interactive Data File because its XBRL tags are embedded within the</w:t>
            </w:r>
          </w:p>
        </w:tc>
      </w:tr>
      <w:tr>
        <w:trPr>
          <w:trHeight w:val="234"/>
        </w:trPr>
        <w:tc>
          <w:tcPr>
            <w:tcW w:w="9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860" w:type="dxa"/>
            <w:vAlign w:val="bottom"/>
          </w:tcPr>
          <w:p>
            <w:pPr>
              <w:spacing w:after="0"/>
              <w:rPr>
                <w:sz w:val="20"/>
                <w:szCs w:val="20"/>
                <w:color w:val="auto"/>
              </w:rPr>
            </w:pPr>
            <w:r>
              <w:rPr>
                <w:rFonts w:ascii="Times New Roman" w:cs="Times New Roman" w:eastAsia="Times New Roman" w:hAnsi="Times New Roman"/>
                <w:sz w:val="18"/>
                <w:szCs w:val="18"/>
                <w:color w:val="auto"/>
              </w:rPr>
              <w:t>Inline XBRL document</w:t>
            </w:r>
          </w:p>
        </w:tc>
      </w:tr>
      <w:tr>
        <w:trPr>
          <w:trHeight w:val="238"/>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420" w:type="dxa"/>
            <w:vAlign w:val="bottom"/>
          </w:tcPr>
          <w:p>
            <w:pPr>
              <w:spacing w:after="0"/>
              <w:rPr>
                <w:sz w:val="20"/>
                <w:szCs w:val="20"/>
                <w:color w:val="auto"/>
              </w:rPr>
            </w:pPr>
          </w:p>
        </w:tc>
        <w:tc>
          <w:tcPr>
            <w:tcW w:w="9860" w:type="dxa"/>
            <w:vAlign w:val="bottom"/>
          </w:tcPr>
          <w:p>
            <w:pPr>
              <w:spacing w:after="0"/>
              <w:rPr>
                <w:sz w:val="20"/>
                <w:szCs w:val="20"/>
                <w:color w:val="auto"/>
              </w:rPr>
            </w:pPr>
            <w:r>
              <w:rPr>
                <w:rFonts w:ascii="Times New Roman" w:cs="Times New Roman" w:eastAsia="Times New Roman" w:hAnsi="Times New Roman"/>
                <w:sz w:val="18"/>
                <w:szCs w:val="18"/>
                <w:color w:val="auto"/>
              </w:rPr>
              <w:t>Cover Page Interactive Date File (formatted in Inline XBRL and contained in Exhibit 101)</w:t>
            </w:r>
          </w:p>
        </w:tc>
      </w:tr>
    </w:tbl>
    <w:p>
      <w:pPr>
        <w:spacing w:after="0" w:line="117" w:lineRule="exact"/>
        <w:rPr>
          <w:sz w:val="20"/>
          <w:szCs w:val="20"/>
          <w:color w:val="auto"/>
        </w:rPr>
      </w:pPr>
    </w:p>
    <w:p>
      <w:pPr>
        <w:ind w:left="20" w:right="1760"/>
        <w:spacing w:after="0" w:line="237" w:lineRule="auto"/>
        <w:rPr>
          <w:rFonts w:ascii="Times New Roman" w:cs="Times New Roman" w:eastAsia="Times New Roman" w:hAnsi="Times New Roman"/>
          <w:sz w:val="18"/>
          <w:szCs w:val="18"/>
          <w:u w:val="single" w:color="auto"/>
          <w:color w:val="0000FF"/>
        </w:rPr>
      </w:pPr>
      <w:hyperlink r:id="rId101">
        <w:r>
          <w:rPr>
            <w:rFonts w:ascii="Times New Roman" w:cs="Times New Roman" w:eastAsia="Times New Roman" w:hAnsi="Times New Roman"/>
            <w:sz w:val="18"/>
            <w:szCs w:val="18"/>
            <w:u w:val="single" w:color="auto"/>
            <w:color w:val="0000FF"/>
          </w:rPr>
          <w:t>Code of Business Ethics and Conduct of Blaize Holdings, Inc. (incorporated by reference to Exhibit 14.1 to the Company’s Annual</w:t>
        </w:r>
      </w:hyperlink>
      <w:r>
        <w:rPr>
          <w:rFonts w:ascii="Times New Roman" w:cs="Times New Roman" w:eastAsia="Times New Roman" w:hAnsi="Times New Roman"/>
          <w:sz w:val="18"/>
          <w:szCs w:val="18"/>
          <w:u w:val="single" w:color="auto"/>
          <w:color w:val="0000FF"/>
        </w:rPr>
        <w:t xml:space="preserve"> </w:t>
      </w:r>
      <w:hyperlink r:id="rId101">
        <w:r>
          <w:rPr>
            <w:rFonts w:ascii="Times New Roman" w:cs="Times New Roman" w:eastAsia="Times New Roman" w:hAnsi="Times New Roman"/>
            <w:sz w:val="18"/>
            <w:szCs w:val="18"/>
            <w:u w:val="single" w:color="auto"/>
            <w:color w:val="0000FF"/>
          </w:rPr>
          <w:t>Report on Form 10-K filed on March 24, 2026)</w:t>
        </w:r>
      </w:hyperlink>
    </w:p>
    <w:p>
      <w:pPr>
        <w:spacing w:after="0" w:line="10" w:lineRule="exact"/>
        <w:rPr>
          <w:sz w:val="20"/>
          <w:szCs w:val="20"/>
          <w:color w:val="auto"/>
        </w:rPr>
      </w:pPr>
    </w:p>
    <w:p>
      <w:pPr>
        <w:ind w:left="20" w:right="1500"/>
        <w:spacing w:after="0" w:line="237" w:lineRule="auto"/>
        <w:rPr>
          <w:rFonts w:ascii="Times New Roman" w:cs="Times New Roman" w:eastAsia="Times New Roman" w:hAnsi="Times New Roman"/>
          <w:sz w:val="18"/>
          <w:szCs w:val="18"/>
          <w:u w:val="single" w:color="auto"/>
          <w:color w:val="0000FF"/>
        </w:rPr>
      </w:pPr>
      <w:hyperlink r:id="rId102">
        <w:r>
          <w:rPr>
            <w:rFonts w:ascii="Times New Roman" w:cs="Times New Roman" w:eastAsia="Times New Roman" w:hAnsi="Times New Roman"/>
            <w:sz w:val="18"/>
            <w:szCs w:val="18"/>
            <w:u w:val="single" w:color="auto"/>
            <w:color w:val="0000FF"/>
          </w:rPr>
          <w:t>Blaize Holdings Inc. Insider Trading Policy (incorporated by reference to Exhibit 19.1 to the Company’s Annual Report on Form 10-K</w:t>
        </w:r>
      </w:hyperlink>
      <w:r>
        <w:rPr>
          <w:rFonts w:ascii="Times New Roman" w:cs="Times New Roman" w:eastAsia="Times New Roman" w:hAnsi="Times New Roman"/>
          <w:sz w:val="18"/>
          <w:szCs w:val="18"/>
          <w:u w:val="single" w:color="auto"/>
          <w:color w:val="0000FF"/>
        </w:rPr>
        <w:t xml:space="preserve"> </w:t>
      </w:r>
      <w:hyperlink r:id="rId102">
        <w:r>
          <w:rPr>
            <w:rFonts w:ascii="Times New Roman" w:cs="Times New Roman" w:eastAsia="Times New Roman" w:hAnsi="Times New Roman"/>
            <w:sz w:val="18"/>
            <w:szCs w:val="18"/>
            <w:u w:val="single" w:color="auto"/>
            <w:color w:val="0000FF"/>
          </w:rPr>
          <w:t>filed on March 24, 2026)</w:t>
        </w:r>
      </w:hyperlink>
    </w:p>
    <w:p>
      <w:pPr>
        <w:spacing w:after="0" w:line="10" w:lineRule="exact"/>
        <w:rPr>
          <w:sz w:val="20"/>
          <w:szCs w:val="20"/>
          <w:color w:val="auto"/>
        </w:rPr>
      </w:pPr>
    </w:p>
    <w:p>
      <w:pPr>
        <w:ind w:left="20" w:right="1480"/>
        <w:spacing w:after="0" w:line="237" w:lineRule="auto"/>
        <w:rPr>
          <w:rFonts w:ascii="Times New Roman" w:cs="Times New Roman" w:eastAsia="Times New Roman" w:hAnsi="Times New Roman"/>
          <w:sz w:val="18"/>
          <w:szCs w:val="18"/>
          <w:u w:val="single" w:color="auto"/>
          <w:color w:val="0000FF"/>
        </w:rPr>
      </w:pPr>
      <w:hyperlink r:id="rId103">
        <w:r>
          <w:rPr>
            <w:rFonts w:ascii="Times New Roman" w:cs="Times New Roman" w:eastAsia="Times New Roman" w:hAnsi="Times New Roman"/>
            <w:sz w:val="18"/>
            <w:szCs w:val="18"/>
            <w:u w:val="single" w:color="auto"/>
            <w:color w:val="0000FF"/>
          </w:rPr>
          <w:t>List of Subsidiaries of Blaize Holdings, Inc. (incorporated by reference to Exhibit 21.1 to the Company’s Annual Report on Form 10-K</w:t>
        </w:r>
      </w:hyperlink>
      <w:r>
        <w:rPr>
          <w:rFonts w:ascii="Times New Roman" w:cs="Times New Roman" w:eastAsia="Times New Roman" w:hAnsi="Times New Roman"/>
          <w:sz w:val="18"/>
          <w:szCs w:val="18"/>
          <w:u w:val="single" w:color="auto"/>
          <w:color w:val="0000FF"/>
        </w:rPr>
        <w:t xml:space="preserve"> </w:t>
      </w:r>
      <w:hyperlink r:id="rId103">
        <w:r>
          <w:rPr>
            <w:rFonts w:ascii="Times New Roman" w:cs="Times New Roman" w:eastAsia="Times New Roman" w:hAnsi="Times New Roman"/>
            <w:sz w:val="18"/>
            <w:szCs w:val="18"/>
            <w:u w:val="single" w:color="auto"/>
            <w:color w:val="0000FF"/>
          </w:rPr>
          <w:t>filed on March 24, 2026)</w:t>
        </w:r>
      </w:hyperlink>
    </w:p>
    <w:p>
      <w:pPr>
        <w:spacing w:after="0" w:line="10" w:lineRule="exact"/>
        <w:rPr>
          <w:sz w:val="20"/>
          <w:szCs w:val="20"/>
          <w:color w:val="auto"/>
        </w:rPr>
      </w:pPr>
    </w:p>
    <w:p>
      <w:pPr>
        <w:ind w:left="20" w:right="1680"/>
        <w:spacing w:after="0" w:line="237" w:lineRule="auto"/>
        <w:rPr>
          <w:rFonts w:ascii="Times New Roman" w:cs="Times New Roman" w:eastAsia="Times New Roman" w:hAnsi="Times New Roman"/>
          <w:sz w:val="18"/>
          <w:szCs w:val="18"/>
          <w:u w:val="single" w:color="auto"/>
          <w:color w:val="0000FF"/>
        </w:rPr>
      </w:pPr>
      <w:hyperlink r:id="rId104">
        <w:r>
          <w:rPr>
            <w:rFonts w:ascii="Times New Roman" w:cs="Times New Roman" w:eastAsia="Times New Roman" w:hAnsi="Times New Roman"/>
            <w:sz w:val="18"/>
            <w:szCs w:val="18"/>
            <w:u w:val="single" w:color="auto"/>
            <w:color w:val="0000FF"/>
          </w:rPr>
          <w:t>Consent of UHY LLP, Independent Registered Public Accounting Firm (incorporated by reference to Exhibit 23.1 to the Company’s</w:t>
        </w:r>
      </w:hyperlink>
      <w:r>
        <w:rPr>
          <w:rFonts w:ascii="Times New Roman" w:cs="Times New Roman" w:eastAsia="Times New Roman" w:hAnsi="Times New Roman"/>
          <w:sz w:val="18"/>
          <w:szCs w:val="18"/>
          <w:u w:val="single" w:color="auto"/>
          <w:color w:val="0000FF"/>
        </w:rPr>
        <w:t xml:space="preserve"> </w:t>
      </w:r>
      <w:hyperlink r:id="rId104">
        <w:r>
          <w:rPr>
            <w:rFonts w:ascii="Times New Roman" w:cs="Times New Roman" w:eastAsia="Times New Roman" w:hAnsi="Times New Roman"/>
            <w:sz w:val="18"/>
            <w:szCs w:val="18"/>
            <w:u w:val="single" w:color="auto"/>
            <w:color w:val="0000FF"/>
          </w:rPr>
          <w:t>Annual Report on Form 10-K filed on March 24, 2026)</w:t>
        </w:r>
      </w:hyperlink>
    </w:p>
    <w:p>
      <w:pPr>
        <w:spacing w:after="0" w:line="10" w:lineRule="exact"/>
        <w:rPr>
          <w:sz w:val="20"/>
          <w:szCs w:val="20"/>
          <w:color w:val="auto"/>
        </w:rPr>
      </w:pPr>
    </w:p>
    <w:p>
      <w:pPr>
        <w:ind w:left="20" w:right="1460"/>
        <w:spacing w:after="0" w:line="237" w:lineRule="auto"/>
        <w:rPr>
          <w:rFonts w:ascii="Times New Roman" w:cs="Times New Roman" w:eastAsia="Times New Roman" w:hAnsi="Times New Roman"/>
          <w:sz w:val="18"/>
          <w:szCs w:val="18"/>
          <w:u w:val="single" w:color="auto"/>
          <w:color w:val="0000FF"/>
        </w:rPr>
      </w:pPr>
      <w:hyperlink r:id="rId105">
        <w:r>
          <w:rPr>
            <w:rFonts w:ascii="Times New Roman" w:cs="Times New Roman" w:eastAsia="Times New Roman" w:hAnsi="Times New Roman"/>
            <w:sz w:val="18"/>
            <w:szCs w:val="18"/>
            <w:u w:val="single" w:color="auto"/>
            <w:color w:val="0000FF"/>
          </w:rPr>
          <w:t>Chief Executive Officer Certifications pursuant to Section 302 of the Sarbanes Oxley Act of 2002 (incorporated by reference to Exhibit</w:t>
        </w:r>
      </w:hyperlink>
      <w:r>
        <w:rPr>
          <w:rFonts w:ascii="Times New Roman" w:cs="Times New Roman" w:eastAsia="Times New Roman" w:hAnsi="Times New Roman"/>
          <w:sz w:val="18"/>
          <w:szCs w:val="18"/>
          <w:u w:val="single" w:color="auto"/>
          <w:color w:val="0000FF"/>
        </w:rPr>
        <w:t xml:space="preserve"> </w:t>
      </w:r>
      <w:hyperlink r:id="rId105">
        <w:r>
          <w:rPr>
            <w:rFonts w:ascii="Times New Roman" w:cs="Times New Roman" w:eastAsia="Times New Roman" w:hAnsi="Times New Roman"/>
            <w:sz w:val="18"/>
            <w:szCs w:val="18"/>
            <w:u w:val="single" w:color="auto"/>
            <w:color w:val="0000FF"/>
          </w:rPr>
          <w:t>31.1 to the Company’s Annual Report on Form 10-K filed on March 24, 2026)</w:t>
        </w:r>
      </w:hyperlink>
    </w:p>
    <w:p>
      <w:pPr>
        <w:spacing w:after="0" w:line="10" w:lineRule="exact"/>
        <w:rPr>
          <w:sz w:val="20"/>
          <w:szCs w:val="20"/>
          <w:color w:val="auto"/>
        </w:rPr>
      </w:pPr>
    </w:p>
    <w:p>
      <w:pPr>
        <w:ind w:left="20" w:right="1500"/>
        <w:spacing w:after="0" w:line="237" w:lineRule="auto"/>
        <w:rPr>
          <w:rFonts w:ascii="Times New Roman" w:cs="Times New Roman" w:eastAsia="Times New Roman" w:hAnsi="Times New Roman"/>
          <w:sz w:val="18"/>
          <w:szCs w:val="18"/>
          <w:u w:val="single" w:color="auto"/>
          <w:color w:val="0000FF"/>
        </w:rPr>
      </w:pPr>
      <w:hyperlink r:id="rId106">
        <w:r>
          <w:rPr>
            <w:rFonts w:ascii="Times New Roman" w:cs="Times New Roman" w:eastAsia="Times New Roman" w:hAnsi="Times New Roman"/>
            <w:sz w:val="18"/>
            <w:szCs w:val="18"/>
            <w:u w:val="single" w:color="auto"/>
            <w:color w:val="0000FF"/>
          </w:rPr>
          <w:t>Chief Financial Officer Certifications pursuant to Section 302 of the Sarbanes Oxley Act of 2002 (incorporated by reference to Exhibit</w:t>
        </w:r>
      </w:hyperlink>
      <w:r>
        <w:rPr>
          <w:rFonts w:ascii="Times New Roman" w:cs="Times New Roman" w:eastAsia="Times New Roman" w:hAnsi="Times New Roman"/>
          <w:sz w:val="18"/>
          <w:szCs w:val="18"/>
          <w:u w:val="single" w:color="auto"/>
          <w:color w:val="0000FF"/>
        </w:rPr>
        <w:t xml:space="preserve"> </w:t>
      </w:r>
      <w:hyperlink r:id="rId106">
        <w:r>
          <w:rPr>
            <w:rFonts w:ascii="Times New Roman" w:cs="Times New Roman" w:eastAsia="Times New Roman" w:hAnsi="Times New Roman"/>
            <w:sz w:val="18"/>
            <w:szCs w:val="18"/>
            <w:u w:val="single" w:color="auto"/>
            <w:color w:val="0000FF"/>
          </w:rPr>
          <w:t>31.2 to the Company’s Annual Report on Form 10-K filed on March 24, 2026)</w:t>
        </w:r>
      </w:hyperlink>
    </w:p>
    <w:p>
      <w:pPr>
        <w:spacing w:after="0" w:line="10" w:lineRule="exact"/>
        <w:rPr>
          <w:sz w:val="20"/>
          <w:szCs w:val="20"/>
          <w:color w:val="auto"/>
        </w:rPr>
      </w:pPr>
    </w:p>
    <w:p>
      <w:pPr>
        <w:ind w:left="20" w:right="1700"/>
        <w:spacing w:after="0" w:line="256" w:lineRule="auto"/>
        <w:rPr>
          <w:rFonts w:ascii="Times New Roman" w:cs="Times New Roman" w:eastAsia="Times New Roman" w:hAnsi="Times New Roman"/>
          <w:sz w:val="17"/>
          <w:szCs w:val="17"/>
          <w:u w:val="single" w:color="auto"/>
          <w:color w:val="0000FF"/>
        </w:rPr>
      </w:pPr>
      <w:hyperlink r:id="rId107">
        <w:r>
          <w:rPr>
            <w:rFonts w:ascii="Times New Roman" w:cs="Times New Roman" w:eastAsia="Times New Roman" w:hAnsi="Times New Roman"/>
            <w:sz w:val="17"/>
            <w:szCs w:val="17"/>
            <w:u w:val="single" w:color="auto"/>
            <w:color w:val="0000FF"/>
          </w:rPr>
          <w:t>Chief Executive Officer Certification pursuant to 18 U.S.C. Section 1350, as adopted pursuant to Section 906 of the Sarbanes Oxley</w:t>
        </w:r>
      </w:hyperlink>
      <w:r>
        <w:rPr>
          <w:rFonts w:ascii="Times New Roman" w:cs="Times New Roman" w:eastAsia="Times New Roman" w:hAnsi="Times New Roman"/>
          <w:sz w:val="17"/>
          <w:szCs w:val="17"/>
          <w:u w:val="single" w:color="auto"/>
          <w:color w:val="0000FF"/>
        </w:rPr>
        <w:t xml:space="preserve"> </w:t>
      </w:r>
      <w:hyperlink r:id="rId107">
        <w:r>
          <w:rPr>
            <w:rFonts w:ascii="Times New Roman" w:cs="Times New Roman" w:eastAsia="Times New Roman" w:hAnsi="Times New Roman"/>
            <w:sz w:val="17"/>
            <w:szCs w:val="17"/>
            <w:u w:val="single" w:color="auto"/>
            <w:color w:val="0000FF"/>
          </w:rPr>
          <w:t>Act of 2002 (incorporated by reference to Exhibit 32.1 to the Company’s Annual Report on Form 10-K filed on March 24, 2026)</w:t>
        </w:r>
      </w:hyperlink>
    </w:p>
    <w:p>
      <w:pPr>
        <w:spacing w:after="0" w:line="1" w:lineRule="exact"/>
        <w:rPr>
          <w:sz w:val="20"/>
          <w:szCs w:val="20"/>
          <w:color w:val="auto"/>
        </w:rPr>
      </w:pPr>
    </w:p>
    <w:p>
      <w:pPr>
        <w:ind w:left="20" w:right="1440"/>
        <w:spacing w:after="0" w:line="237" w:lineRule="auto"/>
        <w:rPr>
          <w:rFonts w:ascii="Times New Roman" w:cs="Times New Roman" w:eastAsia="Times New Roman" w:hAnsi="Times New Roman"/>
          <w:sz w:val="18"/>
          <w:szCs w:val="18"/>
          <w:u w:val="single" w:color="auto"/>
          <w:color w:val="0000FF"/>
        </w:rPr>
      </w:pPr>
      <w:hyperlink r:id="rId108">
        <w:r>
          <w:rPr>
            <w:rFonts w:ascii="Times New Roman" w:cs="Times New Roman" w:eastAsia="Times New Roman" w:hAnsi="Times New Roman"/>
            <w:sz w:val="18"/>
            <w:szCs w:val="18"/>
            <w:u w:val="single" w:color="auto"/>
            <w:color w:val="0000FF"/>
          </w:rPr>
          <w:t>Chief Financial Officer Certification pursuant to 18 U.S.C. Section 1350, as adopted pursuant to Section 906 of the Sarbanes Oxley Act</w:t>
        </w:r>
      </w:hyperlink>
      <w:r>
        <w:rPr>
          <w:rFonts w:ascii="Times New Roman" w:cs="Times New Roman" w:eastAsia="Times New Roman" w:hAnsi="Times New Roman"/>
          <w:sz w:val="18"/>
          <w:szCs w:val="18"/>
          <w:u w:val="single" w:color="auto"/>
          <w:color w:val="0000FF"/>
        </w:rPr>
        <w:t xml:space="preserve"> </w:t>
      </w:r>
      <w:hyperlink r:id="rId108">
        <w:r>
          <w:rPr>
            <w:rFonts w:ascii="Times New Roman" w:cs="Times New Roman" w:eastAsia="Times New Roman" w:hAnsi="Times New Roman"/>
            <w:sz w:val="18"/>
            <w:szCs w:val="18"/>
            <w:u w:val="single" w:color="auto"/>
            <w:color w:val="0000FF"/>
          </w:rPr>
          <w:t>of 2002 (incorporated by reference to Exhibit 32.2 to the Company’s Annual Report on Form 10-K filed on March 24, 2026)</w:t>
        </w:r>
      </w:hyperlink>
    </w:p>
    <w:p>
      <w:pPr>
        <w:spacing w:after="0" w:line="10" w:lineRule="exact"/>
        <w:rPr>
          <w:sz w:val="20"/>
          <w:szCs w:val="20"/>
          <w:color w:val="auto"/>
        </w:rPr>
      </w:pPr>
    </w:p>
    <w:p>
      <w:pPr>
        <w:ind w:left="20" w:right="1780"/>
        <w:spacing w:after="0" w:line="237" w:lineRule="auto"/>
        <w:rPr>
          <w:rFonts w:ascii="Times New Roman" w:cs="Times New Roman" w:eastAsia="Times New Roman" w:hAnsi="Times New Roman"/>
          <w:sz w:val="18"/>
          <w:szCs w:val="18"/>
          <w:u w:val="single" w:color="auto"/>
          <w:color w:val="0000FF"/>
        </w:rPr>
      </w:pPr>
      <w:hyperlink r:id="rId109">
        <w:r>
          <w:rPr>
            <w:rFonts w:ascii="Times New Roman" w:cs="Times New Roman" w:eastAsia="Times New Roman" w:hAnsi="Times New Roman"/>
            <w:sz w:val="18"/>
            <w:szCs w:val="18"/>
            <w:u w:val="single" w:color="auto"/>
            <w:color w:val="0000FF"/>
          </w:rPr>
          <w:t>Blaize Holdings. Inc. Policy for Recovery of Erroneously Awarded Compensation (incorporated by reference to Exhibit 97.1 to the</w:t>
        </w:r>
      </w:hyperlink>
      <w:r>
        <w:rPr>
          <w:rFonts w:ascii="Times New Roman" w:cs="Times New Roman" w:eastAsia="Times New Roman" w:hAnsi="Times New Roman"/>
          <w:sz w:val="18"/>
          <w:szCs w:val="18"/>
          <w:u w:val="single" w:color="auto"/>
          <w:color w:val="0000FF"/>
        </w:rPr>
        <w:t xml:space="preserve"> </w:t>
      </w:r>
      <w:hyperlink r:id="rId109">
        <w:r>
          <w:rPr>
            <w:rFonts w:ascii="Times New Roman" w:cs="Times New Roman" w:eastAsia="Times New Roman" w:hAnsi="Times New Roman"/>
            <w:sz w:val="18"/>
            <w:szCs w:val="18"/>
            <w:u w:val="single" w:color="auto"/>
            <w:color w:val="0000FF"/>
          </w:rPr>
          <w:t>Company’s Annual Report on Form 10-K filed on March 24, 2026)</w:t>
        </w:r>
      </w:hyperlink>
    </w:p>
    <w:p>
      <w:pPr>
        <w:spacing w:after="0" w:line="320"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Filed herewith</w:t>
      </w:r>
    </w:p>
    <w:p>
      <w:pPr>
        <w:spacing w:after="0" w:line="27" w:lineRule="exact"/>
        <w:rPr>
          <w:sz w:val="20"/>
          <w:szCs w:val="20"/>
          <w:color w:val="auto"/>
        </w:rPr>
      </w:pPr>
    </w:p>
    <w:p>
      <w:pPr>
        <w:ind w:right="300" w:firstLine="8"/>
        <w:spacing w:after="0" w:line="250" w:lineRule="auto"/>
        <w:tabs>
          <w:tab w:leader="none" w:pos="3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 is being furnished and shall not be deemed to be “filed” for purposes of Section 18 of the Securities Exchange Act of 1934, as amended, or otherwise subject to the liabilities of that section, nor shall it be deemed incorporated by reference into any filing under the Securities Act of 1933, as amended, or the Securities Exchange Act of 1934, as amended.</w:t>
      </w:r>
    </w:p>
    <w:p>
      <w:pPr>
        <w:spacing w:after="0" w:line="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Arial" w:cs="Arial" w:eastAsia="Arial" w:hAnsi="Arial"/>
          <w:sz w:val="18"/>
          <w:szCs w:val="18"/>
          <w:color w:val="auto"/>
        </w:rPr>
        <w:t xml:space="preserve">†   </w:t>
      </w:r>
      <w:r>
        <w:rPr>
          <w:rFonts w:ascii="Times New Roman" w:cs="Times New Roman" w:eastAsia="Times New Roman" w:hAnsi="Times New Roman"/>
          <w:sz w:val="18"/>
          <w:szCs w:val="18"/>
          <w:color w:val="auto"/>
        </w:rPr>
        <w:t>This document has been identified as a management contract or compensatory plan or arrangement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ectPr>
          <w:pgSz w:w="11900" w:h="16838" w:orient="portrait"/>
          <w:cols w:equalWidth="0" w:num="1">
            <w:col w:w="11240"/>
          </w:cols>
          <w:pgMar w:left="320" w:top="1440" w:right="339" w:bottom="1440" w:gutter="0" w:footer="0" w:header="0"/>
        </w:sectPr>
      </w:pPr>
    </w:p>
    <w:bookmarkStart w:id="107" w:name="page108"/>
    <w:bookmarkEnd w:id="107"/>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24, 2026</w:t>
      </w:r>
    </w:p>
    <w:p>
      <w:pPr>
        <w:spacing w:after="0" w:line="27"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234"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Dinakar Munagala</w:t>
      </w:r>
    </w:p>
    <w:p>
      <w:pPr>
        <w:spacing w:after="0" w:line="27"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Dinakar Munagala</w:t>
      </w:r>
    </w:p>
    <w:p>
      <w:pPr>
        <w:spacing w:after="0" w:line="9"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Registrant in the capacities and on the dates indicated:</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Borders>
              <w:bottom w:val="single" w:sz="8" w:color="auto"/>
            </w:tcBorders>
          </w:tcPr>
          <w:p>
            <w:pPr>
              <w:spacing w:after="0"/>
              <w:rPr>
                <w:sz w:val="20"/>
                <w:szCs w:val="20"/>
                <w:color w:val="auto"/>
              </w:rPr>
            </w:pPr>
          </w:p>
        </w:tc>
        <w:tc>
          <w:tcPr>
            <w:tcW w:w="4760" w:type="dxa"/>
            <w:vAlign w:val="bottom"/>
            <w:tcBorders>
              <w:bottom w:val="single" w:sz="8" w:color="auto"/>
            </w:tcBorders>
            <w:gridSpan w:val="8"/>
          </w:tcPr>
          <w:p>
            <w:pPr>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140" w:type="dxa"/>
            <w:vAlign w:val="bottom"/>
          </w:tcPr>
          <w:p>
            <w:pPr>
              <w:spacing w:after="0"/>
              <w:rPr>
                <w:sz w:val="20"/>
                <w:szCs w:val="20"/>
                <w:color w:val="auto"/>
              </w:rPr>
            </w:pPr>
          </w:p>
        </w:tc>
        <w:tc>
          <w:tcPr>
            <w:tcW w:w="3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140" w:type="dxa"/>
            <w:vAlign w:val="bottom"/>
          </w:tcPr>
          <w:p>
            <w:pPr>
              <w:spacing w:after="0"/>
              <w:rPr>
                <w:sz w:val="20"/>
                <w:szCs w:val="20"/>
                <w:color w:val="auto"/>
              </w:rPr>
            </w:pPr>
          </w:p>
        </w:tc>
        <w:tc>
          <w:tcPr>
            <w:tcW w:w="2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Date</w:t>
            </w:r>
          </w:p>
        </w:tc>
      </w:tr>
      <w:tr>
        <w:trPr>
          <w:trHeight w:val="439"/>
        </w:trPr>
        <w:tc>
          <w:tcPr>
            <w:tcW w:w="20" w:type="dxa"/>
            <w:vAlign w:val="bottom"/>
          </w:tcPr>
          <w:p>
            <w:pPr>
              <w:spacing w:after="0"/>
              <w:rPr>
                <w:sz w:val="24"/>
                <w:szCs w:val="24"/>
                <w:color w:val="auto"/>
              </w:rPr>
            </w:pPr>
          </w:p>
        </w:tc>
        <w:tc>
          <w:tcPr>
            <w:tcW w:w="49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/s/ Dinakar Munagala</w:t>
            </w:r>
          </w:p>
        </w:tc>
        <w:tc>
          <w:tcPr>
            <w:tcW w:w="4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2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24, 2026</w:t>
            </w:r>
          </w:p>
        </w:tc>
      </w:tr>
      <w:tr>
        <w:trPr>
          <w:trHeight w:val="250"/>
        </w:trPr>
        <w:tc>
          <w:tcPr>
            <w:tcW w:w="20" w:type="dxa"/>
            <w:vAlign w:val="bottom"/>
          </w:tcPr>
          <w:p>
            <w:pPr>
              <w:spacing w:after="0"/>
              <w:rPr>
                <w:sz w:val="21"/>
                <w:szCs w:val="21"/>
                <w:color w:val="auto"/>
              </w:rPr>
            </w:pPr>
          </w:p>
        </w:tc>
        <w:tc>
          <w:tcPr>
            <w:tcW w:w="1560" w:type="dxa"/>
            <w:vAlign w:val="bottom"/>
            <w:tcBorders>
              <w:top w:val="single" w:sz="8" w:color="auto"/>
            </w:tcBorders>
            <w:gridSpan w:val="6"/>
          </w:tcPr>
          <w:p>
            <w:pPr>
              <w:spacing w:after="0"/>
              <w:rPr>
                <w:sz w:val="20"/>
                <w:szCs w:val="20"/>
                <w:color w:val="auto"/>
              </w:rPr>
            </w:pPr>
            <w:r>
              <w:rPr>
                <w:rFonts w:ascii="Times New Roman" w:cs="Times New Roman" w:eastAsia="Times New Roman" w:hAnsi="Times New Roman"/>
                <w:sz w:val="18"/>
                <w:szCs w:val="18"/>
                <w:color w:val="auto"/>
              </w:rPr>
              <w:t>Dinakar Munagala</w:t>
            </w:r>
          </w:p>
        </w:tc>
        <w:tc>
          <w:tcPr>
            <w:tcW w:w="3340" w:type="dxa"/>
            <w:vAlign w:val="bottom"/>
            <w:gridSpan w:val="3"/>
          </w:tcPr>
          <w:p>
            <w:pPr>
              <w:spacing w:after="0"/>
              <w:rPr>
                <w:sz w:val="21"/>
                <w:szCs w:val="21"/>
                <w:color w:val="auto"/>
              </w:rPr>
            </w:pPr>
          </w:p>
        </w:tc>
        <w:tc>
          <w:tcPr>
            <w:tcW w:w="4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2240" w:type="dxa"/>
            <w:vAlign w:val="bottom"/>
          </w:tcPr>
          <w:p>
            <w:pPr>
              <w:spacing w:after="0"/>
              <w:rPr>
                <w:sz w:val="21"/>
                <w:szCs w:val="21"/>
                <w:color w:val="auto"/>
              </w:rPr>
            </w:pPr>
          </w:p>
        </w:tc>
      </w:tr>
      <w:tr>
        <w:trPr>
          <w:trHeight w:val="459"/>
        </w:trPr>
        <w:tc>
          <w:tcPr>
            <w:tcW w:w="20" w:type="dxa"/>
            <w:vAlign w:val="bottom"/>
          </w:tcPr>
          <w:p>
            <w:pPr>
              <w:spacing w:after="0"/>
              <w:rPr>
                <w:sz w:val="24"/>
                <w:szCs w:val="24"/>
                <w:color w:val="auto"/>
              </w:rPr>
            </w:pPr>
          </w:p>
        </w:tc>
        <w:tc>
          <w:tcPr>
            <w:tcW w:w="49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/s/ Harminder Sehmi</w:t>
            </w:r>
          </w:p>
        </w:tc>
        <w:tc>
          <w:tcPr>
            <w:tcW w:w="4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c>
          <w:tcPr>
            <w:tcW w:w="2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24, 2026</w:t>
            </w:r>
          </w:p>
        </w:tc>
      </w:tr>
      <w:tr>
        <w:trPr>
          <w:trHeight w:val="250"/>
        </w:trPr>
        <w:tc>
          <w:tcPr>
            <w:tcW w:w="20" w:type="dxa"/>
            <w:vAlign w:val="bottom"/>
          </w:tcPr>
          <w:p>
            <w:pPr>
              <w:spacing w:after="0"/>
              <w:rPr>
                <w:sz w:val="21"/>
                <w:szCs w:val="21"/>
                <w:color w:val="auto"/>
              </w:rPr>
            </w:pPr>
          </w:p>
        </w:tc>
        <w:tc>
          <w:tcPr>
            <w:tcW w:w="150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Harminder Sehmi</w:t>
            </w:r>
          </w:p>
        </w:tc>
        <w:tc>
          <w:tcPr>
            <w:tcW w:w="3400" w:type="dxa"/>
            <w:vAlign w:val="bottom"/>
            <w:gridSpan w:val="6"/>
          </w:tcPr>
          <w:p>
            <w:pPr>
              <w:spacing w:after="0"/>
              <w:rPr>
                <w:sz w:val="21"/>
                <w:szCs w:val="21"/>
                <w:color w:val="auto"/>
              </w:rPr>
            </w:pPr>
          </w:p>
        </w:tc>
        <w:tc>
          <w:tcPr>
            <w:tcW w:w="63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tc>
      </w:tr>
      <w:tr>
        <w:trPr>
          <w:trHeight w:val="459"/>
        </w:trPr>
        <w:tc>
          <w:tcPr>
            <w:tcW w:w="20" w:type="dxa"/>
            <w:vAlign w:val="bottom"/>
          </w:tcPr>
          <w:p>
            <w:pPr>
              <w:spacing w:after="0"/>
              <w:rPr>
                <w:sz w:val="24"/>
                <w:szCs w:val="24"/>
                <w:color w:val="auto"/>
              </w:rPr>
            </w:pPr>
          </w:p>
        </w:tc>
        <w:tc>
          <w:tcPr>
            <w:tcW w:w="1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/s/ Lane M. Bess</w:t>
            </w:r>
          </w:p>
        </w:tc>
        <w:tc>
          <w:tcPr>
            <w:tcW w:w="3680" w:type="dxa"/>
            <w:vAlign w:val="bottom"/>
            <w:gridSpan w:val="8"/>
          </w:tcPr>
          <w:p>
            <w:pPr>
              <w:spacing w:after="0"/>
              <w:rPr>
                <w:sz w:val="24"/>
                <w:szCs w:val="24"/>
                <w:color w:val="auto"/>
              </w:rPr>
            </w:pPr>
          </w:p>
        </w:tc>
        <w:tc>
          <w:tcPr>
            <w:tcW w:w="4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24, 2026</w:t>
            </w:r>
          </w:p>
        </w:tc>
      </w:tr>
      <w:tr>
        <w:trPr>
          <w:trHeight w:val="250"/>
        </w:trPr>
        <w:tc>
          <w:tcPr>
            <w:tcW w:w="20" w:type="dxa"/>
            <w:vAlign w:val="bottom"/>
          </w:tcPr>
          <w:p>
            <w:pPr>
              <w:spacing w:after="0"/>
              <w:rPr>
                <w:sz w:val="21"/>
                <w:szCs w:val="21"/>
                <w:color w:val="auto"/>
              </w:rPr>
            </w:pPr>
          </w:p>
        </w:tc>
        <w:tc>
          <w:tcPr>
            <w:tcW w:w="49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Lane M. Bess</w:t>
            </w:r>
          </w:p>
        </w:tc>
        <w:tc>
          <w:tcPr>
            <w:tcW w:w="39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40" w:type="dxa"/>
            <w:vAlign w:val="bottom"/>
          </w:tcPr>
          <w:p>
            <w:pPr>
              <w:spacing w:after="0"/>
              <w:rPr>
                <w:sz w:val="21"/>
                <w:szCs w:val="21"/>
                <w:color w:val="auto"/>
              </w:rPr>
            </w:pPr>
          </w:p>
        </w:tc>
      </w:tr>
      <w:tr>
        <w:trPr>
          <w:trHeight w:val="459"/>
        </w:trPr>
        <w:tc>
          <w:tcPr>
            <w:tcW w:w="20" w:type="dxa"/>
            <w:vAlign w:val="bottom"/>
          </w:tcPr>
          <w:p>
            <w:pPr>
              <w:spacing w:after="0"/>
              <w:rPr>
                <w:sz w:val="24"/>
                <w:szCs w:val="24"/>
                <w:color w:val="auto"/>
              </w:rPr>
            </w:pPr>
          </w:p>
        </w:tc>
        <w:tc>
          <w:tcPr>
            <w:tcW w:w="1620" w:type="dxa"/>
            <w:vAlign w:val="bottom"/>
            <w:tcBorders>
              <w:bottom w:val="single" w:sz="8" w:color="auto"/>
            </w:tcBorders>
            <w:gridSpan w:val="7"/>
          </w:tcPr>
          <w:p>
            <w:pPr>
              <w:spacing w:after="0"/>
              <w:rPr>
                <w:sz w:val="20"/>
                <w:szCs w:val="20"/>
                <w:color w:val="auto"/>
              </w:rPr>
            </w:pPr>
            <w:r>
              <w:rPr>
                <w:rFonts w:ascii="Times New Roman" w:cs="Times New Roman" w:eastAsia="Times New Roman" w:hAnsi="Times New Roman"/>
                <w:sz w:val="18"/>
                <w:szCs w:val="18"/>
                <w:color w:val="auto"/>
                <w:w w:val="99"/>
              </w:rPr>
              <w:t>/s/ Anthony Cannestra</w:t>
            </w:r>
          </w:p>
        </w:tc>
        <w:tc>
          <w:tcPr>
            <w:tcW w:w="3280" w:type="dxa"/>
            <w:vAlign w:val="bottom"/>
            <w:gridSpan w:val="2"/>
          </w:tcPr>
          <w:p>
            <w:pPr>
              <w:spacing w:after="0"/>
              <w:rPr>
                <w:sz w:val="24"/>
                <w:szCs w:val="24"/>
                <w:color w:val="auto"/>
              </w:rPr>
            </w:pPr>
          </w:p>
        </w:tc>
        <w:tc>
          <w:tcPr>
            <w:tcW w:w="4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24, 2026</w:t>
            </w:r>
          </w:p>
        </w:tc>
      </w:tr>
      <w:tr>
        <w:trPr>
          <w:trHeight w:val="250"/>
        </w:trPr>
        <w:tc>
          <w:tcPr>
            <w:tcW w:w="20" w:type="dxa"/>
            <w:vAlign w:val="bottom"/>
          </w:tcPr>
          <w:p>
            <w:pPr>
              <w:spacing w:after="0"/>
              <w:rPr>
                <w:sz w:val="21"/>
                <w:szCs w:val="21"/>
                <w:color w:val="auto"/>
              </w:rPr>
            </w:pPr>
          </w:p>
        </w:tc>
        <w:tc>
          <w:tcPr>
            <w:tcW w:w="49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Anthony Cannestra</w:t>
            </w:r>
          </w:p>
        </w:tc>
        <w:tc>
          <w:tcPr>
            <w:tcW w:w="39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40" w:type="dxa"/>
            <w:vAlign w:val="bottom"/>
          </w:tcPr>
          <w:p>
            <w:pPr>
              <w:spacing w:after="0"/>
              <w:rPr>
                <w:sz w:val="21"/>
                <w:szCs w:val="21"/>
                <w:color w:val="auto"/>
              </w:rPr>
            </w:pPr>
          </w:p>
        </w:tc>
      </w:tr>
      <w:tr>
        <w:trPr>
          <w:trHeight w:val="459"/>
        </w:trPr>
        <w:tc>
          <w:tcPr>
            <w:tcW w:w="20" w:type="dxa"/>
            <w:vAlign w:val="bottom"/>
          </w:tcPr>
          <w:p>
            <w:pPr>
              <w:spacing w:after="0"/>
              <w:rPr>
                <w:sz w:val="24"/>
                <w:szCs w:val="24"/>
                <w:color w:val="auto"/>
              </w:rPr>
            </w:pPr>
          </w:p>
        </w:tc>
        <w:tc>
          <w:tcPr>
            <w:tcW w:w="49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/s/ Edward Frank</w:t>
            </w:r>
          </w:p>
        </w:tc>
        <w:tc>
          <w:tcPr>
            <w:tcW w:w="4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24, 2026</w:t>
            </w:r>
          </w:p>
        </w:tc>
      </w:tr>
      <w:tr>
        <w:trPr>
          <w:trHeight w:val="250"/>
        </w:trPr>
        <w:tc>
          <w:tcPr>
            <w:tcW w:w="20" w:type="dxa"/>
            <w:vAlign w:val="bottom"/>
          </w:tcPr>
          <w:p>
            <w:pPr>
              <w:spacing w:after="0"/>
              <w:rPr>
                <w:sz w:val="21"/>
                <w:szCs w:val="21"/>
                <w:color w:val="auto"/>
              </w:rPr>
            </w:pPr>
          </w:p>
        </w:tc>
        <w:tc>
          <w:tcPr>
            <w:tcW w:w="12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Edward Frank</w:t>
            </w:r>
          </w:p>
        </w:tc>
        <w:tc>
          <w:tcPr>
            <w:tcW w:w="3660" w:type="dxa"/>
            <w:vAlign w:val="bottom"/>
            <w:gridSpan w:val="7"/>
          </w:tcPr>
          <w:p>
            <w:pPr>
              <w:spacing w:after="0"/>
              <w:rPr>
                <w:sz w:val="21"/>
                <w:szCs w:val="21"/>
                <w:color w:val="auto"/>
              </w:rPr>
            </w:pPr>
          </w:p>
        </w:tc>
        <w:tc>
          <w:tcPr>
            <w:tcW w:w="39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40" w:type="dxa"/>
            <w:vAlign w:val="bottom"/>
          </w:tcPr>
          <w:p>
            <w:pPr>
              <w:spacing w:after="0"/>
              <w:rPr>
                <w:sz w:val="21"/>
                <w:szCs w:val="21"/>
                <w:color w:val="auto"/>
              </w:rPr>
            </w:pPr>
          </w:p>
        </w:tc>
      </w:tr>
      <w:tr>
        <w:trPr>
          <w:trHeight w:val="459"/>
        </w:trPr>
        <w:tc>
          <w:tcPr>
            <w:tcW w:w="20" w:type="dxa"/>
            <w:vAlign w:val="bottom"/>
          </w:tcPr>
          <w:p>
            <w:pPr>
              <w:spacing w:after="0"/>
              <w:rPr>
                <w:sz w:val="24"/>
                <w:szCs w:val="24"/>
                <w:color w:val="auto"/>
              </w:rPr>
            </w:pPr>
          </w:p>
        </w:tc>
        <w:tc>
          <w:tcPr>
            <w:tcW w:w="49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/s/ Yoshiaki Fujimori</w:t>
            </w:r>
          </w:p>
        </w:tc>
        <w:tc>
          <w:tcPr>
            <w:tcW w:w="4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24, 2026</w:t>
            </w:r>
          </w:p>
        </w:tc>
      </w:tr>
      <w:tr>
        <w:trPr>
          <w:trHeight w:val="250"/>
        </w:trPr>
        <w:tc>
          <w:tcPr>
            <w:tcW w:w="20" w:type="dxa"/>
            <w:vAlign w:val="bottom"/>
          </w:tcPr>
          <w:p>
            <w:pPr>
              <w:spacing w:after="0"/>
              <w:rPr>
                <w:sz w:val="21"/>
                <w:szCs w:val="21"/>
                <w:color w:val="auto"/>
              </w:rPr>
            </w:pPr>
          </w:p>
        </w:tc>
        <w:tc>
          <w:tcPr>
            <w:tcW w:w="1520" w:type="dxa"/>
            <w:vAlign w:val="bottom"/>
            <w:tcBorders>
              <w:top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Yoshiaki Fujimori</w:t>
            </w:r>
          </w:p>
        </w:tc>
        <w:tc>
          <w:tcPr>
            <w:tcW w:w="3380" w:type="dxa"/>
            <w:vAlign w:val="bottom"/>
            <w:gridSpan w:val="5"/>
          </w:tcPr>
          <w:p>
            <w:pPr>
              <w:spacing w:after="0"/>
              <w:rPr>
                <w:sz w:val="21"/>
                <w:szCs w:val="21"/>
                <w:color w:val="auto"/>
              </w:rPr>
            </w:pPr>
          </w:p>
        </w:tc>
        <w:tc>
          <w:tcPr>
            <w:tcW w:w="39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40" w:type="dxa"/>
            <w:vAlign w:val="bottom"/>
          </w:tcPr>
          <w:p>
            <w:pPr>
              <w:spacing w:after="0"/>
              <w:rPr>
                <w:sz w:val="21"/>
                <w:szCs w:val="21"/>
                <w:color w:val="auto"/>
              </w:rPr>
            </w:pPr>
          </w:p>
        </w:tc>
      </w:tr>
      <w:tr>
        <w:trPr>
          <w:trHeight w:val="459"/>
        </w:trPr>
        <w:tc>
          <w:tcPr>
            <w:tcW w:w="20" w:type="dxa"/>
            <w:vAlign w:val="bottom"/>
          </w:tcPr>
          <w:p>
            <w:pPr>
              <w:spacing w:after="0"/>
              <w:rPr>
                <w:sz w:val="24"/>
                <w:szCs w:val="24"/>
                <w:color w:val="auto"/>
              </w:rPr>
            </w:pPr>
          </w:p>
        </w:tc>
        <w:tc>
          <w:tcPr>
            <w:tcW w:w="49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/s/ Juergen Hambrecht</w:t>
            </w:r>
          </w:p>
        </w:tc>
        <w:tc>
          <w:tcPr>
            <w:tcW w:w="4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24, 2026</w:t>
            </w:r>
          </w:p>
        </w:tc>
      </w:tr>
      <w:tr>
        <w:trPr>
          <w:trHeight w:val="250"/>
        </w:trPr>
        <w:tc>
          <w:tcPr>
            <w:tcW w:w="20" w:type="dxa"/>
            <w:vAlign w:val="bottom"/>
          </w:tcPr>
          <w:p>
            <w:pPr>
              <w:spacing w:after="0"/>
              <w:rPr>
                <w:sz w:val="21"/>
                <w:szCs w:val="21"/>
                <w:color w:val="auto"/>
              </w:rPr>
            </w:pPr>
          </w:p>
        </w:tc>
        <w:tc>
          <w:tcPr>
            <w:tcW w:w="1620" w:type="dxa"/>
            <w:vAlign w:val="bottom"/>
            <w:tcBorders>
              <w:top w:val="single" w:sz="8" w:color="auto"/>
            </w:tcBorders>
            <w:gridSpan w:val="7"/>
          </w:tcPr>
          <w:p>
            <w:pPr>
              <w:spacing w:after="0"/>
              <w:rPr>
                <w:sz w:val="20"/>
                <w:szCs w:val="20"/>
                <w:color w:val="auto"/>
              </w:rPr>
            </w:pPr>
            <w:r>
              <w:rPr>
                <w:rFonts w:ascii="Times New Roman" w:cs="Times New Roman" w:eastAsia="Times New Roman" w:hAnsi="Times New Roman"/>
                <w:sz w:val="18"/>
                <w:szCs w:val="18"/>
                <w:color w:val="auto"/>
              </w:rPr>
              <w:t>Juergen Hambrecht</w:t>
            </w:r>
          </w:p>
        </w:tc>
        <w:tc>
          <w:tcPr>
            <w:tcW w:w="3280" w:type="dxa"/>
            <w:vAlign w:val="bottom"/>
            <w:gridSpan w:val="2"/>
          </w:tcPr>
          <w:p>
            <w:pPr>
              <w:spacing w:after="0"/>
              <w:rPr>
                <w:sz w:val="21"/>
                <w:szCs w:val="21"/>
                <w:color w:val="auto"/>
              </w:rPr>
            </w:pPr>
          </w:p>
        </w:tc>
        <w:tc>
          <w:tcPr>
            <w:tcW w:w="39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40" w:type="dxa"/>
            <w:vAlign w:val="bottom"/>
          </w:tcPr>
          <w:p>
            <w:pPr>
              <w:spacing w:after="0"/>
              <w:rPr>
                <w:sz w:val="21"/>
                <w:szCs w:val="21"/>
                <w:color w:val="auto"/>
              </w:rPr>
            </w:pPr>
          </w:p>
        </w:tc>
      </w:tr>
      <w:tr>
        <w:trPr>
          <w:trHeight w:val="459"/>
        </w:trPr>
        <w:tc>
          <w:tcPr>
            <w:tcW w:w="20" w:type="dxa"/>
            <w:vAlign w:val="bottom"/>
          </w:tcPr>
          <w:p>
            <w:pPr>
              <w:spacing w:after="0"/>
              <w:rPr>
                <w:sz w:val="24"/>
                <w:szCs w:val="24"/>
                <w:color w:val="auto"/>
              </w:rPr>
            </w:pPr>
          </w:p>
        </w:tc>
        <w:tc>
          <w:tcPr>
            <w:tcW w:w="154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8"/>
                <w:szCs w:val="18"/>
                <w:color w:val="auto"/>
                <w:w w:val="99"/>
              </w:rPr>
              <w:t>/s/ George de Urioste</w:t>
            </w:r>
          </w:p>
        </w:tc>
        <w:tc>
          <w:tcPr>
            <w:tcW w:w="3360" w:type="dxa"/>
            <w:vAlign w:val="bottom"/>
            <w:gridSpan w:val="4"/>
          </w:tcPr>
          <w:p>
            <w:pPr>
              <w:spacing w:after="0"/>
              <w:rPr>
                <w:sz w:val="24"/>
                <w:szCs w:val="24"/>
                <w:color w:val="auto"/>
              </w:rPr>
            </w:pPr>
          </w:p>
        </w:tc>
        <w:tc>
          <w:tcPr>
            <w:tcW w:w="4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24, 2026</w:t>
            </w:r>
          </w:p>
        </w:tc>
      </w:tr>
      <w:tr>
        <w:trPr>
          <w:trHeight w:val="250"/>
        </w:trPr>
        <w:tc>
          <w:tcPr>
            <w:tcW w:w="20" w:type="dxa"/>
            <w:vAlign w:val="bottom"/>
          </w:tcPr>
          <w:p>
            <w:pPr>
              <w:spacing w:after="0"/>
              <w:rPr>
                <w:sz w:val="21"/>
                <w:szCs w:val="21"/>
                <w:color w:val="auto"/>
              </w:rPr>
            </w:pPr>
          </w:p>
        </w:tc>
        <w:tc>
          <w:tcPr>
            <w:tcW w:w="49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George de Urioste</w:t>
            </w:r>
          </w:p>
        </w:tc>
        <w:tc>
          <w:tcPr>
            <w:tcW w:w="39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40" w:type="dxa"/>
            <w:vAlign w:val="bottom"/>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sectPr>
      <w:pgSz w:w="11900" w:h="16838" w:orient="portrait"/>
      <w:cols w:equalWidth="0" w:num="1">
        <w:col w:w="11240"/>
      </w:cols>
      <w:pgMar w:left="320" w:top="141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36C6125"/>
    <w:multiLevelType w:val="hybridMultilevel"/>
    <w:lvl w:ilvl="0">
      <w:lvlJc w:val="left"/>
      <w:lvlText w:val="☒"/>
      <w:numFmt w:val="bullet"/>
      <w:start w:val="1"/>
    </w:lvl>
  </w:abstractNum>
  <w:abstractNum w:abstractNumId="1">
    <w:nsid w:val="628C895D"/>
    <w:multiLevelType w:val="hybridMultilevel"/>
    <w:lvl w:ilvl="0">
      <w:lvlJc w:val="left"/>
      <w:lvlText w:val="•"/>
      <w:numFmt w:val="bullet"/>
      <w:start w:val="1"/>
    </w:lvl>
  </w:abstractNum>
  <w:abstractNum w:abstractNumId="2">
    <w:nsid w:val="333AB105"/>
    <w:multiLevelType w:val="hybridMultilevel"/>
    <w:lvl w:ilvl="0">
      <w:lvlJc w:val="left"/>
      <w:lvlText w:val="•"/>
      <w:numFmt w:val="bullet"/>
      <w:start w:val="1"/>
    </w:lvl>
  </w:abstractNum>
  <w:abstractNum w:abstractNumId="3">
    <w:nsid w:val="721DA317"/>
    <w:multiLevelType w:val="hybridMultilevel"/>
    <w:lvl w:ilvl="0">
      <w:lvlJc w:val="left"/>
      <w:lvlText w:val="•"/>
      <w:numFmt w:val="bullet"/>
      <w:start w:val="1"/>
    </w:lvl>
  </w:abstractNum>
  <w:abstractNum w:abstractNumId="4">
    <w:nsid w:val="2443A858"/>
    <w:multiLevelType w:val="hybridMultilevel"/>
    <w:lvl w:ilvl="0">
      <w:lvlJc w:val="left"/>
      <w:lvlText w:val="•"/>
      <w:numFmt w:val="bullet"/>
      <w:start w:val="1"/>
    </w:lvl>
  </w:abstractNum>
  <w:abstractNum w:abstractNumId="5">
    <w:nsid w:val="2D1D5AE9"/>
    <w:multiLevelType w:val="hybridMultilevel"/>
    <w:lvl w:ilvl="0">
      <w:lvlJc w:val="left"/>
      <w:lvlText w:val="•"/>
      <w:numFmt w:val="bullet"/>
      <w:start w:val="1"/>
    </w:lvl>
  </w:abstractNum>
  <w:abstractNum w:abstractNumId="6">
    <w:nsid w:val="6763845E"/>
    <w:multiLevelType w:val="hybridMultilevel"/>
    <w:lvl w:ilvl="0">
      <w:lvlJc w:val="left"/>
      <w:lvlText w:val="•"/>
      <w:numFmt w:val="bullet"/>
      <w:start w:val="1"/>
    </w:lvl>
  </w:abstractNum>
  <w:abstractNum w:abstractNumId="7">
    <w:nsid w:val="75A2A8D4"/>
    <w:multiLevelType w:val="hybridMultilevel"/>
    <w:lvl w:ilvl="0">
      <w:lvlJc w:val="left"/>
      <w:lvlText w:val="•"/>
      <w:numFmt w:val="bullet"/>
      <w:start w:val="1"/>
    </w:lvl>
  </w:abstractNum>
  <w:abstractNum w:abstractNumId="8">
    <w:nsid w:val="8EDBDAB"/>
    <w:multiLevelType w:val="hybridMultilevel"/>
    <w:lvl w:ilvl="0">
      <w:lvlJc w:val="left"/>
      <w:lvlText w:val="•"/>
      <w:numFmt w:val="bullet"/>
      <w:start w:val="1"/>
    </w:lvl>
  </w:abstractNum>
  <w:abstractNum w:abstractNumId="9">
    <w:nsid w:val="79838CB2"/>
    <w:multiLevelType w:val="hybridMultilevel"/>
    <w:lvl w:ilvl="0">
      <w:lvlJc w:val="left"/>
      <w:lvlText w:val="•"/>
      <w:numFmt w:val="bullet"/>
      <w:start w:val="1"/>
    </w:lvl>
  </w:abstractNum>
  <w:abstractNum w:abstractNumId="10">
    <w:nsid w:val="4353D0CD"/>
    <w:multiLevelType w:val="hybridMultilevel"/>
    <w:lvl w:ilvl="0">
      <w:lvlJc w:val="left"/>
      <w:lvlText w:val="•"/>
      <w:numFmt w:val="bullet"/>
      <w:start w:val="1"/>
    </w:lvl>
  </w:abstractNum>
  <w:abstractNum w:abstractNumId="11">
    <w:nsid w:val="B03E0C6"/>
    <w:multiLevelType w:val="hybridMultilevel"/>
    <w:lvl w:ilvl="0">
      <w:lvlJc w:val="left"/>
      <w:lvlText w:val="•"/>
      <w:numFmt w:val="bullet"/>
      <w:start w:val="1"/>
    </w:lvl>
  </w:abstractNum>
  <w:abstractNum w:abstractNumId="12">
    <w:nsid w:val="189A769B"/>
    <w:multiLevelType w:val="hybridMultilevel"/>
    <w:lvl w:ilvl="0">
      <w:lvlJc w:val="left"/>
      <w:lvlText w:val="•"/>
      <w:numFmt w:val="bullet"/>
      <w:start w:val="1"/>
    </w:lvl>
  </w:abstractNum>
  <w:abstractNum w:abstractNumId="13">
    <w:nsid w:val="54E49EB4"/>
    <w:multiLevelType w:val="hybridMultilevel"/>
    <w:lvl w:ilvl="0">
      <w:lvlJc w:val="left"/>
      <w:lvlText w:val="(%1)"/>
      <w:numFmt w:val="decimal"/>
      <w:start w:val="1"/>
    </w:lvl>
  </w:abstractNum>
  <w:abstractNum w:abstractNumId="14">
    <w:nsid w:val="71F32454"/>
    <w:multiLevelType w:val="hybridMultilevel"/>
    <w:lvl w:ilvl="0">
      <w:lvlJc w:val="left"/>
      <w:lvlText w:val="(%1)"/>
      <w:numFmt w:val="decimal"/>
      <w:start w:val="1"/>
    </w:lvl>
  </w:abstractNum>
  <w:abstractNum w:abstractNumId="15">
    <w:nsid w:val="2CA88611"/>
    <w:multiLevelType w:val="hybridMultilevel"/>
    <w:lvl w:ilvl="0">
      <w:lvlJc w:val="left"/>
      <w:lvlText w:val="(%1)"/>
      <w:numFmt w:val="decimal"/>
      <w:start w:val="1"/>
    </w:lvl>
  </w:abstractNum>
  <w:abstractNum w:abstractNumId="16">
    <w:nsid w:val="836C40E"/>
    <w:multiLevelType w:val="hybridMultilevel"/>
    <w:lvl w:ilvl="0">
      <w:lvlJc w:val="left"/>
      <w:lvlText w:val="(%1)"/>
      <w:numFmt w:val="lowerRoman"/>
      <w:start w:val="4"/>
    </w:lvl>
  </w:abstractNum>
  <w:abstractNum w:abstractNumId="17">
    <w:nsid w:val="2901D82"/>
    <w:multiLevelType w:val="hybridMultilevel"/>
    <w:lvl w:ilvl="0">
      <w:lvlJc w:val="left"/>
      <w:lvlText w:val="•"/>
      <w:numFmt w:val="bullet"/>
      <w:start w:val="1"/>
    </w:lvl>
  </w:abstractNum>
  <w:abstractNum w:abstractNumId="18">
    <w:nsid w:val="3A95F874"/>
    <w:multiLevelType w:val="hybridMultilevel"/>
    <w:lvl w:ilvl="0">
      <w:lvlJc w:val="left"/>
      <w:lvlText w:val="•"/>
      <w:numFmt w:val="bullet"/>
      <w:start w:val="1"/>
    </w:lvl>
  </w:abstractNum>
  <w:abstractNum w:abstractNumId="19">
    <w:nsid w:val="8138641"/>
    <w:multiLevelType w:val="hybridMultilevel"/>
    <w:lvl w:ilvl="0">
      <w:lvlJc w:val="left"/>
      <w:lvlText w:val="•"/>
      <w:numFmt w:val="bullet"/>
      <w:start w:val="1"/>
    </w:lvl>
  </w:abstractNum>
  <w:abstractNum w:abstractNumId="20">
    <w:nsid w:val="1E7FF521"/>
    <w:multiLevelType w:val="hybridMultilevel"/>
    <w:lvl w:ilvl="0">
      <w:lvlJc w:val="left"/>
      <w:lvlText w:val="(%1)"/>
      <w:numFmt w:val="decimal"/>
      <w:start w:val="1"/>
    </w:lvl>
  </w:abstractNum>
  <w:abstractNum w:abstractNumId="21">
    <w:nsid w:val="7C3DBD3D"/>
    <w:multiLevelType w:val="hybridMultilevel"/>
    <w:lvl w:ilvl="0">
      <w:lvlJc w:val="left"/>
      <w:lvlText w:val="(%1)"/>
      <w:numFmt w:val="decimal"/>
      <w:start w:val="1"/>
    </w:lvl>
  </w:abstractNum>
  <w:abstractNum w:abstractNumId="22">
    <w:nsid w:val="737B8DDC"/>
    <w:multiLevelType w:val="hybridMultilevel"/>
    <w:lvl w:ilvl="0">
      <w:lvlJc w:val="left"/>
      <w:lvlText w:val="(%1)"/>
      <w:numFmt w:val="lowerRoman"/>
      <w:start w:val="1"/>
    </w:lvl>
  </w:abstractNum>
  <w:abstractNum w:abstractNumId="23">
    <w:nsid w:val="6CEAF087"/>
    <w:multiLevelType w:val="hybridMultilevel"/>
    <w:lvl w:ilvl="0">
      <w:lvlJc w:val="left"/>
      <w:lvlText w:val="(%1)"/>
      <w:numFmt w:val="decimal"/>
      <w:start w:val="1"/>
    </w:lvl>
  </w:abstractNum>
  <w:abstractNum w:abstractNumId="24">
    <w:nsid w:val="22221A70"/>
    <w:multiLevelType w:val="hybridMultilevel"/>
    <w:lvl w:ilvl="0">
      <w:lvlJc w:val="left"/>
      <w:lvlText w:val="†"/>
      <w:numFmt w:val="bullet"/>
      <w:start w:val="1"/>
    </w:lvl>
  </w:abstractNum>
  <w:abstractNum w:abstractNumId="25">
    <w:nsid w:val="4516DDE9"/>
    <w:multiLevelType w:val="hybridMultilevel"/>
    <w:lvl w:ilvl="0">
      <w:lvlJc w:val="left"/>
      <w:lvlText w:val="**"/>
      <w:numFmt w:val="bullet"/>
      <w:start w:val="1"/>
    </w:lvl>
  </w:abstractNum>
  <w:abstractNum w:abstractNumId="26">
    <w:nsid w:val="3006C83E"/>
    <w:multiLevelType w:val="hybridMultilevel"/>
    <w:lvl w:ilvl="0">
      <w:lvlJc w:val="left"/>
      <w:lvlText w:val="•"/>
      <w:numFmt w:val="bullet"/>
      <w:start w:val="1"/>
    </w:lvl>
  </w:abstractNum>
  <w:abstractNum w:abstractNumId="27">
    <w:nsid w:val="614FD4A1"/>
    <w:multiLevelType w:val="hybridMultilevel"/>
    <w:lvl w:ilvl="0">
      <w:lvlJc w:val="left"/>
      <w:lvlText w:val="(%1)"/>
      <w:numFmt w:val="decimal"/>
      <w:start w:val="1"/>
    </w:lvl>
  </w:abstractNum>
  <w:abstractNum w:abstractNumId="28">
    <w:nsid w:val="419AC241"/>
    <w:multiLevelType w:val="hybridMultilevel"/>
    <w:lvl w:ilvl="0">
      <w:lvlJc w:val="left"/>
      <w:lvlText w:val="(%1)"/>
      <w:numFmt w:val="decimal"/>
      <w:start w:val="1"/>
    </w:lvl>
  </w:abstractNum>
  <w:abstractNum w:abstractNumId="29">
    <w:nsid w:val="5577F8E1"/>
    <w:multiLevelType w:val="hybridMultilevel"/>
    <w:lvl w:ilvl="0">
      <w:lvlJc w:val="left"/>
      <w:lvlText w:val="(%1)"/>
      <w:numFmt w:val="decimal"/>
      <w:start w:val="1"/>
    </w:lvl>
  </w:abstractNum>
  <w:abstractNum w:abstractNumId="30">
    <w:nsid w:val="440BADFC"/>
    <w:multiLevelType w:val="hybridMultilevel"/>
    <w:lvl w:ilvl="0">
      <w:lvlJc w:val="left"/>
      <w:lvlText w:val="(%1)"/>
      <w:numFmt w:val="decimal"/>
      <w:start w:val="1"/>
    </w:lvl>
  </w:abstractNum>
  <w:abstractNum w:abstractNumId="31">
    <w:nsid w:val="5072367"/>
    <w:multiLevelType w:val="hybridMultilevel"/>
    <w:lvl w:ilvl="0">
      <w:lvlJc w:val="left"/>
      <w:lvlText w:val="•"/>
      <w:numFmt w:val="bullet"/>
      <w:start w:val="1"/>
    </w:lvl>
  </w:abstractNum>
  <w:abstractNum w:abstractNumId="32">
    <w:nsid w:val="3804823E"/>
    <w:multiLevelType w:val="hybridMultilevel"/>
    <w:lvl w:ilvl="0">
      <w:lvlJc w:val="left"/>
      <w:lvlText w:val="•"/>
      <w:numFmt w:val="bullet"/>
      <w:start w:val="1"/>
    </w:lvl>
  </w:abstractNum>
  <w:abstractNum w:abstractNumId="33">
    <w:nsid w:val="77465F01"/>
    <w:multiLevelType w:val="hybridMultilevel"/>
    <w:lvl w:ilvl="0">
      <w:lvlJc w:val="left"/>
      <w:lvlText w:val="(%1)"/>
      <w:numFmt w:val="decimal"/>
      <w:start w:val="1"/>
    </w:lvl>
  </w:abstractNum>
  <w:abstractNum w:abstractNumId="34">
    <w:nsid w:val="7724C67E"/>
    <w:multiLevelType w:val="hybridMultilevel"/>
    <w:lvl w:ilvl="0">
      <w:lvlJc w:val="left"/>
      <w:lvlText w:val="(%1)"/>
      <w:numFmt w:val="decimal"/>
      <w:start w:val="1"/>
    </w:lvl>
  </w:abstractNum>
  <w:abstractNum w:abstractNumId="35">
    <w:nsid w:val="5C482A97"/>
    <w:multiLevelType w:val="hybridMultilevel"/>
    <w:lvl w:ilvl="0">
      <w:lvlJc w:val="left"/>
      <w:lvlText w:val="(%1)"/>
      <w:numFmt w:val="decimal"/>
      <w:start w:val="1"/>
    </w:lvl>
  </w:abstractNum>
  <w:abstractNum w:abstractNumId="36">
    <w:nsid w:val="2463B9EA"/>
    <w:multiLevelType w:val="hybridMultilevel"/>
    <w:lvl w:ilvl="0">
      <w:lvlJc w:val="left"/>
      <w:lvlText w:val="(%1)"/>
      <w:numFmt w:val="decimal"/>
      <w:start w:val="1"/>
    </w:lvl>
  </w:abstractNum>
  <w:abstractNum w:abstractNumId="37">
    <w:nsid w:val="5E884ADC"/>
    <w:multiLevelType w:val="hybridMultilevel"/>
    <w:lvl w:ilvl="0">
      <w:lvlJc w:val="left"/>
      <w:lvlText w:val="•"/>
      <w:numFmt w:val="bullet"/>
      <w:start w:val="1"/>
    </w:lvl>
  </w:abstractNum>
  <w:abstractNum w:abstractNumId="38">
    <w:nsid w:val="51EAD36B"/>
    <w:multiLevelType w:val="hybridMultilevel"/>
    <w:lvl w:ilvl="0">
      <w:lvlJc w:val="left"/>
      <w:lvlText w:val="•"/>
      <w:numFmt w:val="bullet"/>
      <w:start w:val="1"/>
    </w:lvl>
  </w:abstractNum>
  <w:abstractNum w:abstractNumId="39">
    <w:nsid w:val="2D51779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hyperlink" Target="https://www.sec.gov/ix?doc=/Archives/edgar/data/1871638/000110465924080933/brkh-20240331xs4.htm" TargetMode="External"/><Relationship Id="rId61" Type="http://schemas.openxmlformats.org/officeDocument/2006/relationships/hyperlink" Target="https://www.sec.gov/Archives/edgar/data/1871638/000110465924112666/tm2418197-13_s4a.htm" TargetMode="External"/><Relationship Id="rId62" Type="http://schemas.openxmlformats.org/officeDocument/2006/relationships/hyperlink" Target="https://www.sec.gov/Archives/edgar/data/1871638/000110465924123191/tm2418197-24_s4a.htm" TargetMode="External"/><Relationship Id="rId63" Type="http://schemas.openxmlformats.org/officeDocument/2006/relationships/hyperlink" Target="https://www.sec.gov/Archives/edgar/data/1871638/000119312525008517/d903961dex31.htm" TargetMode="External"/><Relationship Id="rId64" Type="http://schemas.openxmlformats.org/officeDocument/2006/relationships/hyperlink" Target="https://www.sec.gov/Archives/edgar/data/1871638/000119312525008517/d903961dex32.htm" TargetMode="External"/><Relationship Id="rId65" Type="http://schemas.openxmlformats.org/officeDocument/2006/relationships/hyperlink" Target="https://www.sec.gov/Archives/edgar/data/1871638/000187163826000011/a2025-q410xkex41xdescripti.htm" TargetMode="External"/><Relationship Id="rId66" Type="http://schemas.openxmlformats.org/officeDocument/2006/relationships/hyperlink" Target="https://www.sec.gov/Archives/edgar/data/1871638/000110465921150569/tm2135631d1_ex4-1.htm" TargetMode="External"/><Relationship Id="rId67" Type="http://schemas.openxmlformats.org/officeDocument/2006/relationships/hyperlink" Target="https://www.sec.gov/Archives/edgar/data/1871638/000110465921141949/tm2124406d5_ex4-2.htm" TargetMode="External"/><Relationship Id="rId68" Type="http://schemas.openxmlformats.org/officeDocument/2006/relationships/hyperlink" Target="https://www.sec.gov/Archives/edgar/data/1871638/000110465921141949/tm2124406d5_ex4-3.htm" TargetMode="External"/><Relationship Id="rId69" Type="http://schemas.openxmlformats.org/officeDocument/2006/relationships/hyperlink" Target="https://www.sec.gov/Archives/edgar/data/1871638/000119312525280252/bzai-ex10_5.htm" TargetMode="External"/><Relationship Id="rId70" Type="http://schemas.openxmlformats.org/officeDocument/2006/relationships/hyperlink" Target="https://www.sec.gov/Archives/edgar/data/1871638/000119312525008517/d903961dex1011.htm" TargetMode="External"/><Relationship Id="rId71" Type="http://schemas.openxmlformats.org/officeDocument/2006/relationships/hyperlink" Target="https://www.sec.gov/Archives/edgar/data/1871638/000119312525008517/d903961dex101.htm" TargetMode="External"/><Relationship Id="rId72" Type="http://schemas.openxmlformats.org/officeDocument/2006/relationships/hyperlink" Target="https://www.sec.gov/Archives/edgar/data/1871638/000162828026003620/exhibit43-sx3.htm" TargetMode="External"/><Relationship Id="rId73" Type="http://schemas.openxmlformats.org/officeDocument/2006/relationships/hyperlink" Target="https://www.sec.gov/Archives/edgar/data/1871638/000110465921150569/tm2135631d1_ex10-2.htm" TargetMode="External"/><Relationship Id="rId74" Type="http://schemas.openxmlformats.org/officeDocument/2006/relationships/hyperlink" Target="https://www.sec.gov/Archives/edgar/data/1871638/000119312525008517/d903961dex103.htm" TargetMode="External"/><Relationship Id="rId75" Type="http://schemas.openxmlformats.org/officeDocument/2006/relationships/hyperlink" Target="https://www.sec.gov/Archives/edgar/data/1871638/000119312525008517/d903961dex104.htm" TargetMode="External"/><Relationship Id="rId76" Type="http://schemas.openxmlformats.org/officeDocument/2006/relationships/hyperlink" Target="https://www.sec.gov/Archives/edgar/data/1871638/000119312525008517/d903961dex107.htm" TargetMode="External"/><Relationship Id="rId77" Type="http://schemas.openxmlformats.org/officeDocument/2006/relationships/hyperlink" Target="https://www.sec.gov/Archives/edgar/data/1871638/000119312525008517/d903961dex1022.htm" TargetMode="External"/><Relationship Id="rId78" Type="http://schemas.openxmlformats.org/officeDocument/2006/relationships/hyperlink" Target="https://www.sec.gov/Archives/edgar/data/1871638/000119312525008517/d903961dex108.htm" TargetMode="External"/><Relationship Id="rId79" Type="http://schemas.openxmlformats.org/officeDocument/2006/relationships/hyperlink" Target="https://www.sec.gov/Archives/edgar/data/1871638/000119312525008517/d903961dex105.htm" TargetMode="External"/><Relationship Id="rId80" Type="http://schemas.openxmlformats.org/officeDocument/2006/relationships/hyperlink" Target="https://www.sec.gov/Archives/edgar/data/1871638/000119312525118038/d893593dex993.htm" TargetMode="External"/><Relationship Id="rId81" Type="http://schemas.openxmlformats.org/officeDocument/2006/relationships/hyperlink" Target="https://www.sec.gov/Archives/edgar/data/1871638/000119312525194046/d99229dex101.htm" TargetMode="External"/><Relationship Id="rId82" Type="http://schemas.openxmlformats.org/officeDocument/2006/relationships/hyperlink" Target="https://www.sec.gov/Archives/edgar/data/1871638/000119312525008517/d903961dex106.htm" TargetMode="External"/><Relationship Id="rId83" Type="http://schemas.openxmlformats.org/officeDocument/2006/relationships/hyperlink" Target="https://www.sec.gov/Archives/edgar/data/1871638/000095017025071593/bzai-ex10_7.htm" TargetMode="External"/><Relationship Id="rId84" Type="http://schemas.openxmlformats.org/officeDocument/2006/relationships/hyperlink" Target="https://www.sec.gov/Archives/edgar/data/1871638/000187163826000001/ex101-blaizeformofchangein.htm" TargetMode="External"/><Relationship Id="rId85" Type="http://schemas.openxmlformats.org/officeDocument/2006/relationships/hyperlink" Target="https://www.sec.gov/Archives/edgar/data/1871638/000119312525008517/d903961dex1016.htm" TargetMode="External"/><Relationship Id="rId86" Type="http://schemas.openxmlformats.org/officeDocument/2006/relationships/hyperlink" Target="https://www.sec.gov/Archives/edgar/data/1871638/000119312525008517/d903961dex1017.htm" TargetMode="External"/><Relationship Id="rId87" Type="http://schemas.openxmlformats.org/officeDocument/2006/relationships/hyperlink" Target="https://www.sec.gov/Archives/edgar/data/1871638/000119312525008517/d903961dex1018.htm" TargetMode="External"/><Relationship Id="rId88" Type="http://schemas.openxmlformats.org/officeDocument/2006/relationships/hyperlink" Target="https://www.sec.gov/Archives/edgar/data/1871638/000119312525008517/d903961dex1019.htm" TargetMode="External"/><Relationship Id="rId89" Type="http://schemas.openxmlformats.org/officeDocument/2006/relationships/hyperlink" Target="https://www.sec.gov/Archives/edgar/data/1871638/000119312525008517/d903961dex1020.htm" TargetMode="External"/><Relationship Id="rId90" Type="http://schemas.openxmlformats.org/officeDocument/2006/relationships/hyperlink" Target="https://www.sec.gov/Archives/edgar/data/1871638/000110465924132802/tm2431152d1_ex10-1.htm" TargetMode="External"/><Relationship Id="rId91" Type="http://schemas.openxmlformats.org/officeDocument/2006/relationships/hyperlink" Target="https://www.sec.gov/Archives/edgar/data/1871638/000110465925001763/tm252173d1_ex10-1.htm" TargetMode="External"/><Relationship Id="rId92" Type="http://schemas.openxmlformats.org/officeDocument/2006/relationships/hyperlink" Target="https://www.sec.gov/Archives/edgar/data/1871638/000119312525008517/d903961dex1015.htm" TargetMode="External"/><Relationship Id="rId93" Type="http://schemas.openxmlformats.org/officeDocument/2006/relationships/hyperlink" Target="https://www.sec.gov/Archives/edgar/data/1871638/000119312525280252/bzai-ex10_6.htm" TargetMode="External"/><Relationship Id="rId94" Type="http://schemas.openxmlformats.org/officeDocument/2006/relationships/hyperlink" Target="https://www.sec.gov/Archives/edgar/data/1871638/000119312525158997/d13627dex102.htm" TargetMode="External"/><Relationship Id="rId95" Type="http://schemas.openxmlformats.org/officeDocument/2006/relationships/hyperlink" Target="https://www.sec.gov/Archives/edgar/data/1871638/000119312525008517/d903961dex1014.htm" TargetMode="External"/><Relationship Id="rId96" Type="http://schemas.openxmlformats.org/officeDocument/2006/relationships/hyperlink" Target="https://www.sec.gov/Archives/edgar/data/1871638/000119312525158997/d13627dex101.htm" TargetMode="External"/><Relationship Id="rId97" Type="http://schemas.openxmlformats.org/officeDocument/2006/relationships/hyperlink" Target="https://www.sec.gov/Archives/edgar/data/1871638/000119312525280252/bzai-ex10_4.htm" TargetMode="External"/><Relationship Id="rId98" Type="http://schemas.openxmlformats.org/officeDocument/2006/relationships/hyperlink" Target="https://www.sec.gov/Archives/edgar/data/1871638/000119312525008517/d903961dex1012.htm" TargetMode="External"/><Relationship Id="rId99" Type="http://schemas.openxmlformats.org/officeDocument/2006/relationships/hyperlink" Target="https://www.sec.gov/Archives/edgar/data/1871638/000119312525008517/d903961dex1013.htm" TargetMode="External"/><Relationship Id="rId100" Type="http://schemas.openxmlformats.org/officeDocument/2006/relationships/hyperlink" Target="https://www.sec.gov/Archives/edgar/data/1871638/000119312525152119/d868639dex101.htm" TargetMode="External"/><Relationship Id="rId101" Type="http://schemas.openxmlformats.org/officeDocument/2006/relationships/hyperlink" Target="https://www.sec.gov/Archives/edgar/data/1871638/000187163826000011/a2025-q4yeex141xcodeofcond.htm" TargetMode="External"/><Relationship Id="rId102" Type="http://schemas.openxmlformats.org/officeDocument/2006/relationships/hyperlink" Target="https://www.sec.gov/Archives/edgar/data/1871638/000187163826000011/a2025-q4yeex191xinsidertra.htm" TargetMode="External"/><Relationship Id="rId103" Type="http://schemas.openxmlformats.org/officeDocument/2006/relationships/hyperlink" Target="https://www.sec.gov/Archives/edgar/data/1871638/000187163826000011/a2025-q4yeex211xlistofsubs.htm" TargetMode="External"/><Relationship Id="rId104" Type="http://schemas.openxmlformats.org/officeDocument/2006/relationships/hyperlink" Target="https://www.sec.gov/Archives/edgar/data/1871638/000187163826000011/a2025-q4yeex231xauditorcon.htm" TargetMode="External"/><Relationship Id="rId105" Type="http://schemas.openxmlformats.org/officeDocument/2006/relationships/hyperlink" Target="https://www.sec.gov/Archives/edgar/data/1871638/000187163826000011/a2025-q410xkex311xmunagala.htm" TargetMode="External"/><Relationship Id="rId106" Type="http://schemas.openxmlformats.org/officeDocument/2006/relationships/hyperlink" Target="https://www.sec.gov/Archives/edgar/data/1871638/000187163826000011/a2025-q410xkex312xsehmi.htm" TargetMode="External"/><Relationship Id="rId107" Type="http://schemas.openxmlformats.org/officeDocument/2006/relationships/hyperlink" Target="https://www.sec.gov/Archives/edgar/data/1871638/000187163826000011/a2025-q410xkex321xmunagala.htm" TargetMode="External"/><Relationship Id="rId108" Type="http://schemas.openxmlformats.org/officeDocument/2006/relationships/hyperlink" Target="https://www.sec.gov/Archives/edgar/data/1871638/000187163826000011/a2025-q410xkex322xsehmi.htm" TargetMode="External"/><Relationship Id="rId109" Type="http://schemas.openxmlformats.org/officeDocument/2006/relationships/hyperlink" Target="https://www.sec.gov/Archives/edgar/data/1871638/000187163826000011/a2025-q4yeex971xclawbackpo.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2026-03-24T15:43:32Z</dcterms:created>
  <dcterms:modified xsi:type="dcterms:W3CDTF">2026-03-24T15:43:32Z</dcterms:modified>
</cp:coreProperties>
</file>