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Washington, D.C. 20549</w:t>
      </w:r>
    </w:p>
    <w:p>
      <w:pPr>
        <w:spacing w:after="0" w:line="146" w:lineRule="exact"/>
        <w:rPr>
          <w:sz w:val="24"/>
          <w:szCs w:val="24"/>
          <w:color w:val="auto"/>
        </w:rPr>
      </w:pPr>
    </w:p>
    <w:p>
      <w:pPr>
        <w:ind w:left="4670"/>
        <w:spacing w:after="0"/>
        <w:rPr>
          <w:sz w:val="20"/>
          <w:szCs w:val="20"/>
          <w:color w:val="auto"/>
        </w:rPr>
      </w:pPr>
      <w:r>
        <w:rPr>
          <w:rFonts w:ascii="Arial" w:cs="Arial" w:eastAsia="Arial" w:hAnsi="Arial"/>
          <w:sz w:val="16"/>
          <w:szCs w:val="16"/>
          <w:b w:val="1"/>
          <w:bCs w:val="1"/>
          <w:color w:val="auto"/>
        </w:rPr>
        <w:t>FORM 10-Q</w:t>
      </w:r>
    </w:p>
    <w:p>
      <w:pPr>
        <w:spacing w:after="0" w:line="167" w:lineRule="exact"/>
        <w:rPr>
          <w:sz w:val="24"/>
          <w:szCs w:val="24"/>
          <w:color w:val="auto"/>
        </w:rPr>
      </w:pPr>
    </w:p>
    <w:p>
      <w:pPr>
        <w:ind w:left="4690"/>
        <w:spacing w:after="0"/>
        <w:rPr>
          <w:sz w:val="20"/>
          <w:szCs w:val="20"/>
          <w:color w:val="auto"/>
        </w:rPr>
      </w:pPr>
      <w:r>
        <w:rPr>
          <w:rFonts w:ascii="Arial" w:cs="Arial" w:eastAsia="Arial" w:hAnsi="Arial"/>
          <w:sz w:val="16"/>
          <w:szCs w:val="16"/>
          <w:b w:val="1"/>
          <w:bCs w:val="1"/>
          <w:color w:val="auto"/>
        </w:rPr>
        <w:t>(Mark One)</w:t>
      </w:r>
    </w:p>
    <w:p>
      <w:pPr>
        <w:spacing w:after="0" w:line="113" w:lineRule="exact"/>
        <w:rPr>
          <w:sz w:val="24"/>
          <w:szCs w:val="24"/>
          <w:color w:val="auto"/>
        </w:rPr>
      </w:pPr>
    </w:p>
    <w:p>
      <w:pPr>
        <w:ind w:left="3550" w:right="2380" w:hanging="3550"/>
        <w:spacing w:after="0" w:line="451" w:lineRule="auto"/>
        <w:tabs>
          <w:tab w:leader="none" w:pos="19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UNDER SECTION 13 OR 15(d) OF THE SECURITIES EXCHANGE ACT OF 1934 For the quarterly period ended June 30, 2023</w:t>
      </w:r>
    </w:p>
    <w:p>
      <w:pPr>
        <w:spacing w:after="0" w:line="38" w:lineRule="exact"/>
        <w:rPr>
          <w:sz w:val="24"/>
          <w:szCs w:val="24"/>
          <w:color w:val="auto"/>
        </w:rPr>
      </w:pPr>
    </w:p>
    <w:p>
      <w:pPr>
        <w:ind w:left="190" w:hanging="190"/>
        <w:spacing w:after="0"/>
        <w:tabs>
          <w:tab w:leader="none" w:pos="19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30"/>
          </w:cols>
          <w:pgMar w:left="830" w:top="665" w:right="839" w:bottom="1440" w:gutter="0" w:footer="0" w:header="0"/>
        </w:sectPr>
      </w:pPr>
    </w:p>
    <w:p>
      <w:pPr>
        <w:spacing w:after="0" w:line="181" w:lineRule="exact"/>
        <w:rPr>
          <w:sz w:val="24"/>
          <w:szCs w:val="24"/>
          <w:color w:val="auto"/>
        </w:rPr>
      </w:pPr>
    </w:p>
    <w:p>
      <w:pPr>
        <w:ind w:left="329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5390" w:space="720"/>
            <w:col w:w="4120"/>
          </w:cols>
          <w:pgMar w:left="830" w:top="665" w:right="839" w:bottom="1440" w:gutter="0" w:footer="0" w:header="0"/>
          <w:type w:val="continuous"/>
        </w:sectPr>
      </w:pP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Commission File Number 001-41139</w:t>
      </w:r>
    </w:p>
    <w:p>
      <w:pPr>
        <w:sectPr>
          <w:pgSz w:w="11900" w:h="16838" w:orient="portrait"/>
          <w:cols w:equalWidth="0" w:num="1">
            <w:col w:w="10230"/>
          </w:cols>
          <w:pgMar w:left="830" w:top="665" w:right="839" w:bottom="1440" w:gutter="0" w:footer="0" w:header="0"/>
          <w:type w:val="continuous"/>
        </w:sectPr>
      </w:pPr>
    </w:p>
    <w:p>
      <w:pPr>
        <w:spacing w:after="0" w:line="190"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BURTECH ACQUISITION CORP.</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(Exact name of registrant as specified in its charter)</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6960" w:type="dxa"/>
            <w:vAlign w:val="bottom"/>
            <w:gridSpan w:val="3"/>
          </w:tcPr>
          <w:p>
            <w:pPr>
              <w:jc w:val="center"/>
              <w:ind w:right="1980"/>
              <w:spacing w:after="0"/>
              <w:rPr>
                <w:sz w:val="20"/>
                <w:szCs w:val="20"/>
                <w:color w:val="auto"/>
              </w:rPr>
            </w:pPr>
            <w:r>
              <w:rPr>
                <w:rFonts w:ascii="Arial" w:cs="Arial" w:eastAsia="Arial" w:hAnsi="Arial"/>
                <w:sz w:val="16"/>
                <w:szCs w:val="16"/>
                <w:b w:val="1"/>
                <w:bCs w:val="1"/>
                <w:color w:val="auto"/>
                <w:w w:val="93"/>
              </w:rPr>
              <w:t>Delaware</w:t>
            </w:r>
          </w:p>
        </w:tc>
        <w:tc>
          <w:tcPr>
            <w:tcW w:w="3260" w:type="dxa"/>
            <w:vAlign w:val="bottom"/>
          </w:tcPr>
          <w:p>
            <w:pPr>
              <w:jc w:val="center"/>
              <w:ind w:right="1679"/>
              <w:spacing w:after="0"/>
              <w:rPr>
                <w:sz w:val="20"/>
                <w:szCs w:val="20"/>
                <w:color w:val="auto"/>
              </w:rPr>
            </w:pPr>
            <w:r>
              <w:rPr>
                <w:rFonts w:ascii="Arial" w:cs="Arial" w:eastAsia="Arial" w:hAnsi="Arial"/>
                <w:sz w:val="16"/>
                <w:szCs w:val="16"/>
                <w:b w:val="1"/>
                <w:bCs w:val="1"/>
                <w:color w:val="auto"/>
                <w:w w:val="91"/>
              </w:rPr>
              <w:t>85-2708752</w:t>
            </w:r>
          </w:p>
        </w:tc>
      </w:tr>
      <w:tr>
        <w:trPr>
          <w:trHeight w:val="189"/>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(State or other jurisdiction of</w:t>
            </w: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tcPr>
          <w:p>
            <w:pPr>
              <w:jc w:val="center"/>
              <w:ind w:right="1679"/>
              <w:spacing w:after="0"/>
              <w:rPr>
                <w:sz w:val="20"/>
                <w:szCs w:val="20"/>
                <w:color w:val="auto"/>
              </w:rPr>
            </w:pPr>
            <w:r>
              <w:rPr>
                <w:rFonts w:ascii="Arial" w:cs="Arial" w:eastAsia="Arial" w:hAnsi="Arial"/>
                <w:sz w:val="16"/>
                <w:szCs w:val="16"/>
                <w:color w:val="auto"/>
                <w:w w:val="94"/>
              </w:rPr>
              <w:t>(IRS Employer</w:t>
            </w:r>
          </w:p>
        </w:tc>
      </w:tr>
      <w:tr>
        <w:trPr>
          <w:trHeight w:val="206"/>
        </w:trPr>
        <w:tc>
          <w:tcPr>
            <w:tcW w:w="6960" w:type="dxa"/>
            <w:vAlign w:val="bottom"/>
            <w:gridSpan w:val="3"/>
          </w:tcPr>
          <w:p>
            <w:pPr>
              <w:jc w:val="center"/>
              <w:ind w:right="1980"/>
              <w:spacing w:after="0"/>
              <w:rPr>
                <w:sz w:val="20"/>
                <w:szCs w:val="20"/>
                <w:color w:val="auto"/>
              </w:rPr>
            </w:pPr>
            <w:r>
              <w:rPr>
                <w:rFonts w:ascii="Arial" w:cs="Arial" w:eastAsia="Arial" w:hAnsi="Arial"/>
                <w:sz w:val="16"/>
                <w:szCs w:val="16"/>
                <w:color w:val="auto"/>
                <w:w w:val="93"/>
              </w:rPr>
              <w:t>incorporation or organization)</w:t>
            </w:r>
          </w:p>
        </w:tc>
        <w:tc>
          <w:tcPr>
            <w:tcW w:w="3260" w:type="dxa"/>
            <w:vAlign w:val="bottom"/>
          </w:tcPr>
          <w:p>
            <w:pPr>
              <w:jc w:val="center"/>
              <w:ind w:right="1719"/>
              <w:spacing w:after="0"/>
              <w:rPr>
                <w:sz w:val="20"/>
                <w:szCs w:val="20"/>
                <w:color w:val="auto"/>
              </w:rPr>
            </w:pPr>
            <w:r>
              <w:rPr>
                <w:rFonts w:ascii="Arial" w:cs="Arial" w:eastAsia="Arial" w:hAnsi="Arial"/>
                <w:sz w:val="16"/>
                <w:szCs w:val="16"/>
                <w:color w:val="auto"/>
                <w:w w:val="97"/>
              </w:rPr>
              <w:t>Identification No.)</w:t>
            </w:r>
          </w:p>
        </w:tc>
      </w:tr>
      <w:tr>
        <w:trPr>
          <w:trHeight w:val="321"/>
        </w:trPr>
        <w:tc>
          <w:tcPr>
            <w:tcW w:w="6960" w:type="dxa"/>
            <w:vAlign w:val="bottom"/>
            <w:gridSpan w:val="3"/>
          </w:tcPr>
          <w:p>
            <w:pPr>
              <w:jc w:val="center"/>
              <w:ind w:left="3159"/>
              <w:spacing w:after="0"/>
              <w:rPr>
                <w:sz w:val="20"/>
                <w:szCs w:val="20"/>
                <w:color w:val="auto"/>
              </w:rPr>
            </w:pPr>
            <w:r>
              <w:rPr>
                <w:rFonts w:ascii="Arial" w:cs="Arial" w:eastAsia="Arial" w:hAnsi="Arial"/>
                <w:sz w:val="16"/>
                <w:szCs w:val="16"/>
                <w:b w:val="1"/>
                <w:bCs w:val="1"/>
                <w:color w:val="auto"/>
                <w:w w:val="90"/>
              </w:rPr>
              <w:t>1300 Pennsylvania Ave NW, Suite 700</w:t>
            </w:r>
          </w:p>
        </w:tc>
        <w:tc>
          <w:tcPr>
            <w:tcW w:w="3260" w:type="dxa"/>
            <w:vAlign w:val="bottom"/>
          </w:tcPr>
          <w:p>
            <w:pPr>
              <w:spacing w:after="0"/>
              <w:rPr>
                <w:sz w:val="24"/>
                <w:szCs w:val="24"/>
                <w:color w:val="auto"/>
              </w:rPr>
            </w:pPr>
          </w:p>
        </w:tc>
      </w:tr>
      <w:tr>
        <w:trPr>
          <w:trHeight w:val="242"/>
        </w:trPr>
        <w:tc>
          <w:tcPr>
            <w:tcW w:w="6960" w:type="dxa"/>
            <w:vAlign w:val="bottom"/>
            <w:gridSpan w:val="3"/>
          </w:tcPr>
          <w:p>
            <w:pPr>
              <w:jc w:val="center"/>
              <w:ind w:left="3159"/>
              <w:spacing w:after="0"/>
              <w:rPr>
                <w:sz w:val="20"/>
                <w:szCs w:val="20"/>
                <w:color w:val="auto"/>
              </w:rPr>
            </w:pPr>
            <w:r>
              <w:rPr>
                <w:rFonts w:ascii="Arial" w:cs="Arial" w:eastAsia="Arial" w:hAnsi="Arial"/>
                <w:sz w:val="16"/>
                <w:szCs w:val="16"/>
                <w:b w:val="1"/>
                <w:bCs w:val="1"/>
                <w:color w:val="auto"/>
                <w:w w:val="92"/>
              </w:rPr>
              <w:t xml:space="preserve">Washington, DC </w:t>
            </w:r>
            <w:r>
              <w:rPr>
                <w:rFonts w:ascii="Arial" w:cs="Arial" w:eastAsia="Arial" w:hAnsi="Arial"/>
                <w:sz w:val="19"/>
                <w:szCs w:val="19"/>
                <w:b w:val="1"/>
                <w:bCs w:val="1"/>
                <w:color w:val="auto"/>
                <w:w w:val="92"/>
              </w:rPr>
              <w:t>20004</w:t>
            </w:r>
          </w:p>
        </w:tc>
        <w:tc>
          <w:tcPr>
            <w:tcW w:w="3260" w:type="dxa"/>
            <w:vAlign w:val="bottom"/>
          </w:tcPr>
          <w:p>
            <w:pPr>
              <w:spacing w:after="0"/>
              <w:rPr>
                <w:sz w:val="21"/>
                <w:szCs w:val="21"/>
                <w:color w:val="auto"/>
              </w:rPr>
            </w:pPr>
          </w:p>
        </w:tc>
      </w:tr>
      <w:tr>
        <w:trPr>
          <w:trHeight w:val="206"/>
        </w:trPr>
        <w:tc>
          <w:tcPr>
            <w:tcW w:w="6960" w:type="dxa"/>
            <w:vAlign w:val="bottom"/>
            <w:gridSpan w:val="3"/>
          </w:tcPr>
          <w:p>
            <w:pPr>
              <w:jc w:val="center"/>
              <w:ind w:left="3159"/>
              <w:spacing w:after="0"/>
              <w:rPr>
                <w:sz w:val="20"/>
                <w:szCs w:val="20"/>
                <w:color w:val="auto"/>
              </w:rPr>
            </w:pPr>
            <w:r>
              <w:rPr>
                <w:rFonts w:ascii="Arial" w:cs="Arial" w:eastAsia="Arial" w:hAnsi="Arial"/>
                <w:sz w:val="16"/>
                <w:szCs w:val="16"/>
                <w:color w:val="auto"/>
                <w:w w:val="93"/>
              </w:rPr>
              <w:t>(Address of principal executive offices and zip code)</w:t>
            </w:r>
          </w:p>
        </w:tc>
        <w:tc>
          <w:tcPr>
            <w:tcW w:w="3260" w:type="dxa"/>
            <w:vAlign w:val="bottom"/>
          </w:tcPr>
          <w:p>
            <w:pPr>
              <w:spacing w:after="0"/>
              <w:rPr>
                <w:sz w:val="17"/>
                <w:szCs w:val="17"/>
                <w:color w:val="auto"/>
              </w:rPr>
            </w:pPr>
          </w:p>
        </w:tc>
      </w:tr>
      <w:tr>
        <w:trPr>
          <w:trHeight w:val="293"/>
        </w:trPr>
        <w:tc>
          <w:tcPr>
            <w:tcW w:w="6960" w:type="dxa"/>
            <w:vAlign w:val="bottom"/>
            <w:gridSpan w:val="3"/>
          </w:tcPr>
          <w:p>
            <w:pPr>
              <w:jc w:val="center"/>
              <w:ind w:left="3179"/>
              <w:spacing w:after="0"/>
              <w:rPr>
                <w:sz w:val="20"/>
                <w:szCs w:val="20"/>
                <w:color w:val="auto"/>
              </w:rPr>
            </w:pPr>
            <w:r>
              <w:rPr>
                <w:rFonts w:ascii="Arial" w:cs="Arial" w:eastAsia="Arial" w:hAnsi="Arial"/>
                <w:sz w:val="16"/>
                <w:szCs w:val="16"/>
                <w:b w:val="1"/>
                <w:bCs w:val="1"/>
                <w:color w:val="auto"/>
                <w:w w:val="93"/>
              </w:rPr>
              <w:t>(202) 600-5757</w:t>
            </w:r>
          </w:p>
        </w:tc>
        <w:tc>
          <w:tcPr>
            <w:tcW w:w="3260" w:type="dxa"/>
            <w:vAlign w:val="bottom"/>
          </w:tcPr>
          <w:p>
            <w:pPr>
              <w:spacing w:after="0"/>
              <w:rPr>
                <w:sz w:val="24"/>
                <w:szCs w:val="24"/>
                <w:color w:val="auto"/>
              </w:rPr>
            </w:pPr>
          </w:p>
        </w:tc>
      </w:tr>
      <w:tr>
        <w:trPr>
          <w:trHeight w:val="206"/>
        </w:trPr>
        <w:tc>
          <w:tcPr>
            <w:tcW w:w="6960" w:type="dxa"/>
            <w:vAlign w:val="bottom"/>
            <w:gridSpan w:val="3"/>
          </w:tcPr>
          <w:p>
            <w:pPr>
              <w:jc w:val="center"/>
              <w:ind w:left="3159"/>
              <w:spacing w:after="0"/>
              <w:rPr>
                <w:sz w:val="20"/>
                <w:szCs w:val="20"/>
                <w:color w:val="auto"/>
              </w:rPr>
            </w:pPr>
            <w:r>
              <w:rPr>
                <w:rFonts w:ascii="Arial" w:cs="Arial" w:eastAsia="Arial" w:hAnsi="Arial"/>
                <w:sz w:val="16"/>
                <w:szCs w:val="16"/>
                <w:color w:val="auto"/>
                <w:w w:val="91"/>
              </w:rPr>
              <w:t>(Registrant’s telephone number, including area code)</w:t>
            </w:r>
          </w:p>
        </w:tc>
        <w:tc>
          <w:tcPr>
            <w:tcW w:w="3260" w:type="dxa"/>
            <w:vAlign w:val="bottom"/>
          </w:tcPr>
          <w:p>
            <w:pPr>
              <w:spacing w:after="0"/>
              <w:rPr>
                <w:sz w:val="17"/>
                <w:szCs w:val="17"/>
                <w:color w:val="auto"/>
              </w:rPr>
            </w:pPr>
          </w:p>
        </w:tc>
      </w:tr>
    </w:tbl>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1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313"/>
        </w:trPr>
        <w:tc>
          <w:tcPr>
            <w:tcW w:w="20" w:type="dxa"/>
            <w:vAlign w:val="bottom"/>
          </w:tcPr>
          <w:p>
            <w:pPr>
              <w:spacing w:after="0"/>
              <w:rPr>
                <w:sz w:val="24"/>
                <w:szCs w:val="24"/>
                <w:color w:val="auto"/>
              </w:rPr>
            </w:pPr>
          </w:p>
        </w:tc>
        <w:tc>
          <w:tcPr>
            <w:tcW w:w="4160" w:type="dxa"/>
            <w:vAlign w:val="bottom"/>
            <w:gridSpan w:val="2"/>
          </w:tcPr>
          <w:p>
            <w:pPr>
              <w:ind w:left="130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Trading Symbol(s)</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9"/>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7"/>
              </w:rPr>
              <w:t>Units, each consisting of one share of Class A Common</w:t>
            </w:r>
          </w:p>
        </w:tc>
        <w:tc>
          <w:tcPr>
            <w:tcW w:w="300" w:type="dxa"/>
            <w:vAlign w:val="bottom"/>
          </w:tcPr>
          <w:p>
            <w:pPr>
              <w:spacing w:after="0"/>
              <w:rPr>
                <w:sz w:val="16"/>
                <w:szCs w:val="16"/>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BRKHU</w:t>
            </w:r>
          </w:p>
        </w:tc>
        <w:tc>
          <w:tcPr>
            <w:tcW w:w="300" w:type="dxa"/>
            <w:vAlign w:val="bottom"/>
          </w:tcPr>
          <w:p>
            <w:pPr>
              <w:spacing w:after="0"/>
              <w:rPr>
                <w:sz w:val="16"/>
                <w:szCs w:val="16"/>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The Nasdaq Stock Market LLC</w:t>
            </w: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w w:val="98"/>
              </w:rPr>
              <w:t>Stock and one Redeemable Warrant to purchase one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of Class A common stock for $11.50 per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Class A Common Stock, par value $0.0001 per share</w:t>
            </w:r>
          </w:p>
        </w:tc>
        <w:tc>
          <w:tcPr>
            <w:tcW w:w="2280" w:type="dxa"/>
            <w:vAlign w:val="bottom"/>
            <w:gridSpan w:val="2"/>
          </w:tcPr>
          <w:p>
            <w:pPr>
              <w:jc w:val="center"/>
              <w:ind w:right="320"/>
              <w:spacing w:after="0"/>
              <w:rPr>
                <w:sz w:val="20"/>
                <w:szCs w:val="20"/>
                <w:color w:val="auto"/>
              </w:rPr>
            </w:pPr>
            <w:r>
              <w:rPr>
                <w:rFonts w:ascii="Arial" w:cs="Arial" w:eastAsia="Arial" w:hAnsi="Arial"/>
                <w:sz w:val="16"/>
                <w:szCs w:val="16"/>
                <w:color w:val="auto"/>
                <w:w w:val="98"/>
              </w:rPr>
              <w:t>BRKH</w:t>
            </w:r>
          </w:p>
        </w:tc>
        <w:tc>
          <w:tcPr>
            <w:tcW w:w="3760" w:type="dxa"/>
            <w:vAlign w:val="bottom"/>
          </w:tcPr>
          <w:p>
            <w:pPr>
              <w:jc w:val="center"/>
              <w:spacing w:after="0"/>
              <w:rPr>
                <w:sz w:val="20"/>
                <w:szCs w:val="20"/>
                <w:color w:val="auto"/>
              </w:rPr>
            </w:pPr>
            <w:r>
              <w:rPr>
                <w:rFonts w:ascii="Arial" w:cs="Arial" w:eastAsia="Arial" w:hAnsi="Arial"/>
                <w:sz w:val="16"/>
                <w:szCs w:val="16"/>
                <w:color w:val="auto"/>
                <w:w w:val="94"/>
              </w:rPr>
              <w:t>The Nasdaq Stock Market LLC</w:t>
            </w: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Warrants, each exercisable for one share of Class A</w:t>
            </w:r>
          </w:p>
        </w:tc>
        <w:tc>
          <w:tcPr>
            <w:tcW w:w="2280" w:type="dxa"/>
            <w:vAlign w:val="bottom"/>
            <w:gridSpan w:val="2"/>
          </w:tcPr>
          <w:p>
            <w:pPr>
              <w:jc w:val="center"/>
              <w:ind w:right="320"/>
              <w:spacing w:after="0"/>
              <w:rPr>
                <w:sz w:val="20"/>
                <w:szCs w:val="20"/>
                <w:color w:val="auto"/>
              </w:rPr>
            </w:pPr>
            <w:r>
              <w:rPr>
                <w:rFonts w:ascii="Arial" w:cs="Arial" w:eastAsia="Arial" w:hAnsi="Arial"/>
                <w:sz w:val="16"/>
                <w:szCs w:val="16"/>
                <w:color w:val="auto"/>
              </w:rPr>
              <w:t>BRKHW</w:t>
            </w:r>
          </w:p>
        </w:tc>
        <w:tc>
          <w:tcPr>
            <w:tcW w:w="3760" w:type="dxa"/>
            <w:vAlign w:val="bottom"/>
          </w:tcPr>
          <w:p>
            <w:pPr>
              <w:jc w:val="center"/>
              <w:spacing w:after="0"/>
              <w:rPr>
                <w:sz w:val="20"/>
                <w:szCs w:val="20"/>
                <w:color w:val="auto"/>
              </w:rPr>
            </w:pPr>
            <w:r>
              <w:rPr>
                <w:rFonts w:ascii="Arial" w:cs="Arial" w:eastAsia="Arial" w:hAnsi="Arial"/>
                <w:sz w:val="16"/>
                <w:szCs w:val="16"/>
                <w:color w:val="auto"/>
                <w:w w:val="94"/>
              </w:rPr>
              <w:t>The Nasdaq Stock Market LLC</w:t>
            </w:r>
          </w:p>
        </w:tc>
      </w:tr>
      <w:tr>
        <w:trPr>
          <w:trHeight w:val="206"/>
        </w:trPr>
        <w:tc>
          <w:tcPr>
            <w:tcW w:w="4180" w:type="dxa"/>
            <w:vAlign w:val="bottom"/>
            <w:gridSpan w:val="3"/>
          </w:tcPr>
          <w:p>
            <w:pPr>
              <w:spacing w:after="0"/>
              <w:rPr>
                <w:sz w:val="20"/>
                <w:szCs w:val="20"/>
                <w:color w:val="auto"/>
              </w:rPr>
            </w:pPr>
            <w:r>
              <w:rPr>
                <w:rFonts w:ascii="Arial" w:cs="Arial" w:eastAsia="Arial" w:hAnsi="Arial"/>
                <w:sz w:val="16"/>
                <w:szCs w:val="16"/>
                <w:color w:val="auto"/>
              </w:rPr>
              <w:t>Common Stock for $11.50 per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bl>
    <w:p>
      <w:pPr>
        <w:spacing w:after="0" w:line="91"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23" w:lineRule="exact"/>
        <w:rPr>
          <w:sz w:val="24"/>
          <w:szCs w:val="24"/>
          <w:color w:val="auto"/>
        </w:rPr>
      </w:pPr>
    </w:p>
    <w:p>
      <w:pPr>
        <w:ind w:left="1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96" w:lineRule="exact"/>
        <w:rPr>
          <w:sz w:val="24"/>
          <w:szCs w:val="24"/>
          <w:color w:val="auto"/>
        </w:rPr>
      </w:pPr>
    </w:p>
    <w:p>
      <w:pPr>
        <w:ind w:left="1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2">
            <w:col w:w="3910" w:space="720"/>
            <w:col w:w="5600"/>
          </w:cols>
          <w:pgMar w:left="830" w:top="665" w:right="839" w:bottom="1440" w:gutter="0" w:footer="0" w:header="0"/>
          <w:type w:val="continuous"/>
        </w:sectPr>
      </w:pPr>
    </w:p>
    <w:p>
      <w:pPr>
        <w:ind w:left="1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ind w:left="10" w:right="20"/>
        <w:spacing w:after="0" w:line="293" w:lineRule="auto"/>
        <w:rPr>
          <w:sz w:val="20"/>
          <w:szCs w:val="20"/>
          <w:color w:val="auto"/>
        </w:rPr>
      </w:pPr>
      <w:r>
        <w:rPr>
          <w:rFonts w:ascii="Arial" w:cs="Arial" w:eastAsia="Arial" w:hAnsi="Arial"/>
          <w:sz w:val="16"/>
          <w:szCs w:val="16"/>
          <w:color w:val="auto"/>
        </w:rPr>
        <w:t>As of August 14, 2023, there were 7,960,203 shares of Class A common stock, par value $0.0001 per share, and 9,487,500 shares of Class B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458470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72390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960" w:type="dxa"/>
            <w:vAlign w:val="bottom"/>
            <w:gridSpan w:val="24"/>
            <w:shd w:val="clear" w:color="auto" w:fill="CCEEFF"/>
          </w:tcPr>
          <w:p>
            <w:pPr>
              <w:spacing w:after="0" w:line="156" w:lineRule="exact"/>
              <w:rPr>
                <w:sz w:val="20"/>
                <w:szCs w:val="20"/>
                <w:color w:val="auto"/>
              </w:rPr>
            </w:pPr>
            <w:r>
              <w:rPr>
                <w:rFonts w:ascii="Arial" w:cs="Arial" w:eastAsia="Arial" w:hAnsi="Arial"/>
                <w:sz w:val="18"/>
                <w:szCs w:val="18"/>
                <w:b w:val="1"/>
                <w:bCs w:val="1"/>
                <w:color w:val="0000EE"/>
              </w:rPr>
              <w:t>PART 1 – FINANCIAL INFORMATION</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 1.</w:t>
            </w:r>
          </w:p>
        </w:tc>
        <w:tc>
          <w:tcPr>
            <w:tcW w:w="790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Balance Sheets as of June 30, 2023 (Unaudited) and December 31, 2022</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42" w:lineRule="exact"/>
              <w:rPr>
                <w:sz w:val="20"/>
                <w:szCs w:val="20"/>
                <w:color w:val="auto"/>
              </w:rPr>
            </w:pPr>
            <w:r>
              <w:rPr>
                <w:rFonts w:ascii="Arial" w:cs="Arial" w:eastAsia="Arial" w:hAnsi="Arial"/>
                <w:sz w:val="16"/>
                <w:szCs w:val="16"/>
                <w:color w:val="0000EE"/>
              </w:rPr>
              <w:t>Condensed Statements of Operations for the three and six months ended June 30, 2023 and 2022 (Unaudited)</w:t>
            </w: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720" w:type="dxa"/>
            <w:vAlign w:val="bottom"/>
            <w:tcBorders>
              <w:bottom w:val="single" w:sz="8" w:color="0000EE"/>
            </w:tcBorders>
            <w:gridSpan w:val="19"/>
            <w:shd w:val="clear" w:color="auto" w:fill="CCEEFF"/>
          </w:tcPr>
          <w:p>
            <w:pPr>
              <w:spacing w:after="0" w:line="162" w:lineRule="exact"/>
              <w:rPr>
                <w:sz w:val="20"/>
                <w:szCs w:val="20"/>
                <w:color w:val="auto"/>
              </w:rPr>
            </w:pPr>
            <w:r>
              <w:rPr>
                <w:rFonts w:ascii="Arial" w:cs="Arial" w:eastAsia="Arial" w:hAnsi="Arial"/>
                <w:sz w:val="16"/>
                <w:szCs w:val="16"/>
                <w:color w:val="0000EE"/>
                <w:w w:val="90"/>
              </w:rPr>
              <w:t>Condensed Statements of Changes in Stockholders’ Deficit for the three and six months ended June 30, 2023 and 2022</w:t>
            </w:r>
          </w:p>
        </w:tc>
        <w:tc>
          <w:tcPr>
            <w:tcW w:w="180" w:type="dxa"/>
            <w:vAlign w:val="bottom"/>
            <w:tcBorders>
              <w:bottom w:val="single" w:sz="8" w:color="CCEEFF"/>
            </w:tcBorders>
            <w:gridSpan w:val="2"/>
            <w:shd w:val="clear" w:color="auto" w:fill="CCEEFF"/>
          </w:tcPr>
          <w:p>
            <w:pPr>
              <w:spacing w:after="0"/>
              <w:rPr>
                <w:sz w:val="14"/>
                <w:szCs w:val="14"/>
                <w:color w:val="auto"/>
              </w:rPr>
            </w:pPr>
          </w:p>
        </w:tc>
        <w:tc>
          <w:tcPr>
            <w:tcW w:w="9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83" w:lineRule="exact"/>
              <w:rPr>
                <w:sz w:val="20"/>
                <w:szCs w:val="20"/>
                <w:color w:val="auto"/>
              </w:rPr>
            </w:pPr>
            <w:r>
              <w:rPr>
                <w:rFonts w:ascii="Arial" w:cs="Arial" w:eastAsia="Arial" w:hAnsi="Arial"/>
                <w:sz w:val="16"/>
                <w:szCs w:val="16"/>
                <w:color w:val="0000EE"/>
              </w:rPr>
              <w:t>(Unaudited)</w:t>
            </w: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 xml:space="preserve">Condensed </w:t>
            </w:r>
            <w:r>
              <w:rPr>
                <w:rFonts w:ascii="Arial" w:cs="Arial" w:eastAsia="Arial" w:hAnsi="Arial"/>
                <w:sz w:val="16"/>
                <w:szCs w:val="16"/>
                <w:color w:val="0000EE"/>
              </w:rPr>
              <w:t>Statements of Cash Flows for the six months ended June 30, 2023 and 2022 (Unaudited)</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Financial Statements (Unaudited)</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560" w:type="dxa"/>
            <w:vAlign w:val="bottom"/>
            <w:tcBorders>
              <w:bottom w:val="single" w:sz="8" w:color="CCEEFF"/>
            </w:tcBorders>
            <w:gridSpan w:val="2"/>
            <w:shd w:val="clear" w:color="auto" w:fill="CCEEFF"/>
          </w:tcPr>
          <w:p>
            <w:pPr>
              <w:spacing w:after="0"/>
              <w:rPr>
                <w:sz w:val="15"/>
                <w:szCs w:val="15"/>
                <w:color w:val="auto"/>
              </w:rPr>
            </w:pPr>
          </w:p>
        </w:tc>
        <w:tc>
          <w:tcPr>
            <w:tcW w:w="778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7"/>
              </w:rPr>
              <w:t>MANAGEMENT’S DISCUSSION AND ANALYSIS OF FINANCIAL CONDITION AND RESULTS OF</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9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OPERATIONS</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1,267,928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69,886,159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295,802,694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71,284,374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296,011,458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offering costs and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906,782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Franchise tax payable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1,565,341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Excise Tax Payable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4,949,858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15,012,358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11,359,210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Class A common stock subject to possible redemption, 6,630,703 and 28,750,000 shares at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 value of $10.54 and $10.25 as of June 30, 2023 and December 31, 2022,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69,902,439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294,796,918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6"/>
              </w:rPr>
              <w:t>Preferred stock, $0.0001 par value; 1,000,000 shares authorized; none issued and outstanding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w w:val="98"/>
              </w:rPr>
              <w:t>Class A common stock, $0.0001 par value; 280,000,000 shares authorized; 1,329,500 shares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Arial" w:cs="Arial" w:eastAsia="Arial" w:hAnsi="Arial"/>
                <w:sz w:val="18"/>
                <w:szCs w:val="18"/>
                <w:color w:val="auto"/>
              </w:rPr>
              <w:t>issued and outstanding (excluding 6,630,703 and 28,750,000 shares subject to possible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8"/>
                <w:szCs w:val="18"/>
                <w:color w:val="auto"/>
              </w:rPr>
              <w:t>redemption) as of June 30, 2023 and December 31, 2022, respectively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B common stock, $0.0001 par value; 20,000,000 shares authorized; 9,487,500 shares issued</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outstanding as of June 30, 2023 and December 31, 2022</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(13,631,505)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(10,145,752)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Deficit</w:t>
            </w: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(13,630,423)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(10,144,670)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71,284,374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296,011,458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4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77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Franchise Tax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244,271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(556,455)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(220,049)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(1,452,265)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earned on Trust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823,682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394,047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3,899,411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other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3,899,411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(168,455)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(80,676)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(773,583)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98,772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1,673,563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shares outstanding of Class A common stock subject to</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6,630,703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28,750,000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29,801,668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28,750,000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redemption, basic and diluted</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w w:val="99"/>
              </w:rPr>
              <w:t>Basic and diluted net income (loss) per common stock, Class A</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0.00</w:t>
            </w:r>
          </w:p>
        </w:tc>
        <w:tc>
          <w:tcPr>
            <w:tcW w:w="8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0.04</w:t>
            </w:r>
          </w:p>
        </w:tc>
        <w:tc>
          <w:tcPr>
            <w:tcW w:w="16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400" w:type="dxa"/>
            <w:vAlign w:val="bottom"/>
          </w:tcPr>
          <w:p>
            <w:pPr>
              <w:ind w:left="120"/>
              <w:spacing w:after="0"/>
              <w:rPr>
                <w:sz w:val="20"/>
                <w:szCs w:val="20"/>
                <w:color w:val="auto"/>
              </w:rPr>
            </w:pPr>
            <w:r>
              <w:rPr>
                <w:rFonts w:ascii="Arial" w:cs="Arial" w:eastAsia="Arial" w:hAnsi="Arial"/>
                <w:sz w:val="18"/>
                <w:szCs w:val="18"/>
                <w:b w:val="1"/>
                <w:bCs w:val="1"/>
                <w:color w:val="auto"/>
              </w:rPr>
              <w:t>subject to redemption</w:t>
            </w:r>
          </w:p>
        </w:tc>
        <w:tc>
          <w:tcPr>
            <w:tcW w:w="20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 average shares outstanding of non-redeemable Class A</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1,329,500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1,329,500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1,329,500</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1,329,500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stock, basic and diluted</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Basic and diluted net income (loss) per common stock, non-</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0.00</w:t>
            </w:r>
          </w:p>
        </w:tc>
        <w:tc>
          <w:tcPr>
            <w:tcW w:w="8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0.04</w:t>
            </w:r>
          </w:p>
        </w:tc>
        <w:tc>
          <w:tcPr>
            <w:tcW w:w="16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400" w:type="dxa"/>
            <w:vAlign w:val="bottom"/>
          </w:tcPr>
          <w:p>
            <w:pPr>
              <w:ind w:left="120"/>
              <w:spacing w:after="0"/>
              <w:rPr>
                <w:sz w:val="20"/>
                <w:szCs w:val="20"/>
                <w:color w:val="auto"/>
              </w:rPr>
            </w:pPr>
            <w:r>
              <w:rPr>
                <w:rFonts w:ascii="Arial" w:cs="Arial" w:eastAsia="Arial" w:hAnsi="Arial"/>
                <w:sz w:val="18"/>
                <w:szCs w:val="18"/>
                <w:b w:val="1"/>
                <w:bCs w:val="1"/>
                <w:color w:val="auto"/>
              </w:rPr>
              <w:t>redeemable Class A</w:t>
            </w:r>
          </w:p>
        </w:tc>
        <w:tc>
          <w:tcPr>
            <w:tcW w:w="20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w w:val="95"/>
              </w:rPr>
              <w:t>Weighted average shares outstanding of Class B common stock, basic and</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9,487,500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9,487,500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9,487,500</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9,487,500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income (loss) per Class B common stock</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8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0.04</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w w:val="93"/>
              </w:rPr>
              <w:t>Class A</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5"/>
          </w:tcPr>
          <w:p>
            <w:pPr>
              <w:jc w:val="right"/>
              <w:ind w:right="107"/>
              <w:spacing w:after="0"/>
              <w:rPr>
                <w:sz w:val="20"/>
                <w:szCs w:val="20"/>
                <w:color w:val="auto"/>
              </w:rPr>
            </w:pPr>
            <w:r>
              <w:rPr>
                <w:rFonts w:ascii="Arial" w:cs="Arial" w:eastAsia="Arial" w:hAnsi="Arial"/>
                <w:sz w:val="14"/>
                <w:szCs w:val="14"/>
                <w:b w:val="1"/>
                <w:bCs w:val="1"/>
                <w:color w:val="auto"/>
              </w:rPr>
              <w:t>Class B</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5"/>
          </w:tcPr>
          <w:p>
            <w:pPr>
              <w:ind w:left="2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1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Common Stock</w:t>
            </w:r>
          </w:p>
        </w:tc>
        <w:tc>
          <w:tcPr>
            <w:tcW w:w="40" w:type="dxa"/>
            <w:vAlign w:val="bottom"/>
          </w:tcPr>
          <w:p>
            <w:pPr>
              <w:spacing w:after="0"/>
              <w:rPr>
                <w:sz w:val="14"/>
                <w:szCs w:val="14"/>
                <w:color w:val="auto"/>
              </w:rPr>
            </w:pPr>
          </w:p>
        </w:tc>
        <w:tc>
          <w:tcPr>
            <w:tcW w:w="15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1,329,500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9,487,500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949</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(10,145,752)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(10,144,670)</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rPr>
              <w:t>Stockholder Non-Redemption Agreement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8,758,683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8,758,683</w:t>
            </w:r>
          </w:p>
        </w:tc>
        <w:tc>
          <w:tcPr>
            <w:tcW w:w="0" w:type="dxa"/>
            <w:vAlign w:val="bottom"/>
          </w:tcPr>
          <w:p>
            <w:pPr>
              <w:spacing w:after="0"/>
              <w:rPr>
                <w:sz w:val="1"/>
                <w:szCs w:val="1"/>
                <w:color w:val="auto"/>
              </w:rPr>
            </w:pPr>
          </w:p>
        </w:tc>
      </w:tr>
      <w:tr>
        <w:trPr>
          <w:trHeight w:val="202"/>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 Non-Redemption Agreement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(8,758,683)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(8,758,683)</w:t>
            </w:r>
          </w:p>
        </w:tc>
        <w:tc>
          <w:tcPr>
            <w:tcW w:w="0" w:type="dxa"/>
            <w:vAlign w:val="bottom"/>
          </w:tcPr>
          <w:p>
            <w:pPr>
              <w:spacing w:after="0"/>
              <w:rPr>
                <w:sz w:val="1"/>
                <w:szCs w:val="1"/>
                <w:color w:val="auto"/>
              </w:rPr>
            </w:pPr>
          </w:p>
        </w:tc>
      </w:tr>
      <w:tr>
        <w:trPr>
          <w:trHeight w:val="193"/>
        </w:trPr>
        <w:tc>
          <w:tcPr>
            <w:tcW w:w="3580" w:type="dxa"/>
            <w:vAlign w:val="bottom"/>
            <w:gridSpan w:val="2"/>
          </w:tcPr>
          <w:p>
            <w:pPr>
              <w:spacing w:after="0"/>
              <w:rPr>
                <w:sz w:val="20"/>
                <w:szCs w:val="20"/>
                <w:color w:val="auto"/>
              </w:rPr>
            </w:pPr>
            <w:r>
              <w:rPr>
                <w:rFonts w:ascii="Arial" w:cs="Arial" w:eastAsia="Arial" w:hAnsi="Arial"/>
                <w:sz w:val="16"/>
                <w:szCs w:val="16"/>
                <w:color w:val="auto"/>
                <w:w w:val="98"/>
              </w:rPr>
              <w:t>Excise tax liability arising from redemption of Class</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80" w:type="dxa"/>
            <w:vAlign w:val="bottom"/>
            <w:gridSpan w:val="2"/>
          </w:tcPr>
          <w:p>
            <w:pPr>
              <w:ind w:left="140"/>
              <w:spacing w:after="0"/>
              <w:rPr>
                <w:sz w:val="20"/>
                <w:szCs w:val="20"/>
                <w:color w:val="auto"/>
              </w:rPr>
            </w:pPr>
            <w:r>
              <w:rPr>
                <w:rFonts w:ascii="Arial" w:cs="Arial" w:eastAsia="Arial" w:hAnsi="Arial"/>
                <w:sz w:val="16"/>
                <w:szCs w:val="16"/>
                <w:color w:val="auto"/>
              </w:rPr>
              <w:t>A shares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(2,277,760)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(2,277,760)</w:t>
            </w:r>
          </w:p>
        </w:tc>
        <w:tc>
          <w:tcPr>
            <w:tcW w:w="0" w:type="dxa"/>
            <w:vAlign w:val="bottom"/>
          </w:tcPr>
          <w:p>
            <w:pPr>
              <w:spacing w:after="0"/>
              <w:rPr>
                <w:sz w:val="1"/>
                <w:szCs w:val="1"/>
                <w:color w:val="auto"/>
              </w:rPr>
            </w:pPr>
          </w:p>
        </w:tc>
      </w:tr>
      <w:tr>
        <w:trPr>
          <w:trHeight w:val="199"/>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Accretion for common stock subject to redemption</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amount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(2,276,329)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(2,276,329)</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1,574,791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1,574,791</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March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1,329,500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9,487,500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949</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(13,125,050)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(13,123,968)</w:t>
            </w:r>
          </w:p>
        </w:tc>
        <w:tc>
          <w:tcPr>
            <w:tcW w:w="0" w:type="dxa"/>
            <w:vAlign w:val="bottom"/>
          </w:tcPr>
          <w:p>
            <w:pPr>
              <w:spacing w:after="0"/>
              <w:rPr>
                <w:sz w:val="1"/>
                <w:szCs w:val="1"/>
                <w:color w:val="auto"/>
              </w:rPr>
            </w:pPr>
          </w:p>
        </w:tc>
      </w:tr>
      <w:tr>
        <w:trPr>
          <w:trHeight w:val="193"/>
        </w:trPr>
        <w:tc>
          <w:tcPr>
            <w:tcW w:w="3580" w:type="dxa"/>
            <w:vAlign w:val="bottom"/>
            <w:gridSpan w:val="2"/>
          </w:tcPr>
          <w:p>
            <w:pPr>
              <w:spacing w:after="0"/>
              <w:rPr>
                <w:sz w:val="20"/>
                <w:szCs w:val="20"/>
                <w:color w:val="auto"/>
              </w:rPr>
            </w:pPr>
            <w:r>
              <w:rPr>
                <w:rFonts w:ascii="Arial" w:cs="Arial" w:eastAsia="Arial" w:hAnsi="Arial"/>
                <w:sz w:val="16"/>
                <w:szCs w:val="16"/>
                <w:color w:val="auto"/>
              </w:rPr>
              <w:t>Accretion for common stock subject to redemption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80" w:type="dxa"/>
            <w:vAlign w:val="bottom"/>
            <w:gridSpan w:val="2"/>
          </w:tcPr>
          <w:p>
            <w:pPr>
              <w:ind w:left="140"/>
              <w:spacing w:after="0"/>
              <w:rPr>
                <w:sz w:val="20"/>
                <w:szCs w:val="20"/>
                <w:color w:val="auto"/>
              </w:rPr>
            </w:pPr>
            <w:r>
              <w:rPr>
                <w:rFonts w:ascii="Arial" w:cs="Arial" w:eastAsia="Arial" w:hAnsi="Arial"/>
                <w:sz w:val="16"/>
                <w:szCs w:val="16"/>
                <w:color w:val="auto"/>
              </w:rPr>
              <w:t>amount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(605,227)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(605,227)</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98,772</w:t>
            </w: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rPr>
              <w:t>Balance as of June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1,329,500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9,487,500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949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(13,631,505)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(13,630,423)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00" w:type="dxa"/>
            <w:vAlign w:val="bottom"/>
            <w:gridSpan w:val="24"/>
          </w:tcPr>
          <w:p>
            <w:pPr>
              <w:ind w:left="2720"/>
              <w:spacing w:after="0"/>
              <w:rPr>
                <w:sz w:val="20"/>
                <w:szCs w:val="20"/>
                <w:color w:val="auto"/>
              </w:rPr>
            </w:pPr>
            <w:r>
              <w:rPr>
                <w:rFonts w:ascii="Arial" w:cs="Arial" w:eastAsia="Arial" w:hAnsi="Arial"/>
                <w:sz w:val="16"/>
                <w:szCs w:val="16"/>
                <w:b w:val="1"/>
                <w:bCs w:val="1"/>
                <w:color w:val="auto"/>
              </w:rPr>
              <w:t>FOR THE THREE AND SIX MONTHS ENDED JUNE 30, 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w w:val="93"/>
              </w:rPr>
              <w:t>Class A</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jc w:val="right"/>
              <w:ind w:right="67"/>
              <w:spacing w:after="0"/>
              <w:rPr>
                <w:sz w:val="20"/>
                <w:szCs w:val="20"/>
                <w:color w:val="auto"/>
              </w:rPr>
            </w:pPr>
            <w:r>
              <w:rPr>
                <w:rFonts w:ascii="Arial" w:cs="Arial" w:eastAsia="Arial" w:hAnsi="Arial"/>
                <w:sz w:val="14"/>
                <w:szCs w:val="14"/>
                <w:b w:val="1"/>
                <w:bCs w:val="1"/>
                <w:color w:val="auto"/>
              </w:rPr>
              <w:t>Class B</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1"/>
              </w:rPr>
              <w:t>Common Stock</w:t>
            </w:r>
          </w:p>
        </w:tc>
        <w:tc>
          <w:tcPr>
            <w:tcW w:w="40" w:type="dxa"/>
            <w:vAlign w:val="bottom"/>
          </w:tcPr>
          <w:p>
            <w:pPr>
              <w:spacing w:after="0"/>
              <w:rPr>
                <w:sz w:val="14"/>
                <w:szCs w:val="14"/>
                <w:color w:val="auto"/>
              </w:rPr>
            </w:pPr>
          </w:p>
        </w:tc>
        <w:tc>
          <w:tcPr>
            <w:tcW w:w="15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1,329,500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9,487,500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949</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(8,834,941)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(8,833,859)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(96,922)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(96,922)</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2022</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1,329,500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9,487,500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949</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(8,931,863)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(8,930,781)</w:t>
            </w:r>
          </w:p>
        </w:tc>
        <w:tc>
          <w:tcPr>
            <w:tcW w:w="0" w:type="dxa"/>
            <w:vAlign w:val="bottom"/>
          </w:tcPr>
          <w:p>
            <w:pPr>
              <w:spacing w:after="0"/>
              <w:rPr>
                <w:sz w:val="1"/>
                <w:szCs w:val="1"/>
                <w:color w:val="auto"/>
              </w:rPr>
            </w:pPr>
          </w:p>
        </w:tc>
      </w:tr>
      <w:tr>
        <w:trPr>
          <w:trHeight w:val="193"/>
        </w:trPr>
        <w:tc>
          <w:tcPr>
            <w:tcW w:w="3580" w:type="dxa"/>
            <w:vAlign w:val="bottom"/>
            <w:gridSpan w:val="2"/>
          </w:tcPr>
          <w:p>
            <w:pPr>
              <w:spacing w:after="0"/>
              <w:rPr>
                <w:sz w:val="20"/>
                <w:szCs w:val="20"/>
                <w:color w:val="auto"/>
              </w:rPr>
            </w:pPr>
            <w:r>
              <w:rPr>
                <w:rFonts w:ascii="Arial" w:cs="Arial" w:eastAsia="Arial" w:hAnsi="Arial"/>
                <w:sz w:val="16"/>
                <w:szCs w:val="16"/>
                <w:color w:val="auto"/>
              </w:rPr>
              <w:t>Accretion for common stock subject to redemption</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vMerge w:val="restart"/>
          </w:tcPr>
          <w:p>
            <w:pPr>
              <w:ind w:lef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(301,602)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(301,602)</w:t>
            </w:r>
          </w:p>
        </w:tc>
        <w:tc>
          <w:tcPr>
            <w:tcW w:w="0" w:type="dxa"/>
            <w:vAlign w:val="bottom"/>
          </w:tcPr>
          <w:p>
            <w:pPr>
              <w:spacing w:after="0"/>
              <w:rPr>
                <w:sz w:val="1"/>
                <w:szCs w:val="1"/>
                <w:color w:val="auto"/>
              </w:rPr>
            </w:pPr>
          </w:p>
        </w:tc>
      </w:tr>
      <w:tr>
        <w:trPr>
          <w:trHeight w:val="212"/>
        </w:trPr>
        <w:tc>
          <w:tcPr>
            <w:tcW w:w="3580" w:type="dxa"/>
            <w:vAlign w:val="bottom"/>
            <w:gridSpan w:val="2"/>
          </w:tcPr>
          <w:p>
            <w:pPr>
              <w:ind w:left="140"/>
              <w:spacing w:after="0"/>
              <w:rPr>
                <w:sz w:val="20"/>
                <w:szCs w:val="20"/>
                <w:color w:val="auto"/>
              </w:rPr>
            </w:pPr>
            <w:r>
              <w:rPr>
                <w:rFonts w:ascii="Arial" w:cs="Arial" w:eastAsia="Arial" w:hAnsi="Arial"/>
                <w:sz w:val="16"/>
                <w:szCs w:val="16"/>
                <w:color w:val="auto"/>
              </w:rPr>
              <w:t>amount</w:t>
            </w: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93,322</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as of June 30, 2022</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1,329,500</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4"/>
              </w:rPr>
              <w:t>9,487,500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949</w:t>
            </w:r>
          </w:p>
        </w:tc>
        <w:tc>
          <w:tcPr>
            <w:tcW w:w="14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(9,140,143)</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(9,139,061)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1,673,563</w:t>
            </w:r>
          </w:p>
        </w:tc>
        <w:tc>
          <w:tcPr>
            <w:tcW w:w="100" w:type="dxa"/>
            <w:vAlign w:val="bottom"/>
          </w:tcPr>
          <w:p>
            <w:pPr>
              <w:spacing w:after="0"/>
              <w:rPr>
                <w:sz w:val="18"/>
                <w:szCs w:val="18"/>
                <w:color w:val="auto"/>
              </w:rPr>
            </w:pP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(3,899,411)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current assets and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offering costs and expenses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Due to related party</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Franchise tax payable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payable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773,583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(773,224)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withdrawn from Trust Account to pay franchise and income taxes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2,039,910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in connection with redemptions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227,776,035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229,815,945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note payable-related party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Redemption of Common Stock</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(227,776,035)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(227,676,060)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1,245,696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(917,970)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beginning of the period</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1,267,928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Excise tax liability arising from redemption of Class A shares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2,277,760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Accretion of Class A common stock subject to possible redemption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2,881,556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301,602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Business Operation, 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2023, the Company had not commenced any operations. All activity for the period from March 2, 2021 (inception) through June 30, 2023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BurTech LP LLC, (the “Sponsor”).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will have only 15 months from the closing of the IPO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w:t>
      </w:r>
    </w:p>
    <w:p>
      <w:pPr>
        <w:spacing w:after="0" w:line="5" w:lineRule="exact"/>
        <w:rPr>
          <w:sz w:val="20"/>
          <w:szCs w:val="20"/>
          <w:color w:val="auto"/>
        </w:rPr>
      </w:pPr>
    </w:p>
    <w:p>
      <w:pPr>
        <w:jc w:val="both"/>
        <w:ind w:firstLine="8"/>
        <w:spacing w:after="0" w:line="255" w:lineRule="auto"/>
        <w:tabs>
          <w:tab w:leader="none" w:pos="322"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10, 2023, the Company and Sponsor entered into a non-redemption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B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stockholders redeemed 22,119,297 shares. As a result, approximately $227.8 million (approximately $10.30 per share) was removed from the Company’s trust account to pay such holders. Following redemptions, the Company will have 6,630,703 shares of Class A common stock outstanding, and approximately $68.0 million will remain in the Company’s trust account.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23, 2023, the Company received a notification letter from the Listing Qualifications Department of NASDAQ indicating that, as a result of the Company’s delay in filing its Quarterly Report on Form 10-Q for the period ended March 31, 2023 with the SEC, the Company was not in compliance with the requirements for continued listing under Nasdaq Listing Rule 5250(c)(1). The notification letter has no immediate effect on the listing or trading of the Company’s common stock on the Nasdaq Global Market. The Notice states that the Company has 60 calendar days from the date of the Notice, or July 24, 2023, to submit a plan to regain compliance with the Listing Rule.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2023, the Company had $1,267,928 in its operating bank accounts, $69,886,159 in investments held in the Trust Account to be used for a Business Combination or to repurchase or redeem its Public Shares in connection therewith and working capital deficit of $3,567,923. As of June 30, 2023, $2,584,524 of the amount on deposit in the Trust Account represented interest income.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liquidity needs up to June 30, 2023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June 30, 2023, the Company had $99,975 outstanding under a Working Capital Loans. As of December 31, 2022, the Company had no balance outstanding under a Working Capital Loan.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less than 7 months from its mandatory liquidation as of the time of filing this Quarterly Report on Form 10-Q.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condensed financial statements are issued.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conditions raise substantial doubt about the Company’s ability to continue as a going concern.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financial statements reflect all adjustments, which include only normal recurring adjustments necessary for the fair statement of the balances and results for the periods presented. The interim results for the three and six months ended June 30, 2023 are not necessarily indicative of the results to be expected for the year ending December 31, 2023 or for any future interim periods.</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Company’s Annual Report on Form 10-K as of and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One of the more significant accounting estimates included in these unaudited condensed financial statements is the determination of fair value of the warrant liabilities. Such estimates may be subject to change as more current information becomes available and accordingly, the actual results could differ significantly from those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As of June 30, 2023 and December 31, 2022, the Company had $1,267,928 and $22,232 in cash, respectively, and no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2023 and December 31, 2022, the Company had $69,886,159 and $295,802,694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June 30, 2023 and December 31, 2022, 6,630,703 and 28,750,000 Class A common stock subject to possible redemption are presented at redemption value as temporary equity, outside of the stockholders’ deficit section of the Company’s balance sheets, respectively.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income taxes under ASC 740, “Income Taxes.” ASC 740, Income Taxes, requires the recognition of deferred tax assets and liabilities for both the expected impact of differences between the unaudited condensed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June 30, 2023 and December 31, 2022, the Company’s deferred tax asset had a full valuation allowance recorded against it.</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effective tax rate was 63.04% and 46.14% for the three months ended June 30, 2023 and 2022, respectively, and 31.61% and 104.16% for the six months ended June 30, 2023 and 2022, respectively. The effective tax rate differs from the statutory tax rate of 21% due to the valuation allowance on the deferred tax assets and deductibility of penalties on tax obligations.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June 30, 2023 and December 31, 2022. The Company is currently not aware of any issues under review that could result in significant payments, accruals or material deviation from its position.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Stock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and six months ended June 30, 2023 and 2022 because the warrants are contingently exercisable, and the contingencies have not yet been met and its inclusion would be anti- dilutive. As a result, diluted net loss per common stock is the same as basic net loss per common stock for the periods. The table below presents a reconciliation of the numerator and denominator used to compute basic and diluted net loss per share for each class of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10"/>
          </w:tcPr>
          <w:p>
            <w:pPr>
              <w:jc w:val="center"/>
              <w:ind w:right="2"/>
              <w:spacing w:after="0"/>
              <w:rPr>
                <w:sz w:val="20"/>
                <w:szCs w:val="20"/>
                <w:color w:val="auto"/>
              </w:rPr>
            </w:pPr>
            <w:r>
              <w:rPr>
                <w:rFonts w:ascii="Arial" w:cs="Arial" w:eastAsia="Arial" w:hAnsi="Arial"/>
                <w:sz w:val="12"/>
                <w:szCs w:val="12"/>
                <w:b w:val="1"/>
                <w:bCs w:val="1"/>
                <w:color w:val="auto"/>
                <w:w w:val="88"/>
              </w:rPr>
              <w:t>For the three-month period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gridSpan w:val="10"/>
          </w:tcPr>
          <w:p>
            <w:pPr>
              <w:jc w:val="center"/>
              <w:ind w:right="80"/>
              <w:spacing w:after="0"/>
              <w:rPr>
                <w:sz w:val="20"/>
                <w:szCs w:val="20"/>
                <w:color w:val="auto"/>
              </w:rPr>
            </w:pPr>
            <w:r>
              <w:rPr>
                <w:rFonts w:ascii="Arial" w:cs="Arial" w:eastAsia="Arial" w:hAnsi="Arial"/>
                <w:sz w:val="12"/>
                <w:szCs w:val="12"/>
                <w:b w:val="1"/>
                <w:bCs w:val="1"/>
                <w:color w:val="auto"/>
                <w:w w:val="88"/>
              </w:rPr>
              <w:t>For the three-month period ended</w:t>
            </w:r>
          </w:p>
        </w:tc>
      </w:tr>
      <w:tr>
        <w:trPr>
          <w:trHeight w:val="143"/>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2"/>
                <w:szCs w:val="12"/>
                <w:b w:val="1"/>
                <w:bCs w:val="1"/>
                <w:color w:val="auto"/>
                <w:w w:val="87"/>
              </w:rPr>
              <w:t>June 30, 2023</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b w:val="1"/>
                <w:bCs w:val="1"/>
                <w:color w:val="auto"/>
                <w:w w:val="87"/>
              </w:rPr>
              <w:t>June 30, 2022</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6"/>
          </w:tcPr>
          <w:p>
            <w:pPr>
              <w:ind w:left="600"/>
              <w:spacing w:after="0" w:line="129" w:lineRule="exact"/>
              <w:rPr>
                <w:sz w:val="20"/>
                <w:szCs w:val="20"/>
                <w:color w:val="auto"/>
              </w:rPr>
            </w:pPr>
            <w:r>
              <w:rPr>
                <w:rFonts w:ascii="Arial" w:cs="Arial" w:eastAsia="Arial" w:hAnsi="Arial"/>
                <w:sz w:val="12"/>
                <w:szCs w:val="12"/>
                <w:b w:val="1"/>
                <w:bCs w:val="1"/>
                <w:color w:val="auto"/>
              </w:rPr>
              <w:t>Class A</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2"/>
              <w:spacing w:after="0" w:line="129" w:lineRule="exact"/>
              <w:rPr>
                <w:sz w:val="20"/>
                <w:szCs w:val="20"/>
                <w:color w:val="auto"/>
              </w:rPr>
            </w:pPr>
            <w:r>
              <w:rPr>
                <w:rFonts w:ascii="Arial" w:cs="Arial" w:eastAsia="Arial" w:hAnsi="Arial"/>
                <w:sz w:val="12"/>
                <w:szCs w:val="12"/>
                <w:b w:val="1"/>
                <w:bCs w:val="1"/>
                <w:color w:val="auto"/>
                <w:w w:val="86"/>
              </w:rPr>
              <w:t>Class B</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5"/>
          </w:tcPr>
          <w:p>
            <w:pPr>
              <w:jc w:val="right"/>
              <w:ind w:right="680"/>
              <w:spacing w:after="0" w:line="129" w:lineRule="exact"/>
              <w:rPr>
                <w:sz w:val="20"/>
                <w:szCs w:val="20"/>
                <w:color w:val="auto"/>
              </w:rPr>
            </w:pPr>
            <w:r>
              <w:rPr>
                <w:rFonts w:ascii="Arial" w:cs="Arial" w:eastAsia="Arial" w:hAnsi="Arial"/>
                <w:sz w:val="12"/>
                <w:szCs w:val="12"/>
                <w:b w:val="1"/>
                <w:bCs w:val="1"/>
                <w:color w:val="auto"/>
              </w:rPr>
              <w:t>Class A</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
              <w:spacing w:after="0" w:line="129" w:lineRule="exact"/>
              <w:rPr>
                <w:sz w:val="20"/>
                <w:szCs w:val="20"/>
                <w:color w:val="auto"/>
              </w:rPr>
            </w:pPr>
            <w:r>
              <w:rPr>
                <w:rFonts w:ascii="Arial" w:cs="Arial" w:eastAsia="Arial" w:hAnsi="Arial"/>
                <w:sz w:val="12"/>
                <w:szCs w:val="12"/>
                <w:b w:val="1"/>
                <w:bCs w:val="1"/>
                <w:color w:val="auto"/>
                <w:w w:val="86"/>
              </w:rPr>
              <w:t>Class B</w:t>
            </w:r>
          </w:p>
        </w:tc>
        <w:tc>
          <w:tcPr>
            <w:tcW w:w="20" w:type="dxa"/>
            <w:vAlign w:val="bottom"/>
          </w:tcPr>
          <w:p>
            <w:pPr>
              <w:spacing w:after="0"/>
              <w:rPr>
                <w:sz w:val="11"/>
                <w:szCs w:val="11"/>
                <w:color w:val="auto"/>
              </w:rPr>
            </w:pPr>
          </w:p>
        </w:tc>
      </w:tr>
      <w:tr>
        <w:trPr>
          <w:trHeight w:val="120"/>
        </w:trPr>
        <w:tc>
          <w:tcPr>
            <w:tcW w:w="4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22"/>
              <w:spacing w:after="0" w:line="121" w:lineRule="exact"/>
              <w:rPr>
                <w:sz w:val="20"/>
                <w:szCs w:val="20"/>
                <w:color w:val="auto"/>
              </w:rPr>
            </w:pPr>
            <w:r>
              <w:rPr>
                <w:rFonts w:ascii="Arial" w:cs="Arial" w:eastAsia="Arial" w:hAnsi="Arial"/>
                <w:sz w:val="12"/>
                <w:szCs w:val="12"/>
                <w:b w:val="1"/>
                <w:bCs w:val="1"/>
                <w:color w:val="auto"/>
                <w:w w:val="84"/>
              </w:rPr>
              <w:t>Redeemable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jc w:val="center"/>
              <w:ind w:right="20"/>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2"/>
              <w:spacing w:after="0" w:line="121" w:lineRule="exact"/>
              <w:rPr>
                <w:sz w:val="20"/>
                <w:szCs w:val="20"/>
                <w:color w:val="auto"/>
              </w:rPr>
            </w:pPr>
            <w:r>
              <w:rPr>
                <w:rFonts w:ascii="Arial" w:cs="Arial" w:eastAsia="Arial" w:hAnsi="Arial"/>
                <w:sz w:val="12"/>
                <w:szCs w:val="12"/>
                <w:b w:val="1"/>
                <w:bCs w:val="1"/>
                <w:color w:val="auto"/>
                <w:w w:val="84"/>
              </w:rPr>
              <w:t>Redeemable</w:t>
            </w:r>
          </w:p>
        </w:tc>
        <w:tc>
          <w:tcPr>
            <w:tcW w:w="120" w:type="dxa"/>
            <w:vAlign w:val="bottom"/>
          </w:tcPr>
          <w:p>
            <w:pPr>
              <w:spacing w:after="0"/>
              <w:rPr>
                <w:sz w:val="10"/>
                <w:szCs w:val="10"/>
                <w:color w:val="auto"/>
              </w:rPr>
            </w:pPr>
          </w:p>
        </w:tc>
        <w:tc>
          <w:tcPr>
            <w:tcW w:w="860" w:type="dxa"/>
            <w:vAlign w:val="bottom"/>
            <w:gridSpan w:val="3"/>
          </w:tcPr>
          <w:p>
            <w:pPr>
              <w:ind w:left="20"/>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20" w:type="dxa"/>
            <w:vAlign w:val="bottom"/>
          </w:tcPr>
          <w:p>
            <w:pPr>
              <w:spacing w:after="0"/>
              <w:rPr>
                <w:sz w:val="10"/>
                <w:szCs w:val="10"/>
                <w:color w:val="auto"/>
              </w:rPr>
            </w:pPr>
          </w:p>
        </w:tc>
      </w:tr>
      <w:tr>
        <w:trPr>
          <w:trHeight w:val="143"/>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b w:val="1"/>
                <w:bCs w:val="1"/>
                <w:color w:val="auto"/>
                <w:w w:val="84"/>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4"/>
              </w:rPr>
              <w:t>common stock</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common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common 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common stock</w:t>
            </w:r>
          </w:p>
        </w:tc>
      </w:tr>
      <w:tr>
        <w:trPr>
          <w:trHeight w:val="128"/>
        </w:trPr>
        <w:tc>
          <w:tcPr>
            <w:tcW w:w="4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Basic and diluted net income per share:</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b w:val="1"/>
                <w:bCs w:val="1"/>
                <w:color w:val="auto"/>
              </w:rPr>
              <w:t>Numerator: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Allocation of net income</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37,537</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7,526</w:t>
            </w:r>
          </w:p>
        </w:tc>
        <w:tc>
          <w:tcPr>
            <w:tcW w:w="20" w:type="dxa"/>
            <w:vAlign w:val="bottom"/>
            <w:shd w:val="clear" w:color="auto" w:fill="CCEEFF"/>
          </w:tcPr>
          <w:p>
            <w:pPr>
              <w:spacing w:after="0"/>
              <w:rPr>
                <w:sz w:val="11"/>
                <w:szCs w:val="11"/>
                <w:color w:val="auto"/>
              </w:rPr>
            </w:pPr>
          </w:p>
        </w:tc>
        <w:tc>
          <w:tcPr>
            <w:tcW w:w="260" w:type="dxa"/>
            <w:vAlign w:val="bottom"/>
            <w:gridSpan w:val="3"/>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53,709</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67,809</w:t>
            </w:r>
          </w:p>
        </w:tc>
        <w:tc>
          <w:tcPr>
            <w:tcW w:w="2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3,136</w:t>
            </w: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22,377</w:t>
            </w:r>
          </w:p>
        </w:tc>
        <w:tc>
          <w:tcPr>
            <w:tcW w:w="2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b w:val="1"/>
                <w:bCs w:val="1"/>
                <w:color w:val="auto"/>
              </w:rPr>
              <w:t>Denominator:</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00" w:type="dxa"/>
            <w:vAlign w:val="bottom"/>
          </w:tcPr>
          <w:p>
            <w:pPr>
              <w:ind w:left="120"/>
              <w:spacing w:after="0" w:line="135" w:lineRule="exact"/>
              <w:rPr>
                <w:sz w:val="20"/>
                <w:szCs w:val="20"/>
                <w:color w:val="auto"/>
              </w:rPr>
            </w:pPr>
            <w:r>
              <w:rPr>
                <w:rFonts w:ascii="Arial" w:cs="Arial" w:eastAsia="Arial" w:hAnsi="Arial"/>
                <w:sz w:val="12"/>
                <w:szCs w:val="12"/>
                <w:color w:val="auto"/>
                <w:w w:val="89"/>
              </w:rPr>
              <w:t>Weighted-average shares outstanding including common stock subject to redemption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6,630,703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1,329,500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9,487,500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28,750,000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1,329,500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9,487,500</w:t>
            </w:r>
          </w:p>
        </w:tc>
        <w:tc>
          <w:tcPr>
            <w:tcW w:w="20" w:type="dxa"/>
            <w:vAlign w:val="bottom"/>
          </w:tcPr>
          <w:p>
            <w:pPr>
              <w:spacing w:after="0"/>
              <w:rPr>
                <w:sz w:val="11"/>
                <w:szCs w:val="11"/>
                <w:color w:val="auto"/>
              </w:rPr>
            </w:pPr>
          </w:p>
        </w:tc>
      </w:tr>
      <w:tr>
        <w:trPr>
          <w:trHeight w:val="135"/>
        </w:trPr>
        <w:tc>
          <w:tcPr>
            <w:tcW w:w="42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b w:val="1"/>
                <w:bCs w:val="1"/>
                <w:color w:val="auto"/>
              </w:rPr>
              <w:t>Basic and diluted net income per share</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0.01</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0.01</w:t>
            </w:r>
          </w:p>
        </w:tc>
        <w:tc>
          <w:tcPr>
            <w:tcW w:w="20" w:type="dxa"/>
            <w:vAlign w:val="bottom"/>
            <w:shd w:val="clear" w:color="auto" w:fill="CCEEFF"/>
          </w:tcPr>
          <w:p>
            <w:pPr>
              <w:spacing w:after="0"/>
              <w:rPr>
                <w:sz w:val="11"/>
                <w:szCs w:val="11"/>
                <w:color w:val="auto"/>
              </w:rPr>
            </w:pPr>
          </w:p>
        </w:tc>
        <w:tc>
          <w:tcPr>
            <w:tcW w:w="260" w:type="dxa"/>
            <w:vAlign w:val="bottom"/>
            <w:gridSpan w:val="3"/>
            <w:shd w:val="clear" w:color="auto" w:fill="CCEEFF"/>
          </w:tcPr>
          <w:p>
            <w:pPr>
              <w:jc w:val="right"/>
              <w:ind w:right="22"/>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0.01</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0.00</w:t>
            </w:r>
          </w:p>
        </w:tc>
        <w:tc>
          <w:tcPr>
            <w:tcW w:w="20" w:type="dxa"/>
            <w:vAlign w:val="bottom"/>
          </w:tcPr>
          <w:p>
            <w:pPr>
              <w:spacing w:after="0"/>
              <w:rPr>
                <w:sz w:val="11"/>
                <w:szCs w:val="11"/>
                <w:color w:val="auto"/>
              </w:rPr>
            </w:pPr>
          </w:p>
        </w:tc>
      </w:tr>
      <w:tr>
        <w:trPr>
          <w:trHeight w:val="356"/>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10"/>
          </w:tcPr>
          <w:p>
            <w:pPr>
              <w:jc w:val="center"/>
              <w:ind w:right="42"/>
              <w:spacing w:after="0"/>
              <w:rPr>
                <w:sz w:val="20"/>
                <w:szCs w:val="20"/>
                <w:color w:val="auto"/>
              </w:rPr>
            </w:pPr>
            <w:r>
              <w:rPr>
                <w:rFonts w:ascii="Arial" w:cs="Arial" w:eastAsia="Arial" w:hAnsi="Arial"/>
                <w:sz w:val="12"/>
                <w:szCs w:val="12"/>
                <w:b w:val="1"/>
                <w:bCs w:val="1"/>
                <w:color w:val="auto"/>
                <w:w w:val="87"/>
              </w:rPr>
              <w:t>For the six-month period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gridSpan w:val="10"/>
          </w:tcPr>
          <w:p>
            <w:pPr>
              <w:ind w:left="500"/>
              <w:spacing w:after="0"/>
              <w:rPr>
                <w:sz w:val="20"/>
                <w:szCs w:val="20"/>
                <w:color w:val="auto"/>
              </w:rPr>
            </w:pPr>
            <w:r>
              <w:rPr>
                <w:rFonts w:ascii="Arial" w:cs="Arial" w:eastAsia="Arial" w:hAnsi="Arial"/>
                <w:sz w:val="12"/>
                <w:szCs w:val="12"/>
                <w:b w:val="1"/>
                <w:bCs w:val="1"/>
                <w:color w:val="auto"/>
              </w:rPr>
              <w:t>For the six-month period ended</w:t>
            </w:r>
          </w:p>
        </w:tc>
      </w:tr>
      <w:tr>
        <w:trPr>
          <w:trHeight w:val="143"/>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June 30, 2023</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b w:val="1"/>
                <w:bCs w:val="1"/>
                <w:color w:val="auto"/>
                <w:w w:val="87"/>
              </w:rPr>
              <w:t>June 30, 2022</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6"/>
          </w:tcPr>
          <w:p>
            <w:pPr>
              <w:ind w:left="620"/>
              <w:spacing w:after="0" w:line="129" w:lineRule="exact"/>
              <w:rPr>
                <w:sz w:val="20"/>
                <w:szCs w:val="20"/>
                <w:color w:val="auto"/>
              </w:rPr>
            </w:pPr>
            <w:r>
              <w:rPr>
                <w:rFonts w:ascii="Arial" w:cs="Arial" w:eastAsia="Arial" w:hAnsi="Arial"/>
                <w:sz w:val="12"/>
                <w:szCs w:val="12"/>
                <w:b w:val="1"/>
                <w:bCs w:val="1"/>
                <w:color w:val="auto"/>
              </w:rPr>
              <w:t>Class A</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102"/>
              <w:spacing w:after="0" w:line="129" w:lineRule="exact"/>
              <w:rPr>
                <w:sz w:val="20"/>
                <w:szCs w:val="20"/>
                <w:color w:val="auto"/>
              </w:rPr>
            </w:pPr>
            <w:r>
              <w:rPr>
                <w:rFonts w:ascii="Arial" w:cs="Arial" w:eastAsia="Arial" w:hAnsi="Arial"/>
                <w:sz w:val="12"/>
                <w:szCs w:val="12"/>
                <w:b w:val="1"/>
                <w:bCs w:val="1"/>
                <w:color w:val="auto"/>
                <w:w w:val="86"/>
              </w:rPr>
              <w:t>Class B</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5"/>
          </w:tcPr>
          <w:p>
            <w:pPr>
              <w:jc w:val="right"/>
              <w:ind w:right="700"/>
              <w:spacing w:after="0" w:line="129" w:lineRule="exact"/>
              <w:rPr>
                <w:sz w:val="20"/>
                <w:szCs w:val="20"/>
                <w:color w:val="auto"/>
              </w:rPr>
            </w:pPr>
            <w:r>
              <w:rPr>
                <w:rFonts w:ascii="Arial" w:cs="Arial" w:eastAsia="Arial" w:hAnsi="Arial"/>
                <w:sz w:val="12"/>
                <w:szCs w:val="12"/>
                <w:b w:val="1"/>
                <w:bCs w:val="1"/>
                <w:color w:val="auto"/>
              </w:rPr>
              <w:t>Class A</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42"/>
              <w:spacing w:after="0" w:line="129" w:lineRule="exact"/>
              <w:rPr>
                <w:sz w:val="20"/>
                <w:szCs w:val="20"/>
                <w:color w:val="auto"/>
              </w:rPr>
            </w:pPr>
            <w:r>
              <w:rPr>
                <w:rFonts w:ascii="Arial" w:cs="Arial" w:eastAsia="Arial" w:hAnsi="Arial"/>
                <w:sz w:val="12"/>
                <w:szCs w:val="12"/>
                <w:b w:val="1"/>
                <w:bCs w:val="1"/>
                <w:color w:val="auto"/>
                <w:w w:val="86"/>
              </w:rPr>
              <w:t>Class B</w:t>
            </w:r>
          </w:p>
        </w:tc>
        <w:tc>
          <w:tcPr>
            <w:tcW w:w="20" w:type="dxa"/>
            <w:vAlign w:val="bottom"/>
          </w:tcPr>
          <w:p>
            <w:pPr>
              <w:spacing w:after="0"/>
              <w:rPr>
                <w:sz w:val="11"/>
                <w:szCs w:val="11"/>
                <w:color w:val="auto"/>
              </w:rPr>
            </w:pPr>
          </w:p>
        </w:tc>
      </w:tr>
      <w:tr>
        <w:trPr>
          <w:trHeight w:val="120"/>
        </w:trPr>
        <w:tc>
          <w:tcPr>
            <w:tcW w:w="4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5"/>
          </w:tcPr>
          <w:p>
            <w:pPr>
              <w:jc w:val="right"/>
              <w:spacing w:after="0" w:line="121" w:lineRule="exact"/>
              <w:rPr>
                <w:sz w:val="20"/>
                <w:szCs w:val="20"/>
                <w:color w:val="auto"/>
              </w:rPr>
            </w:pPr>
            <w:r>
              <w:rPr>
                <w:rFonts w:ascii="Arial" w:cs="Arial" w:eastAsia="Arial" w:hAnsi="Arial"/>
                <w:sz w:val="12"/>
                <w:szCs w:val="12"/>
                <w:b w:val="1"/>
                <w:bCs w:val="1"/>
                <w:color w:val="auto"/>
                <w:w w:val="93"/>
              </w:rPr>
              <w:t>Redeemable   Non-redeemable</w:t>
            </w:r>
          </w:p>
        </w:tc>
        <w:tc>
          <w:tcPr>
            <w:tcW w:w="120" w:type="dxa"/>
            <w:vAlign w:val="bottom"/>
            <w:gridSpan w:val="2"/>
          </w:tcPr>
          <w:p>
            <w:pPr>
              <w:spacing w:after="0"/>
              <w:rPr>
                <w:sz w:val="10"/>
                <w:szCs w:val="10"/>
                <w:color w:val="auto"/>
              </w:rPr>
            </w:pPr>
          </w:p>
        </w:tc>
        <w:tc>
          <w:tcPr>
            <w:tcW w:w="86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4"/>
          </w:tcPr>
          <w:p>
            <w:pPr>
              <w:jc w:val="center"/>
              <w:spacing w:after="0" w:line="121" w:lineRule="exact"/>
              <w:rPr>
                <w:sz w:val="20"/>
                <w:szCs w:val="20"/>
                <w:color w:val="auto"/>
              </w:rPr>
            </w:pPr>
            <w:r>
              <w:rPr>
                <w:rFonts w:ascii="Arial" w:cs="Arial" w:eastAsia="Arial" w:hAnsi="Arial"/>
                <w:sz w:val="12"/>
                <w:szCs w:val="12"/>
                <w:b w:val="1"/>
                <w:bCs w:val="1"/>
                <w:color w:val="auto"/>
                <w:w w:val="93"/>
              </w:rPr>
              <w:t>Redeemable   Non-redeemable</w:t>
            </w:r>
          </w:p>
        </w:tc>
        <w:tc>
          <w:tcPr>
            <w:tcW w:w="120" w:type="dxa"/>
            <w:vAlign w:val="bottom"/>
            <w:gridSpan w:val="2"/>
          </w:tcPr>
          <w:p>
            <w:pPr>
              <w:spacing w:after="0"/>
              <w:rPr>
                <w:sz w:val="10"/>
                <w:szCs w:val="10"/>
                <w:color w:val="auto"/>
              </w:rPr>
            </w:pPr>
          </w:p>
        </w:tc>
        <w:tc>
          <w:tcPr>
            <w:tcW w:w="90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20" w:type="dxa"/>
            <w:vAlign w:val="bottom"/>
          </w:tcPr>
          <w:p>
            <w:pPr>
              <w:spacing w:after="0"/>
              <w:rPr>
                <w:sz w:val="10"/>
                <w:szCs w:val="10"/>
                <w:color w:val="auto"/>
              </w:rPr>
            </w:pPr>
          </w:p>
        </w:tc>
      </w:tr>
      <w:tr>
        <w:trPr>
          <w:trHeight w:val="143"/>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b w:val="1"/>
                <w:bCs w:val="1"/>
                <w:color w:val="auto"/>
                <w:w w:val="87"/>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4"/>
              </w:rPr>
              <w:t>common stock</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common stock</w:t>
            </w:r>
          </w:p>
        </w:tc>
        <w:tc>
          <w:tcPr>
            <w:tcW w:w="120" w:type="dxa"/>
            <w:vAlign w:val="bottom"/>
          </w:tcPr>
          <w:p>
            <w:pPr>
              <w:spacing w:after="0"/>
              <w:rPr>
                <w:sz w:val="12"/>
                <w:szCs w:val="1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89"/>
              </w:rPr>
              <w:t>common 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common stock</w:t>
            </w:r>
          </w:p>
        </w:tc>
      </w:tr>
      <w:tr>
        <w:trPr>
          <w:trHeight w:val="128"/>
        </w:trPr>
        <w:tc>
          <w:tcPr>
            <w:tcW w:w="4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Basic and diluted net income (loss) per share:</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b w:val="1"/>
                <w:bCs w:val="1"/>
                <w:color w:val="auto"/>
              </w:rPr>
              <w:t>Numerator: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Allocation of net income (loss)</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1,227,883</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54,778</w:t>
            </w:r>
          </w:p>
        </w:tc>
        <w:tc>
          <w:tcPr>
            <w:tcW w:w="20" w:type="dxa"/>
            <w:vAlign w:val="bottom"/>
            <w:shd w:val="clear" w:color="auto" w:fill="CCEEFF"/>
          </w:tcPr>
          <w:p>
            <w:pPr>
              <w:spacing w:after="0"/>
              <w:rPr>
                <w:sz w:val="11"/>
                <w:szCs w:val="11"/>
                <w:color w:val="auto"/>
              </w:rPr>
            </w:pPr>
          </w:p>
        </w:tc>
        <w:tc>
          <w:tcPr>
            <w:tcW w:w="260" w:type="dxa"/>
            <w:vAlign w:val="bottom"/>
            <w:gridSpan w:val="3"/>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390,902</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(2,616)</w:t>
            </w:r>
          </w:p>
        </w:tc>
        <w:tc>
          <w:tcPr>
            <w:tcW w:w="26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(121)</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(863)</w:t>
            </w:r>
          </w:p>
        </w:tc>
        <w:tc>
          <w:tcPr>
            <w:tcW w:w="2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b w:val="1"/>
                <w:bCs w:val="1"/>
                <w:color w:val="auto"/>
              </w:rPr>
              <w:t>Denominator:</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00" w:type="dxa"/>
            <w:vAlign w:val="bottom"/>
          </w:tcPr>
          <w:p>
            <w:pPr>
              <w:ind w:left="120"/>
              <w:spacing w:after="0" w:line="135" w:lineRule="exact"/>
              <w:rPr>
                <w:sz w:val="20"/>
                <w:szCs w:val="20"/>
                <w:color w:val="auto"/>
              </w:rPr>
            </w:pPr>
            <w:r>
              <w:rPr>
                <w:rFonts w:ascii="Arial" w:cs="Arial" w:eastAsia="Arial" w:hAnsi="Arial"/>
                <w:sz w:val="12"/>
                <w:szCs w:val="12"/>
                <w:color w:val="auto"/>
                <w:w w:val="89"/>
              </w:rPr>
              <w:t>Weighted-average shares outstanding including common stock subject to redemption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29,801,668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1,329,500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9,487,500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28,750,000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1,329,500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9,487,500</w:t>
            </w:r>
          </w:p>
        </w:tc>
        <w:tc>
          <w:tcPr>
            <w:tcW w:w="20" w:type="dxa"/>
            <w:vAlign w:val="bottom"/>
          </w:tcPr>
          <w:p>
            <w:pPr>
              <w:spacing w:after="0"/>
              <w:rPr>
                <w:sz w:val="11"/>
                <w:szCs w:val="11"/>
                <w:color w:val="auto"/>
              </w:rPr>
            </w:pPr>
          </w:p>
        </w:tc>
      </w:tr>
      <w:tr>
        <w:trPr>
          <w:trHeight w:val="135"/>
        </w:trPr>
        <w:tc>
          <w:tcPr>
            <w:tcW w:w="42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b w:val="1"/>
                <w:bCs w:val="1"/>
                <w:color w:val="auto"/>
              </w:rPr>
              <w:t>Basic and diluted net income (loss) per share</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0.04</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0.04</w:t>
            </w:r>
          </w:p>
        </w:tc>
        <w:tc>
          <w:tcPr>
            <w:tcW w:w="20" w:type="dxa"/>
            <w:vAlign w:val="bottom"/>
            <w:shd w:val="clear" w:color="auto" w:fill="CCEEFF"/>
          </w:tcPr>
          <w:p>
            <w:pPr>
              <w:spacing w:after="0"/>
              <w:rPr>
                <w:sz w:val="11"/>
                <w:szCs w:val="11"/>
                <w:color w:val="auto"/>
              </w:rPr>
            </w:pPr>
          </w:p>
        </w:tc>
        <w:tc>
          <w:tcPr>
            <w:tcW w:w="260" w:type="dxa"/>
            <w:vAlign w:val="bottom"/>
            <w:gridSpan w:val="3"/>
            <w:shd w:val="clear" w:color="auto" w:fill="CCEEFF"/>
          </w:tcPr>
          <w:p>
            <w:pPr>
              <w:jc w:val="right"/>
              <w:ind w:right="42"/>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0.04</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b w:val="1"/>
                <w:bCs w:val="1"/>
                <w:color w:val="auto"/>
              </w:rPr>
              <w:t>(0.00)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(0.00)</w:t>
            </w:r>
          </w:p>
        </w:tc>
        <w:tc>
          <w:tcPr>
            <w:tcW w:w="20" w:type="dxa"/>
            <w:vAlign w:val="bottom"/>
          </w:tcPr>
          <w:p>
            <w:pPr>
              <w:spacing w:after="0"/>
              <w:rPr>
                <w:sz w:val="11"/>
                <w:szCs w:val="1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a cash account in a financial institution which, at times may exceed the Federal Deposit Insurance Corporation coverage of $250,000. At December 31, 2022 and</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2021, the Company had not experienced losses on this account and management believes the Company is not exposed to significant risks on such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1" w:lineRule="exact"/>
        <w:rPr>
          <w:sz w:val="20"/>
          <w:szCs w:val="20"/>
          <w:color w:val="auto"/>
        </w:rPr>
      </w:pPr>
    </w:p>
    <w:p>
      <w:pPr>
        <w:ind w:left="68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83"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Classification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June 30, 2023.</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2016, the FASB issued Accounting Standards Update (“ASU”) 2016-13 –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(“ASU 2016-13”). </w:t>
      </w:r>
      <w:r>
        <w:rPr>
          <w:rFonts w:ascii="Arial" w:cs="Arial" w:eastAsia="Arial" w:hAnsi="Arial"/>
          <w:sz w:val="17"/>
          <w:szCs w:val="17"/>
          <w:color w:val="auto"/>
        </w:rPr>
        <w:t>This update requires financial assets measured at amortized</w:t>
      </w:r>
      <w:r>
        <w:rPr>
          <w:rFonts w:ascii="Arial" w:cs="Arial" w:eastAsia="Arial" w:hAnsi="Arial"/>
          <w:sz w:val="17"/>
          <w:szCs w:val="17"/>
          <w:i w:val="1"/>
          <w:iCs w:val="1"/>
          <w:color w:val="auto"/>
        </w:rPr>
        <w:t xml:space="preserve"> </w:t>
      </w:r>
      <w:r>
        <w:rPr>
          <w:rFonts w:ascii="Arial" w:cs="Arial" w:eastAsia="Arial" w:hAnsi="Arial"/>
          <w:sz w:val="17"/>
          <w:szCs w:val="17"/>
          <w:color w:val="auto"/>
        </w:rPr>
        <w:t>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financial statements.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recognized the accretion from initial book value to redemption amount value. The change in the carrying value of redeemable common stock resulted in charges against additional paid-in capital and accumulated deficit.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common stock subject to redemption reflected on the balance sheet are reconciled in the following table:</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subject to possible redemption, January 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291,812,500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Plus:</w:t>
            </w:r>
          </w:p>
        </w:tc>
        <w:tc>
          <w:tcPr>
            <w:tcW w:w="1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carrying value to redemption value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2,984,418</w:t>
            </w:r>
          </w:p>
        </w:tc>
      </w:tr>
      <w:tr>
        <w:trPr>
          <w:trHeight w:val="210"/>
        </w:trPr>
        <w:tc>
          <w:tcPr>
            <w:tcW w:w="6840" w:type="dxa"/>
            <w:vAlign w:val="bottom"/>
          </w:tcPr>
          <w:p>
            <w:pPr>
              <w:spacing w:after="0"/>
              <w:rPr>
                <w:sz w:val="20"/>
                <w:szCs w:val="20"/>
                <w:color w:val="auto"/>
              </w:rPr>
            </w:pPr>
            <w:r>
              <w:rPr>
                <w:rFonts w:ascii="Arial" w:cs="Arial" w:eastAsia="Arial" w:hAnsi="Arial"/>
                <w:sz w:val="18"/>
                <w:szCs w:val="18"/>
                <w:b w:val="1"/>
                <w:bCs w:val="1"/>
                <w:color w:val="auto"/>
              </w:rPr>
              <w:t>Class A common stock subject to possible redemption, December 31, 2022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294,796,918</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Redemptions</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(227,776,035)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100" w:type="dxa"/>
            <w:vAlign w:val="bottom"/>
            <w:shd w:val="clear" w:color="auto" w:fill="CCEEFF"/>
          </w:tcPr>
          <w:p>
            <w:pPr>
              <w:spacing w:after="0"/>
              <w:rPr>
                <w:sz w:val="18"/>
                <w:szCs w:val="18"/>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 of carrying value to redemption value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2,276,329</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subject to possible redemption, March 31,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69,297,212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Plus:</w:t>
            </w:r>
          </w:p>
        </w:tc>
        <w:tc>
          <w:tcPr>
            <w:tcW w:w="1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carrying value to redemption value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605,227</w:t>
            </w:r>
          </w:p>
        </w:tc>
      </w:tr>
      <w:tr>
        <w:trPr>
          <w:trHeight w:val="228"/>
        </w:trPr>
        <w:tc>
          <w:tcPr>
            <w:tcW w:w="6840" w:type="dxa"/>
            <w:vAlign w:val="bottom"/>
          </w:tcPr>
          <w:p>
            <w:pPr>
              <w:spacing w:after="0"/>
              <w:rPr>
                <w:sz w:val="20"/>
                <w:szCs w:val="20"/>
                <w:color w:val="auto"/>
              </w:rPr>
            </w:pPr>
            <w:r>
              <w:rPr>
                <w:rFonts w:ascii="Arial" w:cs="Arial" w:eastAsia="Arial" w:hAnsi="Arial"/>
                <w:sz w:val="18"/>
                <w:szCs w:val="18"/>
                <w:b w:val="1"/>
                <w:bCs w:val="1"/>
                <w:color w:val="auto"/>
              </w:rPr>
              <w:t>Class A common stock subject to possible redemption, June 30, 2023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69,902,439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June 30, 2023 and December 31, 2022, the Company incurred and paid $60,000 and $112,903 for the administrative service fees,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Sponsors agreed to loan the Company up to $300,000 to be used for a portion of the expenses of the IPO. These loans are non-interest bearing, unsecured and due on demand. As of June 30, 2023 and December 31, 2022, the Company had no borrowings outstanding under the promissory note, respectively. As of the Initial Public Offering date, December 15, 2021, the Company no longer has the ability to utilize the Promissory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Loans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8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at a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June 30, 2023, $99,975 in working capital loans were outstanding. As of December 31, 2022, no working capital loans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December 15, 2021, the Company paid a cash underwriting discount of 1.0% per Unit, or $2,875,000, as part of the underwriting fee.</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Non-redemption Agreements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Non-Redeeming Stockholders not to redeem the Non-Redeemed Shares, with a corresponding charge to additional paid-in capital to recognize the fair value of the Founder Shares subject to transfer as an offering cost.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Reduction Act of 2022 (the “IR Act”)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4" w:lineRule="exact"/>
        <w:rPr>
          <w:sz w:val="20"/>
          <w:szCs w:val="20"/>
          <w:color w:val="auto"/>
        </w:rPr>
      </w:pPr>
    </w:p>
    <w:p>
      <w:pPr>
        <w:jc w:val="both"/>
        <w:ind w:firstLine="8"/>
        <w:spacing w:after="0" w:line="271" w:lineRule="auto"/>
        <w:tabs>
          <w:tab w:leader="none" w:pos="3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March 10, 2023, in connection with the Company’s general meeting, the Company’s stockholders redeemed 22,119,297 Class A shares of Common Stock for a total of $227,776,035. The Company evaluated the current status and probability of completing a Business Combination as of June 30, 2023 and concluded that it is probable that a contingent liability should be recorded. As of June 30, 2023, the Company recorded $2,277,760 of excise tax liability calculated as 1% of shares redeemed on March 10, 2023.</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2023 and December 31, 2022, there were no shares of preferred stock issued or outstanding.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280,000,000 shares of Class A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A common stock are entitled to one vote for each share. At June 30, 2023 and December 31, 2022, there were 1,329,500 Class A common stock issued or outstanding, excluding 6,630,703 and 28,750,000 Class A common stock subject to possible redemption,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Holders of the Class B common stock are entitled to one vote for each share. On September 24, 2021, the Company issued 862,500 shares of Class B common stock in connection with a 1.1 stock split. As of June 30, 2023 and December 31, 2022, there were 9,487,500 shares of Class B common stock issued and outstanding.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225"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170"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86"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Class A common stock underlying such warrants.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June 30, 2023 and December 31, 2022 and indicates the fair value hierarchy of the valuation techniques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Quoted Prices In</w:t>
            </w:r>
          </w:p>
        </w:tc>
        <w:tc>
          <w:tcPr>
            <w:tcW w:w="12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2023</w:t>
            </w:r>
          </w:p>
        </w:tc>
        <w:tc>
          <w:tcPr>
            <w:tcW w:w="40" w:type="dxa"/>
            <w:vAlign w:val="bottom"/>
          </w:tcPr>
          <w:p>
            <w:pPr>
              <w:spacing w:after="0"/>
              <w:rPr>
                <w:sz w:val="12"/>
                <w:szCs w:val="12"/>
                <w:color w:val="auto"/>
              </w:rPr>
            </w:pPr>
          </w:p>
        </w:tc>
        <w:tc>
          <w:tcPr>
            <w:tcW w:w="12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5"/>
              </w:rPr>
              <w:t>Unobservable Inputs</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U.S. Money Market Funds held in Trust Account</w:t>
            </w:r>
          </w:p>
        </w:tc>
        <w:tc>
          <w:tcPr>
            <w:tcW w:w="700" w:type="dxa"/>
            <w:vAlign w:val="bottom"/>
            <w:gridSpan w:val="3"/>
          </w:tcPr>
          <w:p>
            <w:pPr>
              <w:ind w:left="600"/>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100"/>
              <w:spacing w:after="0"/>
              <w:rPr>
                <w:sz w:val="20"/>
                <w:szCs w:val="20"/>
                <w:color w:val="auto"/>
              </w:rPr>
            </w:pPr>
            <w:r>
              <w:rPr>
                <w:rFonts w:ascii="Arial" w:cs="Arial" w:eastAsia="Arial" w:hAnsi="Arial"/>
                <w:sz w:val="18"/>
                <w:szCs w:val="18"/>
                <w:color w:val="auto"/>
                <w:w w:val="93"/>
              </w:rPr>
              <w:t>69,886,159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69,886,159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69,886,159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2"/>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0"/>
              </w:rPr>
              <w:t>69,886,159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1"/>
              </w:rPr>
              <w:t>December 31, 2022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U.S. Money Market Funds held in Trust Account</w:t>
            </w:r>
          </w:p>
        </w:tc>
        <w:tc>
          <w:tcPr>
            <w:tcW w:w="7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w w:val="93"/>
              </w:rPr>
              <w:t>295,802,694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$ 295,802,694</w:t>
            </w:r>
          </w:p>
        </w:tc>
        <w:tc>
          <w:tcPr>
            <w:tcW w:w="4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295,802,694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$ 295,802,694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financial statements were issued. Based upon this review, the Company did not identify any subsequent events, that would have required adjustment or disclosure in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References in this report (this “Quarterly Report”) to “we,” “us” or the “Company” refer to BurTech Acquisition Corp. References to our “management” or our “management team” refer to our officers and directors, and references to the “Sponsor” refer to BurTech LP, LLC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(as defined below) filed with the U.S. Securities and Exchange Commission (the “SEC”). The Company’s filings with the SEC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such holders. Following redemptions, the Company will have 6,630,703 shares of Class A common stock outstanding, and approximately $68.0 million will remain in the Company’s trust account.</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If we are unable to complete the initial business combination within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the redemption, subject to the approval of our remaining stockholders and our board of</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June 30, 2023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dividends on marketable securities held in the Trust Account. We incur expenses as a result of being a public company (for legal, financial reporting, accounting and auditing compliance), as well as for due diligence and transaction expenses.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June 30, 2023, we had a net income of $98,772, which consisted of interest from marketable securities held in our Trust Account of $823,682, offset by operating costs and franchise taxes of $556,455 and provision for income taxes of $168,455.</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2023, we had a net income of $1,673,563, which consisted of interest from marketable securities held in our Trust Account of $3,899,411, offset by $1,452,265 in operating costs and franchise taxes and provision for income taxes of $773,583.</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June 30, 2022, we had a net income of $93,322, which consisted of interest from marketable securities held in our Trust Account of $394,047, offset by formation and operating costs of $220,049 and provision for income taxes of $80,676.</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six months ended June 30, 2022, we had a net loss of $3,600, which consisted of formation and operating costs of $346,356 and provision for income taxes of $80,676 offset by interest from marketable securities held in our Trust Account of $423,432.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2023, the Company had $1,267,928 in its operating bank accounts, $69,886,159 in investments held in the Trust Account to be used for a Business Combination or to repurchase or redeem its Public Shares in connection therewith and working capital deficit of $3,567,923. As of June 30, 2023, $2,584,524 of the amount on deposit in the Trust Account represented interest income.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liquidity needs up to June 30, 2023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June 30, 2023, there was $99,975 outstanding under any Working Capital Loans.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less than 7 months from its mandatory liquidation as of the time of filing this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unaudited condensed financial statements contained in this Annual Report on Form 10-K are issued.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conditions raise substantial doubt about the Company’s ability to continue as a going concern.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June 30, 2023.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June 30, 2023 and December 31, 2022, 6,630,703 and 28,750,000 Class A common stock subject to possible redemption are presented at redemption value as temporary equity, outside of the stockholders’ deficit section of our balance sheets, respectively.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Income/Loss Per Common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three and six months ended June 30, 2023 and 2022 because the warrants are contingently exercisable, and the contingencies have not yet been met and its inclusion would be anti-dilutive. As a result, diluted net income or loss per common stock is the same as basic net income or loss per common stock for the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We are currently assessing the impact, if any, that ASU 2020-06 would have on our financial position, results of operations or cash flows. We have not adopted this guidance as of June 30, 2023.</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2016, the FASB issued Accounting Standards Update (“ASU”) 2016-13 – Financial Instruments – Credit Losses (Topic 326): Measurement of Credit Losses on Financial Instruments (“ASU 2016-13”). This 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financial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standards if currently adopted would have a material effect on the accompanying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June 30, 2023,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the Excise Tax included in the Inflation Reduction Act of 2022 in connection with redemptions of our common stock after December 31, 2023.</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4" w:lineRule="exact"/>
        <w:rPr>
          <w:sz w:val="20"/>
          <w:szCs w:val="20"/>
          <w:color w:val="auto"/>
        </w:rPr>
      </w:pPr>
    </w:p>
    <w:p>
      <w:pPr>
        <w:jc w:val="both"/>
        <w:ind w:firstLine="8"/>
        <w:spacing w:after="0" w:line="271" w:lineRule="auto"/>
        <w:tabs>
          <w:tab w:leader="none" w:pos="33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31.1*</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842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Arial" w:cs="Arial" w:eastAsia="Arial" w:hAnsi="Arial"/>
                <w:sz w:val="18"/>
                <w:szCs w:val="18"/>
                <w:color w:val="0000EE"/>
                <w:w w:val="92"/>
              </w:rPr>
              <w:t>Certification of Principal Executive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60" w:type="dxa"/>
            <w:vAlign w:val="bottom"/>
            <w:tcBorders>
              <w:top w:val="single" w:sz="8" w:color="0000EE"/>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0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844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93"/>
              </w:rPr>
              <w:t>Certification of Principal Financial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40" w:type="dxa"/>
            <w:vAlign w:val="bottom"/>
            <w:gridSpan w:val="3"/>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60" w:type="dxa"/>
            <w:vAlign w:val="bottom"/>
            <w:tcBorders>
              <w:top w:val="single" w:sz="8" w:color="0000EE"/>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shd w:val="clear" w:color="auto" w:fill="CCEEFF"/>
          </w:tcPr>
          <w:p>
            <w:pPr>
              <w:spacing w:after="0"/>
              <w:rPr>
                <w:sz w:val="15"/>
                <w:szCs w:val="15"/>
                <w:color w:val="auto"/>
              </w:rPr>
            </w:pPr>
          </w:p>
        </w:tc>
        <w:tc>
          <w:tcPr>
            <w:tcW w:w="844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4"/>
              </w:rPr>
              <w:t>Certification of Principal Executive Officer and Principal Financial Officer Pursuant to 18 U.S.C. Section 1350,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0000EE"/>
              </w:rPr>
              <w:t>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101.INS</w:t>
            </w:r>
          </w:p>
        </w:tc>
        <w:tc>
          <w:tcPr>
            <w:tcW w:w="260" w:type="dxa"/>
            <w:vAlign w:val="bottom"/>
            <w:tcBorders>
              <w:top w:val="single" w:sz="8" w:color="CCEEFF"/>
            </w:tcBorders>
          </w:tcPr>
          <w:p>
            <w:pPr>
              <w:spacing w:after="0"/>
              <w:rPr>
                <w:sz w:val="18"/>
                <w:szCs w:val="18"/>
                <w:color w:val="auto"/>
              </w:rPr>
            </w:pPr>
          </w:p>
        </w:tc>
        <w:tc>
          <w:tcPr>
            <w:tcW w:w="4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3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40" w:right="20" w:hanging="332"/>
        <w:spacing w:after="0" w:line="25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6700" w:type="dxa"/>
            <w:vAlign w:val="bottom"/>
            <w:gridSpan w:val="2"/>
          </w:tcPr>
          <w:p>
            <w:pPr>
              <w:ind w:left="1740"/>
              <w:spacing w:after="0"/>
              <w:rPr>
                <w:sz w:val="20"/>
                <w:szCs w:val="20"/>
                <w:color w:val="auto"/>
              </w:rPr>
            </w:pPr>
            <w:r>
              <w:rPr>
                <w:rFonts w:ascii="Arial" w:cs="Arial" w:eastAsia="Arial" w:hAnsi="Arial"/>
                <w:sz w:val="18"/>
                <w:szCs w:val="18"/>
                <w:b w:val="1"/>
                <w:bCs w:val="1"/>
                <w:color w:val="auto"/>
              </w:rPr>
              <w:t>BurTech Acquisition Corp.</w:t>
            </w:r>
          </w:p>
        </w:tc>
      </w:tr>
      <w:tr>
        <w:trPr>
          <w:trHeight w:val="432"/>
        </w:trPr>
        <w:tc>
          <w:tcPr>
            <w:tcW w:w="3220" w:type="dxa"/>
            <w:vAlign w:val="bottom"/>
          </w:tcPr>
          <w:p>
            <w:pPr>
              <w:spacing w:after="0"/>
              <w:rPr>
                <w:sz w:val="20"/>
                <w:szCs w:val="20"/>
                <w:color w:val="auto"/>
              </w:rPr>
            </w:pPr>
            <w:r>
              <w:rPr>
                <w:rFonts w:ascii="Arial" w:cs="Arial" w:eastAsia="Arial" w:hAnsi="Arial"/>
                <w:sz w:val="16"/>
                <w:szCs w:val="16"/>
                <w:color w:val="auto"/>
              </w:rPr>
              <w:t>Date: August 14, 2023</w:t>
            </w:r>
          </w:p>
        </w:tc>
        <w:tc>
          <w:tcPr>
            <w:tcW w:w="6700" w:type="dxa"/>
            <w:vAlign w:val="bottom"/>
            <w:gridSpan w:val="2"/>
          </w:tcPr>
          <w:p>
            <w:pPr>
              <w:ind w:left="1740"/>
              <w:spacing w:after="0"/>
              <w:rPr>
                <w:sz w:val="20"/>
                <w:szCs w:val="20"/>
                <w:color w:val="auto"/>
              </w:rPr>
            </w:pPr>
            <w:r>
              <w:rPr>
                <w:rFonts w:ascii="Arial" w:cs="Arial" w:eastAsia="Arial" w:hAnsi="Arial"/>
                <w:sz w:val="18"/>
                <w:szCs w:val="18"/>
                <w:color w:val="auto"/>
              </w:rPr>
              <w:t>By:/s/ Shahal Khan</w:t>
            </w:r>
          </w:p>
        </w:tc>
      </w:tr>
      <w:tr>
        <w:trPr>
          <w:trHeight w:val="195"/>
        </w:trPr>
        <w:tc>
          <w:tcPr>
            <w:tcW w:w="3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Shahal Khan</w:t>
            </w:r>
          </w:p>
        </w:tc>
      </w:tr>
      <w:tr>
        <w:trPr>
          <w:trHeight w:val="230"/>
        </w:trPr>
        <w:tc>
          <w:tcPr>
            <w:tcW w:w="3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Executive Officer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32"/>
        </w:trPr>
        <w:tc>
          <w:tcPr>
            <w:tcW w:w="3220" w:type="dxa"/>
            <w:vAlign w:val="bottom"/>
          </w:tcPr>
          <w:p>
            <w:pPr>
              <w:spacing w:after="0"/>
              <w:rPr>
                <w:sz w:val="20"/>
                <w:szCs w:val="20"/>
                <w:color w:val="auto"/>
              </w:rPr>
            </w:pPr>
            <w:r>
              <w:rPr>
                <w:rFonts w:ascii="Arial" w:cs="Arial" w:eastAsia="Arial" w:hAnsi="Arial"/>
                <w:sz w:val="16"/>
                <w:szCs w:val="16"/>
                <w:color w:val="auto"/>
              </w:rPr>
              <w:t>Date: August 14, 2023</w:t>
            </w:r>
          </w:p>
        </w:tc>
        <w:tc>
          <w:tcPr>
            <w:tcW w:w="6700" w:type="dxa"/>
            <w:vAlign w:val="bottom"/>
            <w:gridSpan w:val="2"/>
          </w:tcPr>
          <w:p>
            <w:pPr>
              <w:ind w:left="1740"/>
              <w:spacing w:after="0"/>
              <w:rPr>
                <w:sz w:val="20"/>
                <w:szCs w:val="20"/>
                <w:color w:val="auto"/>
              </w:rPr>
            </w:pPr>
            <w:r>
              <w:rPr>
                <w:rFonts w:ascii="Arial" w:cs="Arial" w:eastAsia="Arial" w:hAnsi="Arial"/>
                <w:sz w:val="18"/>
                <w:szCs w:val="18"/>
                <w:color w:val="auto"/>
              </w:rPr>
              <w:t>By:/s/ Roman Livson</w:t>
            </w:r>
          </w:p>
        </w:tc>
      </w:tr>
      <w:tr>
        <w:trPr>
          <w:trHeight w:val="195"/>
        </w:trPr>
        <w:tc>
          <w:tcPr>
            <w:tcW w:w="3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Roman Livson</w:t>
            </w:r>
          </w:p>
        </w:tc>
      </w:tr>
      <w:tr>
        <w:trPr>
          <w:trHeight w:val="216"/>
        </w:trPr>
        <w:tc>
          <w:tcPr>
            <w:tcW w:w="3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3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Shahal Khan,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June 30, 2023 of BurTech Acquisition Corp.;</w:t>
      </w:r>
    </w:p>
    <w:p>
      <w:pPr>
        <w:spacing w:after="0" w:line="236" w:lineRule="exact"/>
        <w:rPr>
          <w:rFonts w:ascii="Arial" w:cs="Arial" w:eastAsia="Arial" w:hAnsi="Arial"/>
          <w:sz w:val="17"/>
          <w:szCs w:val="17"/>
          <w:color w:val="auto"/>
        </w:rPr>
      </w:pPr>
    </w:p>
    <w:p>
      <w:pPr>
        <w:jc w:val="both"/>
        <w:ind w:firstLine="8"/>
        <w:spacing w:after="0" w:line="263" w:lineRule="auto"/>
        <w:tabs>
          <w:tab w:leader="none" w:pos="1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9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Arial" w:cs="Arial" w:eastAsia="Arial" w:hAnsi="Arial"/>
          <w:sz w:val="17"/>
          <w:szCs w:val="17"/>
          <w:color w:val="auto"/>
        </w:rPr>
      </w:pPr>
    </w:p>
    <w:p>
      <w:pPr>
        <w:jc w:val="both"/>
        <w:ind w:left="660" w:hanging="4"/>
        <w:spacing w:after="0" w:line="263" w:lineRule="auto"/>
        <w:tabs>
          <w:tab w:leader="none" w:pos="85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5715</wp:posOffset>
            </wp:positionV>
            <wp:extent cx="29571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Shahal Khan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Roman Livson,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June 30, 2023 of BurTech Acquisition Corp.;</w:t>
      </w:r>
    </w:p>
    <w:p>
      <w:pPr>
        <w:spacing w:after="0" w:line="236" w:lineRule="exact"/>
        <w:rPr>
          <w:rFonts w:ascii="Arial" w:cs="Arial" w:eastAsia="Arial" w:hAnsi="Arial"/>
          <w:sz w:val="17"/>
          <w:szCs w:val="17"/>
          <w:color w:val="auto"/>
        </w:rPr>
      </w:pPr>
    </w:p>
    <w:p>
      <w:pPr>
        <w:jc w:val="both"/>
        <w:ind w:firstLine="8"/>
        <w:spacing w:after="0" w:line="263" w:lineRule="auto"/>
        <w:tabs>
          <w:tab w:leader="none" w:pos="1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95"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Arial" w:cs="Arial" w:eastAsia="Arial" w:hAnsi="Arial"/>
          <w:sz w:val="17"/>
          <w:szCs w:val="17"/>
          <w:color w:val="auto"/>
        </w:rPr>
      </w:pPr>
    </w:p>
    <w:p>
      <w:pPr>
        <w:jc w:val="both"/>
        <w:ind w:left="660" w:hanging="4"/>
        <w:spacing w:after="0" w:line="263" w:lineRule="auto"/>
        <w:tabs>
          <w:tab w:leader="none" w:pos="8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5715</wp:posOffset>
            </wp:positionV>
            <wp:extent cx="2957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Roman Livson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BurTech Acquisition Corp. (the “Company”) on Form 10-Q for the quarterly period ended June 30, 2023, as filed with the Securities and Exchange Commission (the “Report”), each of the undersigned, in the capacities and on the dates indicated below, certify, pursuant to 18 U.S.C. §1350, as added by §906 of the Sarbanes-Oxley Act of 2002, that:</w:t>
      </w:r>
    </w:p>
    <w:p>
      <w:pPr>
        <w:spacing w:after="0" w:line="165"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77" w:lineRule="auto"/>
        <w:tabs>
          <w:tab w:leader="none" w:pos="8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Shahal Khan</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Roman Livson</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Roman"/>
      <w:start w:val="3"/>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Roman"/>
      <w:start w:val="4"/>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Roman"/>
      <w:start w:val="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2023-08-14T14:26:55Z</dcterms:created>
  <dcterms:modified xsi:type="dcterms:W3CDTF">2023-08-14T14:26:55Z</dcterms:modified>
</cp:coreProperties>
</file>