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Filed pursuant to Rule 424(b)(3) </w: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SEC File No. 333-288742 </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PROSPECTUS SUPPLEMENT NO. 5</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 xml:space="preserve">(to Prospectus dated August 7,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drawing>
          <wp:inline distT="0" distB="0" distL="0" distR="0">
            <wp:extent cx="3048000" cy="1028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048000" cy="1028700"/>
                    </a:xfrm>
                    <a:prstGeom prst="rect">
                      <a:avLst/>
                    </a:prstGeom>
                  </pic:spPr>
                </pic:pic>
              </a:graphicData>
            </a:graphic>
          </wp:inline>
        </w:drawing>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20,326,158 Shares of Common Stock by the Selling Stockholder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769,231 Shares of Common Stock by Cantor</w:t>
      </w:r>
    </w:p>
    <w:p>
      <w:pPr>
        <w:pStyle w:val="TextBody"/>
        <w:bidi w:val="0"/>
        <w:spacing w:before="0" w:after="0"/>
        <w:jc w:val="center"/>
        <w:rPr/>
      </w:pPr>
      <w:r>
        <w:rPr/>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updates, amends and supplements the prospectus dated August 7, 2025 (as supplemented or amended from time to time, the “Prospectus”), which forms a part of our Registration Statement on Form S-1 (Registration No. 333-288742). Capitalized terms used in this prospectus supplement and not otherwise defined herein have the meanings specified in the Prospectus.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being filed to update, amend and supplement the information included in the Prospectus with information contained in our Quarterly Report on Form 10-Q filed with the SEC on May 14, 2026, which is set forth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Common Stock and Warrants are listed on the Nasdaq Stock Market LLC under the trading symbols “BZAI” and “BZAIW,” respectively. On May 13, 2026, the closing prices for our Common Stock and Warrants on the Nasdaq Stock Market LLC were $1.68 per share of Common Stock and $0.36 per Warrant.</w:t>
      </w:r>
    </w:p>
    <w:p>
      <w:pPr>
        <w:pStyle w:val="TextBody"/>
        <w:bidi w:val="0"/>
        <w:spacing w:lineRule="auto" w:line="288" w:before="0" w:after="0"/>
        <w:jc w:val="left"/>
        <w:rPr>
          <w:color w:val="000000"/>
        </w:rPr>
      </w:pPr>
      <w:r>
        <w:rPr>
          <w:color w:val="000000"/>
        </w:rPr>
        <w: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Investing in our securities involves a high degree of risk. See “Risk Factors” beginning on page 6 of the Prospectus and other risk factors contained in the documents incorporated by reference therein for a discussion of information that should be considered in connection with an investment in our securities.</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Neither the Securities and Exchange Commission nor any state securities commission has approved or disapproved of these securities or determined if the Prospectus or this prospectus supplement is truthful or complete. Any representation to the contrary is a criminal offense.</w:t>
      </w:r>
    </w:p>
    <w:p>
      <w:pPr>
        <w:pStyle w:val="TextBody"/>
        <w:bidi w:val="0"/>
        <w:spacing w:lineRule="auto" w:line="288" w:before="0" w:after="0"/>
        <w:jc w:val="center"/>
        <w:rPr>
          <w:color w:val="000000"/>
        </w:rPr>
      </w:pPr>
      <w:r>
        <w:rPr>
          <w:color w:val="000000"/>
        </w:rPr>
        <w:t>—————————————————————————————————————————————————</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The date of this prospectus supplement is May 14, 2026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192" w:before="0" w:after="12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lineRule="auto" w:line="192" w:before="0" w:after="160"/>
        <w:jc w:val="center"/>
        <w:rPr>
          <w:color w:val="000000"/>
        </w:rPr>
      </w:pPr>
      <w:r>
        <w:rPr>
          <w:color w:val="000000"/>
        </w:rPr>
        <w:t>—————————————————————————</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FORM 10-Q</w:t>
      </w:r>
    </w:p>
    <w:p>
      <w:pPr>
        <w:pStyle w:val="TextBody"/>
        <w:bidi w:val="0"/>
        <w:spacing w:lineRule="auto" w:line="192" w:before="0" w:after="0"/>
        <w:jc w:val="center"/>
        <w:rPr>
          <w:color w:val="000000"/>
        </w:rPr>
      </w:pPr>
      <w:r>
        <w:rPr>
          <w:color w:val="000000"/>
        </w:rPr>
        <w:t>—————————————————————————</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 xml:space="preserve">QUARTERLY REPORT PURSUANT TO SECTION 13 OR 15(d) OF THE SECURITIES EXCHANGE ACT OF 1934 </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quarterly period ended March 31, 2026</w:t>
      </w:r>
    </w:p>
    <w:p>
      <w:pPr>
        <w:pStyle w:val="TextBody"/>
        <w:bidi w:val="0"/>
        <w:spacing w:lineRule="auto" w:line="288" w:before="60" w:after="60"/>
        <w:jc w:val="center"/>
        <w:rPr>
          <w:rFonts w:ascii="Times New Roman;serif" w:hAnsi="Times New Roman;serif"/>
          <w:b/>
          <w:color w:val="000000"/>
          <w:sz w:val="16"/>
        </w:rPr>
      </w:pPr>
      <w:r>
        <w:rPr>
          <w:rFonts w:ascii="Times New Roman;serif" w:hAnsi="Times New Roman;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______ to ______</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Commission file number 001-41139</w:t>
      </w:r>
    </w:p>
    <w:p>
      <w:pPr>
        <w:pStyle w:val="TextBody"/>
        <w:bidi w:val="0"/>
        <w:spacing w:lineRule="auto" w:line="192" w:before="0" w:after="60"/>
        <w:jc w:val="center"/>
        <w:rPr>
          <w:color w:val="000000"/>
        </w:rPr>
      </w:pPr>
      <w:r>
        <w:rPr>
          <w:color w:val="000000"/>
        </w:rPr>
        <w:t>—————————————————————————</w:t>
      </w:r>
    </w:p>
    <w:p>
      <w:pPr>
        <w:pStyle w:val="TextBody"/>
        <w:bidi w:val="0"/>
        <w:spacing w:lineRule="auto" w:line="288" w:before="120" w:after="283"/>
        <w:jc w:val="center"/>
        <w:rPr>
          <w:rFonts w:ascii="Times New Roman;serif" w:hAnsi="Times New Roman;serif"/>
          <w:b/>
          <w:color w:val="000000"/>
          <w:sz w:val="40"/>
        </w:rPr>
      </w:pPr>
      <w:r>
        <w:rPr>
          <w:rFonts w:ascii="Times New Roman;serif" w:hAnsi="Times New Roman;serif"/>
          <w:b/>
          <w:color w:val="000000"/>
          <w:sz w:val="40"/>
        </w:rPr>
        <w:t>Blaize Holdings, Inc.</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(Exact name of registrant as specified in its charter)</w:t>
      </w:r>
    </w:p>
    <w:p>
      <w:pPr>
        <w:pStyle w:val="TextBody"/>
        <w:bidi w:val="0"/>
        <w:spacing w:lineRule="auto" w:line="192" w:before="0" w:after="0"/>
        <w:jc w:val="center"/>
        <w:rPr>
          <w:color w:val="000000"/>
        </w:rPr>
      </w:pPr>
      <w:r>
        <w:rPr>
          <w:color w:val="000000"/>
        </w:rPr>
        <w:t>—————————————————————————</w:t>
      </w:r>
    </w:p>
    <w:tbl>
      <w:tblPr>
        <w:tblW w:w="6959" w:type="dxa"/>
        <w:jc w:val="left"/>
        <w:tblInd w:w="0" w:type="dxa"/>
        <w:tblLayout w:type="fixed"/>
        <w:tblCellMar>
          <w:top w:w="28" w:type="dxa"/>
          <w:left w:w="28" w:type="dxa"/>
          <w:bottom w:w="28" w:type="dxa"/>
          <w:right w:w="28" w:type="dxa"/>
        </w:tblCellMar>
      </w:tblPr>
      <w:tblGrid>
        <w:gridCol w:w="1549"/>
        <w:gridCol w:w="1360"/>
        <w:gridCol w:w="1380"/>
        <w:gridCol w:w="780"/>
        <w:gridCol w:w="780"/>
        <w:gridCol w:w="1110"/>
      </w:tblGrid>
      <w:tr>
        <w:trPr/>
        <w:tc>
          <w:tcPr>
            <w:tcW w:w="1549" w:type="dxa"/>
            <w:tcBorders/>
            <w:vAlign w:val="center"/>
          </w:tcPr>
          <w:p>
            <w:pPr>
              <w:pStyle w:val="TableContents"/>
              <w:bidi w:val="0"/>
              <w:spacing w:before="0" w:after="283"/>
              <w:jc w:val="left"/>
              <w:rPr>
                <w:sz w:val="4"/>
                <w:szCs w:val="4"/>
              </w:rPr>
            </w:pPr>
            <w:r>
              <w:rPr>
                <w:sz w:val="4"/>
                <w:szCs w:val="4"/>
              </w:rPr>
            </w:r>
          </w:p>
        </w:tc>
        <w:tc>
          <w:tcPr>
            <w:tcW w:w="1360" w:type="dxa"/>
            <w:tcBorders/>
            <w:vAlign w:val="center"/>
          </w:tcPr>
          <w:p>
            <w:pPr>
              <w:pStyle w:val="TableContents"/>
              <w:bidi w:val="0"/>
              <w:spacing w:before="0" w:after="283"/>
              <w:jc w:val="left"/>
              <w:rPr>
                <w:sz w:val="4"/>
                <w:szCs w:val="4"/>
              </w:rPr>
            </w:pPr>
            <w:r>
              <w:rPr>
                <w:sz w:val="4"/>
                <w:szCs w:val="4"/>
              </w:rPr>
            </w:r>
          </w:p>
        </w:tc>
        <w:tc>
          <w:tcPr>
            <w:tcW w:w="13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86-2708752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289" w:type="dxa"/>
            <w:gridSpan w:val="3"/>
            <w:tcBorders/>
            <w:tcMar>
              <w:top w:w="0" w:type="dxa"/>
              <w:left w:w="0" w:type="dxa"/>
              <w:bottom w:w="0" w:type="dxa"/>
              <w:right w:w="0" w:type="dxa"/>
            </w:tcMar>
            <w:vAlign w:val="center"/>
          </w:tcPr>
          <w:p>
            <w:pPr>
              <w:pStyle w:val="TableContents"/>
              <w:bidi w:val="0"/>
              <w:spacing w:before="0" w:after="0"/>
              <w:jc w:val="right"/>
              <w:rPr/>
            </w:pPr>
            <w:r>
              <w:rPr/>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4659 Golden Foothill Parkway, Suite 206</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El Dorado Hills, CA</w:t>
            </w:r>
          </w:p>
        </w:tc>
        <w:tc>
          <w:tcPr>
            <w:tcW w:w="26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95762</w:t>
            </w:r>
          </w:p>
        </w:tc>
      </w:tr>
      <w:tr>
        <w:trPr/>
        <w:tc>
          <w:tcPr>
            <w:tcW w:w="4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(916) 347-0050</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Registrant’s telephone number, including area code</w:t>
      </w:r>
    </w:p>
    <w:p>
      <w:pPr>
        <w:pStyle w:val="TextBody"/>
        <w:bidi w:val="0"/>
        <w:spacing w:lineRule="auto" w:line="288" w:before="120" w:after="12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205" w:type="dxa"/>
        <w:jc w:val="left"/>
        <w:tblInd w:w="0" w:type="dxa"/>
        <w:tblLayout w:type="fixed"/>
        <w:tblCellMar>
          <w:top w:w="28" w:type="dxa"/>
          <w:left w:w="28" w:type="dxa"/>
          <w:bottom w:w="28" w:type="dxa"/>
          <w:right w:w="28" w:type="dxa"/>
        </w:tblCellMar>
      </w:tblPr>
      <w:tblGrid>
        <w:gridCol w:w="2214"/>
        <w:gridCol w:w="1800"/>
        <w:gridCol w:w="1824"/>
        <w:gridCol w:w="109"/>
        <w:gridCol w:w="109"/>
        <w:gridCol w:w="109"/>
        <w:gridCol w:w="405"/>
        <w:gridCol w:w="405"/>
        <w:gridCol w:w="407"/>
        <w:gridCol w:w="109"/>
        <w:gridCol w:w="109"/>
        <w:gridCol w:w="109"/>
        <w:gridCol w:w="728"/>
        <w:gridCol w:w="728"/>
        <w:gridCol w:w="1040"/>
      </w:tblGrid>
      <w:tr>
        <w:trPr/>
        <w:tc>
          <w:tcPr>
            <w:tcW w:w="2214" w:type="dxa"/>
            <w:tcBorders/>
            <w:vAlign w:val="center"/>
          </w:tcPr>
          <w:p>
            <w:pPr>
              <w:pStyle w:val="TableContents"/>
              <w:bidi w:val="0"/>
              <w:spacing w:before="0" w:after="283"/>
              <w:jc w:val="left"/>
              <w:rPr>
                <w:sz w:val="4"/>
                <w:szCs w:val="4"/>
              </w:rPr>
            </w:pPr>
            <w:r>
              <w:rPr>
                <w:sz w:val="4"/>
                <w:szCs w:val="4"/>
              </w:rPr>
            </w:r>
          </w:p>
        </w:tc>
        <w:tc>
          <w:tcPr>
            <w:tcW w:w="1800" w:type="dxa"/>
            <w:tcBorders/>
            <w:vAlign w:val="center"/>
          </w:tcPr>
          <w:p>
            <w:pPr>
              <w:pStyle w:val="TableContents"/>
              <w:bidi w:val="0"/>
              <w:spacing w:before="0" w:after="283"/>
              <w:jc w:val="left"/>
              <w:rPr>
                <w:sz w:val="4"/>
                <w:szCs w:val="4"/>
              </w:rPr>
            </w:pPr>
            <w:r>
              <w:rPr>
                <w:sz w:val="4"/>
                <w:szCs w:val="4"/>
              </w:rPr>
            </w:r>
          </w:p>
        </w:tc>
        <w:tc>
          <w:tcPr>
            <w:tcW w:w="18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583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58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18"/>
              </w:rPr>
            </w:pPr>
            <w:r>
              <w:rPr>
                <w:rFonts w:ascii="Times New Roman;serif" w:hAnsi="Times New Roman;serif"/>
                <w:b w:val="false"/>
                <w:color w:val="000000"/>
                <w:sz w:val="18"/>
              </w:rPr>
              <w:t>Common stock, 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val="false"/>
                <w:color w:val="000000"/>
                <w:sz w:val="18"/>
              </w:rPr>
              <w:t xml:space="preserve">Warrants, </w:t>
            </w:r>
            <w:r>
              <w:rPr>
                <w:rFonts w:ascii="Times New Roman;serif" w:hAnsi="Times New Roman;serif"/>
                <w:b w:val="false"/>
                <w:color w:val="000000"/>
                <w:sz w:val="18"/>
                <w:shd w:fill="FFFFFF" w:val="clear"/>
              </w:rPr>
              <w:t>each whole warrant exercisable for one share of common stock at an exercise price of $11.50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BZAIW</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r>
        <w:trPr/>
        <w:tc>
          <w:tcPr>
            <w:tcW w:w="583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Series A Junior Participating Preferred Stock, </w:t>
              <w:br/>
              <w:t>par value $0.0001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8"/>
              </w:rPr>
            </w:pPr>
            <w:r>
              <w:rPr>
                <w:rFonts w:ascii="Times New Roman;serif" w:hAnsi="Times New Roman;serif"/>
                <w:b w:val="false"/>
                <w:color w:val="000000"/>
                <w:sz w:val="18"/>
              </w:rPr>
              <w:t>The Nasdaq Stock Market</w:t>
            </w:r>
          </w:p>
        </w:tc>
      </w:tr>
    </w:tbl>
    <w:p>
      <w:pPr>
        <w:pStyle w:val="TextBody"/>
        <w:bidi w:val="0"/>
        <w:spacing w:lineRule="auto" w:line="288" w:before="60" w:after="283"/>
        <w:jc w:val="left"/>
        <w:rPr/>
      </w:pPr>
      <w:r>
        <w:rPr>
          <w:rFonts w:ascii="Times New Roman;serif" w:hAnsi="Times New Roman;serif"/>
          <w:b w:val="false"/>
          <w:color w:val="000000"/>
          <w:sz w:val="18"/>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283"/>
        <w:jc w:val="left"/>
        <w:rPr/>
      </w:pPr>
      <w:r>
        <w:rPr>
          <w:rFonts w:ascii="Times New Roman;serif" w:hAnsi="Times New Roman;serif"/>
          <w:b w:val="false"/>
          <w:color w:val="000000"/>
          <w:sz w:val="18"/>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8"/>
        </w:rPr>
        <w:t xml:space="preserve">x </w:t>
      </w:r>
      <w:r>
        <w:rPr>
          <w:rFonts w:ascii="Times New Roman;serif" w:hAnsi="Times New Roman;serif"/>
          <w:b w:val="false"/>
          <w:color w:val="000000"/>
          <w:sz w:val="18"/>
        </w:rPr>
        <w:t xml:space="preserve">No </w:t>
      </w:r>
      <w:r>
        <w:rPr>
          <w:rFonts w:ascii="Wingdings;sans-serif" w:hAnsi="Wingdings;sans-serif"/>
          <w:b w:val="false"/>
          <w:color w:val="000000"/>
          <w:sz w:val="18"/>
        </w:rPr>
        <w:t>o</w:t>
      </w:r>
    </w:p>
    <w:p>
      <w:pPr>
        <w:pStyle w:val="TextBody"/>
        <w:bidi w:val="0"/>
        <w:spacing w:lineRule="auto" w:line="288" w:before="120" w:after="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057"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679"/>
        <w:gridCol w:w="679"/>
        <w:gridCol w:w="682"/>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79"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rFonts w:ascii="Wingdings;sans-serif" w:hAnsi="Wingdings;sans-serif"/>
                <w:b w:val="false"/>
                <w:color w:val="181717"/>
                <w:sz w:val="18"/>
              </w:rPr>
            </w:pPr>
            <w:r>
              <w:rPr>
                <w:rFonts w:ascii="Wingdings;sans-serif" w:hAnsi="Wingdings;sans-serif"/>
                <w:b w:val="false"/>
                <w:color w:val="181717"/>
                <w:sz w:val="18"/>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386" w:before="53" w:after="30"/>
              <w:jc w:val="left"/>
              <w:rPr>
                <w:color w:val="000000"/>
              </w:rPr>
            </w:pPr>
            <w:r>
              <w:rPr>
                <w:color w:val="000000"/>
              </w:rPr>
              <w: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8"/>
        </w:rPr>
        <w:t>o</w:t>
      </w:r>
    </w:p>
    <w:p>
      <w:pPr>
        <w:pStyle w:val="TextBody"/>
        <w:bidi w:val="0"/>
        <w:spacing w:lineRule="auto" w:line="288" w:before="120" w:after="120"/>
        <w:jc w:val="left"/>
        <w:rPr/>
      </w:pPr>
      <w:r>
        <w:rPr>
          <w:rFonts w:ascii="Times New Roman;serif" w:hAnsi="Times New Roman;serif"/>
          <w:b w:val="false"/>
          <w:color w:val="000000"/>
          <w:sz w:val="18"/>
        </w:rPr>
        <w:t xml:space="preserve">Indicate by check mark whether the registrant is a shell company (as defined in Rule 12b-2 of the Act).             Yes </w:t>
      </w:r>
      <w:r>
        <w:rPr>
          <w:rFonts w:ascii="Wingdings;sans-serif" w:hAnsi="Wingdings;sans-serif"/>
          <w:b w:val="false"/>
          <w:color w:val="000000"/>
          <w:sz w:val="18"/>
        </w:rPr>
        <w:t xml:space="preserve">o </w:t>
      </w:r>
      <w:r>
        <w:rPr>
          <w:rFonts w:ascii="Times New Roman;serif" w:hAnsi="Times New Roman;serif"/>
          <w:b w:val="false"/>
          <w:color w:val="000000"/>
          <w:sz w:val="18"/>
        </w:rPr>
        <w:t xml:space="preserve">No </w:t>
      </w:r>
      <w:r>
        <w:rPr>
          <w:color w:val="000000"/>
        </w:rPr>
        <w:t xml:space="preserve">☒ </w:t>
      </w:r>
    </w:p>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As of May 14, 2026, there were 142,299,461 shares of the registrant’s common stock, par value $0.0001 per share, outstanding.</w:t>
      </w:r>
    </w:p>
    <w:p>
      <w:pPr>
        <w:pStyle w:val="TextBody"/>
        <w:bidi w:val="0"/>
        <w:spacing w:lineRule="auto" w:line="192" w:before="0" w:after="120"/>
        <w:jc w:val="center"/>
        <w:rPr>
          <w:color w:val="000000"/>
        </w:rPr>
      </w:pP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TABLE OF CONTENTS</w:t>
      </w:r>
    </w:p>
    <w:p>
      <w:pPr>
        <w:pStyle w:val="TextBody"/>
        <w:bidi w:val="0"/>
        <w:spacing w:before="0" w:after="0"/>
        <w:jc w:val="left"/>
        <w:rPr/>
      </w:pPr>
      <w:r>
        <w:rPr/>
      </w:r>
    </w:p>
    <w:tbl>
      <w:tblPr>
        <w:tblW w:w="9390" w:type="dxa"/>
        <w:jc w:val="left"/>
        <w:tblInd w:w="0" w:type="dxa"/>
        <w:tblLayout w:type="fixed"/>
        <w:tblCellMar>
          <w:top w:w="28" w:type="dxa"/>
          <w:left w:w="28" w:type="dxa"/>
          <w:bottom w:w="28" w:type="dxa"/>
          <w:right w:w="28" w:type="dxa"/>
        </w:tblCellMar>
      </w:tblPr>
      <w:tblGrid>
        <w:gridCol w:w="3193"/>
        <w:gridCol w:w="2807"/>
        <w:gridCol w:w="2819"/>
        <w:gridCol w:w="167"/>
        <w:gridCol w:w="167"/>
        <w:gridCol w:w="237"/>
      </w:tblGrid>
      <w:tr>
        <w:trPr/>
        <w:tc>
          <w:tcPr>
            <w:tcW w:w="3193" w:type="dxa"/>
            <w:tcBorders/>
            <w:vAlign w:val="center"/>
          </w:tcPr>
          <w:p>
            <w:pPr>
              <w:pStyle w:val="TableContents"/>
              <w:bidi w:val="0"/>
              <w:spacing w:before="0" w:after="283"/>
              <w:jc w:val="left"/>
              <w:rPr>
                <w:sz w:val="4"/>
                <w:szCs w:val="4"/>
              </w:rPr>
            </w:pPr>
            <w:r>
              <w:rPr>
                <w:sz w:val="4"/>
                <w:szCs w:val="4"/>
              </w:rPr>
            </w:r>
          </w:p>
        </w:tc>
        <w:tc>
          <w:tcPr>
            <w:tcW w:w="2807" w:type="dxa"/>
            <w:tcBorders/>
            <w:vAlign w:val="center"/>
          </w:tcPr>
          <w:p>
            <w:pPr>
              <w:pStyle w:val="TableContents"/>
              <w:bidi w:val="0"/>
              <w:spacing w:before="0" w:after="283"/>
              <w:jc w:val="left"/>
              <w:rPr>
                <w:sz w:val="4"/>
                <w:szCs w:val="4"/>
              </w:rPr>
            </w:pPr>
            <w:r>
              <w:rPr>
                <w:sz w:val="4"/>
                <w:szCs w:val="4"/>
              </w:rPr>
            </w:r>
          </w:p>
        </w:tc>
        <w:tc>
          <w:tcPr>
            <w:tcW w:w="281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Cautionary Note Regarding Forward-Looking Statements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6">
              <w:r>
                <w:rPr>
                  <w:rStyle w:val="InternetLink"/>
                  <w:rFonts w:ascii="Times New Roman;serif" w:hAnsi="Times New Roman;serif"/>
                  <w:b w:val="false"/>
                  <w:strike w:val="false"/>
                  <w:dstrike w:val="false"/>
                  <w:color w:val="000000"/>
                  <w:sz w:val="20"/>
                  <w:u w:val="none"/>
                  <w:effect w:val="none"/>
                </w:rPr>
                <w:t>ii</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i/>
                <w:color w:val="000000"/>
                <w:sz w:val="18"/>
              </w:rPr>
            </w:pPr>
            <w:r>
              <w:rPr>
                <w:rFonts w:ascii="Times New Roman;serif" w:hAnsi="Times New Roman;serif"/>
                <w:b w:val="false"/>
                <w:i/>
                <w:color w:val="000000"/>
                <w:sz w:val="18"/>
              </w:rPr>
              <w:t>Important Information Regarding Our Disclosure to Investors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9">
              <w:r>
                <w:rPr>
                  <w:rStyle w:val="InternetLink"/>
                  <w:rFonts w:ascii="Times New Roman;serif" w:hAnsi="Times New Roman;serif"/>
                  <w:b w:val="false"/>
                  <w:strike w:val="false"/>
                  <w:dstrike w:val="false"/>
                  <w:color w:val="000000"/>
                  <w:sz w:val="20"/>
                  <w:u w:val="none"/>
                  <w:effect w:val="none"/>
                </w:rPr>
                <w:t>iii</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PART I - FINANCIAL INFORMATION</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Item 1. Financial Statements (Unaudited)</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25">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7937014672f24478920111a6074e0ff5_25">
              <w:r>
                <w:rPr>
                  <w:rStyle w:val="InternetLink"/>
                  <w:rFonts w:ascii="Times New Roman;serif" w:hAnsi="Times New Roman;serif"/>
                  <w:b w:val="false"/>
                  <w:strike w:val="false"/>
                  <w:dstrike w:val="false"/>
                  <w:color w:val="000000"/>
                  <w:sz w:val="20"/>
                  <w:u w:val="none"/>
                  <w:effect w:val="none"/>
                </w:rPr>
                <w:t>Consolidated Balance Sheets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25">
              <w:r>
                <w:rPr>
                  <w:rStyle w:val="InternetLink"/>
                  <w:rFonts w:ascii="Times New Roman;serif" w:hAnsi="Times New Roman;serif"/>
                  <w:b w:val="false"/>
                  <w:strike w:val="false"/>
                  <w:dstrike w:val="false"/>
                  <w:color w:val="000000"/>
                  <w:sz w:val="20"/>
                  <w:u w:val="none"/>
                  <w:effect w:val="none"/>
                </w:rPr>
                <w:t>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28">
              <w:r>
                <w:rPr>
                  <w:rStyle w:val="InternetLink"/>
                  <w:rFonts w:ascii="Times New Roman;serif" w:hAnsi="Times New Roman;serif"/>
                  <w:b w:val="false"/>
                  <w:strike w:val="false"/>
                  <w:dstrike w:val="false"/>
                  <w:color w:val="000000"/>
                  <w:sz w:val="20"/>
                  <w:u w:val="none"/>
                  <w:effect w:val="none"/>
                </w:rPr>
                <w:t>Condensed Consolidated Statements of Operations and Comprehensive Loss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28">
              <w:r>
                <w:rPr>
                  <w:rStyle w:val="InternetLink"/>
                  <w:rFonts w:ascii="Times New Roman;serif" w:hAnsi="Times New Roman;serif"/>
                  <w:b w:val="false"/>
                  <w:strike w:val="false"/>
                  <w:dstrike w:val="false"/>
                  <w:color w:val="000000"/>
                  <w:sz w:val="20"/>
                  <w:u w:val="none"/>
                  <w:effect w:val="none"/>
                </w:rPr>
                <w:t>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7937014672f24478920111a6074e0ff5_31">
              <w:r>
                <w:rPr>
                  <w:rStyle w:val="InternetLink"/>
                  <w:rFonts w:ascii="Times New Roman;serif" w:hAnsi="Times New Roman;serif"/>
                  <w:b w:val="false"/>
                  <w:strike w:val="false"/>
                  <w:dstrike w:val="false"/>
                  <w:color w:val="000000"/>
                  <w:sz w:val="20"/>
                  <w:u w:val="none"/>
                  <w:effect w:val="none"/>
                </w:rPr>
                <w:t>Consolidated Statements of Changes in Stockholders’ Equity</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31">
              <w:r>
                <w:rPr>
                  <w:rStyle w:val="InternetLink"/>
                  <w:rFonts w:ascii="Times New Roman;serif" w:hAnsi="Times New Roman;serif"/>
                  <w:b w:val="false"/>
                  <w:strike w:val="false"/>
                  <w:dstrike w:val="false"/>
                  <w:color w:val="000000"/>
                  <w:sz w:val="20"/>
                  <w:u w:val="none"/>
                  <w:effect w:val="none"/>
                </w:rPr>
                <w:t>3</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Condensed </w:t>
            </w:r>
            <w:hyperlink w:anchor="i7937014672f24478920111a6074e0ff5_34">
              <w:r>
                <w:rPr>
                  <w:rStyle w:val="InternetLink"/>
                  <w:rFonts w:ascii="Times New Roman;serif" w:hAnsi="Times New Roman;serif"/>
                  <w:b w:val="false"/>
                  <w:strike w:val="false"/>
                  <w:dstrike w:val="false"/>
                  <w:color w:val="000000"/>
                  <w:sz w:val="20"/>
                  <w:u w:val="none"/>
                  <w:effect w:val="none"/>
                </w:rPr>
                <w:t>Consolidated Statements of Cash Flows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34">
              <w:r>
                <w:rPr>
                  <w:rStyle w:val="InternetLink"/>
                  <w:rFonts w:ascii="Times New Roman;serif" w:hAnsi="Times New Roman;serif"/>
                  <w:b w:val="false"/>
                  <w:strike w:val="false"/>
                  <w:dstrike w:val="false"/>
                  <w:color w:val="000000"/>
                  <w:sz w:val="20"/>
                  <w:u w:val="none"/>
                  <w:effect w:val="none"/>
                </w:rPr>
                <w:t>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37">
              <w:r>
                <w:rPr>
                  <w:rStyle w:val="InternetLink"/>
                  <w:rFonts w:ascii="Times New Roman;serif" w:hAnsi="Times New Roman;serif"/>
                  <w:b w:val="false"/>
                  <w:strike w:val="false"/>
                  <w:dstrike w:val="false"/>
                  <w:color w:val="000000"/>
                  <w:sz w:val="20"/>
                  <w:u w:val="none"/>
                  <w:effect w:val="none"/>
                </w:rPr>
                <w:t>Notes to Condensed Consolidated Financial Statements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37">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40">
              <w:r>
                <w:rPr>
                  <w:rStyle w:val="InternetLink"/>
                  <w:rFonts w:ascii="Times New Roman;serif" w:hAnsi="Times New Roman;serif"/>
                  <w:b w:val="false"/>
                  <w:strike w:val="false"/>
                  <w:dstrike w:val="false"/>
                  <w:color w:val="000000"/>
                  <w:sz w:val="20"/>
                  <w:u w:val="none"/>
                  <w:effect w:val="none"/>
                </w:rPr>
                <w:t xml:space="preserve">Note 1 — Organization and Description of </w:t>
              </w:r>
            </w:hyperlink>
            <w:r>
              <w:rPr>
                <w:rFonts w:ascii="Times New Roman;serif" w:hAnsi="Times New Roman;serif"/>
                <w:b w:val="false"/>
                <w:color w:val="000000"/>
                <w:sz w:val="20"/>
              </w:rPr>
              <w:t>Business</w:t>
            </w:r>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40">
              <w:r>
                <w:rPr>
                  <w:rStyle w:val="InternetLink"/>
                  <w:rFonts w:ascii="Times New Roman;serif" w:hAnsi="Times New Roman;serif"/>
                  <w:b w:val="false"/>
                  <w:strike w:val="false"/>
                  <w:dstrike w:val="false"/>
                  <w:color w:val="000000"/>
                  <w:sz w:val="20"/>
                  <w:u w:val="none"/>
                  <w:effect w:val="none"/>
                </w:rPr>
                <w:t>5</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43">
              <w:r>
                <w:rPr>
                  <w:rStyle w:val="InternetLink"/>
                  <w:rFonts w:ascii="Times New Roman;serif" w:hAnsi="Times New Roman;serif"/>
                  <w:b w:val="false"/>
                  <w:strike w:val="false"/>
                  <w:dstrike w:val="false"/>
                  <w:color w:val="000000"/>
                  <w:sz w:val="20"/>
                  <w:u w:val="none"/>
                  <w:effect w:val="none"/>
                </w:rPr>
                <w:t>Note 2 — Liquidity and Going Concern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43">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46">
              <w:r>
                <w:rPr>
                  <w:rStyle w:val="InternetLink"/>
                  <w:rFonts w:ascii="Times New Roman;serif" w:hAnsi="Times New Roman;serif"/>
                  <w:b w:val="false"/>
                  <w:strike w:val="false"/>
                  <w:dstrike w:val="false"/>
                  <w:color w:val="000000"/>
                  <w:sz w:val="20"/>
                  <w:u w:val="none"/>
                  <w:effect w:val="none"/>
                </w:rPr>
                <w:t>Note 3 — Revenue and Accounts Receivable</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46">
              <w:r>
                <w:rPr>
                  <w:rStyle w:val="InternetLink"/>
                  <w:rFonts w:ascii="Times New Roman;serif" w:hAnsi="Times New Roman;serif"/>
                  <w:b w:val="false"/>
                  <w:strike w:val="false"/>
                  <w:dstrike w:val="false"/>
                  <w:color w:val="000000"/>
                  <w:sz w:val="20"/>
                  <w:u w:val="none"/>
                  <w:effect w:val="none"/>
                </w:rPr>
                <w:t>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49">
              <w:r>
                <w:rPr>
                  <w:rStyle w:val="InternetLink"/>
                  <w:rFonts w:ascii="Times New Roman;serif" w:hAnsi="Times New Roman;serif"/>
                  <w:b w:val="false"/>
                  <w:strike w:val="false"/>
                  <w:dstrike w:val="false"/>
                  <w:color w:val="000000"/>
                  <w:sz w:val="20"/>
                  <w:u w:val="none"/>
                  <w:effect w:val="none"/>
                </w:rPr>
                <w:t>Note 4 — Fair Value Measurements and Derivative Instruments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49">
              <w:r>
                <w:rPr>
                  <w:rStyle w:val="InternetLink"/>
                  <w:rFonts w:ascii="Times New Roman;serif" w:hAnsi="Times New Roman;serif"/>
                  <w:b w:val="false"/>
                  <w:strike w:val="false"/>
                  <w:dstrike w:val="false"/>
                  <w:color w:val="000000"/>
                  <w:sz w:val="20"/>
                  <w:u w:val="none"/>
                  <w:effect w:val="none"/>
                </w:rPr>
                <w:t>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52">
              <w:r>
                <w:rPr>
                  <w:rStyle w:val="InternetLink"/>
                  <w:rFonts w:ascii="Times New Roman;serif" w:hAnsi="Times New Roman;serif"/>
                  <w:b w:val="false"/>
                  <w:strike w:val="false"/>
                  <w:dstrike w:val="false"/>
                  <w:color w:val="000000"/>
                  <w:sz w:val="20"/>
                  <w:u w:val="none"/>
                  <w:effect w:val="none"/>
                </w:rPr>
                <w:t>Note 5 — Financial Statement Details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52">
              <w:r>
                <w:rPr>
                  <w:rStyle w:val="InternetLink"/>
                  <w:rFonts w:ascii="Times New Roman;serif" w:hAnsi="Times New Roman;serif"/>
                  <w:b w:val="false"/>
                  <w:strike w:val="false"/>
                  <w:dstrike w:val="false"/>
                  <w:color w:val="000000"/>
                  <w:sz w:val="20"/>
                  <w:u w:val="none"/>
                  <w:effect w:val="none"/>
                </w:rPr>
                <w:t>11</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55">
              <w:r>
                <w:rPr>
                  <w:rStyle w:val="InternetLink"/>
                  <w:rFonts w:ascii="Times New Roman;serif" w:hAnsi="Times New Roman;serif"/>
                  <w:b w:val="false"/>
                  <w:strike w:val="false"/>
                  <w:dstrike w:val="false"/>
                  <w:color w:val="000000"/>
                  <w:sz w:val="20"/>
                  <w:u w:val="none"/>
                  <w:effect w:val="none"/>
                </w:rPr>
                <w:t>Note 6 — Common Stock, Currently Outstanding Warrants to Purchase Common Stock, and Earnout Shares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55">
              <w:r>
                <w:rPr>
                  <w:rStyle w:val="InternetLink"/>
                  <w:rFonts w:ascii="Times New Roman;serif" w:hAnsi="Times New Roman;serif"/>
                  <w:b w:val="false"/>
                  <w:strike w:val="false"/>
                  <w:dstrike w:val="false"/>
                  <w:color w:val="000000"/>
                  <w:sz w:val="20"/>
                  <w:u w:val="none"/>
                  <w:effect w:val="none"/>
                </w:rPr>
                <w:t>12</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58">
              <w:r>
                <w:rPr>
                  <w:rStyle w:val="InternetLink"/>
                  <w:rFonts w:ascii="Times New Roman;serif" w:hAnsi="Times New Roman;serif"/>
                  <w:b w:val="false"/>
                  <w:strike w:val="false"/>
                  <w:dstrike w:val="false"/>
                  <w:color w:val="000000"/>
                  <w:sz w:val="20"/>
                  <w:u w:val="none"/>
                  <w:effect w:val="none"/>
                </w:rPr>
                <w:t>Note 7 — Net Loss Per Share of Common Stock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58">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61">
              <w:r>
                <w:rPr>
                  <w:rStyle w:val="InternetLink"/>
                  <w:rFonts w:ascii="Times New Roman;serif" w:hAnsi="Times New Roman;serif"/>
                  <w:b w:val="false"/>
                  <w:strike w:val="false"/>
                  <w:dstrike w:val="false"/>
                  <w:color w:val="000000"/>
                  <w:sz w:val="20"/>
                  <w:u w:val="none"/>
                  <w:effect w:val="none"/>
                </w:rPr>
                <w:t>Note 8 — Segment Reporting</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61">
              <w:r>
                <w:rPr>
                  <w:rStyle w:val="InternetLink"/>
                  <w:rFonts w:ascii="Times New Roman;serif" w:hAnsi="Times New Roman;serif"/>
                  <w:b w:val="false"/>
                  <w:strike w:val="false"/>
                  <w:dstrike w:val="false"/>
                  <w:color w:val="000000"/>
                  <w:sz w:val="20"/>
                  <w:u w:val="none"/>
                  <w:effect w:val="none"/>
                </w:rPr>
                <w:t>14</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67">
              <w:r>
                <w:rPr>
                  <w:rStyle w:val="InternetLink"/>
                  <w:rFonts w:ascii="Times New Roman;serif" w:hAnsi="Times New Roman;serif"/>
                  <w:b w:val="false"/>
                  <w:strike w:val="false"/>
                  <w:dstrike w:val="false"/>
                  <w:color w:val="000000"/>
                  <w:sz w:val="20"/>
                  <w:u w:val="none"/>
                  <w:effect w:val="none"/>
                </w:rPr>
                <w:t>Note 9 — Related Party Transactions and Balances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67">
              <w:r>
                <w:rPr>
                  <w:rStyle w:val="InternetLink"/>
                  <w:rFonts w:ascii="Times New Roman;serif" w:hAnsi="Times New Roman;serif"/>
                  <w:b w:val="false"/>
                  <w:strike w:val="false"/>
                  <w:dstrike w:val="false"/>
                  <w:color w:val="000000"/>
                  <w:sz w:val="20"/>
                  <w:u w:val="none"/>
                  <w:effect w:val="none"/>
                </w:rPr>
                <w:t>16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7937014672f24478920111a6074e0ff5_73">
              <w:r>
                <w:rPr>
                  <w:rStyle w:val="InternetLink"/>
                  <w:rFonts w:ascii="Times New Roman;serif" w:hAnsi="Times New Roman;serif"/>
                  <w:b w:val="false"/>
                  <w:strike w:val="false"/>
                  <w:dstrike w:val="false"/>
                  <w:color w:val="000000"/>
                  <w:sz w:val="20"/>
                  <w:u w:val="none"/>
                  <w:effect w:val="none"/>
                </w:rPr>
                <w:t>Note 10 — Subsequent Events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73">
              <w:r>
                <w:rPr>
                  <w:rStyle w:val="InternetLink"/>
                  <w:rFonts w:ascii="Times New Roman;serif" w:hAnsi="Times New Roman;serif"/>
                  <w:b w:val="false"/>
                  <w:strike w:val="false"/>
                  <w:dstrike w:val="false"/>
                  <w:color w:val="000000"/>
                  <w:sz w:val="20"/>
                  <w:u w:val="none"/>
                  <w:effect w:val="none"/>
                </w:rPr>
                <w:t>17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76">
              <w:r>
                <w:rPr>
                  <w:rStyle w:val="InternetLink"/>
                  <w:rFonts w:ascii="Times New Roman;serif" w:hAnsi="Times New Roman;serif"/>
                  <w:b w:val="false"/>
                  <w:strike w:val="false"/>
                  <w:dstrike w:val="false"/>
                  <w:color w:val="000000"/>
                  <w:sz w:val="20"/>
                  <w:u w:val="none"/>
                  <w:effect w:val="none"/>
                </w:rPr>
                <w:t>Item 2. Management’s Discussion and Analysis of Financial Condition and Results of Operations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76">
              <w:r>
                <w:rPr>
                  <w:rStyle w:val="InternetLink"/>
                  <w:rFonts w:ascii="Times New Roman;serif" w:hAnsi="Times New Roman;serif"/>
                  <w:b w:val="false"/>
                  <w:strike w:val="false"/>
                  <w:dstrike w:val="false"/>
                  <w:color w:val="000000"/>
                  <w:sz w:val="20"/>
                  <w:u w:val="none"/>
                  <w:effect w:val="none"/>
                </w:rPr>
                <w:t>18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03">
              <w:r>
                <w:rPr>
                  <w:rStyle w:val="InternetLink"/>
                  <w:rFonts w:ascii="Times New Roman;serif" w:hAnsi="Times New Roman;serif"/>
                  <w:b w:val="false"/>
                  <w:strike w:val="false"/>
                  <w:dstrike w:val="false"/>
                  <w:color w:val="000000"/>
                  <w:sz w:val="20"/>
                  <w:u w:val="none"/>
                  <w:effect w:val="none"/>
                </w:rPr>
                <w:t>Item 3. Quantitative and Qualitative Disclosures About Market Risk</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03">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06">
              <w:r>
                <w:rPr>
                  <w:rStyle w:val="InternetLink"/>
                  <w:rFonts w:ascii="Times New Roman;serif" w:hAnsi="Times New Roman;serif"/>
                  <w:b w:val="false"/>
                  <w:strike w:val="false"/>
                  <w:dstrike w:val="false"/>
                  <w:color w:val="000000"/>
                  <w:sz w:val="20"/>
                  <w:u w:val="none"/>
                  <w:effect w:val="none"/>
                </w:rPr>
                <w:t>Item 4. Controls and Procedures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06">
              <w:r>
                <w:rPr>
                  <w:rStyle w:val="InternetLink"/>
                  <w:rFonts w:ascii="Times New Roman;serif" w:hAnsi="Times New Roman;serif"/>
                  <w:b w:val="false"/>
                  <w:strike w:val="false"/>
                  <w:dstrike w:val="false"/>
                  <w:color w:val="000000"/>
                  <w:sz w:val="20"/>
                  <w:u w:val="none"/>
                  <w:effect w:val="none"/>
                </w:rPr>
                <w:t>26</w:t>
              </w:r>
            </w:hyperlink>
          </w:p>
        </w:tc>
      </w:tr>
      <w:tr>
        <w:trPr/>
        <w:tc>
          <w:tcPr>
            <w:tcW w:w="88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09">
              <w:r>
                <w:rPr>
                  <w:rStyle w:val="InternetLink"/>
                  <w:rFonts w:ascii="Times New Roman;serif" w:hAnsi="Times New Roman;serif"/>
                  <w:b/>
                  <w:strike w:val="false"/>
                  <w:dstrike w:val="false"/>
                  <w:color w:val="000000"/>
                  <w:sz w:val="20"/>
                  <w:u w:val="none"/>
                  <w:effect w:val="none"/>
                </w:rPr>
                <w:t>PART II -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09">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12">
              <w:r>
                <w:rPr>
                  <w:rStyle w:val="InternetLink"/>
                  <w:rFonts w:ascii="Times New Roman;serif" w:hAnsi="Times New Roman;serif"/>
                  <w:b w:val="false"/>
                  <w:strike w:val="false"/>
                  <w:dstrike w:val="false"/>
                  <w:color w:val="000000"/>
                  <w:sz w:val="20"/>
                  <w:u w:val="none"/>
                  <w:effect w:val="none"/>
                </w:rPr>
                <w:t>Item 1. Legal Proceedings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12">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15">
              <w:r>
                <w:rPr>
                  <w:rStyle w:val="InternetLink"/>
                  <w:rFonts w:ascii="Times New Roman;serif" w:hAnsi="Times New Roman;serif"/>
                  <w:b w:val="false"/>
                  <w:strike w:val="false"/>
                  <w:dstrike w:val="false"/>
                  <w:color w:val="000000"/>
                  <w:sz w:val="20"/>
                  <w:u w:val="none"/>
                  <w:effect w:val="none"/>
                </w:rPr>
                <w:t>Item 1A. Risk Factors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15">
              <w:r>
                <w:rPr>
                  <w:rStyle w:val="InternetLink"/>
                  <w:rFonts w:ascii="Times New Roman;serif" w:hAnsi="Times New Roman;serif"/>
                  <w:b w:val="false"/>
                  <w:strike w:val="false"/>
                  <w:dstrike w:val="false"/>
                  <w:color w:val="000000"/>
                  <w:sz w:val="20"/>
                  <w:u w:val="none"/>
                  <w:effect w:val="none"/>
                </w:rPr>
                <w:t>27</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18">
              <w:r>
                <w:rPr>
                  <w:rStyle w:val="InternetLink"/>
                  <w:rFonts w:ascii="Times New Roman;serif" w:hAnsi="Times New Roman;serif"/>
                  <w:b w:val="false"/>
                  <w:strike w:val="false"/>
                  <w:dstrike w:val="false"/>
                  <w:color w:val="000000"/>
                  <w:sz w:val="20"/>
                  <w:u w:val="none"/>
                  <w:effect w:val="none"/>
                </w:rPr>
                <w:t>Item 2. Unregistered Sales of Equity Securities and Use of Proceeds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18">
              <w:r>
                <w:rPr>
                  <w:rStyle w:val="InternetLink"/>
                  <w:rFonts w:ascii="Times New Roman;serif" w:hAnsi="Times New Roman;serif"/>
                  <w:b w:val="false"/>
                  <w:strike w:val="false"/>
                  <w:dstrike w:val="false"/>
                  <w:color w:val="000000"/>
                  <w:sz w:val="20"/>
                  <w:u w:val="none"/>
                  <w:effect w:val="none"/>
                </w:rPr>
                <w:t>28</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21">
              <w:r>
                <w:rPr>
                  <w:rStyle w:val="InternetLink"/>
                  <w:rFonts w:ascii="Times New Roman;serif" w:hAnsi="Times New Roman;serif"/>
                  <w:b w:val="false"/>
                  <w:strike w:val="false"/>
                  <w:dstrike w:val="false"/>
                  <w:color w:val="000000"/>
                  <w:sz w:val="20"/>
                  <w:u w:val="none"/>
                  <w:effect w:val="none"/>
                </w:rPr>
                <w:t>Item 3. Defaults upon Senior Securities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21">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24">
              <w:r>
                <w:rPr>
                  <w:rStyle w:val="InternetLink"/>
                  <w:rFonts w:ascii="Times New Roman;serif" w:hAnsi="Times New Roman;serif"/>
                  <w:b w:val="false"/>
                  <w:strike w:val="false"/>
                  <w:dstrike w:val="false"/>
                  <w:color w:val="000000"/>
                  <w:sz w:val="20"/>
                  <w:u w:val="none"/>
                  <w:effect w:val="none"/>
                </w:rPr>
                <w:t>Item 4. Mine Safety Disclosures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24">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27">
              <w:r>
                <w:rPr>
                  <w:rStyle w:val="InternetLink"/>
                  <w:rFonts w:ascii="Times New Roman;serif" w:hAnsi="Times New Roman;serif"/>
                  <w:b w:val="false"/>
                  <w:strike w:val="false"/>
                  <w:dstrike w:val="false"/>
                  <w:color w:val="000000"/>
                  <w:sz w:val="20"/>
                  <w:u w:val="none"/>
                  <w:effect w:val="none"/>
                </w:rPr>
                <w:t>Item 5. Other Information</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27">
              <w:r>
                <w:rPr>
                  <w:rStyle w:val="InternetLink"/>
                  <w:rFonts w:ascii="Times New Roman;serif" w:hAnsi="Times New Roman;serif"/>
                  <w:b w:val="false"/>
                  <w:strike w:val="false"/>
                  <w:dstrike w:val="false"/>
                  <w:color w:val="000000"/>
                  <w:sz w:val="20"/>
                  <w:u w:val="none"/>
                  <w:effect w:val="none"/>
                </w:rPr>
                <w:t>29</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30">
              <w:r>
                <w:rPr>
                  <w:rStyle w:val="InternetLink"/>
                  <w:rFonts w:ascii="Times New Roman;serif" w:hAnsi="Times New Roman;serif"/>
                  <w:b w:val="false"/>
                  <w:strike w:val="false"/>
                  <w:dstrike w:val="false"/>
                  <w:color w:val="000000"/>
                  <w:sz w:val="20"/>
                  <w:u w:val="none"/>
                  <w:effect w:val="none"/>
                </w:rPr>
                <w:t>Item 6. Exhibits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30">
              <w:r>
                <w:rPr>
                  <w:rStyle w:val="InternetLink"/>
                  <w:rFonts w:ascii="Times New Roman;serif" w:hAnsi="Times New Roman;serif"/>
                  <w:b w:val="false"/>
                  <w:strike w:val="false"/>
                  <w:dstrike w:val="false"/>
                  <w:color w:val="000000"/>
                  <w:sz w:val="20"/>
                  <w:u w:val="none"/>
                  <w:effect w:val="none"/>
                </w:rPr>
                <w:t>30</w:t>
              </w:r>
            </w:hyperlink>
          </w:p>
        </w:tc>
      </w:tr>
      <w:tr>
        <w:trPr/>
        <w:tc>
          <w:tcPr>
            <w:tcW w:w="8819"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7937014672f24478920111a6074e0ff5_133">
              <w:r>
                <w:rPr>
                  <w:rStyle w:val="InternetLink"/>
                  <w:rFonts w:ascii="Times New Roman;serif" w:hAnsi="Times New Roman;serif"/>
                  <w:b/>
                  <w:strike w:val="false"/>
                  <w:dstrike w:val="false"/>
                  <w:color w:val="000000"/>
                  <w:sz w:val="20"/>
                  <w:u w:val="none"/>
                  <w:effect w:val="none"/>
                </w:rPr>
                <w:t>SIGNATURES</w:t>
              </w:r>
            </w:hyperlink>
          </w:p>
        </w:tc>
        <w:tc>
          <w:tcPr>
            <w:tcW w:w="571"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7937014672f24478920111a6074e0ff5_133">
              <w:r>
                <w:rPr>
                  <w:rStyle w:val="InternetLink"/>
                  <w:rFonts w:ascii="Times New Roman;serif" w:hAnsi="Times New Roman;serif"/>
                  <w:b w:val="false"/>
                  <w:strike w:val="false"/>
                  <w:dstrike w:val="false"/>
                  <w:color w:val="000000"/>
                  <w:sz w:val="20"/>
                  <w:u w:val="none"/>
                  <w:effect w:val="none"/>
                </w:rPr>
                <w:t>31</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CAUTIONARY NOTE REGARDING FORWARD-LOOKING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Quarterly Report on Form 10-Q of Blaize Holdings, Inc. (the “Company,” “we,” “our,” or “us”) contains forward-looking statements within the meaning of Section 27A of the U.S. Securities Act of 1933, as amended (the “Securities Act”), and Section 21E of the U.S. Securities Exchange Act of 1934, as amended (the “Exchange Act”).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Quarterly Report on Form 10-Q, including but not limited to, changes in domestic and foreign business, market, financial, political and legal conditions; risks related to the Business Combination, as defined in the Glossary of our Annual Report on Form 10-K for the fiscal year ended December 31, 2025 (the “Annual Report on Form 10-K” or “Form 10-K”) filed with the U.S. Securities and Exchange Commission (“SEC”) on March 24, 2026, including that the expected benefits of the Business Combination are not obtained, whether due to competition, the ability of the combined company to grow and manage growth profitably, maintain relationships with customers and suppliers and retain its management and key employees, among other things, and that the Business Combination disrupts current plans and operations of the Company; the ability to meet the applicable stock exchange listing standards from time to time; changes in applicable law or regulations; changes in global and U.S. economic conditions, including impacts from geopolitical conflicts, recession, inflation, changes in trade policies (including tariffs and other trade measures) of the United States and other countries, interest rate fluctuations, and financial market conditions; prolonged or recurring U.S. federal government shutdowns; the outcome of any legal proceedings that may be instituted against the Company or may involve the Company; the effects of competition on the Company’s future business; the ability of the combined company to issue equity or equity-linked securities or obtain debt financing on favorable terms or at all; the enforceability of our intellectual property rights, including our copyrights, patents, trademarks and trade secrets, and the potential infringement on the intellectual property rights of others; risks related to human capital; risks related to cybersecurity and data privacy; the outcome of any government and regulatory proceedings, investigations and inquiries; and those factors discussed in Part I, Item 1A. “Risk Factors” the Form 10-K, as amended by Amendment No. 1 on Form 10-K/A filed with the SEC on April 30, 2026, Part II, Item 1A. “Risk Factors” herein, and other documents filed by us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and the Company assumes no obligation to update or revise these forward-looking statements, whether as a result of new information, future events, or otherwise, except as required by law, including the securities laws of the United States and the rules and regulations of the SEC. Readers are cautioned not to put undue reliance on forward-looking statements. The Company does not give any assurance that it will achieve its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33"/>
        <w:ind w:left="0" w:right="0" w:hanging="10"/>
        <w:jc w:val="both"/>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IMPORTANT INFORMATION REGARDING OUR DISCLOSURE TO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may use our website (www.blaize.com) to communicate with our investors and disclose company information. The information disclosed through our website may be considered material. Investors should monitor our website in addition to press releases, SEC filings and public conference calls and webcasts. The contents of our website referenced herein are not incorporated by reference into this Quarterly Report on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strike w:val="false"/>
            <w:dstrike w:val="false"/>
            <w:color w:val="0000FF"/>
            <w:sz w:val="20"/>
            <w:u w:val="none"/>
            <w:effect w:val="non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iii</w:t>
                      </w:r>
                    </w:p>
                  </w:txbxContent>
                </v:textbox>
                <w10:wrap type="none"/>
              </v:rect>
            </w:pict>
          </mc:Fallback>
        </mc:AlternateConten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PART I. FINANCIAL INFORMATION</w:t>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ITEM 1.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 or unless otherwise noted)</w:t>
      </w:r>
    </w:p>
    <w:tbl>
      <w:tblPr>
        <w:tblW w:w="10205" w:type="dxa"/>
        <w:jc w:val="center"/>
        <w:tblInd w:w="0" w:type="dxa"/>
        <w:tblLayout w:type="fixed"/>
        <w:tblCellMar>
          <w:top w:w="28" w:type="dxa"/>
          <w:left w:w="28" w:type="dxa"/>
          <w:bottom w:w="28" w:type="dxa"/>
          <w:right w:w="28" w:type="dxa"/>
        </w:tblCellMar>
      </w:tblPr>
      <w:tblGrid>
        <w:gridCol w:w="2756"/>
        <w:gridCol w:w="2212"/>
        <w:gridCol w:w="2147"/>
        <w:gridCol w:w="109"/>
        <w:gridCol w:w="109"/>
        <w:gridCol w:w="109"/>
        <w:gridCol w:w="223"/>
        <w:gridCol w:w="781"/>
        <w:gridCol w:w="115"/>
        <w:gridCol w:w="109"/>
        <w:gridCol w:w="109"/>
        <w:gridCol w:w="109"/>
        <w:gridCol w:w="229"/>
        <w:gridCol w:w="916"/>
        <w:gridCol w:w="172"/>
      </w:tblGrid>
      <w:tr>
        <w:trPr/>
        <w:tc>
          <w:tcPr>
            <w:tcW w:w="2756" w:type="dxa"/>
            <w:tcBorders/>
            <w:vAlign w:val="center"/>
          </w:tcPr>
          <w:p>
            <w:pPr>
              <w:pStyle w:val="TableContents"/>
              <w:bidi w:val="0"/>
              <w:spacing w:before="0" w:after="283"/>
              <w:jc w:val="left"/>
              <w:rPr>
                <w:sz w:val="4"/>
                <w:szCs w:val="4"/>
              </w:rPr>
            </w:pPr>
            <w:r>
              <w:rPr>
                <w:sz w:val="4"/>
                <w:szCs w:val="4"/>
              </w:rPr>
            </w:r>
          </w:p>
        </w:tc>
        <w:tc>
          <w:tcPr>
            <w:tcW w:w="2212" w:type="dxa"/>
            <w:tcBorders/>
            <w:vAlign w:val="center"/>
          </w:tcPr>
          <w:p>
            <w:pPr>
              <w:pStyle w:val="TableContents"/>
              <w:bidi w:val="0"/>
              <w:spacing w:before="0" w:after="283"/>
              <w:jc w:val="left"/>
              <w:rPr>
                <w:sz w:val="4"/>
                <w:szCs w:val="4"/>
              </w:rPr>
            </w:pPr>
            <w:r>
              <w:rPr>
                <w:sz w:val="4"/>
                <w:szCs w:val="4"/>
              </w:rPr>
            </w:r>
          </w:p>
        </w:tc>
        <w:tc>
          <w:tcPr>
            <w:tcW w:w="2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71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711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40" w:before="0" w:after="0"/>
              <w:jc w:val="lef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45,781 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Accounts receivable, net of allowance for credit losses of $2,430 and $523, respectively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33,363 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Accounts receivable - related party, net of allowance for credit losses of $— and $34,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3,330 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65,381 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96,607 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1,516 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12,583 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8,339 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trade payables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22,838 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 - current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Working capital loan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1,500 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Advances from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2,857 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26,539 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43,389 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6,353 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6,745 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2,184 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1,276 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45,307</w:t>
            </w:r>
            <w:r>
              <w:rPr>
                <w:color w:val="000000"/>
              </w:rPr>
              <w:t>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63,211</w:t>
            </w:r>
            <w:r>
              <w:rPr>
                <w:color w:val="000000"/>
              </w:rPr>
              <w:t>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tLeast" w:line="142" w:before="0" w:after="0"/>
              <w:jc w:val="right"/>
              <w:rPr>
                <w:color w:val="000000"/>
              </w:rPr>
            </w:pPr>
            <w:r>
              <w:rPr>
                <w:color w:val="000000"/>
              </w:rPr>
              <w:t> </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 $0.0001 par value; 600,000,000 and 600,000,000 shares authorized as of March 31, 2026 and December 31, 2025, respectively, and 122,746,757 and 122,043,966 shares issued and outstanding as of March 31,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684,116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675,143</w:t>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(658,808)</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(636,155)</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25,445</w:t>
            </w:r>
            <w:r>
              <w:rPr>
                <w:color w:val="000000"/>
              </w:rPr>
              <w:t>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39,000</w:t>
            </w: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70,752</w:t>
            </w:r>
            <w:r>
              <w:rPr>
                <w:color w:val="000000"/>
              </w:rPr>
              <w:t>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102,211</w:t>
            </w:r>
            <w:r>
              <w:rPr>
                <w:color w:val="000000"/>
              </w:rPr>
              <w:t> </w:t>
            </w:r>
          </w:p>
        </w:tc>
        <w:tc>
          <w:tcPr>
            <w:tcW w:w="1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49580"/>
                <wp:effectExtent l="0" t="0" r="0" b="0"/>
                <wp:wrapNone/>
                <wp:docPr id="7" name="Frame6"/>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OPERATIONS AND COMPREHENSIVE LOSS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 and per share amounts)</w:t>
      </w:r>
    </w:p>
    <w:tbl>
      <w:tblPr>
        <w:tblW w:w="9378" w:type="dxa"/>
        <w:jc w:val="left"/>
        <w:tblInd w:w="0" w:type="dxa"/>
        <w:tblLayout w:type="fixed"/>
        <w:tblCellMar>
          <w:top w:w="28" w:type="dxa"/>
          <w:left w:w="28" w:type="dxa"/>
          <w:bottom w:w="28" w:type="dxa"/>
          <w:right w:w="28" w:type="dxa"/>
        </w:tblCellMar>
      </w:tblPr>
      <w:tblGrid>
        <w:gridCol w:w="2063"/>
        <w:gridCol w:w="1820"/>
        <w:gridCol w:w="1832"/>
        <w:gridCol w:w="109"/>
        <w:gridCol w:w="109"/>
        <w:gridCol w:w="109"/>
        <w:gridCol w:w="450"/>
        <w:gridCol w:w="396"/>
        <w:gridCol w:w="399"/>
        <w:gridCol w:w="232"/>
        <w:gridCol w:w="232"/>
        <w:gridCol w:w="232"/>
        <w:gridCol w:w="450"/>
        <w:gridCol w:w="502"/>
        <w:gridCol w:w="443"/>
      </w:tblGrid>
      <w:tr>
        <w:trPr/>
        <w:tc>
          <w:tcPr>
            <w:tcW w:w="2063"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6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ind w:left="0" w:right="0" w:hanging="180"/>
              <w:jc w:val="lef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2,167</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Hardware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Software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Strategic consulting services revenue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1,007</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327</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Gross profit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1,576</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680</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13,118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13,108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241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191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12,043</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38,701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(23,388)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(38,021)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right"/>
              <w:rPr>
                <w:color w:val="000000"/>
              </w:rPr>
            </w:pPr>
            <w:r>
              <w:rPr>
                <w:color w:val="000000"/>
              </w:rPr>
              <w:t> </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(226,048)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116,518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5" w:type="dxa"/>
            <w:gridSpan w:val="3"/>
            <w:tcBorders/>
            <w:vAlign w:val="center"/>
          </w:tcPr>
          <w:p>
            <w:pPr>
              <w:pStyle w:val="TableContents"/>
              <w:bidi w:val="0"/>
              <w:spacing w:before="0" w:after="283"/>
              <w:jc w:val="left"/>
              <w:rPr>
                <w:sz w:val="4"/>
                <w:szCs w:val="4"/>
              </w:rPr>
            </w:pPr>
            <w:r>
              <w:rPr>
                <w:sz w:val="4"/>
                <w:szCs w:val="4"/>
              </w:rPr>
            </w:r>
          </w:p>
        </w:tc>
        <w:tc>
          <w:tcPr>
            <w:tcW w:w="696" w:type="dxa"/>
            <w:gridSpan w:val="3"/>
            <w:tcBorders/>
            <w:vAlign w:val="center"/>
          </w:tcPr>
          <w:p>
            <w:pPr>
              <w:pStyle w:val="TableContents"/>
              <w:bidi w:val="0"/>
              <w:spacing w:before="0" w:after="283"/>
              <w:jc w:val="left"/>
              <w:rPr>
                <w:sz w:val="4"/>
                <w:szCs w:val="4"/>
              </w:rPr>
            </w:pPr>
            <w:r>
              <w:rPr>
                <w:sz w:val="4"/>
                <w:szCs w:val="4"/>
              </w:rPr>
            </w:r>
          </w:p>
        </w:tc>
        <w:tc>
          <w:tcPr>
            <w:tcW w:w="139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(48)</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834</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(109,578)</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before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(22,554)</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color w:val="000000"/>
                <w:sz w:val="20"/>
              </w:rPr>
            </w:pPr>
            <w:r>
              <w:rPr>
                <w:rFonts w:ascii="Times New Roman;serif" w:hAnsi="Times New Roman;serif"/>
                <w:b/>
                <w:color w:val="000000"/>
                <w:sz w:val="20"/>
              </w:rPr>
              <w:t>(147,599)</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162</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(22,653)</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Change in foreign currency translation adjustments,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(22,528)</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(147,761)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6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erif" w:hAnsi="Times New Roman;serif"/>
                <w:b w:val="false"/>
                <w:color w:val="000000"/>
                <w:sz w:val="20"/>
              </w:rPr>
            </w:pPr>
            <w:r>
              <w:rPr>
                <w:rFonts w:ascii="Times New Roman;serif" w:hAnsi="Times New Roman;serif"/>
                <w:b w:val="false"/>
                <w:color w:val="000000"/>
                <w:sz w:val="20"/>
              </w:rPr>
              <w:t>(1.61)</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outstanding -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w:t>
            </w:r>
          </w:p>
        </w:tc>
        <w:tc>
          <w:tcPr>
            <w:tcW w:w="6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5"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49580"/>
                <wp:effectExtent l="0" t="0" r="0" b="0"/>
                <wp:wrapNone/>
                <wp:docPr id="8" name="Frame7"/>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CHANGES IN STOCKHOLDERS’ EQUITY</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 except shares)</w:t>
      </w:r>
    </w:p>
    <w:tbl>
      <w:tblPr>
        <w:tblW w:w="11758" w:type="dxa"/>
        <w:jc w:val="left"/>
        <w:tblInd w:w="0" w:type="dxa"/>
        <w:tblLayout w:type="fixed"/>
        <w:tblCellMar>
          <w:top w:w="28" w:type="dxa"/>
          <w:left w:w="28" w:type="dxa"/>
          <w:bottom w:w="28" w:type="dxa"/>
          <w:right w:w="28" w:type="dxa"/>
        </w:tblCellMar>
      </w:tblPr>
      <w:tblGrid>
        <w:gridCol w:w="814"/>
        <w:gridCol w:w="268"/>
        <w:gridCol w:w="269"/>
        <w:gridCol w:w="298"/>
        <w:gridCol w:w="224"/>
        <w:gridCol w:w="109"/>
        <w:gridCol w:w="109"/>
        <w:gridCol w:w="109"/>
        <w:gridCol w:w="109"/>
        <w:gridCol w:w="236"/>
        <w:gridCol w:w="406"/>
        <w:gridCol w:w="109"/>
        <w:gridCol w:w="109"/>
        <w:gridCol w:w="109"/>
        <w:gridCol w:w="109"/>
        <w:gridCol w:w="379"/>
        <w:gridCol w:w="379"/>
        <w:gridCol w:w="383"/>
        <w:gridCol w:w="109"/>
        <w:gridCol w:w="109"/>
        <w:gridCol w:w="109"/>
        <w:gridCol w:w="227"/>
        <w:gridCol w:w="405"/>
        <w:gridCol w:w="119"/>
        <w:gridCol w:w="109"/>
        <w:gridCol w:w="109"/>
        <w:gridCol w:w="109"/>
        <w:gridCol w:w="211"/>
        <w:gridCol w:w="841"/>
        <w:gridCol w:w="109"/>
        <w:gridCol w:w="109"/>
        <w:gridCol w:w="109"/>
        <w:gridCol w:w="109"/>
        <w:gridCol w:w="344"/>
        <w:gridCol w:w="784"/>
        <w:gridCol w:w="178"/>
        <w:gridCol w:w="109"/>
        <w:gridCol w:w="109"/>
        <w:gridCol w:w="109"/>
        <w:gridCol w:w="211"/>
        <w:gridCol w:w="841"/>
        <w:gridCol w:w="109"/>
        <w:gridCol w:w="109"/>
        <w:gridCol w:w="109"/>
        <w:gridCol w:w="109"/>
        <w:gridCol w:w="233"/>
        <w:gridCol w:w="812"/>
        <w:gridCol w:w="171"/>
      </w:tblGrid>
      <w:tr>
        <w:trPr/>
        <w:tc>
          <w:tcPr>
            <w:tcW w:w="81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81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restart"/>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71"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9"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Total Stockholders’ Equity</w:t>
            </w:r>
          </w:p>
        </w:tc>
      </w:tr>
      <w:tr>
        <w:trPr/>
        <w:tc>
          <w:tcPr>
            <w:tcW w:w="13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2026</w:t>
            </w:r>
          </w:p>
        </w:tc>
        <w:tc>
          <w:tcPr>
            <w:tcW w:w="6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122,043,966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675,143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(636,155)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39,000</w:t>
            </w:r>
            <w:r>
              <w:rPr>
                <w:color w:val="000000"/>
              </w:rPr>
              <w:t>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653,589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6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6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2026</w:t>
            </w:r>
          </w:p>
        </w:tc>
        <w:tc>
          <w:tcPr>
            <w:tcW w:w="63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122,746,757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12</w:t>
            </w:r>
            <w:r>
              <w:rPr>
                <w:color w:val="000000"/>
              </w:rPr>
              <w:t> </w:t>
            </w:r>
          </w:p>
        </w:tc>
        <w:tc>
          <w:tcPr>
            <w:tcW w:w="1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684,116</w:t>
            </w: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125</w:t>
            </w:r>
            <w:r>
              <w:rPr>
                <w:color w:val="000000"/>
              </w:rPr>
              <w:t>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(658,808)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25,445</w:t>
            </w:r>
            <w:r>
              <w:rPr>
                <w:color w:val="000000"/>
              </w:rPr>
              <w:t>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158" w:type="dxa"/>
        <w:jc w:val="left"/>
        <w:tblInd w:w="0" w:type="dxa"/>
        <w:tblLayout w:type="fixed"/>
        <w:tblCellMar>
          <w:top w:w="28" w:type="dxa"/>
          <w:left w:w="28" w:type="dxa"/>
          <w:bottom w:w="28" w:type="dxa"/>
          <w:right w:w="28" w:type="dxa"/>
        </w:tblCellMar>
      </w:tblPr>
      <w:tblGrid>
        <w:gridCol w:w="724"/>
        <w:gridCol w:w="268"/>
        <w:gridCol w:w="269"/>
        <w:gridCol w:w="355"/>
        <w:gridCol w:w="355"/>
        <w:gridCol w:w="221"/>
        <w:gridCol w:w="109"/>
        <w:gridCol w:w="109"/>
        <w:gridCol w:w="109"/>
        <w:gridCol w:w="211"/>
        <w:gridCol w:w="736"/>
        <w:gridCol w:w="109"/>
        <w:gridCol w:w="109"/>
        <w:gridCol w:w="109"/>
        <w:gridCol w:w="109"/>
        <w:gridCol w:w="344"/>
        <w:gridCol w:w="344"/>
        <w:gridCol w:w="348"/>
        <w:gridCol w:w="109"/>
        <w:gridCol w:w="109"/>
        <w:gridCol w:w="109"/>
        <w:gridCol w:w="227"/>
        <w:gridCol w:w="405"/>
        <w:gridCol w:w="119"/>
        <w:gridCol w:w="109"/>
        <w:gridCol w:w="109"/>
        <w:gridCol w:w="109"/>
        <w:gridCol w:w="211"/>
        <w:gridCol w:w="841"/>
        <w:gridCol w:w="109"/>
        <w:gridCol w:w="109"/>
        <w:gridCol w:w="109"/>
        <w:gridCol w:w="109"/>
        <w:gridCol w:w="379"/>
        <w:gridCol w:w="730"/>
        <w:gridCol w:w="197"/>
        <w:gridCol w:w="109"/>
        <w:gridCol w:w="109"/>
        <w:gridCol w:w="109"/>
        <w:gridCol w:w="211"/>
        <w:gridCol w:w="841"/>
        <w:gridCol w:w="109"/>
        <w:gridCol w:w="109"/>
        <w:gridCol w:w="109"/>
        <w:gridCol w:w="109"/>
        <w:gridCol w:w="211"/>
        <w:gridCol w:w="841"/>
        <w:gridCol w:w="154"/>
      </w:tblGrid>
      <w:tr>
        <w:trPr/>
        <w:tc>
          <w:tcPr>
            <w:tcW w:w="72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restart"/>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 Subject to Possible Redemption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6" w:type="dxa"/>
            <w:gridSpan w:val="3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Stockholders’ (Deficit)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Additional 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Accumulated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 xml:space="preserve">Total Stockholders’ </w:t>
            </w:r>
          </w:p>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(Deficit) Equity</w:t>
            </w:r>
          </w:p>
        </w:tc>
      </w:tr>
      <w:tr>
        <w:trPr/>
        <w:tc>
          <w:tcPr>
            <w:tcW w:w="12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8"/>
              </w:rPr>
            </w:pPr>
            <w:r>
              <w:rPr>
                <w:rFonts w:ascii="Times New Roman;serif" w:hAnsi="Times New Roman;serif"/>
                <w:b/>
                <w:color w:val="000000"/>
                <w:sz w:val="18"/>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January 1, 2025</w:t>
            </w:r>
          </w:p>
        </w:tc>
        <w:tc>
          <w:tcPr>
            <w:tcW w:w="93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48,376,052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w:t>
            </w:r>
            <w:r>
              <w:rPr>
                <w:color w:val="000000"/>
              </w:rPr>
              <w:t>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318,783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(429,251)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(110,463)</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31,433,259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11,408,957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Payment on shareholder note receivable</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to advisors</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common stock warrants to advisor</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9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9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as of March 31, 2025</w:t>
            </w:r>
          </w:p>
        </w:tc>
        <w:tc>
          <w:tcPr>
            <w:tcW w:w="931"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2,854,242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33,061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98,818,874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4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10</w:t>
            </w:r>
            <w:r>
              <w:rPr>
                <w:color w:val="000000"/>
              </w:rPr>
              <w:t>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593,712</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(577,012)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16,710</w:t>
            </w:r>
            <w:r>
              <w:rPr>
                <w:color w:val="000000"/>
              </w:rPr>
              <w:t>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49580"/>
                <wp:effectExtent l="0" t="0" r="0" b="0"/>
                <wp:wrapNone/>
                <wp:docPr id="9" name="Frame8"/>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p>
      <w:pPr>
        <w:pStyle w:val="TextBody"/>
        <w:bidi w:val="0"/>
        <w:spacing w:lineRule="auto" w:line="288" w:before="0" w:after="0"/>
        <w:jc w:val="center"/>
        <w:rPr>
          <w:rFonts w:ascii="Times New Roman;serif" w:hAnsi="Times New Roman;serif"/>
          <w:b/>
          <w:i/>
          <w:color w:val="000000"/>
          <w:sz w:val="20"/>
        </w:rPr>
      </w:pPr>
      <w:r>
        <w:rPr>
          <w:rFonts w:ascii="Times New Roman;serif" w:hAnsi="Times New Roman;serif"/>
          <w:b/>
          <w:i/>
          <w:color w:val="000000"/>
          <w:sz w:val="20"/>
        </w:rPr>
        <w:t>(Unaudited)</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(Amounts in thousands)</w:t>
      </w:r>
    </w:p>
    <w:tbl>
      <w:tblPr>
        <w:tblW w:w="9275" w:type="dxa"/>
        <w:jc w:val="left"/>
        <w:tblInd w:w="0" w:type="dxa"/>
        <w:tblLayout w:type="fixed"/>
        <w:tblCellMar>
          <w:top w:w="28" w:type="dxa"/>
          <w:left w:w="28" w:type="dxa"/>
          <w:bottom w:w="28" w:type="dxa"/>
          <w:right w:w="28" w:type="dxa"/>
        </w:tblCellMar>
      </w:tblPr>
      <w:tblGrid>
        <w:gridCol w:w="2288"/>
        <w:gridCol w:w="2013"/>
        <w:gridCol w:w="2028"/>
        <w:gridCol w:w="109"/>
        <w:gridCol w:w="109"/>
        <w:gridCol w:w="109"/>
        <w:gridCol w:w="212"/>
        <w:gridCol w:w="802"/>
        <w:gridCol w:w="109"/>
        <w:gridCol w:w="109"/>
        <w:gridCol w:w="109"/>
        <w:gridCol w:w="109"/>
        <w:gridCol w:w="212"/>
        <w:gridCol w:w="802"/>
        <w:gridCol w:w="155"/>
      </w:tblGrid>
      <w:tr>
        <w:trPr/>
        <w:tc>
          <w:tcPr>
            <w:tcW w:w="2288" w:type="dxa"/>
            <w:tcBorders/>
            <w:vAlign w:val="center"/>
          </w:tcPr>
          <w:p>
            <w:pPr>
              <w:pStyle w:val="TableContents"/>
              <w:bidi w:val="0"/>
              <w:spacing w:before="0" w:after="283"/>
              <w:jc w:val="left"/>
              <w:rPr>
                <w:sz w:val="4"/>
                <w:szCs w:val="4"/>
              </w:rPr>
            </w:pPr>
            <w:r>
              <w:rPr>
                <w:sz w:val="4"/>
                <w:szCs w:val="4"/>
              </w:rPr>
            </w:r>
          </w:p>
        </w:tc>
        <w:tc>
          <w:tcPr>
            <w:tcW w:w="2013" w:type="dxa"/>
            <w:tcBorders/>
            <w:vAlign w:val="center"/>
          </w:tcPr>
          <w:p>
            <w:pPr>
              <w:pStyle w:val="TableContents"/>
              <w:bidi w:val="0"/>
              <w:spacing w:before="0" w:after="283"/>
              <w:jc w:val="left"/>
              <w:rPr>
                <w:sz w:val="4"/>
                <w:szCs w:val="4"/>
              </w:rPr>
            </w:pPr>
            <w:r>
              <w:rPr>
                <w:sz w:val="4"/>
                <w:szCs w:val="4"/>
              </w:rPr>
            </w:r>
          </w:p>
        </w:tc>
        <w:tc>
          <w:tcPr>
            <w:tcW w:w="2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6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(12,630)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(15,944)</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used in investing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(661)</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Merger and PIPE financing, net of 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Payment of deferred offering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(4,531)</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cash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58</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11,343</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exchange rate changes on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Net change in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(12,567)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(5,262)</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Cash, cash equivalents and restricted cash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Components of cash, cash equivalents and restricted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(included within 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Total cash, cash equivalents and restricted cash</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33,483</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8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erif" w:hAnsi="Times New Roman;serif"/>
                <w:b/>
                <w:color w:val="000000"/>
                <w:sz w:val="20"/>
              </w:rPr>
              <w:t>45,226</w:t>
            </w:r>
            <w:r>
              <w:rPr>
                <w:color w:val="000000"/>
              </w:rPr>
              <w:t>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Supplemental non-cash disclosures: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acquired in accounts payable and accrued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to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314,334 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exercise of Legacy Blaize warrants for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75,056 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Issuance of warrants for professional services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for shareholder note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r>
        <w:trPr/>
        <w:tc>
          <w:tcPr>
            <w:tcW w:w="63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2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9"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49580"/>
                <wp:effectExtent l="0" t="0" r="0" b="0"/>
                <wp:wrapNone/>
                <wp:docPr id="10" name="Frame9"/>
                <a:graphic xmlns:a="http://schemas.openxmlformats.org/drawingml/2006/main">
                  <a:graphicData uri="http://schemas.microsoft.com/office/word/2010/wordprocessingShape">
                    <wps:wsp>
                      <wps:cNvSpPr txBox="1"/>
                      <wps:spPr>
                        <a:xfrm>
                          <a:off x="0" y="0"/>
                          <a:ext cx="6480175" cy="449580"/>
                        </a:xfrm>
                        <a:prstGeom prst="rect"/>
                        <a:solidFill>
                          <a:srgbClr val="FFFFFF"/>
                        </a:solidFill>
                      </wps:spPr>
                      <wps:txb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00"/>
                        <w:jc w:val="center"/>
                        <w:rPr>
                          <w:rFonts w:ascii="Times New Roman;serif" w:hAnsi="Times New Roman;serif"/>
                          <w:b w:val="false"/>
                          <w:i/>
                          <w:color w:val="000000"/>
                          <w:sz w:val="20"/>
                        </w:rPr>
                      </w:pPr>
                      <w:r>
                        <w:rPr>
                          <w:rFonts w:ascii="Times New Roman;serif" w:hAnsi="Times New Roman;serif"/>
                          <w:b w:val="false"/>
                          <w:i/>
                          <w:color w:val="000000"/>
                          <w:sz w:val="20"/>
                        </w:rPr>
                        <w:t>See accompanying notes to condensed consolidated financial statements</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THE CONDENSED CONSOLIDATED FINANCIAL STATEMENTS</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 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Organization and Description of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Blaize Holdings, Inc. (together with its subsidiaries, “Blaize,” or the “Company”) is headquartered in El Dorado Hills, California. The condensed consolidated financial statements of the Company include the accounts of the Company and its wholly owned subsidiaries.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provides purpose-built, transformative artificial intelligence (“AI”)-enabled edge computing solutions comprised of both its proprietary hardware and software, and complementary third-party hardware solutions, as further described below.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its internally developed products, the Company also delivers third-party hardware solutions that complement and enhance its core offerings. These third-party hardware solutions typically are substantially comprised of servers, which are selected to ensure optimal compatibility and performance with the Company’s products and AI-enabled platforms.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portfolio includes highly efficient programmable AI processors in a broad range of form factors, deployable across several verticals, including smart city, defense, retail and enterprise markets. The Company’s accelerated AI computing platforms enable applications such as computer vision, advanced video analytics, and AI inference, and the Company’s software tools allow non-expert practitioners to deploy existing and novel AI applications on the Company’s hardware without the need for customers to learn or use source code.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Merger and Reverse Recapitalization and Accounting for the Merger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Merger and reverse recapitalization, the accounting for the transaction, and the defined terms used herein are described in Note 1 — “Organization and Description of Business” of the Notes to the Consolidated Financial Statements included in the Company’s Annual Report on Form 10-K for the year ended December 31, 2025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Interim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accompanying unaudited condensed consolidated financial statements were prepared in accordance with accounting principles generally accepted in the U.S. (“GAAP”) for interim financial information and with the instructions to Form 10-Q and Article 10 of Securities and Exchange Commission (“SEC”), Regulation S-X. In the opinion of management, all adjustments, consisting only of normal recurring adjustments considered necessary for a fair presentation of results of operations and financial position, have been included. The results for the interim periods presented are not necessarily indicative of the results expected for any future period. The following information should be read in conjunction with the audited consolidated financial statements and notes thereto included in the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Use of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GAAP requires the Company’s management to make estimates based on assumptions about current and, for some estimates, future economic and market conditions, which affect reported amounts and related disclosures in the Company’s condensed consolidated financial statements. Although current estimates contemplate current and expected future conditions, as applicable, it is reasonably possible that actual conditions could differ from management’s expectations, which could materially affect the Company’s results of operations and financial position.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been no material changes to the Company’s significant accounting policies disclosed in Note 3 — “Summary of Significant Accounting Policies” of the Notes to the Consolidated Financial Statements included in the Annual Report on Form 10-K. The Company did not adopt any new accounting standards during the three months ended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 xml:space="preserve">Recent Accounting Pronouncements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the applicability and impact of all Accounting Standards Updates (“ASUs”) issued by the Financial Accounting Standards Board (“FASB”). Previously identified ASUs that are also currently applicable or material </w:t>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to the Company’s future consolidated financial statements are discussed in Note 3 of the Company’s consolidated financial statements included in the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2. Liquidity and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Liquidity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 had cash and cash equivalents on hand of $33.2 million and accounts receivable less allowance for credit losses of $16.7 million, while accounts payable, accrued expenses and other current liabilities (excluding amounts due to related parties), and accrued trade payables totaled $21.4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condensed consolidated financial statements have been prepared on a “going concern basis,” which assumes that it will be able to meet its obligations and continue its operations during the twelve months following the issuance of these condensed consolidated financial statements. These condensed consolidated financial statements do not include any adjustments to reflect the possible future effects on the recoverability and classification of assets or the amounts and classifications of liabilities that may result should the Company be unable to continue as a going concern.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Historically, the Company has funded its operations by using cash generated from financing activities and at the same time, has incurred negative cash flows from operations. Cash provided by financing activities was not significant for the period ended March 31, 2026 and was unrelated to any capital raising activities. Cash provided by financing activities was $11.3 million for the three months ended March 31, 2025, and was generated by capital raising activities. Cash used in operations for the three months ended March 31, 2026 and 2025 was $12.6 million and $15.9 million,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historically incurred recurring operating losses, including a loss from operations of $23.4 million and $38.0 million for the three months ended March 31, 2026 and 2025, respectively.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ability to continue to meet its obligations, to achieve its business objectives, and continue as a going concern is dependent upon several factors, including its revenue growth rate, cash collections of its accounts receivable, and the timing and extent of spending to support further sales and marketing and research and development efforts. In order to continue its operations, the Company, as currently structured, will need to raise additional financing, if such financing is available at all.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result of the above, in connection with its assessment of going concern considerations in accordance with FASB Accounting Standards Codification (“ASC”) 205-40-50 — “Going Concern — Disclosure,” management has determined that the Company’s liquidity condition raises substantial doubt about its ability to continue as a going concern through one year from the date that these condensed consolidated financial statements have been issued.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3. Revenue and Accounts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by geographical location, determined by reference to the customer’s shipping location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revenue disaggregated based on the method of revenue recognition for the three months ended March 31, 2026 and 2025:</w:t>
      </w:r>
    </w:p>
    <w:p>
      <w:pPr>
        <w:pStyle w:val="TextBody"/>
        <w:bidi w:val="0"/>
        <w:spacing w:before="0" w:after="0"/>
        <w:jc w:val="left"/>
        <w:rPr/>
      </w:pPr>
      <w:r>
        <w:rPr/>
      </w:r>
    </w:p>
    <w:tbl>
      <w:tblPr>
        <w:tblW w:w="6157" w:type="dxa"/>
        <w:jc w:val="left"/>
        <w:tblInd w:w="0" w:type="dxa"/>
        <w:tblLayout w:type="fixed"/>
        <w:tblCellMar>
          <w:top w:w="28" w:type="dxa"/>
          <w:left w:w="28" w:type="dxa"/>
          <w:bottom w:w="28" w:type="dxa"/>
          <w:right w:w="28" w:type="dxa"/>
        </w:tblCellMar>
      </w:tblPr>
      <w:tblGrid>
        <w:gridCol w:w="1163"/>
        <w:gridCol w:w="1019"/>
        <w:gridCol w:w="1028"/>
        <w:gridCol w:w="109"/>
        <w:gridCol w:w="109"/>
        <w:gridCol w:w="109"/>
        <w:gridCol w:w="246"/>
        <w:gridCol w:w="720"/>
        <w:gridCol w:w="127"/>
        <w:gridCol w:w="127"/>
        <w:gridCol w:w="127"/>
        <w:gridCol w:w="127"/>
        <w:gridCol w:w="246"/>
        <w:gridCol w:w="720"/>
        <w:gridCol w:w="180"/>
      </w:tblGrid>
      <w:tr>
        <w:trPr/>
        <w:tc>
          <w:tcPr>
            <w:tcW w:w="1163"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concentrations in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Constrained revenue and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each of the three months ended March 31, 2026 and 2025, the Company had no revenue that was subject to constraint or variable consideration.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revenue-related matters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contract assets (unbilled receivables) and no material contract liabilities (deferred revenue) as of March 31, 2026 and December 31, 2025. The Company did not have any outstanding or unsatisfied performance obligations as of March 31, 2026 and December 31, 2025. The Company did not have material costs related to obtaining a contract, or fulfilling a contract that are not addressed by other accounting standards, with amortization periods greater than one year as of March 31, 2026 and December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Accounts Receivable,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Normal credit terms for the Company’s accounts receivable are generally up to net 30 days, although credit terms for a customer sale that occurred in the fourth quarter of 2025 included credit terms up to 90 days. As of March 31, 2026, the Company’s accounts receivable were 47% current, 0% over 60 days past due, and 53% over 90 days past due under the credit terms of the applicable customer receivable.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had no accounts receivable due from related parties as of March 31, 2026.</w:t>
      </w:r>
    </w:p>
    <w:p>
      <w:pPr>
        <w:pStyle w:val="TextBody"/>
        <w:bidi w:val="0"/>
        <w:spacing w:before="0" w:after="283"/>
        <w:jc w:val="left"/>
        <w:rPr/>
      </w:pPr>
      <w:r>
        <w:rPr/>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balances and activity within the Company’s provision for credit losses as of and for the three months ended March 31, 2026 and as of and for the year ended December 31, 2025 are set forth as follows:</w:t>
      </w:r>
    </w:p>
    <w:p>
      <w:pPr>
        <w:pStyle w:val="TextBody"/>
        <w:bidi w:val="0"/>
        <w:spacing w:before="0" w:after="0"/>
        <w:jc w:val="left"/>
        <w:rPr/>
      </w:pPr>
      <w:r>
        <w:rPr/>
      </w:r>
    </w:p>
    <w:tbl>
      <w:tblPr>
        <w:tblW w:w="5808" w:type="dxa"/>
        <w:jc w:val="left"/>
        <w:tblInd w:w="0" w:type="dxa"/>
        <w:tblLayout w:type="fixed"/>
        <w:tblCellMar>
          <w:top w:w="28" w:type="dxa"/>
          <w:left w:w="28" w:type="dxa"/>
          <w:bottom w:w="28" w:type="dxa"/>
          <w:right w:w="28" w:type="dxa"/>
        </w:tblCellMar>
      </w:tblPr>
      <w:tblGrid>
        <w:gridCol w:w="1630"/>
        <w:gridCol w:w="1430"/>
        <w:gridCol w:w="1440"/>
        <w:gridCol w:w="109"/>
        <w:gridCol w:w="109"/>
        <w:gridCol w:w="109"/>
        <w:gridCol w:w="211"/>
        <w:gridCol w:w="616"/>
        <w:gridCol w:w="154"/>
      </w:tblGrid>
      <w:tr>
        <w:trPr/>
        <w:tc>
          <w:tcPr>
            <w:tcW w:w="1630" w:type="dxa"/>
            <w:tcBorders/>
            <w:vAlign w:val="center"/>
          </w:tcPr>
          <w:p>
            <w:pPr>
              <w:pStyle w:val="TableContents"/>
              <w:bidi w:val="0"/>
              <w:spacing w:before="0" w:after="283"/>
              <w:jc w:val="left"/>
              <w:rPr>
                <w:sz w:val="4"/>
                <w:szCs w:val="4"/>
              </w:rPr>
            </w:pPr>
            <w:r>
              <w:rPr>
                <w:sz w:val="4"/>
                <w:szCs w:val="4"/>
              </w:rPr>
            </w:r>
          </w:p>
        </w:tc>
        <w:tc>
          <w:tcPr>
            <w:tcW w:w="1430"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0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 - related party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Write-off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Reversal of provision due to collection of full balance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Additions to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Customer concentration of accounts receivable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The following table sets forth the summary of the Company’s concentration of accounts receivable by customer as of March 31, 2026 </w:t>
      </w:r>
      <w:r>
        <w:rPr>
          <w:rFonts w:ascii="Times New Roman;serif" w:hAnsi="Times New Roman;serif"/>
          <w:b w:val="false"/>
          <w:color w:val="000000"/>
          <w:sz w:val="13"/>
        </w:rPr>
        <w:t>(1)</w:t>
      </w:r>
      <w:r>
        <w:rPr>
          <w:rFonts w:ascii="Times New Roman;serif" w:hAnsi="Times New Roman;serif"/>
          <w:b w:val="false"/>
          <w:color w:val="000000"/>
          <w:sz w:val="20"/>
        </w:rPr>
        <w:t>:</w:t>
      </w:r>
    </w:p>
    <w:p>
      <w:pPr>
        <w:pStyle w:val="TextBody"/>
        <w:bidi w:val="0"/>
        <w:spacing w:before="0" w:after="0"/>
        <w:jc w:val="left"/>
        <w:rPr/>
      </w:pPr>
      <w:r>
        <w:rPr/>
      </w:r>
    </w:p>
    <w:tbl>
      <w:tblPr>
        <w:tblW w:w="5879"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721"/>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46.2%</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47.1%</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6.7%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16,727 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There were no accounts receivable due from related parties as of March 31, 2026.</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geographic concentration of these accounts receivable is in China.</w:t>
      </w:r>
    </w:p>
    <w:p>
      <w:pPr>
        <w:pStyle w:val="TextBody"/>
        <w:bidi w:val="0"/>
        <w:spacing w:lineRule="auto" w:line="288" w:before="0" w:after="0"/>
        <w:jc w:val="left"/>
        <w:rPr/>
      </w:pPr>
      <w:r>
        <w:rPr>
          <w:rFonts w:ascii="Times New Roman;serif" w:hAnsi="Times New Roman;serif"/>
          <w:b w:val="false"/>
          <w:color w:val="000000"/>
          <w:sz w:val="13"/>
        </w:rPr>
        <w:t xml:space="preserve">(3)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summary of the Company’s concentration of accounts receivable by customer as of December 31, 2025:</w:t>
      </w:r>
    </w:p>
    <w:p>
      <w:pPr>
        <w:pStyle w:val="TextBody"/>
        <w:bidi w:val="0"/>
        <w:spacing w:before="0" w:after="0"/>
        <w:jc w:val="left"/>
        <w:rPr/>
      </w:pPr>
      <w:r>
        <w:rPr/>
      </w:r>
    </w:p>
    <w:tbl>
      <w:tblPr>
        <w:tblW w:w="7877" w:type="dxa"/>
        <w:jc w:val="left"/>
        <w:tblInd w:w="0" w:type="dxa"/>
        <w:tblLayout w:type="fixed"/>
        <w:tblCellMar>
          <w:top w:w="28" w:type="dxa"/>
          <w:left w:w="28" w:type="dxa"/>
          <w:bottom w:w="28" w:type="dxa"/>
          <w:right w:w="28" w:type="dxa"/>
        </w:tblCellMar>
      </w:tblPr>
      <w:tblGrid>
        <w:gridCol w:w="1779"/>
        <w:gridCol w:w="1567"/>
        <w:gridCol w:w="1573"/>
        <w:gridCol w:w="109"/>
        <w:gridCol w:w="109"/>
        <w:gridCol w:w="109"/>
        <w:gridCol w:w="211"/>
        <w:gridCol w:w="721"/>
        <w:gridCol w:w="109"/>
        <w:gridCol w:w="109"/>
        <w:gridCol w:w="109"/>
        <w:gridCol w:w="109"/>
        <w:gridCol w:w="255"/>
        <w:gridCol w:w="256"/>
        <w:gridCol w:w="271"/>
        <w:gridCol w:w="109"/>
        <w:gridCol w:w="109"/>
        <w:gridCol w:w="109"/>
        <w:gridCol w:w="154"/>
      </w:tblGrid>
      <w:tr>
        <w:trPr/>
        <w:tc>
          <w:tcPr>
            <w:tcW w:w="1779" w:type="dxa"/>
            <w:tcBorders/>
            <w:vAlign w:val="center"/>
          </w:tcPr>
          <w:p>
            <w:pPr>
              <w:pStyle w:val="TableContents"/>
              <w:bidi w:val="0"/>
              <w:spacing w:before="0" w:after="283"/>
              <w:jc w:val="left"/>
              <w:rPr>
                <w:sz w:val="4"/>
                <w:szCs w:val="4"/>
              </w:rPr>
            </w:pPr>
            <w:r>
              <w:rPr>
                <w:sz w:val="4"/>
                <w:szCs w:val="4"/>
              </w:rPr>
            </w:r>
          </w:p>
        </w:tc>
        <w:tc>
          <w:tcPr>
            <w:tcW w:w="1567" w:type="dxa"/>
            <w:tcBorders/>
            <w:vAlign w:val="center"/>
          </w:tcPr>
          <w:p>
            <w:pPr>
              <w:pStyle w:val="TableContents"/>
              <w:bidi w:val="0"/>
              <w:spacing w:before="0" w:after="283"/>
              <w:jc w:val="left"/>
              <w:rPr>
                <w:sz w:val="4"/>
                <w:szCs w:val="4"/>
              </w:rPr>
            </w:pPr>
            <w:r>
              <w:rPr>
                <w:sz w:val="4"/>
                <w:szCs w:val="4"/>
              </w:rPr>
            </w:r>
          </w:p>
        </w:tc>
        <w:tc>
          <w:tcPr>
            <w:tcW w:w="15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C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Customer D </w:t>
            </w:r>
            <w:r>
              <w:rPr>
                <w:rFonts w:ascii="Times New Roman;serif" w:hAnsi="Times New Roman;serif"/>
                <w:b w:val="false"/>
                <w:color w:val="000000"/>
                <w:sz w:val="13"/>
              </w:rPr>
              <w:t>(1)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23,750 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63.8 </w:t>
            </w:r>
          </w:p>
        </w:tc>
        <w:tc>
          <w:tcPr>
            <w:tcW w:w="2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(3) (4)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27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accounts receivable,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37,250 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Less: provision for credit losses: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1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net, including due from related party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36,693 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geographic concentration of these accounts receivable is from customers located in China.</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Subsequent to December 31, 2025, and as of May 14, 2026, the Company had received payments of $16.9 million from this customer.</w:t>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Each customer within “Others” individually comprised less than 10% each of the Company’s accounts receivable balance.</w:t>
      </w:r>
    </w:p>
    <w:p>
      <w:pPr>
        <w:pStyle w:val="TextBody"/>
        <w:bidi w:val="0"/>
        <w:spacing w:lineRule="auto" w:line="288" w:before="0" w:after="0"/>
        <w:jc w:val="left"/>
        <w:rPr/>
      </w:pP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20"/>
        </w:rPr>
        <w:t>Includes receivable due from a related party of $3.4 million, which was paid in full subsequent to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4. Fair Value Measurements and 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a fair value hierarchy established by GAAP that is used to determine the fair value of financial instruments. This hierarchy prioritizes relevant market inputs in order to determine an “exit price” at the measurement date, or the price at which an asset could be sold or a liability could be transferred in an orderly process that is not a forced liquidation or distressed sale. Level 1 inputs are observable inputs that reflect quoted prices for identical assets or liabilities in active markets. Level 2 inputs are observable inputs other than quoted prices for an asset or liability that are obtained through corroboration with observable market data. Level 3 inputs are unobservable inputs (e.g., the Company’s own data or assumptions) that are used when there is little, if any, relevant market activity for the asset or liability required to be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certain cases, inputs used to measure fair value fall into different levels of the fair value hierarchy. In such cases, the level at which the fair value measurement falls is determined based on the lowest level input that is significant to the fair value measurement. The Company’s assessment of the significance of a particular input requires judgment and considers factors specific to the asset or liability being measured.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the Company’s valuation policy and processes had not changed from those described in its consolidated financial statements for the year ended December 31, 2025 included in the Annual Report on Form 10-K. Included in Note 5 — “Fair Value Measurements and Derivative Instruments” to the Consolidated Financial Statements for the year ended December 31, 2025 in the Annual Report on Form 10-K is a detailed description of the Company’s financial instruments measured at fair value and their significant inputs, as well as the classification of such instruments pursuant to the Level 1, Level 2, and Level 3 valuation hierarchy.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Carrying amounts that approximate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accounts receivable (including from related parties), prepaid expenses and other current assets, deferred tax assets, operating lease right-of-use assets, other assets, accounts payable, accrued trade payables, accrued expenses and other current liabilities (including to related parties), working capital loan - related party, and advances from related party all approximate their fair values due to their short-term maturities.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Description of the Company’s financial instruments measured at fair value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about the Company’s financial assets and liabilities measured at fair value as of March 31, 2026 and December 31, 2025:</w:t>
      </w:r>
    </w:p>
    <w:p>
      <w:pPr>
        <w:pStyle w:val="TextBody"/>
        <w:bidi w:val="0"/>
        <w:spacing w:before="0" w:after="0"/>
        <w:jc w:val="left"/>
        <w:rPr/>
      </w:pPr>
      <w:r>
        <w:rPr/>
      </w:r>
    </w:p>
    <w:tbl>
      <w:tblPr>
        <w:tblW w:w="8336"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61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 2026</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8,401 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$2.0 million in earnout shares - related party.</w:t>
      </w:r>
    </w:p>
    <w:p>
      <w:pPr>
        <w:pStyle w:val="TextBody"/>
        <w:bidi w:val="0"/>
        <w:ind w:left="0" w:right="0" w:firstLine="180"/>
        <w:jc w:val="left"/>
        <w:rPr/>
      </w:pPr>
      <w:r>
        <w:rPr/>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tbl>
      <w:tblPr>
        <w:tblW w:w="8441" w:type="dxa"/>
        <w:jc w:val="left"/>
        <w:tblInd w:w="0" w:type="dxa"/>
        <w:tblLayout w:type="fixed"/>
        <w:tblCellMar>
          <w:top w:w="28" w:type="dxa"/>
          <w:left w:w="28" w:type="dxa"/>
          <w:bottom w:w="28" w:type="dxa"/>
          <w:right w:w="28" w:type="dxa"/>
        </w:tblCellMar>
      </w:tblPr>
      <w:tblGrid>
        <w:gridCol w:w="1174"/>
        <w:gridCol w:w="1028"/>
        <w:gridCol w:w="1037"/>
        <w:gridCol w:w="109"/>
        <w:gridCol w:w="109"/>
        <w:gridCol w:w="109"/>
        <w:gridCol w:w="211"/>
        <w:gridCol w:w="721"/>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1174" w:type="dxa"/>
            <w:tcBorders/>
            <w:vAlign w:val="center"/>
          </w:tcPr>
          <w:p>
            <w:pPr>
              <w:pStyle w:val="TableContents"/>
              <w:bidi w:val="0"/>
              <w:spacing w:before="0" w:after="283"/>
              <w:jc w:val="left"/>
              <w:rPr>
                <w:sz w:val="4"/>
                <w:szCs w:val="4"/>
              </w:rPr>
            </w:pPr>
            <w:r>
              <w:rPr>
                <w:sz w:val="4"/>
                <w:szCs w:val="4"/>
              </w:rPr>
            </w:r>
          </w:p>
        </w:tc>
        <w:tc>
          <w:tcPr>
            <w:tcW w:w="1028"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 2025</w:t>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Total</w:t>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Money market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 measured at fair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19,103 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earnout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measured at 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Includes $2.2 million in earnout shares - related party.</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were no transfers between Level 1, Level 2, or Level 3 of the fair value hierarchy during the three months ended March 31, 2026 or the three months ended March 31,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additional information for the prior year and three months ended March 31, 2026 about the Company’s Level 3 liabilities measured at fair value on a recurring basis:</w:t>
      </w:r>
    </w:p>
    <w:p>
      <w:pPr>
        <w:pStyle w:val="TextBody"/>
        <w:bidi w:val="0"/>
        <w:spacing w:before="0" w:after="0"/>
        <w:jc w:val="left"/>
        <w:rPr/>
      </w:pPr>
      <w:r>
        <w:rPr/>
      </w:r>
    </w:p>
    <w:tbl>
      <w:tblPr>
        <w:tblW w:w="8658" w:type="dxa"/>
        <w:jc w:val="left"/>
        <w:tblInd w:w="0" w:type="dxa"/>
        <w:tblLayout w:type="fixed"/>
        <w:tblCellMar>
          <w:top w:w="28" w:type="dxa"/>
          <w:left w:w="28" w:type="dxa"/>
          <w:bottom w:w="28" w:type="dxa"/>
          <w:right w:w="28" w:type="dxa"/>
        </w:tblCellMar>
      </w:tblPr>
      <w:tblGrid>
        <w:gridCol w:w="2586"/>
        <w:gridCol w:w="2267"/>
        <w:gridCol w:w="2287"/>
        <w:gridCol w:w="109"/>
        <w:gridCol w:w="109"/>
        <w:gridCol w:w="109"/>
        <w:gridCol w:w="211"/>
        <w:gridCol w:w="826"/>
        <w:gridCol w:w="154"/>
      </w:tblGrid>
      <w:tr>
        <w:trPr/>
        <w:tc>
          <w:tcPr>
            <w:tcW w:w="2586" w:type="dxa"/>
            <w:tcBorders/>
            <w:vAlign w:val="center"/>
          </w:tcPr>
          <w:p>
            <w:pPr>
              <w:pStyle w:val="TableContents"/>
              <w:bidi w:val="0"/>
              <w:spacing w:before="0" w:after="283"/>
              <w:jc w:val="left"/>
              <w:rPr>
                <w:sz w:val="4"/>
                <w:szCs w:val="4"/>
              </w:rPr>
            </w:pPr>
            <w:r>
              <w:rPr>
                <w:sz w:val="4"/>
                <w:szCs w:val="4"/>
              </w:rPr>
            </w:r>
          </w:p>
        </w:tc>
        <w:tc>
          <w:tcPr>
            <w:tcW w:w="2267" w:type="dxa"/>
            <w:tcBorders/>
            <w:vAlign w:val="center"/>
          </w:tcPr>
          <w:p>
            <w:pPr>
              <w:pStyle w:val="TableContents"/>
              <w:bidi w:val="0"/>
              <w:spacing w:before="0" w:after="283"/>
              <w:jc w:val="left"/>
              <w:rPr>
                <w:sz w:val="4"/>
                <w:szCs w:val="4"/>
              </w:rPr>
            </w:pPr>
            <w:r>
              <w:rPr>
                <w:sz w:val="4"/>
                <w:szCs w:val="4"/>
              </w:rPr>
            </w:r>
          </w:p>
        </w:tc>
        <w:tc>
          <w:tcPr>
            <w:tcW w:w="2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January 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convertible notes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165,703 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Legacy Blaize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Conversion of Legacy Blaize convertible notes and exercise of Legacy Blaize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126,042 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on date of issuance - 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(4,125)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17,742 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Reclassification of equity-based shares to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other 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(558)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 Polar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Balance as of March 31,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16,745 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Due to employee forfeitures during the quarter.</w:t>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information regarding the Company’s significant Level 3 inputs as of March 31, 2026 and December 31,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902"/>
        <w:gridCol w:w="793"/>
        <w:gridCol w:w="798"/>
        <w:gridCol w:w="109"/>
        <w:gridCol w:w="109"/>
        <w:gridCol w:w="109"/>
        <w:gridCol w:w="626"/>
        <w:gridCol w:w="618"/>
        <w:gridCol w:w="552"/>
        <w:gridCol w:w="109"/>
        <w:gridCol w:w="109"/>
        <w:gridCol w:w="109"/>
        <w:gridCol w:w="698"/>
        <w:gridCol w:w="672"/>
        <w:gridCol w:w="596"/>
        <w:gridCol w:w="109"/>
        <w:gridCol w:w="109"/>
        <w:gridCol w:w="109"/>
        <w:gridCol w:w="257"/>
        <w:gridCol w:w="624"/>
        <w:gridCol w:w="331"/>
        <w:gridCol w:w="109"/>
        <w:gridCol w:w="109"/>
        <w:gridCol w:w="109"/>
        <w:gridCol w:w="289"/>
        <w:gridCol w:w="700"/>
        <w:gridCol w:w="441"/>
      </w:tblGrid>
      <w:tr>
        <w:trPr/>
        <w:tc>
          <w:tcPr>
            <w:tcW w:w="902" w:type="dxa"/>
            <w:tcBorders/>
            <w:vAlign w:val="center"/>
          </w:tcPr>
          <w:p>
            <w:pPr>
              <w:pStyle w:val="TableContents"/>
              <w:bidi w:val="0"/>
              <w:spacing w:before="0" w:after="283"/>
              <w:jc w:val="left"/>
              <w:rPr>
                <w:sz w:val="4"/>
                <w:szCs w:val="4"/>
              </w:rPr>
            </w:pPr>
            <w:r>
              <w:rPr>
                <w:sz w:val="4"/>
                <w:szCs w:val="4"/>
              </w:rPr>
            </w:r>
          </w:p>
        </w:tc>
        <w:tc>
          <w:tcPr>
            <w:tcW w:w="793"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r>
      <w:tr>
        <w:trPr/>
        <w:tc>
          <w:tcPr>
            <w:tcW w:w="249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Instrument valued using Level 3 methods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December 31,</w:t>
            </w:r>
          </w:p>
        </w:tc>
      </w:tr>
      <w:tr>
        <w:trPr/>
        <w:tc>
          <w:tcPr>
            <w:tcW w:w="249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Valuation Method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Input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Polar warrants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Black-Scholes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86.50 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81.30 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4.62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 years</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earnout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Monte Carlo Simulation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1.82 </w:t>
            </w:r>
          </w:p>
        </w:tc>
        <w:tc>
          <w:tcPr>
            <w:tcW w:w="3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Volatility (interpolated)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86.20 </w:t>
            </w:r>
          </w:p>
        </w:tc>
        <w:tc>
          <w:tcPr>
            <w:tcW w:w="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81.60 </w:t>
            </w:r>
          </w:p>
        </w:tc>
        <w:tc>
          <w:tcPr>
            <w:tcW w:w="4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rate (continuous)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3.82 </w:t>
            </w:r>
          </w:p>
        </w:tc>
        <w:tc>
          <w:tcPr>
            <w:tcW w:w="33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3.61 </w:t>
            </w:r>
          </w:p>
        </w:tc>
        <w:tc>
          <w:tcPr>
            <w:tcW w:w="4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24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Term</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3.79 years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 years</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Derivative Instruments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does not use derivatives to manage financial risks or as an economic hedge. The essential characteristics inherent in a derivative instrument are that the instrument is issued for no or nominal consideration, and also include the aspects of an underlying security, a notional amount, and a mechanism for net settlement. None of the Company’s derivative instruments are classified as hedging instruments, and all are marked to fair value at each quarterly period.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After the Merger and during the three months ended March 31, 2026, the Company’s derivatives were comprised of:</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Other Earnout Shares, representing a freestanding structured forward contract;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Polar warrants, representing a freestanding liability-classified derivative instrument;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Committed Equity Facility, which upon execution on July 14, 2025, was considered a freestanding purchased put right, which put right was subsequently considered nominal and marked to zero during 2025. Each draw on the Committed Equity Facility is considered an embedded forward contract. No draws on the Committed Equity Facility were outstanding as of March 31, 2026 or December 31, 2025.</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5. Financial Statement Details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Inventories, net</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ending balances of “inventories, net” are set forth on the table below:</w:t>
      </w:r>
    </w:p>
    <w:p>
      <w:pPr>
        <w:pStyle w:val="TextBody"/>
        <w:bidi w:val="0"/>
        <w:spacing w:before="0" w:after="0"/>
        <w:jc w:val="both"/>
        <w:rPr/>
      </w:pPr>
      <w:r>
        <w:rPr/>
      </w:r>
    </w:p>
    <w:tbl>
      <w:tblPr>
        <w:tblW w:w="6204" w:type="dxa"/>
        <w:jc w:val="left"/>
        <w:tblInd w:w="0" w:type="dxa"/>
        <w:tblLayout w:type="fixed"/>
        <w:tblCellMar>
          <w:top w:w="28" w:type="dxa"/>
          <w:left w:w="28" w:type="dxa"/>
          <w:bottom w:w="28" w:type="dxa"/>
          <w:right w:w="28" w:type="dxa"/>
        </w:tblCellMar>
      </w:tblPr>
      <w:tblGrid>
        <w:gridCol w:w="968"/>
        <w:gridCol w:w="847"/>
        <w:gridCol w:w="855"/>
        <w:gridCol w:w="109"/>
        <w:gridCol w:w="109"/>
        <w:gridCol w:w="109"/>
        <w:gridCol w:w="291"/>
        <w:gridCol w:w="849"/>
        <w:gridCol w:w="150"/>
        <w:gridCol w:w="109"/>
        <w:gridCol w:w="109"/>
        <w:gridCol w:w="109"/>
        <w:gridCol w:w="309"/>
        <w:gridCol w:w="1056"/>
        <w:gridCol w:w="225"/>
      </w:tblGrid>
      <w:tr>
        <w:trPr/>
        <w:tc>
          <w:tcPr>
            <w:tcW w:w="96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6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26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5,966 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6,414 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progress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1,718 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 - manufactured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2,031 </w:t>
            </w:r>
          </w:p>
        </w:tc>
        <w:tc>
          <w:tcPr>
            <w:tcW w:w="2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manufactured 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9,012 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10,130 </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1917" w:type="dxa"/>
            <w:gridSpan w:val="6"/>
            <w:tcBorders/>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6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As the Company is a contract manufacturer, all of its inventories are manufactured by a third party.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There were no purchases of finished goods for resale during the three months ended March 31, 2026 or 2025.</w:t>
      </w:r>
    </w:p>
    <w:p>
      <w:pPr>
        <w:pStyle w:val="TextBody"/>
        <w:bidi w:val="0"/>
        <w:jc w:val="both"/>
        <w:rPr/>
      </w:pPr>
      <w:r>
        <w:rPr/>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Prepaid expenses and other current assets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details of “prepaid expenses and other current assets” are set forth in the table, below:</w:t>
      </w:r>
    </w:p>
    <w:p>
      <w:pPr>
        <w:pStyle w:val="TextBody"/>
        <w:bidi w:val="0"/>
        <w:spacing w:before="0" w:after="0"/>
        <w:jc w:val="both"/>
        <w:rPr/>
      </w:pPr>
      <w:r>
        <w:rPr/>
      </w:r>
    </w:p>
    <w:tbl>
      <w:tblPr>
        <w:tblW w:w="7463" w:type="dxa"/>
        <w:jc w:val="left"/>
        <w:tblInd w:w="0" w:type="dxa"/>
        <w:tblLayout w:type="fixed"/>
        <w:tblCellMar>
          <w:top w:w="28" w:type="dxa"/>
          <w:left w:w="28" w:type="dxa"/>
          <w:bottom w:w="28" w:type="dxa"/>
          <w:right w:w="28" w:type="dxa"/>
        </w:tblCellMar>
      </w:tblPr>
      <w:tblGrid>
        <w:gridCol w:w="1423"/>
        <w:gridCol w:w="1248"/>
        <w:gridCol w:w="1258"/>
        <w:gridCol w:w="109"/>
        <w:gridCol w:w="109"/>
        <w:gridCol w:w="109"/>
        <w:gridCol w:w="291"/>
        <w:gridCol w:w="849"/>
        <w:gridCol w:w="150"/>
        <w:gridCol w:w="109"/>
        <w:gridCol w:w="109"/>
        <w:gridCol w:w="109"/>
        <w:gridCol w:w="342"/>
        <w:gridCol w:w="999"/>
        <w:gridCol w:w="249"/>
      </w:tblGrid>
      <w:tr>
        <w:trPr/>
        <w:tc>
          <w:tcPr>
            <w:tcW w:w="1423" w:type="dxa"/>
            <w:tcBorders/>
            <w:vAlign w:val="center"/>
          </w:tcPr>
          <w:p>
            <w:pPr>
              <w:pStyle w:val="TableContents"/>
              <w:bidi w:val="0"/>
              <w:spacing w:before="0" w:after="283"/>
              <w:jc w:val="left"/>
              <w:rPr>
                <w:sz w:val="4"/>
                <w:szCs w:val="4"/>
              </w:rPr>
            </w:pPr>
            <w:r>
              <w:rPr>
                <w:sz w:val="4"/>
                <w:szCs w:val="4"/>
              </w:rPr>
            </w:r>
          </w:p>
        </w:tc>
        <w:tc>
          <w:tcPr>
            <w:tcW w:w="1248"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insurance premiums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software licenses and maintenance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959</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Prepaid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781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413</w:t>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37</w:t>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Vendor deposits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2,831 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1,608 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Tax assets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433 </w:t>
            </w:r>
          </w:p>
        </w:tc>
        <w:tc>
          <w:tcPr>
            <w:tcW w:w="2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330 </w:t>
            </w:r>
          </w:p>
        </w:tc>
        <w:tc>
          <w:tcPr>
            <w:tcW w:w="2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prepaid expenses and 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6,423 </w:t>
            </w:r>
          </w:p>
        </w:tc>
        <w:tc>
          <w:tcPr>
            <w:tcW w:w="15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Tax assets” includes corporate income taxes receivable, sale taxes receivable and withholding taxes related to employee compensation.</w:t>
      </w:r>
    </w:p>
    <w:p>
      <w:pPr>
        <w:pStyle w:val="TextBody"/>
        <w:bidi w:val="0"/>
        <w:spacing w:before="0" w:after="0"/>
        <w:ind w:left="0" w:right="0" w:firstLine="18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Accrued Expenses and Other Current Liabilities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 detail of accrued expenses and other current liabilities is set forth in the table, below:</w:t>
      </w:r>
    </w:p>
    <w:p>
      <w:pPr>
        <w:pStyle w:val="TextBody"/>
        <w:bidi w:val="0"/>
        <w:spacing w:before="0" w:after="0"/>
        <w:jc w:val="both"/>
        <w:rPr/>
      </w:pPr>
      <w:r>
        <w:rPr/>
      </w:r>
    </w:p>
    <w:tbl>
      <w:tblPr>
        <w:tblW w:w="7794" w:type="dxa"/>
        <w:jc w:val="left"/>
        <w:tblInd w:w="0" w:type="dxa"/>
        <w:tblLayout w:type="fixed"/>
        <w:tblCellMar>
          <w:top w:w="28" w:type="dxa"/>
          <w:left w:w="28" w:type="dxa"/>
          <w:bottom w:w="28" w:type="dxa"/>
          <w:right w:w="28" w:type="dxa"/>
        </w:tblCellMar>
      </w:tblPr>
      <w:tblGrid>
        <w:gridCol w:w="1544"/>
        <w:gridCol w:w="1352"/>
        <w:gridCol w:w="1364"/>
        <w:gridCol w:w="109"/>
        <w:gridCol w:w="109"/>
        <w:gridCol w:w="109"/>
        <w:gridCol w:w="291"/>
        <w:gridCol w:w="849"/>
        <w:gridCol w:w="150"/>
        <w:gridCol w:w="109"/>
        <w:gridCol w:w="109"/>
        <w:gridCol w:w="109"/>
        <w:gridCol w:w="342"/>
        <w:gridCol w:w="999"/>
        <w:gridCol w:w="249"/>
      </w:tblGrid>
      <w:tr>
        <w:trPr/>
        <w:tc>
          <w:tcPr>
            <w:tcW w:w="1544"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r>
      <w:tr>
        <w:trPr/>
        <w:tc>
          <w:tcPr>
            <w:tcW w:w="42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As of:</w:t>
            </w:r>
          </w:p>
        </w:tc>
      </w:tr>
      <w:tr>
        <w:trPr/>
        <w:tc>
          <w:tcPr>
            <w:tcW w:w="42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March 31, 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December 31, 2025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4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2,787</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fees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1,654</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technology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208</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accrued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368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968</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purchase commitments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135</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Other current liabilities</w:t>
            </w:r>
            <w:r>
              <w:rPr>
                <w:color w:val="000000"/>
              </w:rPr>
              <w:t xml:space="preserve">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882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loss on purchase commitments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580</w:t>
            </w:r>
          </w:p>
        </w:tc>
      </w:tr>
      <w:tr>
        <w:trPr/>
        <w:tc>
          <w:tcPr>
            <w:tcW w:w="4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319</w:t>
            </w:r>
          </w:p>
        </w:tc>
      </w:tr>
      <w:tr>
        <w:trPr/>
        <w:tc>
          <w:tcPr>
            <w:tcW w:w="4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accrued expenses and other 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7,252 </w:t>
            </w:r>
          </w:p>
        </w:tc>
        <w:tc>
          <w:tcPr>
            <w:tcW w:w="1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6,700 </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jc w:val="both"/>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the balance of “other current liabilities” as presented above was substantially comprised of a short-term loan for directors and officers’ insurance.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6. Common Stock, Currently Outstanding Warrants to Purchase Common Stock, and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Common stock</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The Company has authorized 600 million shares of common stock with a par value of $0.0001 per share. The Company has only one class of common stock authorized and issued. Holders of the Company’s common stock are entitled to one vote for each share held of record on all matters submitted to a vote of stockholders and there are no cumulative voting rights. The Company’s common stock has no preemptive, redemption, conversion, or subscription rights. The Company has not previously paid cash dividends on its common stock. Any future dividend payments are subject to the discretion of the Company’s board of directors (the “Board” or “Board of Directors”).</w:t>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changes in shares of the Company’s common stock from December 31, 2025 through March 31,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0" w:type="dxa"/>
            <w:gridSpan w:val="3"/>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Subsequent to March 31, 2026, the Company issued 18,918,918 shares of common stock in an underwritten stock offering and granted a 30-day option pursuant to which the Company may issue up to 2,837,837 additional shares of common stock.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Currently Outstanding Warrants to Purchase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period ended March 31, 2026, there were no changes to the Company’s outstanding warrants or any of the terms of its outstanding warrants as described in its Annual Report on Form 10-K. Subsequent to March 31, 2026, the Company amended the outstanding Polar warrants to adjust the exercise price from $5.00 per share to $3.00 per share. See Note 10 —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Merger, Legacy Blaize shareholders and employee equity award holders (including holders of stock options and RSUs) are entitled to receive up to 15,000,000 shares of common stock and Burkhan has the right to receive up to 2,600,000 shares of common stock (collectively, the “Earnout Shares”).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eligible Legacy Blaize employee equity award holders (“Employee Earnout Shares”) are considered a compensatory award and are accounted for under ASC 718 — “Share-Based Compensation” (“ASC 718”). Further, these Employee Earnout Shares have been determined to be equity classified and accordingly, are not remeasured unless an employee departs from the Company, which is considered a modification of an equity-based award.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Earnout Shares issued to Burkhan and Legacy Blaize shareholders that are not within the scope of ASC 718 (the “Other Earnout Shares”), were evaluated by management under ASC 480 — “Distinguishing Liabilities from Equity” (“ASC 480”), and ASC 815. The Company determined that the Other Earnout Shares are a derivative liability and remeasures the Other Earnout Shares at each reporting date, with changes in the fair value recorded in the condensed consolidated statements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Legacy Blaize shareholders, Legacy Blaize employee equity award holders, and Burkhan are entitled to Earnout Shares in four tranches upon the occurrence of four separate events (each a “Triggering Event” and collectively, the “Triggering Events”), if they occur between the Merger date and January 13, 2030. The Triggering Event thresholds are described in the Company’s Annual Report on Form 10-K.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and 2025, the Company recorded $3.9 million and $3.5 million, respectively, in stock-based compensation expense related to the Employee Earnout Shares. As of March 31, 2026, there was $62.8 million of total unrecognized compensation cost related to the Employee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fair value of the derivative liability associated with the Other Earnout Shares is described in Note 4 — “Fair Value Measurements and Derivative Instruments”.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7. Net Loss Per Share of Common Stock</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Basic net loss per share is calculated by dividing the net loss attributable to common stockholders by the weighted average number of common stock outstanding during the period, without consideration of potentially dilutive securities.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uses the treasury stock method to determine the dilutive effect of potentially dilutive securities, and the if-converted method to determine the dilutive effect of any potentially dilutive convertible securities, as the Company’s only participating securities are shares of the Company’s common stock, and any dividends declared on the common stock would be forfeitable if not vested. There were no potentially dilutive securities included in the Company’s diluted net loss per share calculation for the three months ended March 31, 2026 and 2025, as the effect of any potentially dilutive security would have been anti-dilutive due to the net losses in those periods.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the computation of basic and diluted net loss per share:</w:t>
      </w:r>
    </w:p>
    <w:p>
      <w:pPr>
        <w:pStyle w:val="TextBody"/>
        <w:bidi w:val="0"/>
        <w:spacing w:before="0" w:after="0"/>
        <w:jc w:val="left"/>
        <w:rPr/>
      </w:pPr>
      <w:r>
        <w:rPr/>
      </w:r>
    </w:p>
    <w:tbl>
      <w:tblPr>
        <w:tblW w:w="7864" w:type="dxa"/>
        <w:jc w:val="left"/>
        <w:tblInd w:w="0" w:type="dxa"/>
        <w:tblLayout w:type="fixed"/>
        <w:tblCellMar>
          <w:top w:w="28" w:type="dxa"/>
          <w:left w:w="28" w:type="dxa"/>
          <w:bottom w:w="28" w:type="dxa"/>
          <w:right w:w="28" w:type="dxa"/>
        </w:tblCellMar>
      </w:tblPr>
      <w:tblGrid>
        <w:gridCol w:w="1682"/>
        <w:gridCol w:w="1481"/>
        <w:gridCol w:w="1486"/>
        <w:gridCol w:w="109"/>
        <w:gridCol w:w="109"/>
        <w:gridCol w:w="109"/>
        <w:gridCol w:w="264"/>
        <w:gridCol w:w="922"/>
        <w:gridCol w:w="109"/>
        <w:gridCol w:w="109"/>
        <w:gridCol w:w="109"/>
        <w:gridCol w:w="109"/>
        <w:gridCol w:w="211"/>
        <w:gridCol w:w="901"/>
        <w:gridCol w:w="154"/>
      </w:tblGrid>
      <w:tr>
        <w:trPr/>
        <w:tc>
          <w:tcPr>
            <w:tcW w:w="1682"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6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share and per share amounts)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Numerator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Denominator: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outstanding, basic and diluted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122,382,195 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91,747,685 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(0.19)</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listing of potentially dilutive securities that were excluded from the calculation of diluted net loss per share attributable to common shareholders because the impact of including them would have been anti-dilutive or out-of-the-money:</w:t>
      </w:r>
    </w:p>
    <w:p>
      <w:pPr>
        <w:pStyle w:val="TextBody"/>
        <w:bidi w:val="0"/>
        <w:spacing w:before="0" w:after="0"/>
        <w:jc w:val="left"/>
        <w:rPr/>
      </w:pPr>
      <w:r>
        <w:rPr/>
      </w:r>
    </w:p>
    <w:tbl>
      <w:tblPr>
        <w:tblW w:w="5785" w:type="dxa"/>
        <w:jc w:val="left"/>
        <w:tblInd w:w="0" w:type="dxa"/>
        <w:tblLayout w:type="fixed"/>
        <w:tblCellMar>
          <w:top w:w="28" w:type="dxa"/>
          <w:left w:w="28" w:type="dxa"/>
          <w:bottom w:w="28" w:type="dxa"/>
          <w:right w:w="28" w:type="dxa"/>
        </w:tblCellMar>
      </w:tblPr>
      <w:tblGrid>
        <w:gridCol w:w="900"/>
        <w:gridCol w:w="792"/>
        <w:gridCol w:w="797"/>
        <w:gridCol w:w="109"/>
        <w:gridCol w:w="109"/>
        <w:gridCol w:w="109"/>
        <w:gridCol w:w="540"/>
        <w:gridCol w:w="541"/>
        <w:gridCol w:w="156"/>
        <w:gridCol w:w="146"/>
        <w:gridCol w:w="146"/>
        <w:gridCol w:w="146"/>
        <w:gridCol w:w="540"/>
        <w:gridCol w:w="541"/>
        <w:gridCol w:w="213"/>
      </w:tblGrid>
      <w:tr>
        <w:trPr/>
        <w:tc>
          <w:tcPr>
            <w:tcW w:w="900"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As of March 31,</w:t>
            </w:r>
          </w:p>
        </w:tc>
      </w:tr>
      <w:tr>
        <w:trPr/>
        <w:tc>
          <w:tcPr>
            <w:tcW w:w="2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3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28,042,235 </w:t>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RSUs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1,150,724 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Earnout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Warrants issued to an advisor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BZAI warrants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2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ESPP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2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97,777,494 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79,538,878 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The Polar warrants were issued in November 2025.</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The ESPP has not yet commenced.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8. Segment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operates as a single operating and reportable segment. “Operating segments” are defined as components of the Company that engage in business activities with distinct financial information that is evaluated regularly by the chief operating decision maker (“CODM”) in deciding how to allocate resources and assess performance. The Company’s CODM is its chief executive officer, who regularly reviews financial information presented on a consolidated basis for the purpose of making decisions and assessing financial performance, as the Company’s products and services have similar economic characteristics.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The financial information received by the CODM focuses primarily on total available cash and cash equivalents, total revenue, significant expenses, net loss, and earnings before interest, tax, depreciation and amortization (“EBITDA”), and EBITDA as further adjusted for certain non-cash items and other adjustments that the CODM does not consider in their </w:t>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evaluation of ongoing operating performance from period to period (“Adjusted EBITDA”), to make decisions regarding the Company’s strategy, including the allocation of resources, as well as the Company’s assessment of operating performance.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the Company operates as a single operating segment, the measures of total available cash and cash equivalents, total revenue and net loss, as reviewed by the CODM, are set forth on the condensed consolidated financial statements, as well as in certain notes to the condensed consolidated financial statements. See Note 4 — “Fair Value Measurements and Derivative Instruments” for details regarding the Company’s cash equivalents. See Note 3 — “Revenue and Accounts Receivable” for details regarding the Company’s total revenue disaggregated by customer geographical location and the major customer concentrations of the Company’s total revenue and accounts receivable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Similarly, as the Company operates in a single segment, the condensed consolidated statements of operations provide one view of the Company’s significant expenses. Additional to the condensed consolidated statements of operations, the CODM regularly reviews the significant expense categories in the calculation of net loss, set forth as follows:</w:t>
      </w:r>
    </w:p>
    <w:p>
      <w:pPr>
        <w:pStyle w:val="TextBody"/>
        <w:bidi w:val="0"/>
        <w:spacing w:before="0" w:after="0"/>
        <w:jc w:val="left"/>
        <w:rPr/>
      </w:pPr>
      <w:r>
        <w:rPr/>
      </w:r>
    </w:p>
    <w:tbl>
      <w:tblPr>
        <w:tblW w:w="6500" w:type="dxa"/>
        <w:jc w:val="left"/>
        <w:tblInd w:w="0" w:type="dxa"/>
        <w:tblLayout w:type="fixed"/>
        <w:tblCellMar>
          <w:top w:w="28" w:type="dxa"/>
          <w:left w:w="28" w:type="dxa"/>
          <w:bottom w:w="28" w:type="dxa"/>
          <w:right w:w="28" w:type="dxa"/>
        </w:tblCellMar>
      </w:tblPr>
      <w:tblGrid>
        <w:gridCol w:w="1255"/>
        <w:gridCol w:w="1100"/>
        <w:gridCol w:w="1109"/>
        <w:gridCol w:w="109"/>
        <w:gridCol w:w="109"/>
        <w:gridCol w:w="109"/>
        <w:gridCol w:w="211"/>
        <w:gridCol w:w="796"/>
        <w:gridCol w:w="109"/>
        <w:gridCol w:w="109"/>
        <w:gridCol w:w="109"/>
        <w:gridCol w:w="109"/>
        <w:gridCol w:w="211"/>
        <w:gridCol w:w="901"/>
        <w:gridCol w:w="154"/>
      </w:tblGrid>
      <w:tr>
        <w:trPr/>
        <w:tc>
          <w:tcPr>
            <w:tcW w:w="1255"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4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(19,081)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Technology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items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(17,621)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items” includes marketing expenses, professional fees, facilities costs, foreign exchange gains and losses, credit loss estimates, income taxes, and other overhead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Company’s reconciliation of net loss to EBITDA and Adjusted EBITDA:</w:t>
      </w:r>
    </w:p>
    <w:p>
      <w:pPr>
        <w:pStyle w:val="TextBody"/>
        <w:bidi w:val="0"/>
        <w:spacing w:before="0" w:after="0"/>
        <w:jc w:val="left"/>
        <w:rPr/>
      </w:pPr>
      <w:r>
        <w:rPr/>
      </w:r>
    </w:p>
    <w:tbl>
      <w:tblPr>
        <w:tblW w:w="7175" w:type="dxa"/>
        <w:jc w:val="left"/>
        <w:tblInd w:w="0" w:type="dxa"/>
        <w:tblLayout w:type="fixed"/>
        <w:tblCellMar>
          <w:top w:w="28" w:type="dxa"/>
          <w:left w:w="28" w:type="dxa"/>
          <w:bottom w:w="28" w:type="dxa"/>
          <w:right w:w="28" w:type="dxa"/>
        </w:tblCellMar>
      </w:tblPr>
      <w:tblGrid>
        <w:gridCol w:w="1499"/>
        <w:gridCol w:w="1314"/>
        <w:gridCol w:w="1326"/>
        <w:gridCol w:w="109"/>
        <w:gridCol w:w="109"/>
        <w:gridCol w:w="109"/>
        <w:gridCol w:w="211"/>
        <w:gridCol w:w="796"/>
        <w:gridCol w:w="109"/>
        <w:gridCol w:w="109"/>
        <w:gridCol w:w="109"/>
        <w:gridCol w:w="109"/>
        <w:gridCol w:w="211"/>
        <w:gridCol w:w="901"/>
        <w:gridCol w:w="154"/>
      </w:tblGrid>
      <w:tr>
        <w:trPr/>
        <w:tc>
          <w:tcPr>
            <w:tcW w:w="1499"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41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The Company believes that these items are not reflective of its ongoing operating performance and excluding these items provides a more meaningful comparison of its results of operations over comparative periods.</w:t>
      </w:r>
    </w:p>
    <w:p>
      <w:pPr>
        <w:pStyle w:val="TextBody"/>
        <w:bidi w:val="0"/>
        <w:spacing w:before="0" w:after="0"/>
        <w:ind w:left="0" w:right="0" w:firstLine="18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9. Related Party Transactions and Balances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the Sponsor and its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Sales Partner Referral Agreement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June 30, 2025, the Company entered into a Sales Partner Referral Agreement (the “Referral Agreement”) with Burkhan LLC (the “Sales Partner”), an affiliate of BurTech LP, LLC (the “Sponsor”). The Referral Agreement has an initial approved customer of BurTech Systems Tech LLC (“BST”), an affiliate of the Sales Partner. Under the agreement, BST will purchase, subject to the issuance of purchase orders, up to $56.5 million of the Company’s products on behalf of a certain unaffiliated end user. The Sales Partner will receive a commission from the Company of up to 10%, depending on the Company’s gross margins under the purchase order. The sales commission is payable in cash, or, partially, at the Company’s discretion, in shares of the Company’s common stock. The commission is payable to BST once the Company receives cash from these sales.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March 31, 2026, the Company recognized $2.6 million in revenue from the Referral Agreement, inclusive of sales commissions of $0.3 million, which was reported as a reduction of revenue, and paid fully in cash.</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Other earnout shares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portion of the “other earnout shares” were issued to an affiliate of the Sponsor at the time of the Merger. See Note 6 — “Common Stock, Currently Outstanding Warrants to Purchase Common Stock, and Earnout Shares”. The fair value of these other earnout shares as of March 31, 2026 and December 31, 2025 was $2.0 million and $2.2 million, respectively, as set forth on the Company’s condensed consolidated balance sheets as of each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Working capital loan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Company issued an unsecured promissory note to the Sponsor, pursuant to which it borrowed $1.5 million for general corporate purposes. On the date of the Merger, this loan was recorded on the Company’s condensed consolidated balance sheets, and was outstanding as of March 31, 2026 and December 31, 2025.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Advances from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provided the Company with certain working capital advances, which are non-interest bearing and payable on demand, in the amount of $2.9 million. These amounts are reflected on the condensed consolidated balance sheets as of March 31, 2026 and December 31, 2025 as “advances from related party”. Repayment has been demanded by the Sponsor.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owed management fees in the amount of $0.2 million to the Sponsor as of March 31, 2026 and December 31, 2025. These amounts are reflected on the condensed consolidated balance sheets as “accounts payable - related party”.</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Shareholder note receivable </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Immediately prior to the consummation of the Merger, the Sponsor issued a secured promissory note and pledge agreement (the “shareholder note receivable”) to the Company which will decrease when the Sponsor pays for transaction costs that the Company assumed from the Sponsor during the Merger. The shareholder note receivable is secured by collateral of 2,000,000 shares of the Company’s common stock owned by the Sponsor. As of March 31, 2026 and December 31, 2025, the outstanding principal of the shareholder note receivable was $8.6 million, the amount of which has been deducted from additional paid-in capital on the Company’s condensed consolidated balance sheets as of that date.</w:t>
      </w:r>
    </w:p>
    <w:p>
      <w:pPr>
        <w:pStyle w:val="TextBody"/>
        <w:bidi w:val="0"/>
        <w:spacing w:lineRule="auto" w:line="288" w:before="0" w:after="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BLAIZE HOLDINGS, INC.</w:t>
      </w:r>
    </w:p>
    <w:p>
      <w:pPr>
        <w:pStyle w:val="TextBody"/>
        <w:bidi w:val="0"/>
        <w:spacing w:lineRule="auto" w:line="288" w:before="0" w:after="0"/>
        <w:jc w:val="center"/>
        <w:rPr/>
      </w:pPr>
      <w:r>
        <w:rPr>
          <w:rFonts w:ascii="Times New Roman;serif" w:hAnsi="Times New Roman;serif"/>
          <w:b/>
          <w:color w:val="000000"/>
          <w:sz w:val="20"/>
        </w:rPr>
        <w:t xml:space="preserve">NOTES TO THE CONDENSED CONSOLIDATED FINANCIAL STATEMENTS </w:t>
      </w:r>
      <w:r>
        <w:rPr>
          <w:rFonts w:ascii="Times New Roman;serif" w:hAnsi="Times New Roman;serif"/>
          <w:b w:val="false"/>
          <w:color w:val="000000"/>
          <w:sz w:val="20"/>
        </w:rPr>
        <w:t>(cont.)</w:t>
      </w:r>
    </w:p>
    <w:p>
      <w:pPr>
        <w:pStyle w:val="TextBody"/>
        <w:bidi w:val="0"/>
        <w:spacing w:lineRule="auto" w:line="288" w:before="0" w:after="0"/>
        <w:jc w:val="center"/>
        <w:rPr>
          <w:rFonts w:ascii="Times New Roman;serif" w:hAnsi="Times New Roman;serif"/>
          <w:b w:val="false"/>
          <w:i/>
          <w:color w:val="000000"/>
          <w:sz w:val="20"/>
        </w:rPr>
      </w:pPr>
      <w:r>
        <w:rPr>
          <w:rFonts w:ascii="Times New Roman;serif" w:hAnsi="Times New Roman;serif"/>
          <w:b w:val="false"/>
          <w:i/>
          <w:color w:val="000000"/>
          <w:sz w:val="20"/>
        </w:rPr>
        <w:t>(Unaudited)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Non-Redemption Agreements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December 31, 2024 and through January 13, 2025, the Company, its Sponsor, and Legacy Blaize entered into non-redemption agreements with several unaffiliated stockholders (each, an “Investor”) who agreed not to redeem (or, alternately, to validly rescind any redemption requests on) their shares of common stock (“Non-Redeemed Shares”) through up to 180 days after the Closing Date. These Non-Redeemed Shares were exchanged for shares of the Company’s common stock and were held in a separate escrow account. In exchange for the foregoing commitments not to redeem the Non-Redeemed Shares, the Sponsor agreed to guarantee that each Investor receive a return of $1.50 per Non-Redeemed Share held in a related cash escrow account, subject to certain conditions. The Sponsor, and not the Company, was contractually obligated for the $1.50 per share premium related to these non-redemption agreements. Accordingly, the Company did not recognize a non-redemption liability for the Sponsor’s commitment.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Transactions with other related parties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Transactions with other related parties for advisory and marketing services, and a related party employed by the Company are set forth in the table below:</w:t>
      </w:r>
    </w:p>
    <w:tbl>
      <w:tblPr>
        <w:tblW w:w="10205" w:type="dxa"/>
        <w:jc w:val="left"/>
        <w:tblInd w:w="0" w:type="dxa"/>
        <w:tblLayout w:type="fixed"/>
        <w:tblCellMar>
          <w:top w:w="28" w:type="dxa"/>
          <w:left w:w="28" w:type="dxa"/>
          <w:bottom w:w="28" w:type="dxa"/>
          <w:right w:w="28" w:type="dxa"/>
        </w:tblCellMar>
      </w:tblPr>
      <w:tblGrid>
        <w:gridCol w:w="2824"/>
        <w:gridCol w:w="2339"/>
        <w:gridCol w:w="2357"/>
        <w:gridCol w:w="109"/>
        <w:gridCol w:w="109"/>
        <w:gridCol w:w="109"/>
        <w:gridCol w:w="264"/>
        <w:gridCol w:w="507"/>
        <w:gridCol w:w="135"/>
        <w:gridCol w:w="135"/>
        <w:gridCol w:w="135"/>
        <w:gridCol w:w="135"/>
        <w:gridCol w:w="264"/>
        <w:gridCol w:w="583"/>
        <w:gridCol w:w="200"/>
      </w:tblGrid>
      <w:tr>
        <w:trPr/>
        <w:tc>
          <w:tcPr>
            <w:tcW w:w="2824" w:type="dxa"/>
            <w:tcBorders/>
            <w:vAlign w:val="center"/>
          </w:tcPr>
          <w:p>
            <w:pPr>
              <w:pStyle w:val="TableContents"/>
              <w:bidi w:val="0"/>
              <w:spacing w:before="0" w:after="283"/>
              <w:jc w:val="left"/>
              <w:rPr>
                <w:sz w:val="4"/>
                <w:szCs w:val="4"/>
              </w:rPr>
            </w:pPr>
            <w:r>
              <w:rPr>
                <w:sz w:val="4"/>
                <w:szCs w:val="4"/>
              </w:rPr>
            </w:r>
          </w:p>
        </w:tc>
        <w:tc>
          <w:tcPr>
            <w:tcW w:w="2339" w:type="dxa"/>
            <w:tcBorders/>
            <w:vAlign w:val="center"/>
          </w:tcPr>
          <w:p>
            <w:pPr>
              <w:pStyle w:val="TableContents"/>
              <w:bidi w:val="0"/>
              <w:spacing w:before="0" w:after="283"/>
              <w:jc w:val="left"/>
              <w:rPr>
                <w:sz w:val="4"/>
                <w:szCs w:val="4"/>
              </w:rPr>
            </w:pPr>
            <w:r>
              <w:rPr>
                <w:sz w:val="4"/>
                <w:szCs w:val="4"/>
              </w:rPr>
            </w:r>
          </w:p>
        </w:tc>
        <w:tc>
          <w:tcPr>
            <w:tcW w:w="23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58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7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7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to other related parties: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Marketing services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205 </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Cash compensation received by related party employee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2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paid to other related parties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47" w:type="dxa"/>
            <w:gridSpan w:val="3"/>
            <w:tcBorders/>
            <w:vAlign w:val="center"/>
          </w:tcPr>
          <w:p>
            <w:pPr>
              <w:pStyle w:val="TableContents"/>
              <w:bidi w:val="0"/>
              <w:spacing w:before="0" w:after="283"/>
              <w:jc w:val="left"/>
              <w:rPr>
                <w:sz w:val="4"/>
                <w:szCs w:val="4"/>
              </w:rPr>
            </w:pPr>
            <w:r>
              <w:rPr>
                <w:sz w:val="4"/>
                <w:szCs w:val="4"/>
              </w:rPr>
            </w:r>
          </w:p>
        </w:tc>
      </w:tr>
      <w:tr>
        <w:trPr/>
        <w:tc>
          <w:tcPr>
            <w:tcW w:w="75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Included in “selling, general and administrative - related party” on the Company’s condensed consolidated statements of operations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7"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3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8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20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Marketing expenses were incurred with a company owned by a direct family member of a minority stockholder and member of the Company’s Board of Directors.</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A relative of one of the Company’s named executive officers is employed by the Company. Compensation received is presented in “included in selling, general and administrative - related party” for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Note 10. Subsequent Events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 has evaluated subsequent events through the date of issuance of these condensed consolidated financial statements.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The following discussion and analysis of our financial condition and results of operations should be read together with our Annual Report on Form 10-K for the year ended December 31, 2025 (the “Annual Report on Form 10-K”) and unaudited interim condensed consolidated financial statements as of and for the three months ended March 31, 2026 and 2025, together with related notes thereto. Unless the context otherwise requires, all references in this Quarterly Report on Form 10-Q to “the Company” “Blaize,” “us,” “our,” “ours,” or “we” refer to Blaize Holdings, Inc. Certain terms are defined in our Annual Report on Form 10-K.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0" w:name="if1fc5cdac954460d9f1158586ea68589_1757"/>
      <w:bookmarkEnd w:id="0"/>
      <w:r>
        <w:rPr>
          <w:rFonts w:ascii="Times New Roman;serif" w:hAnsi="Times New Roman;serif"/>
          <w:b/>
          <w:color w:val="000000"/>
          <w:sz w:val="20"/>
        </w:rPr>
        <w:t>Overview</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provide purpose-built, transformative AI-enabled edge computing solutions comprised of both our proprietary hardware and software, and complementary third-party hardware solutions, as further described below. Our computing solutions are designed for efficient processing of AI inference workloads across edge and data center environments. Our architecture supports AI workloads where latency, power efficiency, and cost efficiency are important considerations. Our systems can process data locally at the edge or within data center infrastructure, depending on deployment requirements. Local processing can reduce bandwidth usage and support latency-sensitive applications requiring real-time decision making.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internally developed products, we also deliver third-party hardware solutions that complement and enhance our core offerings. By integrating certain third-party hardware components, we believe that we are able to provide customers with comprehensive and flexible computing solutions tailored to their specific needs. These third-party hardware solutions typically are substantially comprised of servers, which are selected to ensure optimal compatibility and performance with our products and our AI-enabled platforms.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portfolio includes highly efficient, programmable AI processors in a broad range of form factors, deployable across several verticals, including smart city, defense, retail and enterprise markets. Our accelerated AI computing platforms enable applications such as computer vision, advanced video analytics, and AI inference, and our software tools allow non-expert practitioners to deploy existing and novel AI applications on our hardware without the need to learn or use source code.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Recent Developments in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an underwriting agreement (the “Underwriting Agreement”) with Northland Securities, Inc., as representative of the several underwriters named therein (the “Underwriters”), relating to the May 6, 2026 issuance and sale (the “Offering”) of 18,918,918 shares (the “Base Shares”) of the Company’s common stock to the public at a price of $1.85 per share. Pursuant to the Underwriting Agreement, the Company granted the Underwriters a 30-day option to purchase up to 2,837,837 additional shares of common stock (the “Option Shares” and, together with the Base Shares, the “Shares”) at the public offering price. The net proceeds to the Company from the Offering for the Base Shares were approximately $32.8 million after deducting underwriting discounts and offering expenses paid by the Company. If the Option Shares are fully exercised, the Company would receive aggregate gross proceeds of approximately $40.25 million, before deducting underwriting discounts and other offering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On May 5, 2026, the Company entered into Amendment No. 1 to Common Stock Purchase Warrants with the holders of the Polar warrants, amending the outstanding Polar warrants to adjust the exercise price from $5.00 per share to $3.00 per share.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1" w:name="i693f0a16dfd9455aa8a725930ecb43cf_1842"/>
      <w:bookmarkEnd w:id="1"/>
      <w:r>
        <w:rPr>
          <w:rFonts w:ascii="Times New Roman;serif" w:hAnsi="Times New Roman;serif"/>
          <w:b/>
          <w:color w:val="000000"/>
          <w:sz w:val="20"/>
        </w:rPr>
        <w:t>Key Business Metrics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Pipeline</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 xml:space="preserve">We have identified potential future business opportunities that we believe could accelerate our growth through near-term customer implementations. Although we have no contractual arrangement(s) with respect to such pipeline and we cannot predict with certainty any future contractual arrangement(s), the pipeline contains target accounts and opportunities that have been identified as potential customers for our products and services. We classify certain key metrics related to our pipeline into the following categories: proof of concept stage, partners, and design wins. </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 xml:space="preserve">Proof of Concept Stage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A proof-of-concept stage (“POC”) represents that a proposal for a proof of concept has either been initiated or is in progress with a potential customer or partner. We utilize POCs to demonstrate our technology’s value proposition along with its tailored use scenarios and satisfaction of customer and/or partner requirements. As of March 31, 2026, 25 POCs were initiated or in progress with a potential customer.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partner (“Partner”) consists of either an independent software vendor or independent hardware vendor with whom we are working to integrate our products and services into the vendor’s offerings for their customers. Such vendors may include original equipment manufacturers (“OEMs”), original design manufacturers, system integrators, or hardware resellers or distributors, among others. As of March 31, 2026, we had a total of 30 Partners.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Design Wins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 design win (“Design Win”) represents that a Partner or a customer has selected our products and/or services to be incorporated into a product that it intends to produce or consume, as applicable, and has confirmed that our offerings integrate into such product accordingly. As of March 31, 2026, 20 Design Wins had been confirmed with a Partner or customer.</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2" w:name="i1dbf8c1d790340ae9f6eb29fc007c212_1418"/>
      <w:bookmarkEnd w:id="2"/>
      <w:r>
        <w:rPr>
          <w:rFonts w:ascii="Times New Roman;serif" w:hAnsi="Times New Roman;serif"/>
          <w:b/>
          <w:color w:val="000000"/>
          <w:sz w:val="20"/>
        </w:rPr>
        <w:t>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We currently derive revenue through a combination of:</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Hardware revenue — encompasses the sale of our semiconductor products and/or third-party hardware products which support our semiconductor products through various supply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Software revenue — encompasses the sale of our applications and other software products through various licensing agreements.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Strategic consulting services revenue — providing customized design services to our customers, tailored to their specific requirements.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for the three months ended March 31, 2026 and 2025:</w:t>
      </w:r>
    </w:p>
    <w:p>
      <w:pPr>
        <w:pStyle w:val="TextBody"/>
        <w:bidi w:val="0"/>
        <w:spacing w:before="0" w:after="0"/>
        <w:jc w:val="left"/>
        <w:rPr/>
      </w:pPr>
      <w:r>
        <w:rPr/>
      </w:r>
    </w:p>
    <w:tbl>
      <w:tblPr>
        <w:tblW w:w="860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308"/>
        <w:gridCol w:w="308"/>
        <w:gridCol w:w="316"/>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171.9 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revenue increased to $2.7 million compared to $1.0 million for the three months ended March 31, 2025. The increase was primarily due to hardware sales under the Sales Partner Referral Agreement (the “Referral Agreement”) with a related party, inclusive of sales commissions of $0.3 million.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revenue by the geographical location of our customers for the three months ended March 31, 2026 and 2025:</w:t>
      </w:r>
    </w:p>
    <w:p>
      <w:pPr>
        <w:pStyle w:val="TextBody"/>
        <w:bidi w:val="0"/>
        <w:spacing w:before="0" w:after="0"/>
        <w:jc w:val="left"/>
        <w:rPr/>
      </w:pPr>
      <w:r>
        <w:rPr/>
      </w:r>
    </w:p>
    <w:tbl>
      <w:tblPr>
        <w:tblW w:w="8046" w:type="dxa"/>
        <w:jc w:val="left"/>
        <w:tblInd w:w="0" w:type="dxa"/>
        <w:tblLayout w:type="fixed"/>
        <w:tblCellMar>
          <w:top w:w="28" w:type="dxa"/>
          <w:left w:w="28" w:type="dxa"/>
          <w:bottom w:w="28" w:type="dxa"/>
          <w:right w:w="28" w:type="dxa"/>
        </w:tblCellMar>
      </w:tblPr>
      <w:tblGrid>
        <w:gridCol w:w="1269"/>
        <w:gridCol w:w="1118"/>
        <w:gridCol w:w="1122"/>
        <w:gridCol w:w="247"/>
        <w:gridCol w:w="723"/>
        <w:gridCol w:w="127"/>
        <w:gridCol w:w="127"/>
        <w:gridCol w:w="127"/>
        <w:gridCol w:w="127"/>
        <w:gridCol w:w="247"/>
        <w:gridCol w:w="723"/>
        <w:gridCol w:w="127"/>
        <w:gridCol w:w="109"/>
        <w:gridCol w:w="109"/>
        <w:gridCol w:w="109"/>
        <w:gridCol w:w="211"/>
        <w:gridCol w:w="616"/>
        <w:gridCol w:w="109"/>
        <w:gridCol w:w="109"/>
        <w:gridCol w:w="109"/>
        <w:gridCol w:w="109"/>
        <w:gridCol w:w="109"/>
        <w:gridCol w:w="109"/>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China</w:t>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Since our revenue is concentrated among a small number of customers, revenue from any one significant customer may significantly change the geographical mix of our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summary of the Company’s revenue concentration by customer for the three months ended March 31, 2026 and 2025:</w:t>
      </w:r>
    </w:p>
    <w:p>
      <w:pPr>
        <w:pStyle w:val="TextBody"/>
        <w:bidi w:val="0"/>
        <w:spacing w:before="0" w:after="0"/>
        <w:jc w:val="left"/>
        <w:rPr/>
      </w:pPr>
      <w:r>
        <w:rPr/>
      </w:r>
    </w:p>
    <w:tbl>
      <w:tblPr>
        <w:tblW w:w="7993" w:type="dxa"/>
        <w:jc w:val="left"/>
        <w:tblInd w:w="0" w:type="dxa"/>
        <w:tblLayout w:type="fixed"/>
        <w:tblCellMar>
          <w:top w:w="28" w:type="dxa"/>
          <w:left w:w="28" w:type="dxa"/>
          <w:bottom w:w="28" w:type="dxa"/>
          <w:right w:w="28" w:type="dxa"/>
        </w:tblCellMar>
      </w:tblPr>
      <w:tblGrid>
        <w:gridCol w:w="1269"/>
        <w:gridCol w:w="1118"/>
        <w:gridCol w:w="1122"/>
        <w:gridCol w:w="109"/>
        <w:gridCol w:w="109"/>
        <w:gridCol w:w="109"/>
        <w:gridCol w:w="211"/>
        <w:gridCol w:w="616"/>
        <w:gridCol w:w="109"/>
        <w:gridCol w:w="109"/>
        <w:gridCol w:w="109"/>
        <w:gridCol w:w="109"/>
        <w:gridCol w:w="209"/>
        <w:gridCol w:w="209"/>
        <w:gridCol w:w="211"/>
        <w:gridCol w:w="109"/>
        <w:gridCol w:w="109"/>
        <w:gridCol w:w="109"/>
        <w:gridCol w:w="211"/>
        <w:gridCol w:w="616"/>
        <w:gridCol w:w="109"/>
        <w:gridCol w:w="109"/>
        <w:gridCol w:w="109"/>
        <w:gridCol w:w="109"/>
        <w:gridCol w:w="197"/>
        <w:gridCol w:w="197"/>
        <w:gridCol w:w="281"/>
      </w:tblGrid>
      <w:tr>
        <w:trPr/>
        <w:tc>
          <w:tcPr>
            <w:tcW w:w="126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r>
      <w:tr>
        <w:trPr/>
        <w:tc>
          <w:tcPr>
            <w:tcW w:w="35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r>
      <w:tr>
        <w:trPr/>
        <w:tc>
          <w:tcPr>
            <w:tcW w:w="35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Customer A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94.9%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5" w:type="dxa"/>
            <w:gridSpan w:val="3"/>
            <w:tcBorders/>
            <w:vAlign w:val="center"/>
          </w:tcPr>
          <w:p>
            <w:pPr>
              <w:pStyle w:val="TableContents"/>
              <w:bidi w:val="0"/>
              <w:spacing w:before="0" w:after="283"/>
              <w:jc w:val="left"/>
              <w:rPr>
                <w:sz w:val="4"/>
                <w:szCs w:val="4"/>
              </w:rPr>
            </w:pPr>
            <w:r>
              <w:rPr>
                <w:sz w:val="4"/>
                <w:szCs w:val="4"/>
              </w:rPr>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B</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95.3%</w:t>
            </w:r>
          </w:p>
        </w:tc>
      </w:tr>
      <w:tr>
        <w:trPr/>
        <w:tc>
          <w:tcPr>
            <w:tcW w:w="35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4.7%</w:t>
            </w:r>
          </w:p>
        </w:tc>
      </w:tr>
      <w:tr>
        <w:trPr/>
        <w:tc>
          <w:tcPr>
            <w:tcW w:w="35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revenue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 xml:space="preserve">(1) </w:t>
      </w:r>
      <w:r>
        <w:rPr>
          <w:rFonts w:ascii="Times New Roman;serif" w:hAnsi="Times New Roman;serif"/>
          <w:b w:val="false"/>
          <w:color w:val="000000"/>
          <w:sz w:val="20"/>
        </w:rPr>
        <w:t>Customer A is a related party.</w:t>
      </w:r>
    </w:p>
    <w:p>
      <w:pPr>
        <w:pStyle w:val="TextBody"/>
        <w:bidi w:val="0"/>
        <w:spacing w:lineRule="auto" w:line="288" w:before="0" w:after="0"/>
        <w:jc w:val="left"/>
        <w:rPr/>
      </w:pPr>
      <w:r>
        <w:rPr>
          <w:rFonts w:ascii="Times New Roman;serif" w:hAnsi="Times New Roman;serif"/>
          <w:b w:val="false"/>
          <w:color w:val="000000"/>
          <w:sz w:val="13"/>
        </w:rPr>
        <w:t xml:space="preserve">(2) </w:t>
      </w:r>
      <w:r>
        <w:rPr>
          <w:rFonts w:ascii="Times New Roman;serif" w:hAnsi="Times New Roman;serif"/>
          <w:b w:val="false"/>
          <w:color w:val="000000"/>
          <w:sz w:val="20"/>
        </w:rPr>
        <w:t>Each of the customers within “Others” comprised less than 10% of revenue each.</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Cost of revenue is currently primarily comprised of the cost of purchase of hardware from third parties (servers into which our graph streaming processor (“GSP”) products can be placed and can otherwise enhance our branded products), and also includes Blaize-designed semiconductors purchased from foundries and various edge form factors supplied to us by contract manufacturers as well as indirect costs such as inventory carrying costs and inventory valuation reserves. In addition, cost of revenue includes direct labor costs associated with the servicing of our strategic consulting services revenue contracts. There is no depreciation allocable to cost of revenue; however, if such depreciation expense were to be incurred, it would be allocated to 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Research and development (“R&amp;D”) expense primarily consists of personnel costs for our research and development activities. R&amp;D expense includes costs associated with the design and development of our application-specific integrated circuit and intellectual property (“IP”) solutions, such as third-party foundry costs, third party computer-aided tools and software licenses, third party IP licenses, and reference design development. </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i/>
          <w:color w:val="000000"/>
          <w:sz w:val="20"/>
        </w:rPr>
        <w:t>Selling, General and Administrative</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(“SG&amp;A”) expense primarily consists of personnel-related expenses for our sales and marketing teams, finance, human resources, information technology, and legal organizations. These expenses also include non-personnel costs, such as legal, audit, accounting services, advertising expenses, other professional fees as well as certain tax, corporate software licenses, and insurance-related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Depreciation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Depreciation consists of ordinary depreciation on long-lived assets such as computer equipment, furniture and fixtures, leasehold improvements, and office equipment and is generally not material to 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Transaction Costs</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Transaction costs consisted of direct incremental legal, consulting, and banking fees related to the consummation of the transactions (the “Merger”) contemplated by the Agreement and Plan of Merger (the “Merger Agreement”), dated as of December 22, 2023 (as amended on April 22, 2024, October 24, 2024 and November 21, 2024), with BurTech Acquisition Corp. (“BurTech”), BurTech Merger Sub, Inc. (“Merger Sub”), Blaize, Inc. (“Legacy Blaize”), and for the limited purposes set forth therein, Burkhan Capital LLC (“Burkhan”), a Delaware limited liability company and an affiliate of BurTech, which was completed in the first quarter of 2025. No additional costs relating to the Merger are expected to be incurred.</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Detail of Costs and Expenses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our costs and expenses, as described above, for the three months ended March 31, 2026 and 2025:</w:t>
      </w:r>
    </w:p>
    <w:p>
      <w:pPr>
        <w:pStyle w:val="TextBody"/>
        <w:bidi w:val="0"/>
        <w:spacing w:before="0" w:after="0"/>
        <w:jc w:val="left"/>
        <w:rPr/>
      </w:pPr>
      <w:r>
        <w:rPr/>
      </w:r>
    </w:p>
    <w:tbl>
      <w:tblPr>
        <w:tblW w:w="9191" w:type="dxa"/>
        <w:jc w:val="left"/>
        <w:tblInd w:w="0" w:type="dxa"/>
        <w:tblLayout w:type="fixed"/>
        <w:tblCellMar>
          <w:top w:w="28" w:type="dxa"/>
          <w:left w:w="28" w:type="dxa"/>
          <w:bottom w:w="28" w:type="dxa"/>
          <w:right w:w="28" w:type="dxa"/>
        </w:tblCellMar>
      </w:tblPr>
      <w:tblGrid>
        <w:gridCol w:w="1492"/>
        <w:gridCol w:w="1314"/>
        <w:gridCol w:w="1319"/>
        <w:gridCol w:w="226"/>
        <w:gridCol w:w="772"/>
        <w:gridCol w:w="116"/>
        <w:gridCol w:w="116"/>
        <w:gridCol w:w="116"/>
        <w:gridCol w:w="116"/>
        <w:gridCol w:w="226"/>
        <w:gridCol w:w="772"/>
        <w:gridCol w:w="116"/>
        <w:gridCol w:w="109"/>
        <w:gridCol w:w="109"/>
        <w:gridCol w:w="109"/>
        <w:gridCol w:w="247"/>
        <w:gridCol w:w="548"/>
        <w:gridCol w:w="109"/>
        <w:gridCol w:w="109"/>
        <w:gridCol w:w="109"/>
        <w:gridCol w:w="109"/>
        <w:gridCol w:w="308"/>
        <w:gridCol w:w="308"/>
        <w:gridCol w:w="316"/>
      </w:tblGrid>
      <w:tr>
        <w:trPr/>
        <w:tc>
          <w:tcPr>
            <w:tcW w:w="1492" w:type="dxa"/>
            <w:tcBorders/>
            <w:vAlign w:val="center"/>
          </w:tcPr>
          <w:p>
            <w:pPr>
              <w:pStyle w:val="TableContents"/>
              <w:bidi w:val="0"/>
              <w:spacing w:before="0" w:after="283"/>
              <w:jc w:val="left"/>
              <w:rPr>
                <w:sz w:val="4"/>
                <w:szCs w:val="4"/>
              </w:rPr>
            </w:pPr>
            <w:r>
              <w:rPr>
                <w:sz w:val="4"/>
                <w:szCs w:val="4"/>
              </w:rPr>
            </w:r>
          </w:p>
        </w:tc>
        <w:tc>
          <w:tcPr>
            <w:tcW w:w="1314"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5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revenue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327 </w:t>
            </w:r>
          </w:p>
        </w:tc>
        <w:tc>
          <w:tcPr>
            <w:tcW w:w="1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255.4 </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9,675 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13,118 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(26.2)</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15,069 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13,108 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241 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24,964 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38,701 </w:t>
            </w:r>
          </w:p>
        </w:tc>
        <w:tc>
          <w:tcPr>
            <w:tcW w:w="1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Cost of Revenue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cost of revenue increased by $0.8 million to $1.2 million, compared to $0.3 million for the three months ended March 31, 2025. The increase in cost of revenue is commensurate with the increase in sales for the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R&amp;D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research and development expense decreased by $3.4 million, or 26.2%, to $9.7 million, compared to $13.1 million for the three months ended March 31, 2025. The decrease was primarily due to a $2.1 million decrease in stock-based compensation expense allocated to employees within this department, as well as a general reduction in development activities related to our next generation chip.</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SG&amp;A</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selling, general and administrative expense increased by $2.0 million, or 15.0%, to $15.1 million, compared to $13.1 million for the three months ended March 31, 2025. The increase was primarily due to an increase in our provision for expected credit losses during the three months ended March 31, 2026.</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 related party expenses for the three months ended March 31, 2026 were comprised solely of payroll expenses for an individual related to one of our executive officers. During the three months ended March 31, 2025, selling, general and administrative - related party expenses included payroll expenses for the individual as well as advertising expenses incurred with a company owned by a relative of a shareholder and member of the Company’s Board of Directors.</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Other Expense, net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details of our total other expense, net, for the three months ended March 31, 2026 and 2025:</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796"/>
        <w:gridCol w:w="1572"/>
        <w:gridCol w:w="1577"/>
        <w:gridCol w:w="229"/>
        <w:gridCol w:w="506"/>
        <w:gridCol w:w="118"/>
        <w:gridCol w:w="118"/>
        <w:gridCol w:w="118"/>
        <w:gridCol w:w="118"/>
        <w:gridCol w:w="229"/>
        <w:gridCol w:w="970"/>
        <w:gridCol w:w="118"/>
        <w:gridCol w:w="109"/>
        <w:gridCol w:w="109"/>
        <w:gridCol w:w="109"/>
        <w:gridCol w:w="211"/>
        <w:gridCol w:w="826"/>
        <w:gridCol w:w="109"/>
        <w:gridCol w:w="109"/>
        <w:gridCol w:w="109"/>
        <w:gridCol w:w="109"/>
        <w:gridCol w:w="308"/>
        <w:gridCol w:w="308"/>
        <w:gridCol w:w="320"/>
      </w:tblGrid>
      <w:tr>
        <w:trPr/>
        <w:tc>
          <w:tcPr>
            <w:tcW w:w="1796" w:type="dxa"/>
            <w:tcBorders/>
            <w:vAlign w:val="center"/>
          </w:tcPr>
          <w:p>
            <w:pPr>
              <w:pStyle w:val="TableContents"/>
              <w:bidi w:val="0"/>
              <w:spacing w:before="0" w:after="283"/>
              <w:jc w:val="left"/>
              <w:rPr>
                <w:sz w:val="4"/>
                <w:szCs w:val="4"/>
              </w:rPr>
            </w:pPr>
            <w:r>
              <w:rPr>
                <w:sz w:val="4"/>
                <w:szCs w:val="4"/>
              </w:rPr>
            </w:r>
          </w:p>
        </w:tc>
        <w:tc>
          <w:tcPr>
            <w:tcW w:w="1572" w:type="dxa"/>
            <w:tcBorders/>
            <w:vAlign w:val="center"/>
          </w:tcPr>
          <w:p>
            <w:pPr>
              <w:pStyle w:val="TableContents"/>
              <w:bidi w:val="0"/>
              <w:spacing w:before="0" w:after="283"/>
              <w:jc w:val="left"/>
              <w:rPr>
                <w:sz w:val="4"/>
                <w:szCs w:val="4"/>
              </w:rPr>
            </w:pPr>
            <w:r>
              <w:rPr>
                <w:sz w:val="4"/>
                <w:szCs w:val="4"/>
              </w:rPr>
            </w:r>
          </w:p>
        </w:tc>
        <w:tc>
          <w:tcPr>
            <w:tcW w:w="1577"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r>
      <w:tr>
        <w:trPr/>
        <w:tc>
          <w:tcPr>
            <w:tcW w:w="49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9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8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Legacy Blaize convertible notes and warrants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226,048 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other earnout shares</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116,518 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(115,960)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(99.5)</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fair value of Polar warrants</w:t>
            </w:r>
          </w:p>
        </w:tc>
        <w:tc>
          <w:tcPr>
            <w:tcW w:w="7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vAlign w:val="center"/>
          </w:tcPr>
          <w:p>
            <w:pPr>
              <w:pStyle w:val="TableContents"/>
              <w:bidi w:val="0"/>
              <w:spacing w:before="0" w:after="283"/>
              <w:jc w:val="left"/>
              <w:rPr>
                <w:sz w:val="4"/>
                <w:szCs w:val="4"/>
              </w:rPr>
            </w:pPr>
            <w:r>
              <w:rPr>
                <w:sz w:val="4"/>
                <w:szCs w:val="4"/>
              </w:rPr>
            </w:r>
          </w:p>
        </w:tc>
        <w:tc>
          <w:tcPr>
            <w:tcW w:w="853"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31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9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net</w:t>
            </w:r>
          </w:p>
        </w:tc>
        <w:tc>
          <w:tcPr>
            <w:tcW w:w="7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302.1 </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9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 net</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834 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(109,578)</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“total other expense, net” for the three months ended March 31, 2026 compared to the three months ended March 31, 2025 was driven by the fair value changes in the different financial instruments in place during each period. In the first quarter of 2025, as a result of the Merger, the Legacy Blaize convertible notes and warrants were all converted into shares of our common stock. These instruments were, therefore, not outstanding in 2026. “Other, net” includes interest income, interest expense, fines and penalties (and the reversal of the same) regarding non-income tax based tax positions and foreign exchange gains and losses.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bookmarkStart w:id="3" w:name="i0e50968c98bc4d5a9608d31aff945ebf_6997"/>
      <w:bookmarkEnd w:id="3"/>
      <w:r>
        <w:rPr>
          <w:rFonts w:ascii="Times New Roman;serif" w:hAnsi="Times New Roman;serif"/>
          <w:b/>
          <w:i/>
          <w:color w:val="000000"/>
          <w:sz w:val="20"/>
        </w:rPr>
        <w:t xml:space="preserve">Non-GAAP Measures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to financial measures presented in accordance with accounting principles generally accepted in the U.S. (“GAAP”), we report certain key financial measures that are not required by, or presented in accordance with, GAAP. Non-GAAP financial information is presented for supplemental informational purposes only, should not be considered in isolation of, or as a substitute for or superior to, financial information presented in accordance with GAAP, and may be different from similarly-titled non-GAAP measures used by other companies. Accordingly, you are cautioned not to place undue reliance on this information. We believe that along with our GAAP financial information, our non-GAAP financial information when taken collectively and evaluated appropriately, is helpful to investors in assessing our operating performance.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conjunction with net loss calculated in accordance with GAAP, we also use EBITDA and Adjusted EBITDA, as defined below, to evaluate our ongoing operations and for internal planning and forecasting purposes.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EBITDA and Adjusted EBITDA</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EBITDA is defined as “Earnings before interest, income taxes, depreciation, and amortization”. Adjusted EBITDA is defined as EBITDA further adjusted for non-cash items such as stock-based compensation, changes in fair value, and operational income and expenses that are not expected to be ongoing, as discussed below in the footnote to “other adjustments”.</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a reconciliation of net loss to EBITDA and Adjusted EBITDA for the three months ended March 31, 2026 and 2025:</w:t>
      </w:r>
    </w:p>
    <w:p>
      <w:pPr>
        <w:pStyle w:val="TextBody"/>
        <w:bidi w:val="0"/>
        <w:spacing w:before="0" w:after="0"/>
        <w:jc w:val="left"/>
        <w:rPr/>
      </w:pPr>
      <w:r>
        <w:rPr/>
      </w:r>
    </w:p>
    <w:tbl>
      <w:tblPr>
        <w:tblW w:w="9506" w:type="dxa"/>
        <w:jc w:val="left"/>
        <w:tblInd w:w="0" w:type="dxa"/>
        <w:tblLayout w:type="fixed"/>
        <w:tblCellMar>
          <w:top w:w="28" w:type="dxa"/>
          <w:left w:w="28" w:type="dxa"/>
          <w:bottom w:w="28" w:type="dxa"/>
          <w:right w:w="28" w:type="dxa"/>
        </w:tblCellMar>
      </w:tblPr>
      <w:tblGrid>
        <w:gridCol w:w="1497"/>
        <w:gridCol w:w="1319"/>
        <w:gridCol w:w="1324"/>
        <w:gridCol w:w="211"/>
        <w:gridCol w:w="796"/>
        <w:gridCol w:w="109"/>
        <w:gridCol w:w="109"/>
        <w:gridCol w:w="109"/>
        <w:gridCol w:w="109"/>
        <w:gridCol w:w="211"/>
        <w:gridCol w:w="901"/>
        <w:gridCol w:w="109"/>
        <w:gridCol w:w="109"/>
        <w:gridCol w:w="109"/>
        <w:gridCol w:w="109"/>
        <w:gridCol w:w="211"/>
        <w:gridCol w:w="826"/>
        <w:gridCol w:w="109"/>
        <w:gridCol w:w="109"/>
        <w:gridCol w:w="109"/>
        <w:gridCol w:w="109"/>
        <w:gridCol w:w="293"/>
        <w:gridCol w:w="293"/>
        <w:gridCol w:w="316"/>
      </w:tblGrid>
      <w:tr>
        <w:trPr/>
        <w:tc>
          <w:tcPr>
            <w:tcW w:w="1497" w:type="dxa"/>
            <w:tcBorders/>
            <w:vAlign w:val="center"/>
          </w:tcPr>
          <w:p>
            <w:pPr>
              <w:pStyle w:val="TableContents"/>
              <w:bidi w:val="0"/>
              <w:spacing w:before="0" w:after="283"/>
              <w:jc w:val="left"/>
              <w:rPr>
                <w:sz w:val="4"/>
                <w:szCs w:val="4"/>
              </w:rPr>
            </w:pPr>
            <w:r>
              <w:rPr>
                <w:sz w:val="4"/>
                <w:szCs w:val="4"/>
              </w:rPr>
            </w:r>
          </w:p>
        </w:tc>
        <w:tc>
          <w:tcPr>
            <w:tcW w:w="131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Change</w:t>
            </w:r>
          </w:p>
        </w:tc>
      </w:tr>
      <w:tr>
        <w:trPr/>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8"/>
              </w:rPr>
            </w:pPr>
            <w:r>
              <w:rPr>
                <w:rFonts w:ascii="Times New Roman;serif" w:hAnsi="Times New Roman;serif"/>
                <w:b w:val="false"/>
                <w:i/>
                <w:color w:val="000000"/>
                <w:sz w:val="18"/>
              </w:rPr>
              <w:t>(Amounts in thousands, except for percentages)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(22,653)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(147,761)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(38.9)</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EBITDA</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(22,547)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(147,807)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125,260 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(84.7)</w:t>
            </w:r>
          </w:p>
        </w:tc>
        <w:tc>
          <w:tcPr>
            <w:tcW w:w="3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Fair value changes and financing charges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(110,557)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Transaction costs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(12,043)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Non-cash inventory cost realignment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adjustments </w:t>
            </w:r>
            <w:r>
              <w:rPr>
                <w:rFonts w:ascii="Times New Roman;serif" w:hAnsi="Times New Roman;serif"/>
                <w:b w:val="false"/>
                <w:color w:val="000000"/>
                <w:sz w:val="13"/>
              </w:rPr>
              <w:t>(1)</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35.3 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41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EBITDA</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(13,926)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3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*Percentage change is not meaningful.</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Other adjustments” includes, but is not limited to, other non-cash expenses, including foreign exchange gains and losses, and income and expenses that are not expected to be ongoing, including litigation expenses, financing advisory fees, and fines and penalties (or the recoveries and reversals of such). We believe that these items are not reflective of our ongoing operating performance and excluding these items provides a more meaningful comparison of our results of operations over comparative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4" w:name="i93385f20d5db4737ae6c3077af3b43d4_8181"/>
      <w:bookmarkEnd w:id="4"/>
      <w:r>
        <w:rPr>
          <w:rFonts w:ascii="Times New Roman;serif" w:hAnsi="Times New Roman;serif"/>
          <w:b/>
          <w:color w:val="000000"/>
          <w:sz w:val="20"/>
        </w:rPr>
        <w:t>Liquidity and Capital Resources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Our primary sources of cash flows have historically been from financing activities. We expect our primary sources of liquidity to continue to be cash flows from financing activities, as our expenses continue to exceed our revenues, and therefore, we cannot satisfy our cash needs through operations. We intend to raise such capital through issuances of additional equity and/or debt. As discussed below, our liquidity condition raises substantial doubt about our ability to continue as a going concern through a year from the issuance date of our unaudited condensed consolidated financial statements, as we cannot expect that the sources of financing currently available to us will be sufficient to fund our ongoing cash requirements for at least the next twelve months and/or into the foreseeable future.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Item 1 — “Financial Statements,” in Note 2 — “Liquidity and Going Concern,” our condensed consolidated financial statements accompanying this Quarterly Report on Form 10-Q have been prepared on a “going concern” basis, which assumes that we will be able to meet our obligations and continue our operations for the foreseeable future. Our condensed consolidated financial statements do not include any adjustments to reflect the possible future effects on the recoverability and classification of assets or the amounts and classifications of liabilities that may result should we be unable to continue as a going concern.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ability to continue to meet our obligations, to achieve our business objectives and continue as a going concern is dependent upon several factors, including our revenue growth rate, the timing and extent of spending to support further sales and marketing initiatives, as well as our research and development efforts. In order to continue to finance our operations, we will need to raise additional financing, if such financing is available at all.</w:t>
      </w:r>
    </w:p>
    <w:p>
      <w:pPr>
        <w:pStyle w:val="TextBody"/>
        <w:bidi w:val="0"/>
        <w:spacing w:before="0" w:after="0"/>
        <w:jc w:val="left"/>
        <w:rPr/>
      </w:pPr>
      <w:r>
        <w:rPr/>
      </w:r>
    </w:p>
    <w:p>
      <w:pPr>
        <w:pStyle w:val="TextBody"/>
        <w:bidi w:val="0"/>
        <w:spacing w:lineRule="auto" w:line="288"/>
        <w:jc w:val="left"/>
        <w:rPr>
          <w:rFonts w:ascii="Times New Roman;serif" w:hAnsi="Times New Roman;serif"/>
          <w:b w:val="false"/>
          <w:color w:val="000000"/>
          <w:sz w:val="20"/>
        </w:rPr>
      </w:pPr>
      <w:r>
        <w:rPr>
          <w:rFonts w:ascii="Times New Roman;serif" w:hAnsi="Times New Roman;serif"/>
          <w:b w:val="false"/>
          <w:color w:val="000000"/>
          <w:sz w:val="20"/>
        </w:rPr>
        <w:t>As a result of the above considerations, we have determined that our liquidity condition raises substantial doubt about our ability to continue as a going concern through a year from the date of issuance of our unaudited condensed consolidated financial statements.</w:t>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Issuance of Common Stock During the Current Year</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issuance of common stock as of May 14, 2026:</w:t>
      </w:r>
    </w:p>
    <w:p>
      <w:pPr>
        <w:pStyle w:val="TextBody"/>
        <w:bidi w:val="0"/>
        <w:spacing w:before="0" w:after="0"/>
        <w:jc w:val="left"/>
        <w:rPr/>
      </w:pPr>
      <w:r>
        <w:rPr/>
      </w:r>
    </w:p>
    <w:tbl>
      <w:tblPr>
        <w:tblW w:w="6076" w:type="dxa"/>
        <w:jc w:val="left"/>
        <w:tblInd w:w="0" w:type="dxa"/>
        <w:tblLayout w:type="fixed"/>
        <w:tblCellMar>
          <w:top w:w="28" w:type="dxa"/>
          <w:left w:w="28" w:type="dxa"/>
          <w:bottom w:w="28" w:type="dxa"/>
          <w:right w:w="28" w:type="dxa"/>
        </w:tblCellMar>
      </w:tblPr>
      <w:tblGrid>
        <w:gridCol w:w="1597"/>
        <w:gridCol w:w="1404"/>
        <w:gridCol w:w="1408"/>
        <w:gridCol w:w="109"/>
        <w:gridCol w:w="109"/>
        <w:gridCol w:w="109"/>
        <w:gridCol w:w="593"/>
        <w:gridCol w:w="593"/>
        <w:gridCol w:w="154"/>
      </w:tblGrid>
      <w:tr>
        <w:trPr/>
        <w:tc>
          <w:tcPr>
            <w:tcW w:w="1597" w:type="dxa"/>
            <w:tcBorders/>
            <w:vAlign w:val="center"/>
          </w:tcPr>
          <w:p>
            <w:pPr>
              <w:pStyle w:val="TableContents"/>
              <w:bidi w:val="0"/>
              <w:spacing w:before="0" w:after="283"/>
              <w:jc w:val="left"/>
              <w:rPr>
                <w:sz w:val="4"/>
                <w:szCs w:val="4"/>
              </w:rPr>
            </w:pPr>
            <w:r>
              <w:rPr>
                <w:sz w:val="4"/>
                <w:szCs w:val="4"/>
              </w:rPr>
            </w:r>
          </w:p>
        </w:tc>
        <w:tc>
          <w:tcPr>
            <w:tcW w:w="1404" w:type="dxa"/>
            <w:tcBorders/>
            <w:vAlign w:val="center"/>
          </w:tcPr>
          <w:p>
            <w:pPr>
              <w:pStyle w:val="TableContents"/>
              <w:bidi w:val="0"/>
              <w:spacing w:before="0" w:after="283"/>
              <w:jc w:val="left"/>
              <w:rPr>
                <w:sz w:val="4"/>
                <w:szCs w:val="4"/>
              </w:rPr>
            </w:pPr>
            <w:r>
              <w:rPr>
                <w:sz w:val="4"/>
                <w:szCs w:val="4"/>
              </w:rPr>
            </w:r>
          </w:p>
        </w:tc>
        <w:tc>
          <w:tcPr>
            <w:tcW w:w="14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122,043,966 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653,589 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49,202 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March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122,746,757 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Release of restricted stock units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2,500 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Exercise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631,286 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Shares issued on May 5, 2026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18,918,918 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May 14,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142,299,461 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On May 5, 2026, pursuant to the Underwriting Agreement, we sold and issued 18,918,918 shares of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Future Commitments to Issue Shares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a description of our future commitments to issue common stock as of May 14, 2026:</w:t>
      </w:r>
    </w:p>
    <w:p>
      <w:pPr>
        <w:pStyle w:val="TextBody"/>
        <w:bidi w:val="0"/>
        <w:spacing w:before="0" w:after="0"/>
        <w:jc w:val="left"/>
        <w:rPr/>
      </w:pPr>
      <w:r>
        <w:rPr/>
      </w:r>
    </w:p>
    <w:tbl>
      <w:tblPr>
        <w:tblW w:w="7381" w:type="dxa"/>
        <w:jc w:val="left"/>
        <w:tblInd w:w="0" w:type="dxa"/>
        <w:tblLayout w:type="fixed"/>
        <w:tblCellMar>
          <w:top w:w="28" w:type="dxa"/>
          <w:left w:w="28" w:type="dxa"/>
          <w:bottom w:w="28" w:type="dxa"/>
          <w:right w:w="28" w:type="dxa"/>
        </w:tblCellMar>
      </w:tblPr>
      <w:tblGrid>
        <w:gridCol w:w="2067"/>
        <w:gridCol w:w="1816"/>
        <w:gridCol w:w="1831"/>
        <w:gridCol w:w="109"/>
        <w:gridCol w:w="109"/>
        <w:gridCol w:w="109"/>
        <w:gridCol w:w="592"/>
        <w:gridCol w:w="594"/>
        <w:gridCol w:w="154"/>
      </w:tblGrid>
      <w:tr>
        <w:trPr/>
        <w:tc>
          <w:tcPr>
            <w:tcW w:w="2067" w:type="dxa"/>
            <w:tcBorders/>
            <w:vAlign w:val="center"/>
          </w:tcPr>
          <w:p>
            <w:pPr>
              <w:pStyle w:val="TableContents"/>
              <w:bidi w:val="0"/>
              <w:spacing w:before="0" w:after="283"/>
              <w:jc w:val="left"/>
              <w:rPr>
                <w:sz w:val="4"/>
                <w:szCs w:val="4"/>
              </w:rPr>
            </w:pPr>
            <w:r>
              <w:rPr>
                <w:sz w:val="4"/>
                <w:szCs w:val="4"/>
              </w:rPr>
            </w:r>
          </w:p>
        </w:tc>
        <w:tc>
          <w:tcPr>
            <w:tcW w:w="1816" w:type="dxa"/>
            <w:tcBorders/>
            <w:vAlign w:val="center"/>
          </w:tcPr>
          <w:p>
            <w:pPr>
              <w:pStyle w:val="TableContents"/>
              <w:bidi w:val="0"/>
              <w:spacing w:before="0" w:after="283"/>
              <w:jc w:val="left"/>
              <w:rPr>
                <w:sz w:val="4"/>
                <w:szCs w:val="4"/>
              </w:rPr>
            </w:pPr>
            <w:r>
              <w:rPr>
                <w:sz w:val="4"/>
                <w:szCs w:val="4"/>
              </w:rPr>
            </w:r>
          </w:p>
        </w:tc>
        <w:tc>
          <w:tcPr>
            <w:tcW w:w="1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Stock options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28,697,076 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RSUs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9,359,499 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Employee stock purchase plan shares available for future purchase</w:t>
            </w:r>
            <w:r>
              <w:rPr>
                <w:color w:val="000000"/>
              </w:rPr>
              <w:t xml:space="preserve">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3,047,669 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Earnout shares</w:t>
            </w:r>
            <w:r>
              <w:rPr>
                <w:color w:val="000000"/>
              </w:rPr>
              <w:t xml:space="preserv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17,600,000 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BZAI warrants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29,648,250 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Warrants issued to an advisor</w:t>
            </w:r>
            <w:r>
              <w:rPr>
                <w:color w:val="000000"/>
              </w:rPr>
              <w:t xml:space="preserve"> </w:t>
            </w:r>
            <w:r>
              <w:rPr>
                <w:rFonts w:ascii="Times New Roman;serif" w:hAnsi="Times New Roman;serif"/>
                <w:b w:val="false"/>
                <w:color w:val="000000"/>
                <w:sz w:val="13"/>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Polar warrants </w:t>
            </w:r>
            <w:r>
              <w:rPr>
                <w:rFonts w:ascii="Times New Roman;serif" w:hAnsi="Times New Roman;serif"/>
                <w:b w:val="false"/>
                <w:color w:val="000000"/>
                <w:sz w:val="13"/>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9,375,000 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color w:val="000000"/>
              </w:rPr>
              <w:t>“</w:t>
            </w:r>
            <w:r>
              <w:rPr>
                <w:rFonts w:ascii="Times New Roman;serif" w:hAnsi="Times New Roman;serif"/>
                <w:b w:val="false"/>
                <w:color w:val="000000"/>
                <w:sz w:val="20"/>
              </w:rPr>
              <w:t xml:space="preserve">Greenshoe” option shares </w:t>
            </w:r>
            <w:r>
              <w:rPr>
                <w:rFonts w:ascii="Times New Roman;serif" w:hAnsi="Times New Roman;serif"/>
                <w:b w:val="false"/>
                <w:color w:val="000000"/>
                <w:sz w:val="13"/>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2,837,837</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Sales Partner Referral Agreement </w:t>
            </w:r>
            <w:r>
              <w:rPr>
                <w:rFonts w:ascii="Times New Roman;serif" w:hAnsi="Times New Roman;serif"/>
                <w:b w:val="false"/>
                <w:color w:val="000000"/>
                <w:sz w:val="13"/>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erif" w:hAnsi="Times New Roman;serif"/>
                <w:b w:val="false"/>
                <w:color w:val="000000"/>
                <w:sz w:val="20"/>
              </w:rPr>
              <w:t xml:space="preserve">Issuable under Committed Equity Facility </w:t>
            </w:r>
            <w:r>
              <w:rPr>
                <w:rFonts w:ascii="Times New Roman;serif" w:hAnsi="Times New Roman;serif"/>
                <w:b w:val="false"/>
                <w:color w:val="000000"/>
                <w:sz w:val="13"/>
              </w:rPr>
              <w:t>(7)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571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 commitments to issue common stock</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erif" w:hAnsi="Times New Roman;serif"/>
                <w:b w:val="false"/>
                <w:color w:val="000000"/>
                <w:sz w:val="20"/>
              </w:rPr>
            </w:pPr>
            <w:r>
              <w:rPr>
                <w:rFonts w:ascii="Times New Roman;serif" w:hAnsi="Times New Roman;serif"/>
                <w:b w:val="false"/>
                <w:color w:val="000000"/>
                <w:sz w:val="20"/>
              </w:rPr>
              <w:t>100,615,331 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Variable number of shares not determinable as of May 14,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As of March 31, 2026, we had commitments to issue 28,697,076 shares of common stock to employees and others under stock option awards, and an additional</w:t>
      </w:r>
      <w:r>
        <w:rPr>
          <w:color w:val="EE2724"/>
        </w:rPr>
        <w:t xml:space="preserve"> </w:t>
      </w:r>
      <w:r>
        <w:rPr>
          <w:rFonts w:ascii="Times New Roman;serif" w:hAnsi="Times New Roman;serif"/>
          <w:b w:val="false"/>
          <w:color w:val="000000"/>
          <w:sz w:val="20"/>
        </w:rPr>
        <w:t>9,359,499 shares of our common stock under employee and other RSU awards. These commitments did not differ materially as of May 14, 2026, as we did not issue additional such awards during the time period between March 31, 2026 and May 14, 2026, although forfeitures from terminated employees and option exercises may decrease these commitments by immaterial amounts. We have further reserved 3,047,669 shares of our common stock under an employee stock purchase plan, which has not yet commenced.</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20"/>
        </w:rPr>
        <w:t>We have commitments in respect of the Earnout Shares to issue up to 15,000,000 shares of our common stock, primarily to Legacy Blaize shareholders and also to then-outstanding Legacy Blaize employee equity award holders, and 2,600,000 shares of our common stock to Burkhan, subject to our share price achieving certain thresholds over a period of time (collectively, the “Earnout Shares”). These Earnout Shares are dependent upon, among other things, changes in the closing share price of our common stock, the expected timing of settlement, and the probability of achieving certain triggering events.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We have a total of 29,648,250 warrants to purchase shares of our common stock outstanding, exercisable at $11.50 per share (the “BZAI warrants”), which expire on January 13, 2030. Additionally, shortly after the Merger, we issued, to an advisor, 50,000 warrants to purchase shares of our common stock outstanding, exercisable at $11.50 per share, which expire in the first quarter of 2030.</w:t>
      </w:r>
    </w:p>
    <w:p>
      <w:pPr>
        <w:pStyle w:val="TextBody"/>
        <w:bidi w:val="0"/>
        <w:spacing w:before="0" w:after="283"/>
        <w:jc w:val="left"/>
        <w:rPr/>
      </w:pPr>
      <w:r>
        <w:rPr/>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0" w:after="0"/>
        <w:jc w:val="left"/>
        <w:rPr/>
      </w:pPr>
      <w:r>
        <w:rPr>
          <w:rFonts w:ascii="Times New Roman;serif" w:hAnsi="Times New Roman;serif"/>
          <w:b w:val="false"/>
          <w:color w:val="000000"/>
          <w:sz w:val="13"/>
        </w:rPr>
        <w:t xml:space="preserve">(4) </w:t>
      </w:r>
      <w:r>
        <w:rPr>
          <w:rFonts w:ascii="Times New Roman;serif" w:hAnsi="Times New Roman;serif"/>
          <w:b w:val="false"/>
          <w:color w:val="000000"/>
          <w:sz w:val="20"/>
        </w:rPr>
        <w:t>On May 5, 2026, we amended the outstanding Polar warrants to adjust the exercise price from $5.00 per share to $3.00 per share.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(5)</w:t>
      </w:r>
      <w:r>
        <w:rPr>
          <w:color w:val="000000"/>
        </w:rPr>
        <w:t xml:space="preserve"> </w:t>
      </w:r>
      <w:r>
        <w:rPr>
          <w:rFonts w:ascii="Times New Roman;serif" w:hAnsi="Times New Roman;serif"/>
          <w:b w:val="false"/>
          <w:color w:val="000000"/>
          <w:sz w:val="20"/>
        </w:rPr>
        <w:t>On May 5, 2026, pursuant to the Underwriting Agreement, as part of our offering of common stock on that date, we granted the Underwriters a 30-day option to purchase up to 2,837,837 additional shares of common stock, commonly referred to as a “greenshoe” option. The greenshoe option expires on June 5, 2026.</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(6)</w:t>
      </w:r>
      <w:r>
        <w:rPr>
          <w:color w:val="000000"/>
        </w:rPr>
        <w:t xml:space="preserve"> </w:t>
      </w:r>
      <w:r>
        <w:rPr>
          <w:rFonts w:ascii="Times New Roman;serif" w:hAnsi="Times New Roman;serif"/>
          <w:b w:val="false"/>
          <w:color w:val="000000"/>
          <w:sz w:val="20"/>
        </w:rPr>
        <w:t>We have a Sales Partner Referral Agreement with Burkhan LLC (the “Sales Partner”), an affiliate of BurTech LP, LLC, that allows partially for shares of our common stock to be issued to that affiliate in respect of a sales commission, at our discretion. Cash or shares of stock for commission payments are to be released upon our receipt of cash on the sales made under the Sales Partner Referral Agreement. During the year ended December 31, 2025, sales were made to an affiliate of the Sales Partner, but no payments were made on amounts due to us, and therefore, no cash or shares of stock relating to the sales commission were released during the year ended December 31, 2025. During the three months ended March 31, 2026, we made additional sales under this agreement, and also received payment in full (in respect of all sales made under this agreement during 2025 and through March 31, 2026) from the Sales Partner and then paid the sales commission in cash, although future sales commissions may be partially payable in shares of our common stock at our discretion.</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13"/>
        </w:rPr>
        <w:t>(7)</w:t>
      </w:r>
      <w:r>
        <w:rPr>
          <w:color w:val="000000"/>
        </w:rPr>
        <w:t xml:space="preserve"> </w:t>
      </w:r>
      <w:r>
        <w:rPr>
          <w:rFonts w:ascii="Times New Roman;serif" w:hAnsi="Times New Roman;serif"/>
          <w:b w:val="false"/>
          <w:color w:val="000000"/>
          <w:sz w:val="20"/>
        </w:rPr>
        <w:t>The remaining number of shares that we may sell under the Committed Equity Facility varies in relation to our stock price.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Cash Flows for the Three Months Ended March 31, 2026 and 2025</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Operating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Net cash used in operating activities was $12.6 million for the three months ended March 31, 2026, compared to $15.9 million for the three months ended March 31, 2025. The decrease in cash used in operating activities was primarily due to a decrease of $125.1 million in net loss, which included a decrease in adjustments to reconcile net loss to net cash used in operating expenses of $111.0 million resulting from less volatility in fair value measurements during the current period, and an increase in changes in operating assets and liabilities of $10.8 million largely arising from payment of accrued trade payables.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used in Investing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and 2025, we used $0.1 million and $0.7 million, respectively, of cash to purchase property and equipment.</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Cash Flows provided by Financing Activities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For the three months ended March 31, 2026, net cash provided by financing activities was $0.1 million, which consisted of proceeds from the exercise of stock options. During the three months ended March 31, 2025, net cash provided by financing activities consisted of $15.9 million of proceeds from the Merger and PIPE financing, partially offset by the $4.5 million payment of deferred offering costs.</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Material Cash Requirements, Cash Collections, and Cash Availability</w:t>
      </w:r>
      <w:r>
        <w:rPr>
          <w:color w:val="000000"/>
        </w:rPr>
        <w:t xml:space="preserve">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Material cash requirements as of March 31, 2026 included normal course of business near-term general corporate expenses accrued in accounts payable and accrued expenses, such as consulting fees and employee payroll.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fourth quarter of 2025, we sold certain hardware in the amount of $23.8 million, and at the same time, purchased hardware from a third-party vendor in order to fulfill that sales contract, recording the trade account payable with the remaining balance as of March 31, 2026 referred to, above. Through May 14, 2026, we have received payments of $16.9 million from our customer, and we paid our vendor in full. The remaining receivable of $6.8 million is due from our customer as of May 14, 2026.</w:t>
      </w:r>
    </w:p>
    <w:p>
      <w:pPr>
        <w:pStyle w:val="TextBody"/>
        <w:bidi w:val="0"/>
        <w:spacing w:before="0" w:after="283"/>
        <w:jc w:val="left"/>
        <w:rPr/>
      </w:pPr>
      <w:r>
        <w:rPr/>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of March 31, 2026, we had cash and cash equivalents on hand of $33.2 million. Additionally, approximately $15.5 million remains available to draw on the Committed Equity Facility upon the expiration of the 60-day lockup agreement entered into with the underwriters of the equity raise finalized on May 6, 2026, or unless the price per share of our common stock is equal to or exceeds $2.78, as 150% of the price to the public in the equity raise during the 60-day period.</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Emerging Growth Company and Smaller Reporting Company Status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“Emerging Growth Company and Smaller Reporting Company Status” of our Annual Report on Form 10-K for the year ended December 31, 2025. There have been no material changes to our Emerging Growth Company and Smaller Reporting Company Statuses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bookmarkStart w:id="5" w:name="ibf18c005e1f74fdd935a7991be3f399c_269"/>
      <w:bookmarkEnd w:id="5"/>
      <w:r>
        <w:rPr>
          <w:rFonts w:ascii="Times New Roman;serif" w:hAnsi="Times New Roman;serif"/>
          <w:b/>
          <w:color w:val="000000"/>
          <w:sz w:val="20"/>
        </w:rPr>
        <w:t>Critical Accounting Estimates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Refer to Part II, Item 7, “Critical Accounting Estimates” of our Annual Report on Form 10-K for the year ended December 31, 2025. There have been no material changes to our Critical Accounting Policies and Estimates during the three months ended March 31, 2026.</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a smaller reporting company, we are not required to provide this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Company’s management, with the participation of the Company’s Chief Executive Officer and Chief Financial Officer, has evaluated the effectiveness of the Company’s disclosure controls and procedures (as such term is defined in Rules 13a-15(e) and 15d-15(e) under the Securities Exchange Act of 1934, as amended (the “Exchange Act”)) as of the end of the period covered by this report. The Company’s disclosure controls and procedures are designed to provide reasonable assurance that information is recorded, processed, summarized, and reported accurately and on a timely basis. Based on such evaluation, the Company’s Chief Executive Officer and Chief Financial Officer have concluded that, as of the end of such period, the Company’s disclosure controls and procedures were effective.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Changes in Internal Control over Financial Reporting</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There have not been any changes in the Company’s internal control over financial reporting (as such term is defined in Rules 13a-15(f) and 15d-15(f) under the Exchange Act) during the fiscal quarter to which this report relates that have materially affected, or are reasonably likely to materially affect, the Company’s internal control over financial reporting.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subject to various legal proceedings, lawsuits, disputes and claims arising in the ordinary course of our business. We are not currently a party to any litigation or legal proceedings that, in the opinion of our management, may have a material adverse effect on our business.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Other than the risk factors listed below, there have been no material changes from the risk factors previously described under Part I, Item 1A. “Risk Factors” of our Annual Report on Form 10-K for the year ended December 31, 2025, filed with the SEC on March 24, 2026, as amended by Amendment No. 1 on Form 10-K/A filed with the SEC on April 30,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price of our common stock has and may continue to fluctuate significantly, and this may make it difficult for you to resell shares of common stock owned by you at times or at prices you find attractive.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trading price of our common stock has fluctuated widely and may continue to fluctuate widely as a result of a number of factors, many of which are outside our control. In addition, the stock market is subject to fluctuations in the share prices and trading volumes that affect the market prices of the shares of many companies. These broad market fluctuations have adversely affected and may continue to adversely affect the market price of our common stock. Among the factors that could affect our stock price are:</w:t>
      </w:r>
    </w:p>
    <w:p>
      <w:pPr>
        <w:pStyle w:val="TextBody"/>
        <w:bidi w:val="0"/>
        <w:spacing w:before="0" w:after="0"/>
        <w:jc w:val="left"/>
        <w:rPr/>
      </w:pPr>
      <w:r>
        <w:rPr/>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actual or anticipated fluctuations in our quarterly financial results or the quarterly financial results of companies perceived to be similar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the market’s expectations about our operating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our ability to access adequate project financing, commercial borrowings and debt and equity capital markets to fund our operations or any significant anticipated capital expenditures;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degree and nature of our competition;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results failing to meet the expectations of securities analysts or investors in a particular period;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financial estimates and recommendations by securities analysts concerning us or the industry in which we operate in general;</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operating and stock price performance of other companies that investors deem comparable to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laws and regulations affecting our business;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 xml:space="preserve">announcements by us or our competitors of significant business developments, partnerships or acquisitions; </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commencement of, or involvement in, litigation involving us;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changes in our capital structure, such as future issuances of securities or the incurrence of additional debt;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volume of shares of our common stock available for public sale;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any major change in our board of directors or management;</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sales of substantial amounts of our common stock by our directors, executive officers or significant stockholders or the perception that such sales could occur; and</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economic and political conditions such as recessions, changes in interest rates, changes in fuel prices, international currency fluctuations, and acts of war, terrorism, civil unrest, or pandemics.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realize our objectives associated with our business plan, or if our operating results fall below the expectations of analysts or investors or below any guidance we may provide, or if any guidance we provide is below the expectations of analysts or investors, it could cause the market price of our common stock to decline.</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i/>
          <w:color w:val="000000"/>
          <w:sz w:val="20"/>
        </w:rPr>
        <w:t>Future sales or issuances of our common stock in the public markets, or the perception of such sales, could depress the trading price of our common stock</w:t>
      </w:r>
      <w:r>
        <w:rPr>
          <w:rFonts w:ascii="Times New Roman;serif" w:hAnsi="Times New Roman;serif"/>
          <w:b w:val="false"/>
          <w:color w:val="000000"/>
          <w:sz w:val="20"/>
        </w:rPr>
        <w:t>.</w:t>
      </w:r>
    </w:p>
    <w:p>
      <w:pPr>
        <w:pStyle w:val="TextBody"/>
        <w:bidi w:val="0"/>
        <w:spacing w:before="0" w:after="283"/>
        <w:jc w:val="left"/>
        <w:rPr/>
      </w:pPr>
      <w:r>
        <w:rPr/>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sale of a substantial number of shares of our common stock or other equity-related securities in the public markets, or the perception that such sales could occur, could depress the market price of our common stock and impair our ability to raise capital through the sale of additional equity securities. We may sell large quantities of our common stock at any time in one or more separate offerings. We cannot predict the effect that future sales of common stock or other equity-related securities would have on the market price of our common stock.</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Moreover, we have filed a registration statement on Form S-8 registering all shares of common stock underlying equity awards that we may issue under our equity compensation plans. Once registered on Form S-8, shares underlying these equity awards can be freely sold in the public market upon issuance, subject to volume, notice and manner of sale limitations applicable to affiliates.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 addition, we currently have on file with the SEC a universal registration statement which allows us to offer and sell up to $250.0 million of our securities, including shares of our common stock, from time to time pursuant to one or more offerings at prices to be determined at the time of sale.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The activity of short sellers in our common stock could increase volatility in our share price and negatively impact our reputation, business, and ability to raise capital.</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Our common stock may be the target of short selling activity, in which investors sell shares that they do not own in anticipation of a decline in the market price. The presence of significant short interest could lead to increased volatility in the trading price of our shares, regardless of our actual operating performance or prospects. Short sellers may also publish, or cause to be published, negative or misleading information about our company, our management, or our business model, which could further depress our stock price and damage our reputation with customers, partners, and investors.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Increased volatility and downward pressure on our stock price as a result of short selling may make it more difficult for investors to sell their shares at desired prices and could impair our ability to access the capital markets on favorable terms, or at all, when we need to raise additional funds, which is particularly relevant given our current liquidity position and our ongoing need to raise capital to fund our operations and achieve our business objectives, as discussed elsewhere in this Quarterly Report on Form 10-Q.</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Additionally, negative publicity or rumors, whether or not accurate, that are disseminated by short sellers or others may harm our relationships with customers, suppliers, and employees, and may have a material adverse effect on our stock price, reputation, business, financial condition, or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Our contracts with key customers are not subject to minimum purchase commitments, and these customers may reduce or cease orders at any time, which could materially and adversely affect our business.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Many of our contracts with key customers do not have minimum purchase commitments, and these contracts are subject to the customer’s issuance of a purchase order. As a result, these customers may, at any time and for any reason, reduce, defer, or cease purchasing our products without penalty or prior notice. Any significant reduction, delay, or discontinuation of orders by any major customer would likely cause our revenues to decline and could materially and adversely affect our business, financial condition, and results of operations.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Because we derive a significant portion of our revenues from a limited number of customers, the loss of any major customer, a material decrease in their purchases, or non-payment by the customer would have a substantial negative impact on our company. Our reliance on sales to these customers exposes us to ongoing risks of revenue fluctuation and business disruption, particularly in the absence of contractual purchase obligations.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    Recent Sales of Unregistered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(b)    Use of Proceeds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283"/>
        <w:jc w:val="left"/>
        <w:rPr/>
      </w:pPr>
      <w:r>
        <w:rPr/>
      </w: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(c)    Issuer Repurchases of Equity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3.   DEFAULTS UPON SENIOR SECURITIES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4.   MINE SAFETY DISCLOSURES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Rule 10b5-1 trading arrangements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None of our directors or “officers” (as defined in Rule 16a-1(f) of the Exchange Act) adopted or terminated a trading arrangement for the purchase of Company securities for the three months ended March 31, 2026 that is either (i) a contract, instruction, or written plan intended to satisfy the affirmative defense conditions of Rule 10b5-1(c), or a “Rule 10b5-1 trading arrangement” or (ii) a “non-Rule 10b5-1 trading arrangement,” (as defined in Item 408(c)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96"/>
        <w:gridCol w:w="260"/>
        <w:gridCol w:w="261"/>
        <w:gridCol w:w="125"/>
        <w:gridCol w:w="125"/>
        <w:gridCol w:w="125"/>
        <w:gridCol w:w="2679"/>
        <w:gridCol w:w="2607"/>
        <w:gridCol w:w="3727"/>
      </w:tblGrid>
      <w:tr>
        <w:trPr/>
        <w:tc>
          <w:tcPr>
            <w:tcW w:w="296"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679" w:type="dxa"/>
            <w:tcBorders/>
            <w:vAlign w:val="center"/>
          </w:tcPr>
          <w:p>
            <w:pPr>
              <w:pStyle w:val="TableContents"/>
              <w:bidi w:val="0"/>
              <w:spacing w:before="0" w:after="283"/>
              <w:jc w:val="left"/>
              <w:rPr>
                <w:sz w:val="4"/>
                <w:szCs w:val="4"/>
              </w:rPr>
            </w:pPr>
            <w:r>
              <w:rPr>
                <w:sz w:val="4"/>
                <w:szCs w:val="4"/>
              </w:rPr>
            </w:r>
          </w:p>
        </w:tc>
        <w:tc>
          <w:tcPr>
            <w:tcW w:w="2607" w:type="dxa"/>
            <w:tcBorders/>
            <w:vAlign w:val="center"/>
          </w:tcPr>
          <w:p>
            <w:pPr>
              <w:pStyle w:val="TableContents"/>
              <w:bidi w:val="0"/>
              <w:spacing w:before="0" w:after="283"/>
              <w:jc w:val="left"/>
              <w:rPr>
                <w:sz w:val="4"/>
                <w:szCs w:val="4"/>
              </w:rPr>
            </w:pPr>
            <w:r>
              <w:rPr>
                <w:sz w:val="4"/>
                <w:szCs w:val="4"/>
              </w:rPr>
            </w:r>
          </w:p>
        </w:tc>
        <w:tc>
          <w:tcPr>
            <w:tcW w:w="3727" w:type="dxa"/>
            <w:tcBorders/>
            <w:vAlign w:val="center"/>
          </w:tcPr>
          <w:p>
            <w:pPr>
              <w:pStyle w:val="TableContents"/>
              <w:bidi w:val="0"/>
              <w:spacing w:before="0" w:after="283"/>
              <w:jc w:val="left"/>
              <w:rPr>
                <w:sz w:val="4"/>
                <w:szCs w:val="4"/>
              </w:rPr>
            </w:pPr>
            <w:r>
              <w:rPr>
                <w:sz w:val="4"/>
                <w:szCs w:val="4"/>
              </w:rPr>
            </w:r>
          </w:p>
        </w:tc>
      </w:tr>
      <w:tr>
        <w:trPr/>
        <w:tc>
          <w:tcPr>
            <w:tcW w:w="81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8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Third Amended and Restated Certificate of Incorporation of Blaize Holdings, Inc. (incorporated by reference to Exhibit 3.1 to the Company’s Current Report on Form 8-K filed January 17,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80"/>
                  <w:sz w:val="20"/>
                  <w:u w:val="single"/>
                </w:rPr>
                <w:t xml:space="preserve">Certificate of Designations of Series A Junior Participating Preferred Stock of Blaize Holdings, Inc., filed with the Secretary of State of the State of Delaware on April 22, 2026 </w:t>
              </w:r>
            </w:hyperlink>
            <w:r>
              <w:rPr>
                <w:rFonts w:ascii="Times New Roman;serif" w:hAnsi="Times New Roman;serif"/>
                <w:b w:val="false"/>
                <w:color w:val="0000FF"/>
                <w:sz w:val="20"/>
                <w:u w:val="single"/>
              </w:rPr>
              <w:t>(incorporated by reference to Exhibit 3.1 to the Company’s Current Report on Form 8-K filed on April 22, 2026)</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
              <w:r>
                <w:rPr>
                  <w:rStyle w:val="InternetLink"/>
                  <w:rFonts w:ascii="Times New Roman;serif" w:hAnsi="Times New Roman;serif"/>
                  <w:b w:val="false"/>
                  <w:color w:val="0000FF"/>
                  <w:sz w:val="20"/>
                  <w:u w:val="single"/>
                </w:rPr>
                <w:t>Rights Agreement, dated as of April 22, 2026, between Blaize Holdings, Inc. and Continental Stock Transfer &amp; Trust Company, which includes the Form of Certificate of Designations of Series A Junior Participating Preferred Stock as Exhibit A, the Form of Right Certificate as Exhibit B and the Summary of Rights to Purchase Preferred Stock as Exhibit C (incorporated by reference to Exhibit 4.1 to the Company’s Current Report on Form 8-K filed on April 22,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FF"/>
                <w:sz w:val="20"/>
                <w:u w:val="single"/>
              </w:rPr>
              <w:t xml:space="preserve">Form of Lock-Up Agreement </w:t>
            </w:r>
            <w:hyperlink r:id="rId6">
              <w:r>
                <w:rPr>
                  <w:rStyle w:val="InternetLink"/>
                  <w:rFonts w:ascii="Times New Roman;serif" w:hAnsi="Times New Roman;serif"/>
                  <w:b w:val="false"/>
                  <w:color w:val="000080"/>
                  <w:sz w:val="20"/>
                  <w:u w:val="single"/>
                </w:rPr>
                <w:t>(incorporated by reference to Exhibit 10.1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10.2</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erif" w:hAnsi="Times New Roman;serif"/>
                  <w:b w:val="false"/>
                  <w:color w:val="0000FF"/>
                  <w:sz w:val="20"/>
                  <w:u w:val="single"/>
                </w:rPr>
                <w:t>Amendment No. 1 to Common Stock Purchase Warrants, by and among Blaize Holdings, Inc., Polar Long/Short Master Fund, and Polar Multi-Strategy Master Fund, dated May 5, 2026 (incorporated by reference to Exhibit 10.2 to the Company’s Current Report on Form 8-K filed on May 6, 2026)</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8">
              <w:r>
                <w:rPr>
                  <w:rStyle w:val="InternetLink"/>
                  <w:rFonts w:ascii="Times New Roman;serif" w:hAnsi="Times New Roman;serif"/>
                  <w:b w:val="false"/>
                  <w:color w:val="0000FF"/>
                  <w:sz w:val="20"/>
                  <w:u w:val="single"/>
                </w:rPr>
                <w:t>Offer Letter, by and between Blaize Holdings, Inc. and Kim Peterson Evans, dated May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 ∓</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erif" w:hAnsi="Times New Roman;serif"/>
                  <w:b w:val="false"/>
                  <w:color w:val="0000FF"/>
                  <w:sz w:val="20"/>
                  <w:u w:val="single"/>
                </w:rPr>
                <w:t>Offer Letter, by and between Blaize Holdings, Inc. and Stephen P. Patak, dated December 9, 2025</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0">
              <w:r>
                <w:rPr>
                  <w:rStyle w:val="InternetLink"/>
                  <w:rFonts w:ascii="Times New Roman;serif" w:hAnsi="Times New Roman;serif"/>
                  <w:b w:val="false"/>
                  <w:color w:val="0000FF"/>
                  <w:sz w:val="20"/>
                  <w:u w:val="single"/>
                </w:rPr>
                <w:t>Chief Executive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erif" w:hAnsi="Times New Roman;serif"/>
                  <w:b w:val="false"/>
                  <w:color w:val="0000FF"/>
                  <w:sz w:val="20"/>
                  <w:u w:val="single"/>
                </w:rPr>
                <w:t>Chief Financial Officer Certifications pursuant to Section 302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Chief Executive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0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Chief Financial Officer Certification pursuant to 18 U.S.C. Section 1350, as adopted pursuant to Section 906 of the Sarbanes Oxley Act of 2002</w:t>
              </w:r>
            </w:hyperlink>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Definition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Labels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Calculation Linkbase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Schema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Instance Document - the instance document does not appear in the Interactive Data File because its XBRL tags are embedded within the Inline XBRL document</w:t>
            </w:r>
          </w:p>
        </w:tc>
      </w:tr>
      <w:tr>
        <w:trPr/>
        <w:tc>
          <w:tcPr>
            <w:tcW w:w="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Date File (formatted in Inline XBRL and contained in Exhibit 101)</w:t>
            </w:r>
          </w:p>
        </w:tc>
      </w:tr>
    </w:tbl>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*Filed herewith</w:t>
      </w:r>
    </w:p>
    <w:p>
      <w:pPr>
        <w:pStyle w:val="TextBody"/>
        <w:bidi w:val="0"/>
        <w:spacing w:lineRule="auto" w:line="288" w:before="0" w:after="0"/>
        <w:ind w:left="0" w:right="0" w:hanging="720"/>
        <w:jc w:val="left"/>
        <w:rPr>
          <w:rFonts w:ascii="Times New Roman;serif" w:hAnsi="Times New Roman;serif"/>
          <w:b w:val="false"/>
          <w:color w:val="000000"/>
          <w:sz w:val="20"/>
        </w:rPr>
      </w:pPr>
      <w:r>
        <w:rPr>
          <w:rFonts w:ascii="Times New Roman;serif" w:hAnsi="Times New Roman;serif"/>
          <w:b w:val="false"/>
          <w:color w:val="000000"/>
          <w:sz w:val="20"/>
        </w:rPr>
        <w:t>**Exhibit is being furnished and shall not be deemed to be “filed” for purposes of Section 18 of the Securities Exchange Act of 1934, as amended, or otherwise subject to the liabilities of that section, nor shall it be deemed incorporated by reference into any filing under the Securities Act of 1933, as amended, or the Securities Exchange Act of 1934, as amended.</w:t>
      </w:r>
    </w:p>
    <w:p>
      <w:pPr>
        <w:pStyle w:val="TextBody"/>
        <w:bidi w:val="0"/>
        <w:spacing w:lineRule="auto" w:line="288" w:before="0" w:after="0"/>
        <w:ind w:left="0" w:right="0" w:hanging="720"/>
        <w:jc w:val="left"/>
        <w:rPr/>
      </w:pPr>
      <w:r>
        <w:rPr>
          <w:color w:val="000000"/>
        </w:rPr>
        <w:t>†</w:t>
      </w:r>
      <w:r>
        <w:rPr>
          <w:rFonts w:ascii="Times New Roman;serif" w:hAnsi="Times New Roman;serif"/>
          <w:b w:val="false"/>
          <w:color w:val="000000"/>
          <w:sz w:val="20"/>
        </w:rPr>
        <w:t>This document has been identified as a management contract or compensatory plan or arrangement</w:t>
      </w:r>
    </w:p>
    <w:p>
      <w:pPr>
        <w:pStyle w:val="TextBody"/>
        <w:bidi w:val="0"/>
        <w:spacing w:lineRule="auto" w:line="288" w:before="0" w:after="0"/>
        <w:ind w:left="0" w:right="0" w:hanging="720"/>
        <w:jc w:val="left"/>
        <w:rPr>
          <w:color w:val="000000"/>
        </w:rPr>
      </w:pPr>
      <w:r>
        <w:rPr>
          <w:color w:val="000000"/>
        </w:rPr>
        <w:t>∓    </w:t>
      </w:r>
      <w:r>
        <w:rPr>
          <w:rFonts w:ascii="Times New Roman;serif" w:hAnsi="Times New Roman;serif"/>
          <w:b w:val="false"/>
          <w:color w:val="000000"/>
          <w:sz w:val="20"/>
        </w:rPr>
        <w:t>Portions of this exhibit are redacted pursuant to Item 601(b)(10)(iv)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both"/>
        <w:rPr/>
      </w:pPr>
      <w:hyperlink w:anchor="i7937014672f24478920111a6074e0ff5_13">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before="0" w:after="0"/>
        <w:jc w:val="left"/>
        <w:rPr/>
      </w:pPr>
      <w:r>
        <w:rPr/>
      </w:r>
    </w:p>
    <w:tbl>
      <w:tblPr>
        <w:tblW w:w="5609" w:type="dxa"/>
        <w:jc w:val="left"/>
        <w:tblInd w:w="0" w:type="dxa"/>
        <w:tblLayout w:type="fixed"/>
        <w:tblCellMar>
          <w:top w:w="28" w:type="dxa"/>
          <w:left w:w="28" w:type="dxa"/>
          <w:bottom w:w="28" w:type="dxa"/>
          <w:right w:w="28" w:type="dxa"/>
        </w:tblCellMar>
      </w:tblPr>
      <w:tblGrid>
        <w:gridCol w:w="629"/>
        <w:gridCol w:w="554"/>
        <w:gridCol w:w="557"/>
        <w:gridCol w:w="1131"/>
        <w:gridCol w:w="1131"/>
        <w:gridCol w:w="1607"/>
      </w:tblGrid>
      <w:tr>
        <w:trPr/>
        <w:tc>
          <w:tcPr>
            <w:tcW w:w="629"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557"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7" w:type="dxa"/>
            <w:tcBorders/>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color w:val="000000"/>
                <w:sz w:val="20"/>
              </w:rPr>
            </w:pPr>
            <w:r>
              <w:rPr>
                <w:rFonts w:ascii="Times New Roman;serif" w:hAnsi="Times New Roman;serif"/>
                <w:b/>
                <w:color w:val="000000"/>
                <w:sz w:val="20"/>
              </w:rPr>
              <w:t>Blaize Holdings, Inc.</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Dinakar Munagala</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Executive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May 14, 2026</w:t>
            </w:r>
          </w:p>
        </w:tc>
        <w:tc>
          <w:tcPr>
            <w:tcW w:w="386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By: </w:t>
            </w:r>
            <w:r>
              <w:rPr>
                <w:rFonts w:ascii="Times New Roman;serif" w:hAnsi="Times New Roman;serif"/>
                <w:b w:val="false"/>
                <w:color w:val="000000"/>
                <w:sz w:val="20"/>
                <w:u w:val="single"/>
              </w:rPr>
              <w:t>/s/ 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Harminder Sehmi</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rPr>
            </w:pPr>
            <w:r>
              <w:rPr>
                <w:rFonts w:ascii="Times New Roman;serif" w:hAnsi="Times New Roman;serif"/>
                <w:b w:val="false"/>
                <w:i/>
                <w:color w:val="000000"/>
                <w:sz w:val="20"/>
              </w:rPr>
              <w:t>Chief Financial Officer</w:t>
            </w:r>
          </w:p>
        </w:tc>
      </w:tr>
      <w:tr>
        <w:trPr/>
        <w:tc>
          <w:tcPr>
            <w:tcW w:w="1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i/>
                <w:color w:val="000000"/>
                <w:sz w:val="20"/>
              </w:rPr>
            </w:pPr>
            <w:r>
              <w:rPr>
                <w:rFonts w:ascii="Times New Roman;serif" w:hAnsi="Times New Roman;serif"/>
                <w:b w:val="false"/>
                <w:i/>
                <w:color w:val="000000"/>
                <w:sz w:val="20"/>
              </w:rPr>
              <w:t>(Principal Financial and Accounting Officer)</w:t>
            </w:r>
          </w:p>
        </w:tc>
      </w:tr>
    </w:tbl>
    <w:p>
      <w:pPr>
        <w:pStyle w:val="TextBody"/>
        <w:bidi w:val="0"/>
        <w:spacing w:before="0" w:after="240"/>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71638/000119312525008517/d903961dex31.htm" TargetMode="External"/><Relationship Id="rId4" Type="http://schemas.openxmlformats.org/officeDocument/2006/relationships/hyperlink" Target="https://www.sec.gov/Archives/edgar/data/1871638/000187163826000025/exhibit31-certificateofdes.htm" TargetMode="External"/><Relationship Id="rId5" Type="http://schemas.openxmlformats.org/officeDocument/2006/relationships/hyperlink" Target="https://www.sec.gov/Archives/edgar/data/1871638/000187163826000025/exhibit41-rightsplan.htm" TargetMode="External"/><Relationship Id="rId6" Type="http://schemas.openxmlformats.org/officeDocument/2006/relationships/hyperlink" Target="https://www.sec.gov/Archives/edgar/data/1871638/000187163826000029/ex101-formoflockxupagreeme.htm" TargetMode="External"/><Relationship Id="rId7" Type="http://schemas.openxmlformats.org/officeDocument/2006/relationships/hyperlink" Target="https://www.sec.gov/Archives/edgar/data/1871638/000187163826000029/exhibit102-bzaixpolarwarra.htm" TargetMode="External"/><Relationship Id="rId8" Type="http://schemas.openxmlformats.org/officeDocument/2006/relationships/hyperlink" Target="https://www.sec.gov/Archives/edgar/data/1871638/000187163826000031/exhibit103-kimpetersonevan.htm" TargetMode="External"/><Relationship Id="rId9" Type="http://schemas.openxmlformats.org/officeDocument/2006/relationships/hyperlink" Target="https://www.sec.gov/Archives/edgar/data/1871638/000187163826000031/exhibit104-stephenpatakxof.htm" TargetMode="External"/><Relationship Id="rId10" Type="http://schemas.openxmlformats.org/officeDocument/2006/relationships/hyperlink" Target="https://www.sec.gov/Archives/edgar/data/1871638/000187163826000031/a2026-q110xqex311xmunagala.htm" TargetMode="External"/><Relationship Id="rId11" Type="http://schemas.openxmlformats.org/officeDocument/2006/relationships/hyperlink" Target="https://www.sec.gov/Archives/edgar/data/1871638/000187163826000031/a2026-q110xqex312xsehmi.htm" TargetMode="External"/><Relationship Id="rId12" Type="http://schemas.openxmlformats.org/officeDocument/2006/relationships/hyperlink" Target="https://www.sec.gov/Archives/edgar/data/1871638/000187163826000031/a2026-q110xqex321xmunagala.htm" TargetMode="External"/><Relationship Id="rId13" Type="http://schemas.openxmlformats.org/officeDocument/2006/relationships/hyperlink" Target="https://www.sec.gov/Archives/edgar/data/1871638/000187163826000031/a2026-q110xqex322xsehmi.htm" TargetMode="External"/><Relationship Id="rId14" Type="http://schemas.openxmlformats.org/officeDocument/2006/relationships/fontTable" Target="fontTable.xml"/><Relationship Id="rId1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36</Pages>
  <Words>15114</Words>
  <Characters>83412</Characters>
  <CharactersWithSpaces>97377</CharactersWithSpaces>
  <Paragraphs>1968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