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bzai-20251111.htm"/>
      <w:bookmarkStart w:id="1" w:name="ksbzai20251111"/>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11,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Blaize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781" w:type="dxa"/>
        <w:jc w:val="left"/>
        <w:tblInd w:w="0" w:type="dxa"/>
        <w:tblLayout w:type="fixed"/>
        <w:tblCellMar>
          <w:top w:w="28" w:type="dxa"/>
          <w:left w:w="28" w:type="dxa"/>
          <w:bottom w:w="28" w:type="dxa"/>
          <w:right w:w="28" w:type="dxa"/>
        </w:tblCellMar>
      </w:tblPr>
      <w:tblGrid>
        <w:gridCol w:w="1272"/>
        <w:gridCol w:w="1161"/>
        <w:gridCol w:w="1166"/>
        <w:gridCol w:w="1846"/>
        <w:gridCol w:w="1336"/>
      </w:tblGrid>
      <w:tr>
        <w:trPr/>
        <w:tc>
          <w:tcPr>
            <w:tcW w:w="1272"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001-41139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86-2708752</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2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4659 Golden Foothill Parkway, Suite 206</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El Dorado Hills,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95762</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916</w:t>
            </w:r>
            <w:r>
              <w:rPr>
                <w:rFonts w:ascii="Times New Roman" w:hAnsi="Times New Roman"/>
                <w:color w:val="000000"/>
                <w:sz w:val="20"/>
              </w:rPr>
              <w:t xml:space="preserve"> </w:t>
            </w:r>
            <w:r>
              <w:rPr>
                <w:rFonts w:ascii="Times New Roman" w:hAnsi="Times New Roman"/>
                <w:b/>
                <w:color w:val="000000"/>
                <w:sz w:val="20"/>
              </w:rPr>
              <w:t>347-0050</w:t>
            </w:r>
          </w:p>
        </w:tc>
      </w:tr>
    </w:tbl>
    <w:p>
      <w:pPr>
        <w:pStyle w:val="TextBody"/>
        <w:bidi w:val="0"/>
        <w:jc w:val="left"/>
        <w:rPr/>
      </w:pPr>
      <w:r>
        <w:rPr/>
        <w:t> </w:t>
      </w:r>
    </w:p>
    <w:tbl>
      <w:tblPr>
        <w:tblW w:w="481" w:type="dxa"/>
        <w:jc w:val="left"/>
        <w:tblInd w:w="0" w:type="dxa"/>
        <w:tblLayout w:type="fixed"/>
        <w:tblCellMar>
          <w:top w:w="28" w:type="dxa"/>
          <w:left w:w="28" w:type="dxa"/>
          <w:bottom w:w="28" w:type="dxa"/>
          <w:right w:w="28" w:type="dxa"/>
        </w:tblCellMar>
      </w:tblPr>
      <w:tblGrid>
        <w:gridCol w:w="481"/>
      </w:tblGrid>
      <w:tr>
        <w:trPr/>
        <w:tc>
          <w:tcPr>
            <w:tcW w:w="481"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211"/>
        <w:gridCol w:w="146"/>
        <w:gridCol w:w="897"/>
        <w:gridCol w:w="146"/>
        <w:gridCol w:w="2805"/>
      </w:tblGrid>
      <w:tr>
        <w:trPr/>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r>
      <w:tr>
        <w:trPr/>
        <w:tc>
          <w:tcPr>
            <w:tcW w:w="62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805"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BZAI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r>
        <w:trPr/>
        <w:tc>
          <w:tcPr>
            <w:tcW w:w="62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Warrants, each whole warrant exercisable for one share of common stock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BZAIW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0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jc w:val="left"/>
        <w:rPr/>
      </w:pPr>
      <w:r>
        <w:rPr/>
        <w:t>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Heading2"/>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11, 2025, Blaize Holdings, Inc. (the “Company”) disclosed preliminary revenue, net loss, and an expected range of Adjusted EBITDA in a press release, along with a certain financing transaction as further described below. A copy of the press release (the "Press Release") is attached as Exhibit 99.1 to this current report on Form 8-K.</w:t>
      </w:r>
    </w:p>
    <w:p>
      <w:pPr>
        <w:pStyle w:val="TextBody"/>
        <w:bidi w:val="0"/>
        <w:jc w:val="both"/>
        <w:rPr/>
      </w:pPr>
      <w:r>
        <w:rPr/>
        <w:t> </w:t>
      </w:r>
    </w:p>
    <w:p>
      <w:pPr>
        <w:pStyle w:val="TextBody"/>
        <w:bidi w:val="0"/>
        <w:jc w:val="both"/>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the Press Release, the Company also announced a private placement of common stock and warrants (the “Polar Private Placement”) with affiliates of Polar Asset Management Partners (“Polar”), an institutional investor. Pursuant to the Polar Private Placement, the Company agreed to the direct sale of 9,375,000 shares of the Company’s common stock at a purchase price of $3.20 per share and the issuance of 9,375,000 warrants (“Warrants”) to purchase additional shares of the Company’s common stock, resulting in aggregate gross proceeds of approximately $30.0 million, before deducting offering expenses. The Warrants have a term of five years and are immediately exercisable, with an exercise price of $5.00 per share. The Company intends to use the net proceeds from the Polar Private Placement for working capital and general corporate purposes</w:t>
      </w:r>
      <w:r>
        <w:rPr>
          <w:rFonts w:ascii="Times New Roman" w:hAnsi="Times New Roman"/>
          <w:color w:val="000000"/>
          <w:sz w:val="19"/>
        </w:rPr>
        <w:t>, including advancing commercialization of the Blaize AI platform across key verticals in growth markets where customer demand continues to accelerate, as well as continued development of the Company’s next-generation chip</w:t>
      </w:r>
      <w:r>
        <w:rPr>
          <w:rFonts w:ascii="Times New Roman" w:hAnsi="Times New Roman"/>
          <w:color w:val="000000"/>
          <w:sz w:val="20"/>
        </w:rPr>
        <w:t>. The Company has granted Polar a right of participation in future capital raising transactions for a one-year period following the Polar Private Placement, subject to certain exceptions and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Concurrently with the execution of the Polar Private Placement, the Company and Polar entered into a registration rights agreement (the “Registration Rights Agreement”) pursuant to which the Company has agreed to file a registration statement with the Securities and Exchange Commission registering the resale of the shares of common stock and the shares underlying the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contained in Item 2.02 and Item 7.01 and in the attached Exhibit 99.1 is being furnished and shall not be deemed “filed” for purposes of Section 18 of the Securities Exchange Act of 1934, as amended (the “Exchange Act”), or otherwise subject to the liabilities of that Section. The information in Item 2.02 and Item 7.01 and in the attached Exhibit 99.1 shall not be incorporated by reference into any registration statement or other document pursuant to the Securities Act of 1933, as amended, or the Exchange Act, unless it is specifically incorporated by reference therein.</w:t>
      </w:r>
    </w:p>
    <w:p>
      <w:pPr>
        <w:pStyle w:val="TextBody"/>
        <w:bidi w:val="0"/>
        <w:jc w:val="left"/>
        <w:rPr/>
      </w:pPr>
      <w:r>
        <w:rPr/>
        <w:t> </w:t>
      </w:r>
    </w:p>
    <w:p>
      <w:pPr>
        <w:pStyle w:val="TextBody"/>
        <w:bidi w:val="0"/>
        <w:jc w:val="left"/>
        <w:rPr/>
      </w:pPr>
      <w:r>
        <w:rPr/>
        <w:t> </w:t>
      </w:r>
    </w:p>
    <w:p>
      <w:pPr>
        <w:pStyle w:val="Heading2"/>
        <w:bidi w:val="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 Exhibits.</w:t>
      </w:r>
    </w:p>
    <w:p>
      <w:pPr>
        <w:pStyle w:val="TextBody"/>
        <w:bidi w:val="0"/>
        <w:jc w:val="left"/>
        <w:rPr/>
      </w:pPr>
      <w:r>
        <w:rPr/>
        <w:t> </w:t>
      </w:r>
    </w:p>
    <w:tbl>
      <w:tblPr>
        <w:tblW w:w="7903" w:type="dxa"/>
        <w:jc w:val="left"/>
        <w:tblInd w:w="0" w:type="dxa"/>
        <w:tblLayout w:type="fixed"/>
        <w:tblCellMar>
          <w:top w:w="28" w:type="dxa"/>
          <w:left w:w="28" w:type="dxa"/>
          <w:bottom w:w="28" w:type="dxa"/>
          <w:right w:w="28" w:type="dxa"/>
        </w:tblCellMar>
      </w:tblPr>
      <w:tblGrid>
        <w:gridCol w:w="1081"/>
        <w:gridCol w:w="146"/>
        <w:gridCol w:w="667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pPr>
            <w:hyperlink w:anchor="bzai-ex99_1.htm">
              <w:r>
                <w:rPr>
                  <w:rStyle w:val="InternetLink"/>
                  <w:rFonts w:ascii="Times New Roman" w:hAnsi="Times New Roman"/>
                  <w:color w:val="0000FF"/>
                  <w:sz w:val="20"/>
                  <w:u w:val="single"/>
                </w:rPr>
                <w:t>Press Release, dated November 11, 2025.</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969" w:type="dxa"/>
        <w:jc w:val="left"/>
        <w:tblInd w:w="0" w:type="dxa"/>
        <w:tblLayout w:type="fixed"/>
        <w:tblCellMar>
          <w:top w:w="28" w:type="dxa"/>
          <w:left w:w="28" w:type="dxa"/>
          <w:bottom w:w="28" w:type="dxa"/>
          <w:right w:w="28" w:type="dxa"/>
        </w:tblCellMar>
      </w:tblPr>
      <w:tblGrid>
        <w:gridCol w:w="556"/>
        <w:gridCol w:w="1711"/>
        <w:gridCol w:w="63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86"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Blaize Holdings, Inc.</w:t>
            </w:r>
          </w:p>
        </w:tc>
      </w:tr>
      <w:tr>
        <w:trPr/>
        <w:tc>
          <w:tcPr>
            <w:tcW w:w="556" w:type="dxa"/>
            <w:tcBorders/>
            <w:tcMar>
              <w:top w:w="0" w:type="dxa"/>
              <w:left w:w="0" w:type="dxa"/>
              <w:bottom w:w="0" w:type="dxa"/>
              <w:right w:w="0" w:type="dxa"/>
            </w:tcMar>
            <w:vAlign w:val="center"/>
          </w:tcPr>
          <w:p>
            <w:pPr>
              <w:pStyle w:val="TableContents"/>
              <w:bidi w:val="0"/>
              <w:spacing w:before="86"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2025</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By:</w:t>
            </w:r>
          </w:p>
        </w:tc>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/s/ Dinakar Munagala</w:t>
            </w:r>
          </w:p>
        </w:tc>
      </w:tr>
      <w:tr>
        <w:trPr/>
        <w:tc>
          <w:tcPr>
            <w:tcW w:w="556" w:type="dxa"/>
            <w:tcBorders/>
            <w:tcMar>
              <w:top w:w="0" w:type="dxa"/>
              <w:left w:w="0" w:type="dxa"/>
              <w:bottom w:w="0" w:type="dxa"/>
              <w:right w:w="0" w:type="dxa"/>
            </w:tcMar>
            <w:vAlign w:val="center"/>
          </w:tcPr>
          <w:p>
            <w:pPr>
              <w:pStyle w:val="TableContents"/>
              <w:bidi w:val="0"/>
              <w:spacing w:before="86"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Dinakar Munagala</w:t>
            </w:r>
          </w:p>
        </w:tc>
      </w:tr>
      <w:tr>
        <w:trPr/>
        <w:tc>
          <w:tcPr>
            <w:tcW w:w="556" w:type="dxa"/>
            <w:tcBorders/>
            <w:tcMar>
              <w:top w:w="0" w:type="dxa"/>
              <w:left w:w="0" w:type="dxa"/>
              <w:bottom w:w="0" w:type="dxa"/>
              <w:right w:w="0" w:type="dxa"/>
            </w:tcMar>
            <w:vAlign w:val="center"/>
          </w:tcPr>
          <w:p>
            <w:pPr>
              <w:pStyle w:val="TableContents"/>
              <w:bidi w:val="0"/>
              <w:spacing w:before="86" w:after="283"/>
              <w:jc w:val="left"/>
              <w:rPr/>
            </w:pPr>
            <w:r>
              <w:rPr/>
              <w:t> </w:t>
            </w:r>
          </w:p>
        </w:tc>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bzai-ex99_1.htm"/>
      <w:bookmarkStart w:id="3" w:name="ksbzaiex99_1"/>
      <w:bookmarkEnd w:id="2"/>
      <w:bookmarkEnd w:id="3"/>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Blaize Announces $30 Million Private Placement Led by Polar Asset Management Partners; Announces Preliminary Results for Third Quarter 2025</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Investment fuels growth and reinforces confidence in Blaize’s edge AI strategy to power global AI infrastructure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2"/>
        </w:rPr>
        <w:t>El Dorado Hills, Calif. – November 11, 2025 —</w:t>
      </w:r>
      <w:r>
        <w:rPr>
          <w:rFonts w:ascii="Times New Roman" w:hAnsi="Times New Roman"/>
          <w:color w:val="000000"/>
          <w:sz w:val="20"/>
        </w:rPr>
        <w:t xml:space="preserve"> </w:t>
      </w:r>
      <w:r>
        <w:rPr>
          <w:rFonts w:ascii="Times New Roman" w:hAnsi="Times New Roman"/>
          <w:color w:val="000000"/>
          <w:sz w:val="22"/>
          <w:u w:val="single"/>
        </w:rPr>
        <w:t>Blaize Holdings, Inc.</w:t>
      </w:r>
      <w:r>
        <w:rPr>
          <w:rFonts w:ascii="Times New Roman" w:hAnsi="Times New Roman"/>
          <w:color w:val="000000"/>
          <w:sz w:val="20"/>
        </w:rPr>
        <w:t xml:space="preserve"> </w:t>
      </w:r>
      <w:r>
        <w:rPr>
          <w:rFonts w:ascii="Times New Roman" w:hAnsi="Times New Roman"/>
          <w:color w:val="000000"/>
          <w:sz w:val="22"/>
        </w:rPr>
        <w:t>(NASDAQ: BZAI, NASDAQ: BZAIW) (“Blaize” or the “Company”), a leader in programmable, energy-efficient edge AI computing, today announced that it has entered into a securities purchase agreement with Polar Asset Management Partners (“Polar”) to raise approximately $30.0 million of gross proceeds through a private investment in public equity (“PIPE”) transaction of common stock and warrants. The offering is expected to close on November 12, subject to the satisfaction of customary closing conditions.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intends to use the net proceeds from the offering for working capital and general corporate purposes, including advancing commercialization of the Blaize AI platform across key verticals in growth markets where customer demand continues to accelerate, as well as continued development of the Company’s next-generation chip.</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2"/>
        </w:rPr>
        <w:t>Polar Asset Management Partners is a marquee institutional investor with deep understanding of AI and strong alignment with Blaize’s long term vision to power real-world intelligence at the edge,” said Dinakar Munagala, co-founder and CEO of Blaize. “This financing further strengthens our balance sheet and demonstrates the continued investor confidence in our commercialization opportunities and platform expansion across key global markets.”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Pursuant to the terms of the securities purchase agreement, the Company is selling 9,375,000 shares of common stock at a price per share of $3.20. The Company is also issuing warrants to purchase 9,375,000 common stock shares with a five-year term and an exercise price of $5.00. The Company has granted Polar a right of participation in future capital raising transactions for a one-year period following the PIPE, subject to certain exceptions and limitations.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expects that the proceeds of the PIPE, together with amounts already raised under the Company’s Committed Equity Facility with B. Riley and anticipated receipts from customers, are expected to fund the core operations of the Company, excluding next-gen chip investments, well into the second half of 2026.</w:t>
      </w:r>
    </w:p>
    <w:p>
      <w:pPr>
        <w:pStyle w:val="TextBody"/>
        <w:bidi w:val="0"/>
        <w:jc w:val="both"/>
        <w:rPr/>
      </w:pPr>
      <w:r>
        <w:rPr/>
        <w:t> </w:t>
      </w:r>
    </w:p>
    <w:p>
      <w:pPr>
        <w:pStyle w:val="TextBody"/>
        <w:bidi w:val="0"/>
        <w:jc w:val="both"/>
        <w:rPr>
          <w:rFonts w:ascii="Times New Roman" w:hAnsi="Times New Roman"/>
          <w:i/>
          <w:color w:val="000000"/>
          <w:sz w:val="22"/>
        </w:rPr>
      </w:pPr>
      <w:r>
        <w:rPr>
          <w:rFonts w:ascii="Times New Roman" w:hAnsi="Times New Roman"/>
          <w:i/>
          <w:color w:val="000000"/>
          <w:sz w:val="22"/>
        </w:rPr>
        <w:t>Preliminary Results for the three months ended September 30, 2025</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November 11, 2025, the Company also announced preliminary results for the three months ended September 30, 2025. The company expects to report revenue of approximately $11.9 million, net loss of approximately $26.3 million and Adjusted EBITDA Loss of between $11.0 million and $12.0 million. See Non-GAAP Measures below.</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also announced that it shipped its first products to Starshine Computing Power Technology Limited during the third quarter and recognized revenue of approximately $10.4 million, receiving approximately $1.6 million of cash to date.</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These preliminary results are based on currently available information and does not present all necessary information for an understanding of the Company’s expected results of operations for the three months ending September 30, 2025. These preliminary estimates have been prepared by and are the responsibility of management. The Company has not completed its closing procedures for the quarter yet and it is possible that items may be identified that require adjustments to the preliminary estimated results set forth above and those changes could be material. Accordingly, undue reliance should not be placed on these preliminary estimates. Further, the Company’s preliminary estimated results are not necessarily indicative of the results to be expected for the remainder of the year or any future period.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Craig-Hallum acted as lead placement agent for the offering, and DA Davidson acted as co-lead placement agent.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securities being issued and sold in the PIPE have not been registered under the Securities Act of 1933, as amended (the “Securities Act”). Accordingly, these securities may not be offered or sold in the United States, except pursuant to an effective registration statement or an applicable exemption from the registration requirements of the Securities Act. Concurrently with the execution of the securities purchase agreement, Blaize and Polar entered into a registration rights agreement pursuant to which Blaize has agreed to file a registration statement with the Securities and Exchange Commission registering the resale of the shares of common stock and the shares underlying the warrants.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press release shall not constitute an offer to sell or the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About Blaize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Blaize provides a full-stack programmable processor architecture suite and low-code/no-code software platform that enables AI processing solutions for high-performance computing at the network’s edge and in the data center. Blaize specializes in delivering Practical AI solutions through its hybrid, programmable, and efficient AI inference platform, designed for real-world applications. Blaize AI solutions deliver real-time insights and decision-making capabilities at low power consumption, high efficiency, minimal size, and low cost. Headquartered in El Dorado Hills (CA), Blaize has more than 220 employees worldwide. To learn more, visit www.blaize.com or follow us on LinkedIn at @blaizeinc.</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About Polar Asset Management Partners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 xml:space="preserve">Based in Toronto and founded in 1991, Polar is a global alternative asset manager. As of September 30, 2025, Polar managed US$5.5 billion across four primary offerings: the flagship Polar Multi-Strategy Fund, a US equity long/short strategy known as Polar Long/Short Fund, Polar Micro-Cap Fund, and Polar CRS Fund-1. For more information visit: </w:t>
      </w:r>
      <w:r>
        <w:rPr>
          <w:rFonts w:ascii="Times New Roman" w:hAnsi="Times New Roman"/>
          <w:color w:val="000000"/>
          <w:sz w:val="22"/>
          <w:u w:val="single"/>
        </w:rPr>
        <w:t>www.polaramp.com</w:t>
      </w:r>
    </w:p>
    <w:p>
      <w:pPr>
        <w:pStyle w:val="TextBody"/>
        <w:bidi w:val="0"/>
        <w:jc w:val="both"/>
        <w:rPr>
          <w:rFonts w:ascii="Times New Roman" w:hAnsi="Times New Roman"/>
          <w:sz w:val="20"/>
        </w:rPr>
      </w:pPr>
      <w:r>
        <w:rPr>
          <w:rFonts w:ascii="Times New Roman" w:hAnsi="Times New Roman"/>
          <w:b/>
          <w:color w:val="000000"/>
          <w:sz w:val="22"/>
        </w:rPr>
        <w:t>Cautionary Statement Regarding Forward Looking Statements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expected gross proceeds from the private placement, the intended use of proceeds, the timing of exercises under the warrants, if any, the expected closing date of the private placement, and the preliminary nature of the third quarter results disclosed herein.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the uncertainties related to market conditions, the ability of the parties to satisfy the closing conditions for offering and those factors discussed under the heading “Risk Factors” in the Company’s Annual Report on Form 10-K filed with the Securities and Exchange Commission “SEC” on April 15, 2025 and other documents filed by Blaize from time to time with the SEC.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 those factors discussed under the heading “Risk Factors” in its Annual Report on Form 10-K filed with the Securities and Exchange Commission “SEC” on April 15, 2025 and other documents filed by Blaize from time to time with the SEC.</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Non-GAAP Measures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supplement Blaize’s condensed consolidated financial statements presented in accordance with generally accepted accounting principles in the United States (“GAAP”), management utilizes earnings before interest, tax, depreciation and amortization (“EBITDA”) and EBITDA adjusted for irregular or non-recurring items (“Adjusted EBITDA”), which is a non-GAAP financial measure. Adjusted EBITDA is used to evaluate operating profitability on a more variable cost basis and facilitates a more direct comparison of the Company’s operating performance and financial performance relative to competitors as well as assists us in evaluating performance consistently across periods by excluding the impact of certain items that the Company believes do not directly reflect its core operations and are therefore not considered in measuring ongoing performance. The Company defines Adjusted EBITDA as net loss before interest, taxes, depreciation and amortization, certain non-cash items and other adjustments that are excluded from the Company’s assessment of ongoing operating performance, including but not limited to (a) stock-based compensation; (b) non-recurring inventory cost realignments; and (c) other non-recurring expenses. The Company believes Adjusted EBITDA is valuable to management and that providing it allows management, investors and other users of its financial information to more fully and accurately assess Blaize’s performance. Adjusted EBITDA should not be considered in isolation or as an alternative to GAAP measures such as net income (loss) or other financial statement data presented in the Company’s condensed consolidated financial statements as an indicator of its financial performance or liquidity. Adjusted EBITDA presented may be determined or calculated differently by other companies and may not be directly comparable to that of other companies.</w:t>
      </w:r>
    </w:p>
    <w:p>
      <w:pPr>
        <w:pStyle w:val="TextBody"/>
        <w:bidi w:val="0"/>
        <w:jc w:val="both"/>
        <w:rPr/>
      </w:pPr>
      <w:r>
        <w:rPr/>
        <w:t> </w:t>
      </w:r>
    </w:p>
    <w:tbl>
      <w:tblPr>
        <w:tblW w:w="9096" w:type="dxa"/>
        <w:jc w:val="left"/>
        <w:tblInd w:w="0" w:type="dxa"/>
        <w:tblLayout w:type="fixed"/>
        <w:tblCellMar>
          <w:top w:w="28" w:type="dxa"/>
          <w:left w:w="28" w:type="dxa"/>
          <w:bottom w:w="28" w:type="dxa"/>
          <w:right w:w="28" w:type="dxa"/>
        </w:tblCellMar>
      </w:tblPr>
      <w:tblGrid>
        <w:gridCol w:w="5276"/>
        <w:gridCol w:w="157"/>
        <w:gridCol w:w="302"/>
        <w:gridCol w:w="1128"/>
        <w:gridCol w:w="242"/>
        <w:gridCol w:w="195"/>
        <w:gridCol w:w="302"/>
        <w:gridCol w:w="1128"/>
        <w:gridCol w:w="366"/>
      </w:tblGrid>
      <w:tr>
        <w:trPr/>
        <w:tc>
          <w:tcPr>
            <w:tcW w:w="52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87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BLAIZE HOLDINGS, INC.</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PRELIMINARY RECONCILIATIONS OF GAAP TO NON-GAAP MEASURES</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730"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8"/>
              </w:rPr>
            </w:pPr>
            <w:r>
              <w:rPr>
                <w:rFonts w:ascii="Times New Roman" w:hAnsi="Times New Roman"/>
                <w:i/>
                <w:color w:val="000000"/>
                <w:sz w:val="18"/>
              </w:rPr>
              <w:t>(Unaudited)</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September 30, 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(Amounts in thousands)</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8"/>
              </w:rPr>
            </w:pPr>
            <w:r>
              <w:rPr>
                <w:rFonts w:ascii="Times New Roman" w:hAnsi="Times New Roman"/>
                <w:b/>
                <w:i/>
                <w:color w:val="000000"/>
                <w:sz w:val="18"/>
              </w:rPr>
              <w:t>Estimated Range</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Net loss</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(26,300</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(26,300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Depreciation and amortization</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364</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Provision for income taxes</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Interest income, net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(693</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(693</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EBITDA</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(26,608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(26,608</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Stock-based compensation</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9,486</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9,486</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Fair value changes and financing charges</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4,424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4,424</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Non-cash inventory cost realignment adjustments</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(112</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color w:val="000000"/>
                <w:sz w:val="22"/>
              </w:rPr>
            </w:pPr>
            <w:r>
              <w:rPr>
                <w:rFonts w:ascii="Times New Roman" w:hAnsi="Times New Roman"/>
                <w:color w:val="000000"/>
                <w:sz w:val="22"/>
              </w:rPr>
              <w:t>)</w:t>
            </w:r>
          </w:p>
        </w:tc>
      </w:tr>
      <w:tr>
        <w:trPr/>
        <w:tc>
          <w:tcPr>
            <w:tcW w:w="527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sz w:val="22"/>
              </w:rPr>
            </w:pPr>
            <w:r>
              <w:rPr>
                <w:rFonts w:ascii="Times New Roman" w:hAnsi="Times New Roman"/>
                <w:color w:val="000000"/>
                <w:sz w:val="22"/>
              </w:rPr>
              <w:t>Other adjustments</w:t>
            </w:r>
            <w:r>
              <w:rPr>
                <w:rFonts w:ascii="Times New Roman" w:hAnsi="Times New Roman"/>
                <w:color w:val="000000"/>
                <w:sz w:val="15"/>
              </w:rPr>
              <w:t>(1)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1,810</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810</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Adjusted EBITDA</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(11,000</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(12,000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(1) “Other adjustments” includes, but is not limited to, other non-cash expenses, including foreign exchange gains and losses, and unusual or non-recurring expenses, including litigation expenses, financing advisory fees, and fines and penalties. The Company believes that these expenses are not reflective of its ongoing operating performance and that excluding these costs provides a more meaningful comparison of its results of operations over comparative periods.</w:t>
      </w:r>
    </w:p>
    <w:p>
      <w:pPr>
        <w:pStyle w:val="TextBody"/>
        <w:bidi w:val="0"/>
        <w:jc w:val="left"/>
        <w:rPr/>
      </w:pPr>
      <w:r>
        <w:rPr/>
        <w:t> </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Investors:</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IR@blaize.com</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Media:</w:t>
      </w:r>
    </w:p>
    <w:p>
      <w:pPr>
        <w:pStyle w:val="TextBody"/>
        <w:bidi w:val="0"/>
        <w:jc w:val="left"/>
        <w:rPr>
          <w:rFonts w:ascii="Times New Roman" w:hAnsi="Times New Roman"/>
          <w:color w:val="0000FF"/>
          <w:sz w:val="22"/>
          <w:u w:val="single"/>
        </w:rPr>
      </w:pPr>
      <w:r>
        <w:rPr>
          <w:rFonts w:ascii="Times New Roman" w:hAnsi="Times New Roman"/>
          <w:color w:val="0000FF"/>
          <w:sz w:val="22"/>
          <w:u w:val="single"/>
        </w:rPr>
        <w:t>press@blaize.com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2534</Words>
  <Characters>14545</Characters>
  <CharactersWithSpaces>17085</CharactersWithSpaces>
  <Paragraphs>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