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SEC File No. 333-288742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323215</wp:posOffset>
            </wp:positionV>
            <wp:extent cx="2940050"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20,326,158 Shares of Common Stock by the Selling Stockholder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769,231 Shares of Common Stock by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spacing w:after="0" w:line="176" w:lineRule="exact"/>
        <w:rPr>
          <w:sz w:val="24"/>
          <w:szCs w:val="24"/>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Quarterly Report on Form 10-Q filed with the SEC on August 14, 2025, which is set forth below.</w:t>
      </w:r>
    </w:p>
    <w:p>
      <w:pPr>
        <w:spacing w:after="0" w:line="162" w:lineRule="exact"/>
        <w:rPr>
          <w:sz w:val="24"/>
          <w:szCs w:val="24"/>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November 12, 2025, the closing prices for our Common Stock and Warrants on the Nasdaq Stock Market LLC were $2.61 per share of Common Stock and $0.58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8" w:lineRule="exact"/>
        <w:rPr>
          <w:sz w:val="24"/>
          <w:szCs w:val="24"/>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12 of the Prospectus and other risk factors contained in the documents incorporated by reference therein for a discussion of information that should be considered in connection with an investment in our securities.</w:t>
      </w:r>
    </w:p>
    <w:p>
      <w:pPr>
        <w:spacing w:after="0" w:line="171" w:lineRule="exact"/>
        <w:rPr>
          <w:sz w:val="24"/>
          <w:szCs w:val="24"/>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0"/>
          <w:szCs w:val="20"/>
          <w:color w:val="auto"/>
        </w:rPr>
      </w:pPr>
    </w:p>
    <w:p>
      <w:pPr>
        <w:ind w:left="3660" w:right="1580" w:hanging="3639"/>
        <w:spacing w:after="0" w:line="33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70"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6140" w:type="dxa"/>
            <w:vAlign w:val="bottom"/>
            <w:gridSpan w:val="3"/>
          </w:tcPr>
          <w:p>
            <w:pPr>
              <w:ind w:left="32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90"/>
        </w:trPr>
        <w:tc>
          <w:tcPr>
            <w:tcW w:w="6140" w:type="dxa"/>
            <w:vAlign w:val="bottom"/>
            <w:gridSpan w:val="3"/>
          </w:tcPr>
          <w:p>
            <w:pPr>
              <w:jc w:val="center"/>
              <w:ind w:left="2844"/>
              <w:spacing w:after="0"/>
              <w:rPr>
                <w:sz w:val="20"/>
                <w:szCs w:val="20"/>
                <w:color w:val="auto"/>
              </w:rPr>
            </w:pPr>
            <w:r>
              <w:rPr>
                <w:rFonts w:ascii="Times New Roman" w:cs="Times New Roman" w:eastAsia="Times New Roman" w:hAnsi="Times New Roman"/>
                <w:sz w:val="20"/>
                <w:szCs w:val="20"/>
                <w:b w:val="1"/>
                <w:bCs w:val="1"/>
                <w:color w:val="auto"/>
                <w:w w:val="99"/>
              </w:rPr>
              <w:t>Commission File Number 001-41139</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36"/>
                <w:szCs w:val="36"/>
                <w:b w:val="1"/>
                <w:bCs w:val="1"/>
                <w:color w:val="auto"/>
                <w:w w:val="77"/>
              </w:rPr>
              <w:t>Inc.</w:t>
            </w: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5660" w:type="dxa"/>
            <w:vAlign w:val="bottom"/>
            <w:gridSpan w:val="2"/>
          </w:tcPr>
          <w:p>
            <w:pPr>
              <w:ind w:left="2960"/>
              <w:spacing w:after="0" w:line="395" w:lineRule="exact"/>
              <w:rPr>
                <w:sz w:val="20"/>
                <w:szCs w:val="20"/>
                <w:color w:val="auto"/>
              </w:rPr>
            </w:pPr>
            <w:r>
              <w:rPr>
                <w:rFonts w:ascii="Times New Roman" w:cs="Times New Roman" w:eastAsia="Times New Roman" w:hAnsi="Times New Roman"/>
                <w:sz w:val="36"/>
                <w:szCs w:val="36"/>
                <w:b w:val="1"/>
                <w:bCs w:val="1"/>
                <w:color w:val="auto"/>
              </w:rPr>
              <w:t>Blaize Holdings,</w:t>
            </w:r>
          </w:p>
        </w:tc>
        <w:tc>
          <w:tcPr>
            <w:tcW w:w="48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400" w:type="dxa"/>
            <w:vAlign w:val="bottom"/>
            <w:gridSpan w:val="4"/>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87"/>
        </w:trPr>
        <w:tc>
          <w:tcPr>
            <w:tcW w:w="34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6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rPr>
              <w:t>86-2708752</w:t>
            </w:r>
          </w:p>
        </w:tc>
        <w:tc>
          <w:tcPr>
            <w:tcW w:w="0" w:type="dxa"/>
            <w:vAlign w:val="bottom"/>
          </w:tcPr>
          <w:p>
            <w:pPr>
              <w:spacing w:after="0"/>
              <w:rPr>
                <w:sz w:val="1"/>
                <w:szCs w:val="1"/>
                <w:color w:val="auto"/>
              </w:rPr>
            </w:pPr>
          </w:p>
        </w:tc>
      </w:tr>
      <w:tr>
        <w:trPr>
          <w:trHeight w:val="188"/>
        </w:trPr>
        <w:tc>
          <w:tcPr>
            <w:tcW w:w="6140" w:type="dxa"/>
            <w:vAlign w:val="bottom"/>
            <w:gridSpan w:val="3"/>
          </w:tcPr>
          <w:p>
            <w:pPr>
              <w:jc w:val="center"/>
              <w:ind w:right="25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60" w:type="dxa"/>
            <w:vAlign w:val="bottom"/>
          </w:tcPr>
          <w:p>
            <w:pPr>
              <w:jc w:val="center"/>
              <w:ind w:left="77"/>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8"/>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2260" w:type="dxa"/>
            <w:vAlign w:val="bottom"/>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rPr>
              <w:t>95762</w:t>
            </w:r>
          </w:p>
        </w:tc>
        <w:tc>
          <w:tcPr>
            <w:tcW w:w="0" w:type="dxa"/>
            <w:vAlign w:val="bottom"/>
          </w:tcPr>
          <w:p>
            <w:pPr>
              <w:spacing w:after="0"/>
              <w:rPr>
                <w:sz w:val="1"/>
                <w:szCs w:val="1"/>
                <w:color w:val="auto"/>
              </w:rPr>
            </w:pPr>
          </w:p>
        </w:tc>
      </w:tr>
      <w:tr>
        <w:trPr>
          <w:trHeight w:val="188"/>
        </w:trPr>
        <w:tc>
          <w:tcPr>
            <w:tcW w:w="6140" w:type="dxa"/>
            <w:vAlign w:val="bottom"/>
            <w:gridSpan w:val="3"/>
          </w:tcPr>
          <w:p>
            <w:pPr>
              <w:jc w:val="center"/>
              <w:ind w:right="25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60" w:type="dxa"/>
            <w:vAlign w:val="bottom"/>
          </w:tcPr>
          <w:p>
            <w:pPr>
              <w:jc w:val="center"/>
              <w:ind w:left="57"/>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3"/>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2"/>
                <w:szCs w:val="2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2"/>
                <w:szCs w:val="22"/>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5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358" w:lineRule="exact"/>
        <w:rPr>
          <w:sz w:val="20"/>
          <w:szCs w:val="20"/>
          <w:color w:val="auto"/>
        </w:rPr>
      </w:pPr>
    </w:p>
    <w:p>
      <w:pPr>
        <w:spacing w:after="0" w:line="184" w:lineRule="exact"/>
        <w:tabs>
          <w:tab w:leader="none" w:pos="102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200" w:lineRule="exact"/>
        <w:rPr>
          <w:sz w:val="20"/>
          <w:szCs w:val="20"/>
          <w:color w:val="auto"/>
        </w:rPr>
      </w:pPr>
    </w:p>
    <w:p>
      <w:pPr>
        <w:spacing w:after="0" w:line="228" w:lineRule="exact"/>
        <w:rPr>
          <w:sz w:val="20"/>
          <w:szCs w:val="20"/>
          <w:color w:val="auto"/>
        </w:rPr>
      </w:pPr>
    </w:p>
    <w:p>
      <w:pPr>
        <w:spacing w:after="0" w:line="184" w:lineRule="exact"/>
        <w:tabs>
          <w:tab w:leader="none" w:pos="7980" w:val="left"/>
        </w:tabs>
        <w:rPr>
          <w:sz w:val="20"/>
          <w:szCs w:val="20"/>
          <w:color w:val="auto"/>
        </w:rPr>
      </w:pPr>
      <w:r>
        <w:rPr>
          <w:rFonts w:ascii="Times New Roman" w:cs="Times New Roman" w:eastAsia="Times New Roman" w:hAnsi="Times New Roman"/>
          <w:sz w:val="16"/>
          <w:szCs w:val="16"/>
          <w:color w:val="auto"/>
        </w:rPr>
        <w:t xml:space="preserve">during the preceding 12 months (or for such shorter period that the Registrant was required to submit such files).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p>
      <w:pPr>
        <w:spacing w:after="0" w:line="15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6, 2025, the registrant had 110,988,152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 w:name="page3"/>
    <w:bookmarkEnd w:id="2"/>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(Deficit)</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196"/>
        </w:trPr>
        <w:tc>
          <w:tcPr>
            <w:tcW w:w="5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w:t>
            </w:r>
          </w:p>
        </w:tc>
        <w:tc>
          <w:tcPr>
            <w:tcW w:w="160" w:type="dxa"/>
            <w:vAlign w:val="bottom"/>
            <w:tcBorders>
              <w:top w:val="single" w:sz="8" w:color="0000FF"/>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3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760" w:type="dxa"/>
            <w:vAlign w:val="bottom"/>
            <w:gridSpan w:val="4"/>
          </w:tcPr>
          <w:p>
            <w:pPr>
              <w:spacing w:after="0"/>
              <w:rPr>
                <w:sz w:val="17"/>
                <w:szCs w:val="17"/>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196"/>
        </w:trPr>
        <w:tc>
          <w:tcPr>
            <w:tcW w:w="52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3.</w:t>
            </w:r>
          </w:p>
        </w:tc>
        <w:tc>
          <w:tcPr>
            <w:tcW w:w="620" w:type="dxa"/>
            <w:vAlign w:val="bottom"/>
            <w:gridSpan w:val="4"/>
          </w:tcPr>
          <w:p>
            <w:pPr>
              <w:spacing w:after="0"/>
              <w:rPr>
                <w:sz w:val="17"/>
                <w:szCs w:val="17"/>
                <w:color w:val="auto"/>
              </w:rPr>
            </w:pPr>
          </w:p>
        </w:tc>
        <w:tc>
          <w:tcPr>
            <w:tcW w:w="43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760" w:type="dxa"/>
            <w:vAlign w:val="bottom"/>
          </w:tcPr>
          <w:p>
            <w:pPr>
              <w:spacing w:after="0"/>
              <w:rPr>
                <w:sz w:val="17"/>
                <w:szCs w:val="17"/>
                <w:color w:val="auto"/>
              </w:rPr>
            </w:pPr>
          </w:p>
        </w:tc>
      </w:tr>
      <w:tr>
        <w:trPr>
          <w:trHeight w:val="196"/>
        </w:trPr>
        <w:tc>
          <w:tcPr>
            <w:tcW w:w="5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4.</w:t>
            </w:r>
          </w:p>
        </w:tc>
        <w:tc>
          <w:tcPr>
            <w:tcW w:w="620" w:type="dxa"/>
            <w:vAlign w:val="bottom"/>
            <w:gridSpan w:val="4"/>
          </w:tcPr>
          <w:p>
            <w:pPr>
              <w:spacing w:after="0"/>
              <w:rPr>
                <w:sz w:val="17"/>
                <w:szCs w:val="17"/>
                <w:color w:val="auto"/>
              </w:rPr>
            </w:pP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7"/>
                <w:szCs w:val="17"/>
                <w:color w:val="auto"/>
              </w:rPr>
            </w:pPr>
          </w:p>
        </w:tc>
        <w:tc>
          <w:tcPr>
            <w:tcW w:w="7780" w:type="dxa"/>
            <w:vAlign w:val="bottom"/>
            <w:gridSpan w:val="2"/>
          </w:tcPr>
          <w:p>
            <w:pPr>
              <w:spacing w:after="0"/>
              <w:rPr>
                <w:sz w:val="17"/>
                <w:szCs w:val="17"/>
                <w:color w:val="auto"/>
              </w:rPr>
            </w:pPr>
          </w:p>
        </w:tc>
      </w:tr>
      <w:tr>
        <w:trPr>
          <w:trHeight w:val="196"/>
        </w:trPr>
        <w:tc>
          <w:tcPr>
            <w:tcW w:w="5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Item 5.</w:t>
            </w:r>
          </w:p>
        </w:tc>
        <w:tc>
          <w:tcPr>
            <w:tcW w:w="620" w:type="dxa"/>
            <w:vAlign w:val="bottom"/>
            <w:gridSpan w:val="4"/>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780" w:type="dxa"/>
            <w:vAlign w:val="bottom"/>
            <w:gridSpan w:val="5"/>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Item 6.</w:t>
            </w:r>
          </w:p>
        </w:tc>
        <w:tc>
          <w:tcPr>
            <w:tcW w:w="620" w:type="dxa"/>
            <w:vAlign w:val="bottom"/>
            <w:gridSpan w:val="4"/>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52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1216"/>
        </w:trPr>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19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18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1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80" w:type="dxa"/>
            <w:vAlign w:val="bottom"/>
          </w:tcPr>
          <w:p>
            <w:pPr>
              <w:spacing w:after="0"/>
              <w:rPr>
                <w:sz w:val="13"/>
                <w:szCs w:val="13"/>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13"/>
                <w:szCs w:val="13"/>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76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60,904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earnout shares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September</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 2025 and December 31, 2024, respectively, and 106,754,588 and 48,376,052 shares issued and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(632,859)</w:t>
            </w:r>
          </w:p>
        </w:tc>
        <w:tc>
          <w:tcPr>
            <w:tcW w:w="1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60,904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-4902835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-4062730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-4045585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-2116455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-1559560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 revenue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revenue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(11,368)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(82,489)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(30,640)</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(15,398)</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(25,921)</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committed equity facility</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(14,184)</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(120,897)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(23,515)</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(54,155)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(26,258)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(25,607)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(203,608)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(54,503)</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5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103,585,681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17,478,371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100,130,737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17,466,606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-2579370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-2579370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-2579370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-2579370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-916305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-916305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-350520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-333375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-350520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-333375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7"/>
        </w:trPr>
        <w:tc>
          <w:tcPr>
            <w:tcW w:w="2460" w:type="dxa"/>
            <w:vAlign w:val="bottom"/>
          </w:tcPr>
          <w:p>
            <w:pPr>
              <w:spacing w:after="0"/>
              <w:rPr>
                <w:sz w:val="11"/>
                <w:szCs w:val="11"/>
                <w:color w:val="auto"/>
              </w:rPr>
            </w:pPr>
          </w:p>
        </w:tc>
        <w:tc>
          <w:tcPr>
            <w:tcW w:w="1500" w:type="dxa"/>
            <w:vAlign w:val="bottom"/>
            <w:gridSpan w:val="2"/>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Redeemable Convertible</w:t>
            </w:r>
          </w:p>
        </w:tc>
        <w:tc>
          <w:tcPr>
            <w:tcW w:w="120" w:type="dxa"/>
            <w:vAlign w:val="bottom"/>
          </w:tcPr>
          <w:p>
            <w:pPr>
              <w:spacing w:after="0"/>
              <w:rPr>
                <w:sz w:val="11"/>
                <w:szCs w:val="11"/>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500" w:type="dxa"/>
            <w:vAlign w:val="bottom"/>
            <w:gridSpan w:val="2"/>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8"/>
                <w:szCs w:val="8"/>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60" w:type="dxa"/>
            <w:vAlign w:val="bottom"/>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ed</w:t>
            </w:r>
          </w:p>
        </w:tc>
        <w:tc>
          <w:tcPr>
            <w:tcW w:w="11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7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tbl>
      <w:tblPr>
        <w:tblLayout w:type="fixed"/>
        <w:tblInd w:w="0" w:type="dxa"/>
        <w:tblCellMar>
          <w:top w:w="0" w:type="dxa"/>
          <w:left w:w="0" w:type="dxa"/>
          <w:bottom w:w="0" w:type="dxa"/>
          <w:right w:w="0" w:type="dxa"/>
        </w:tblCellMar>
      </w:tblPr>
      <w:tr>
        <w:trPr>
          <w:trHeight w:val="108"/>
        </w:trPr>
        <w:tc>
          <w:tcPr>
            <w:tcW w:w="2460" w:type="dxa"/>
            <w:vAlign w:val="bottom"/>
          </w:tcPr>
          <w:p>
            <w:pPr>
              <w:spacing w:after="0"/>
              <w:rPr>
                <w:sz w:val="9"/>
                <w:szCs w:val="9"/>
                <w:color w:val="auto"/>
              </w:rPr>
            </w:pPr>
          </w:p>
        </w:tc>
        <w:tc>
          <w:tcPr>
            <w:tcW w:w="780" w:type="dxa"/>
            <w:vAlign w:val="bottom"/>
            <w:tcBorders>
              <w:top w:val="single" w:sz="8" w:color="auto"/>
            </w:tcBorders>
            <w:gridSpan w:val="2"/>
          </w:tcPr>
          <w:p>
            <w:pPr>
              <w:jc w:val="right"/>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34,712,52</w:t>
            </w: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w w:val="96"/>
              </w:rPr>
              <w:t>173,3</w:t>
            </w:r>
          </w:p>
        </w:tc>
        <w:tc>
          <w:tcPr>
            <w:tcW w:w="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60" w:type="dxa"/>
            <w:vAlign w:val="bottom"/>
          </w:tcPr>
          <w:p>
            <w:pPr>
              <w:ind w:left="40"/>
              <w:spacing w:after="0" w:line="137"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80" w:type="dxa"/>
            <w:vAlign w:val="bottom"/>
            <w:gridSpan w:val="2"/>
          </w:tcPr>
          <w:p>
            <w:pPr>
              <w:jc w:val="right"/>
              <w:ind w:right="58"/>
              <w:spacing w:after="0" w:line="137" w:lineRule="exact"/>
              <w:rPr>
                <w:sz w:val="20"/>
                <w:szCs w:val="20"/>
                <w:color w:val="auto"/>
              </w:rPr>
            </w:pPr>
            <w:r>
              <w:rPr>
                <w:rFonts w:ascii="Times New Roman" w:cs="Times New Roman" w:eastAsia="Times New Roman" w:hAnsi="Times New Roman"/>
                <w:sz w:val="13"/>
                <w:szCs w:val="13"/>
                <w:b w:val="1"/>
                <w:bCs w:val="1"/>
                <w:color w:val="auto"/>
              </w:rPr>
              <w:t>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Pr>
          <w:p>
            <w:pPr>
              <w:spacing w:after="0"/>
              <w:rPr>
                <w:sz w:val="11"/>
                <w:szCs w:val="11"/>
                <w:color w:val="auto"/>
              </w:rPr>
            </w:pPr>
          </w:p>
        </w:tc>
        <w:tc>
          <w:tcPr>
            <w:tcW w:w="360" w:type="dxa"/>
            <w:vAlign w:val="bottom"/>
          </w:tcPr>
          <w:p>
            <w:pPr>
              <w:jc w:val="right"/>
              <w:ind w:right="17"/>
              <w:spacing w:after="0" w:line="137" w:lineRule="exact"/>
              <w:rPr>
                <w:sz w:val="20"/>
                <w:szCs w:val="20"/>
                <w:color w:val="auto"/>
              </w:rPr>
            </w:pPr>
            <w:r>
              <w:rPr>
                <w:rFonts w:ascii="Times New Roman" w:cs="Times New Roman" w:eastAsia="Times New Roman" w:hAnsi="Times New Roman"/>
                <w:sz w:val="13"/>
                <w:szCs w:val="13"/>
                <w:b w:val="1"/>
                <w:bCs w:val="1"/>
                <w:color w:val="auto"/>
              </w:rPr>
              <w:t>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8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(34,712,52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4"/>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160" w:type="dxa"/>
            <w:vAlign w:val="bottom"/>
          </w:tcPr>
          <w:p>
            <w:pPr>
              <w:spacing w:after="0"/>
              <w:rPr>
                <w:sz w:val="23"/>
                <w:szCs w:val="23"/>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160" w:type="dxa"/>
            <w:vAlign w:val="bottom"/>
          </w:tcPr>
          <w:p>
            <w:pPr>
              <w:spacing w:after="0"/>
              <w:rPr>
                <w:sz w:val="20"/>
                <w:szCs w:val="20"/>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exercise of warrants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2,854,24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Merger and PIPE financing</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33,061</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Payment of shareholder note receivable</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to advisors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warrants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Increase in redemption value</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Redemption of common stock subject to</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(2,800,4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possible redemption</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(33,157)</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Lapse of redemption</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(53,753)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Exercises of stock options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Releases of restricted stock units</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stock issued under the committed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facility</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Committed equity facility fee settled in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11"/>
                <w:szCs w:val="11"/>
                <w:color w:val="auto"/>
              </w:rPr>
            </w:pPr>
          </w:p>
        </w:tc>
        <w:tc>
          <w:tcPr>
            <w:tcW w:w="76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22"/>
                <w:szCs w:val="22"/>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7"/>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7"/>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7"/>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 Possible Redemption</w:t>
            </w:r>
          </w:p>
        </w:tc>
        <w:tc>
          <w:tcPr>
            <w:tcW w:w="0" w:type="dxa"/>
            <w:vAlign w:val="bottom"/>
          </w:tcPr>
          <w:p>
            <w:pPr>
              <w:spacing w:after="0"/>
              <w:rPr>
                <w:sz w:val="1"/>
                <w:szCs w:val="1"/>
                <w:color w:val="auto"/>
              </w:rPr>
            </w:pPr>
          </w:p>
        </w:tc>
      </w:tr>
      <w:tr>
        <w:trPr>
          <w:trHeight w:val="103"/>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6"/>
                <w:szCs w:val="16"/>
                <w:color w:val="auto"/>
              </w:rPr>
            </w:pP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60" w:type="dxa"/>
            <w:vAlign w:val="bottom"/>
          </w:tcPr>
          <w:p>
            <w:pPr>
              <w:spacing w:after="0"/>
              <w:rPr>
                <w:sz w:val="9"/>
                <w:szCs w:val="9"/>
                <w:color w:val="auto"/>
              </w:rPr>
            </w:pPr>
          </w:p>
        </w:tc>
        <w:tc>
          <w:tcPr>
            <w:tcW w:w="6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34,712,5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173,3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16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5"/>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160" w:type="dxa"/>
            <w:vAlign w:val="bottom"/>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tcPr>
          <w:p>
            <w:pPr>
              <w:spacing w:after="0"/>
              <w:rPr>
                <w:sz w:val="11"/>
                <w:szCs w:val="11"/>
                <w:color w:val="auto"/>
              </w:rPr>
            </w:pPr>
          </w:p>
        </w:tc>
        <w:tc>
          <w:tcPr>
            <w:tcW w:w="76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3"/>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16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13,663,52</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jc w:val="right"/>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96,88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(429,25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20" w:type="dxa"/>
            <w:vAlign w:val="bottom"/>
          </w:tcPr>
          <w:p>
            <w:pPr>
              <w:jc w:val="right"/>
              <w:ind w:right="18"/>
              <w:spacing w:after="0" w:line="137" w:lineRule="exact"/>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tcPr>
          <w:p>
            <w:pPr>
              <w:spacing w:after="0"/>
              <w:rPr>
                <w:sz w:val="11"/>
                <w:szCs w:val="11"/>
                <w:color w:val="auto"/>
              </w:rPr>
            </w:pPr>
          </w:p>
        </w:tc>
        <w:tc>
          <w:tcPr>
            <w:tcW w:w="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tcPr>
          <w:p>
            <w:pPr>
              <w:jc w:val="right"/>
              <w:ind w:right="58"/>
              <w:spacing w:after="0" w:line="137" w:lineRule="exact"/>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Pr>
          <w:p>
            <w:pPr>
              <w:spacing w:after="0"/>
              <w:rPr>
                <w:sz w:val="11"/>
                <w:szCs w:val="11"/>
                <w:color w:val="auto"/>
              </w:rPr>
            </w:pPr>
          </w:p>
        </w:tc>
        <w:tc>
          <w:tcPr>
            <w:tcW w:w="38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5"/>
          </w:tcPr>
          <w:p>
            <w:pPr>
              <w:jc w:val="right"/>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$ 145,441</w:t>
            </w:r>
          </w:p>
        </w:tc>
        <w:tc>
          <w:tcPr>
            <w:tcW w:w="200" w:type="dxa"/>
            <w:vAlign w:val="bottom"/>
            <w:gridSpan w:val="3"/>
          </w:tcPr>
          <w:p>
            <w:pPr>
              <w:ind w:left="120"/>
              <w:spacing w:after="0" w:line="137"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34,712,52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(96,8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173,342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48,376,05</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10" w:lineRule="exact"/>
              <w:rPr>
                <w:sz w:val="20"/>
                <w:szCs w:val="20"/>
                <w:color w:val="auto"/>
              </w:rPr>
            </w:pPr>
            <w:r>
              <w:rPr>
                <w:rFonts w:ascii="Times New Roman" w:cs="Times New Roman" w:eastAsia="Times New Roman" w:hAnsi="Times New Roman"/>
                <w:sz w:val="12"/>
                <w:szCs w:val="12"/>
                <w:color w:val="auto"/>
              </w:rPr>
              <w:t>(429,25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318,783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31,433,25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314,331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7,505,657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75,056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11,408,95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(126,16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873,486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53,753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15,080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1,331,257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5,673,734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20,388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83,353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28,092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(203,60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(203,608)</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106,754,5</w:t>
            </w:r>
          </w:p>
        </w:tc>
        <w:tc>
          <w:tcPr>
            <w:tcW w:w="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(632,85</w:t>
            </w: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88</w:t>
            </w:r>
          </w:p>
        </w:tc>
        <w:tc>
          <w:tcPr>
            <w:tcW w:w="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Pr>
          <w:p>
            <w:pPr>
              <w:spacing w:after="0"/>
              <w:rPr>
                <w:sz w:val="13"/>
                <w:szCs w:val="13"/>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$ 634,154</w:t>
            </w:r>
          </w:p>
        </w:tc>
        <w:tc>
          <w:tcPr>
            <w:tcW w:w="2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10"/>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10"/>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141,49</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(368,0</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13,613,269</w:t>
            </w:r>
          </w:p>
        </w:tc>
        <w:tc>
          <w:tcPr>
            <w:tcW w:w="40" w:type="dxa"/>
            <w:vAlign w:val="bottom"/>
          </w:tcPr>
          <w:p>
            <w:pPr>
              <w:spacing w:after="0"/>
              <w:rPr>
                <w:sz w:val="11"/>
                <w:szCs w:val="11"/>
                <w:color w:val="auto"/>
              </w:rPr>
            </w:pPr>
          </w:p>
        </w:tc>
        <w:tc>
          <w:tcPr>
            <w:tcW w:w="280" w:type="dxa"/>
            <w:vAlign w:val="bottom"/>
            <w:gridSpan w:val="3"/>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96,887</w:t>
            </w:r>
          </w:p>
        </w:tc>
        <w:tc>
          <w:tcPr>
            <w:tcW w:w="80" w:type="dxa"/>
            <w:vAlign w:val="bottom"/>
          </w:tcPr>
          <w:p>
            <w:pPr>
              <w:spacing w:after="0"/>
              <w:rPr>
                <w:sz w:val="11"/>
                <w:szCs w:val="11"/>
                <w:color w:val="auto"/>
              </w:rPr>
            </w:pP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1"/>
                <w:szCs w:val="11"/>
                <w:color w:val="auto"/>
              </w:rPr>
            </w:pP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3"/>
                <w:szCs w:val="13"/>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(96,887)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314,83</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(368,0</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48,325,794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(54,50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(54,503)</w:t>
            </w:r>
          </w:p>
        </w:tc>
        <w:tc>
          <w:tcPr>
            <w:tcW w:w="0" w:type="dxa"/>
            <w:vAlign w:val="bottom"/>
          </w:tcPr>
          <w:p>
            <w:pPr>
              <w:spacing w:after="0"/>
              <w:rPr>
                <w:sz w:val="1"/>
                <w:szCs w:val="1"/>
                <w:color w:val="auto"/>
              </w:rPr>
            </w:pPr>
          </w:p>
        </w:tc>
      </w:tr>
      <w:tr>
        <w:trPr>
          <w:trHeight w:val="108"/>
        </w:trPr>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315,96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(422,5</w:t>
            </w: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48,353,615</w:t>
            </w:r>
          </w:p>
        </w:tc>
        <w:tc>
          <w:tcPr>
            <w:tcW w:w="40" w:type="dxa"/>
            <w:vAlign w:val="bottom"/>
          </w:tcPr>
          <w:p>
            <w:pPr>
              <w:spacing w:after="0"/>
              <w:rPr>
                <w:sz w:val="13"/>
                <w:szCs w:val="13"/>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180" w:type="dxa"/>
            <w:vAlign w:val="bottom"/>
          </w:tcPr>
          <w:p>
            <w:pPr>
              <w:spacing w:after="0"/>
              <w:rPr>
                <w:sz w:val="13"/>
                <w:szCs w:val="13"/>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(106,594)</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20" w:space="20"/>
            <w:col w:w="5600"/>
          </w:cols>
          <w:pgMar w:left="320" w:top="988" w:right="33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80" w:type="dxa"/>
            <w:vAlign w:val="bottom"/>
          </w:tcPr>
          <w:p>
            <w:pPr>
              <w:spacing w:after="0"/>
              <w:rPr>
                <w:sz w:val="11"/>
                <w:szCs w:val="11"/>
                <w:color w:val="auto"/>
              </w:rPr>
            </w:pP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240" w:type="dxa"/>
            <w:vAlign w:val="bottom"/>
          </w:tcPr>
          <w:p>
            <w:pPr>
              <w:spacing w:after="0"/>
              <w:rPr>
                <w:sz w:val="11"/>
                <w:szCs w:val="1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80" w:type="dxa"/>
            <w:vAlign w:val="bottom"/>
          </w:tcPr>
          <w:p>
            <w:pPr>
              <w:spacing w:after="0"/>
              <w:rPr>
                <w:sz w:val="8"/>
                <w:szCs w:val="8"/>
                <w:color w:val="auto"/>
              </w:rPr>
            </w:pPr>
          </w:p>
        </w:tc>
        <w:tc>
          <w:tcPr>
            <w:tcW w:w="1120" w:type="dxa"/>
            <w:vAlign w:val="bottom"/>
            <w:gridSpan w:val="4"/>
          </w:tcPr>
          <w:p>
            <w:pPr>
              <w:jc w:val="right"/>
              <w:ind w:right="27"/>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1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8"/>
                <w:szCs w:val="8"/>
                <w:color w:val="auto"/>
              </w:rPr>
            </w:pPr>
          </w:p>
        </w:tc>
        <w:tc>
          <w:tcPr>
            <w:tcW w:w="92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jc w:val="center"/>
              <w:ind w:right="98"/>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20" w:type="dxa"/>
            <w:vAlign w:val="bottom"/>
            <w:gridSpan w:val="2"/>
          </w:tcPr>
          <w:p>
            <w:pPr>
              <w:jc w:val="center"/>
              <w:ind w:right="198"/>
              <w:spacing w:after="0" w:line="124"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00" w:type="dxa"/>
            <w:vAlign w:val="bottom"/>
          </w:tcPr>
          <w:p>
            <w:pPr>
              <w:spacing w:after="0"/>
              <w:rPr>
                <w:sz w:val="10"/>
                <w:szCs w:val="10"/>
                <w:color w:val="auto"/>
              </w:rPr>
            </w:pPr>
          </w:p>
        </w:tc>
        <w:tc>
          <w:tcPr>
            <w:tcW w:w="1140" w:type="dxa"/>
            <w:vAlign w:val="bottom"/>
            <w:gridSpan w:val="3"/>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99"/>
        </w:trPr>
        <w:tc>
          <w:tcPr>
            <w:tcW w:w="27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3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780" w:type="dxa"/>
            <w:vAlign w:val="bottom"/>
            <w:vMerge w:val="continue"/>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w:t>
            </w:r>
          </w:p>
        </w:tc>
        <w:tc>
          <w:tcPr>
            <w:tcW w:w="200" w:type="dxa"/>
            <w:vAlign w:val="bottom"/>
            <w:vMerge w:val="restart"/>
          </w:tcPr>
          <w:p>
            <w:pPr>
              <w:spacing w:after="0"/>
              <w:rPr>
                <w:sz w:val="7"/>
                <w:szCs w:val="7"/>
                <w:color w:val="auto"/>
              </w:rPr>
            </w:pPr>
          </w:p>
        </w:tc>
        <w:tc>
          <w:tcPr>
            <w:tcW w:w="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unt</w:t>
            </w:r>
          </w:p>
        </w:tc>
        <w:tc>
          <w:tcPr>
            <w:tcW w:w="220" w:type="dxa"/>
            <w:vAlign w:val="bottom"/>
          </w:tcPr>
          <w:p>
            <w:pPr>
              <w:spacing w:after="0"/>
              <w:rPr>
                <w:sz w:val="7"/>
                <w:szCs w:val="7"/>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780" w:type="dxa"/>
            <w:vAlign w:val="bottom"/>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auto"/>
            </w:tcBorders>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gridSpan w:val="2"/>
            <w:shd w:val="clear" w:color="auto" w:fill="CFF0FC"/>
          </w:tcPr>
          <w:p>
            <w:pPr>
              <w:jc w:val="right"/>
              <w:ind w:right="8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98,881,933</w:t>
            </w:r>
          </w:p>
        </w:tc>
        <w:tc>
          <w:tcPr>
            <w:tcW w:w="4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$ 10</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601,781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gridSpan w:val="2"/>
            <w:shd w:val="clear" w:color="auto" w:fill="CFF0FC"/>
          </w:tcPr>
          <w:p>
            <w:pPr>
              <w:jc w:val="right"/>
              <w:ind w:right="38"/>
              <w:spacing w:after="0" w:line="129" w:lineRule="exact"/>
              <w:rPr>
                <w:sz w:val="20"/>
                <w:szCs w:val="20"/>
                <w:color w:val="auto"/>
              </w:rPr>
            </w:pPr>
            <w:r>
              <w:rPr>
                <w:rFonts w:ascii="Times New Roman" w:cs="Times New Roman" w:eastAsia="Times New Roman" w:hAnsi="Times New Roman"/>
                <w:sz w:val="13"/>
                <w:szCs w:val="13"/>
                <w:b w:val="1"/>
                <w:bCs w:val="1"/>
                <w:color w:val="auto"/>
              </w:rPr>
              <w:t>(606,601)</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(4,810)</w:t>
            </w: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Issuance of common stock to advisors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769,231</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Exercises of stock options</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15,080</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Releases of restricted stock units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1,331,257</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stock issued under the committed equity</w:t>
            </w:r>
          </w:p>
        </w:tc>
        <w:tc>
          <w:tcPr>
            <w:tcW w:w="5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facility</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5,673,734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Committed equity facility fee settled in common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50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83,353</w:t>
            </w:r>
          </w:p>
        </w:tc>
        <w:tc>
          <w:tcPr>
            <w:tcW w:w="2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9,486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60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0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(26,258)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(26,258)</w:t>
            </w:r>
          </w:p>
        </w:tc>
        <w:tc>
          <w:tcPr>
            <w:tcW w:w="0" w:type="dxa"/>
            <w:vAlign w:val="bottom"/>
          </w:tcPr>
          <w:p>
            <w:pPr>
              <w:spacing w:after="0"/>
              <w:rPr>
                <w:sz w:val="1"/>
                <w:szCs w:val="1"/>
                <w:color w:val="auto"/>
              </w:rPr>
            </w:pPr>
          </w:p>
        </w:tc>
      </w:tr>
      <w:tr>
        <w:trPr>
          <w:trHeight w:val="108"/>
        </w:trPr>
        <w:tc>
          <w:tcPr>
            <w:tcW w:w="278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106,754,58</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50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40" w:type="dxa"/>
            <w:vAlign w:val="bottom"/>
            <w:tcBorders>
              <w:bottom w:val="single" w:sz="8" w:color="auto"/>
            </w:tcBorders>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80" w:type="dxa"/>
            <w:vAlign w:val="bottom"/>
            <w:tcBorders>
              <w:bottom w:val="single" w:sz="8" w:color="auto"/>
            </w:tcBorders>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6"/>
              </w:rPr>
              <w:t>$ 11</w:t>
            </w: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ind w:left="26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634,154</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8"/>
              </w:rPr>
              <w:t>(632,859</w:t>
            </w:r>
          </w:p>
        </w:tc>
        <w:tc>
          <w:tcPr>
            <w:tcW w:w="12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1,306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2"/>
        </w:trPr>
        <w:tc>
          <w:tcPr>
            <w:tcW w:w="2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-933450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-916305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-933450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-916305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-933450</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-916305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-933450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-916305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-933450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-916305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-933450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-916305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-916305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-933450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-916305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-933450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-916305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-933450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-916305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37"/>
        </w:trPr>
        <w:tc>
          <w:tcPr>
            <w:tcW w:w="2680" w:type="dxa"/>
            <w:vAlign w:val="bottom"/>
          </w:tcPr>
          <w:p>
            <w:pPr>
              <w:spacing w:after="0"/>
              <w:rPr>
                <w:sz w:val="11"/>
                <w:szCs w:val="11"/>
                <w:color w:val="auto"/>
              </w:rPr>
            </w:pPr>
          </w:p>
        </w:tc>
        <w:tc>
          <w:tcPr>
            <w:tcW w:w="14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7"/>
          </w:tcPr>
          <w:p>
            <w:pPr>
              <w:jc w:val="center"/>
              <w:ind w:right="319"/>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1440" w:type="dxa"/>
            <w:vAlign w:val="bottom"/>
            <w:gridSpan w:val="7"/>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60" w:type="dxa"/>
            <w:vAlign w:val="bottom"/>
            <w:gridSpan w:val="5"/>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ed</w:t>
            </w:r>
          </w:p>
        </w:tc>
        <w:tc>
          <w:tcPr>
            <w:tcW w:w="100" w:type="dxa"/>
            <w:vAlign w:val="bottom"/>
          </w:tcPr>
          <w:p>
            <w:pPr>
              <w:spacing w:after="0"/>
              <w:rPr>
                <w:sz w:val="10"/>
                <w:szCs w:val="10"/>
                <w:color w:val="auto"/>
              </w:rPr>
            </w:pPr>
          </w:p>
        </w:tc>
        <w:tc>
          <w:tcPr>
            <w:tcW w:w="1060" w:type="dxa"/>
            <w:vAlign w:val="bottom"/>
            <w:gridSpan w:val="3"/>
          </w:tcPr>
          <w:p>
            <w:pPr>
              <w:jc w:val="right"/>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0" w:type="dxa"/>
            <w:vAlign w:val="bottom"/>
          </w:tcPr>
          <w:p>
            <w:pPr>
              <w:spacing w:after="0"/>
              <w:rPr>
                <w:sz w:val="1"/>
                <w:szCs w:val="1"/>
                <w:color w:val="auto"/>
              </w:rPr>
            </w:pPr>
          </w:p>
        </w:tc>
      </w:tr>
      <w:tr>
        <w:trPr>
          <w:trHeight w:val="99"/>
        </w:trPr>
        <w:tc>
          <w:tcPr>
            <w:tcW w:w="26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vMerge w:val="continue"/>
          </w:tcPr>
          <w:p>
            <w:pPr>
              <w:spacing w:after="0"/>
              <w:rPr>
                <w:sz w:val="7"/>
                <w:szCs w:val="7"/>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260" w:type="dxa"/>
            <w:vAlign w:val="bottom"/>
            <w:vMerge w:val="restart"/>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nt</w:t>
            </w:r>
          </w:p>
        </w:tc>
        <w:tc>
          <w:tcPr>
            <w:tcW w:w="200" w:type="dxa"/>
            <w:vAlign w:val="bottom"/>
          </w:tcPr>
          <w:p>
            <w:pPr>
              <w:spacing w:after="0"/>
              <w:rPr>
                <w:sz w:val="7"/>
                <w:szCs w:val="7"/>
                <w:color w:val="auto"/>
              </w:rPr>
            </w:pPr>
          </w:p>
        </w:tc>
        <w:tc>
          <w:tcPr>
            <w:tcW w:w="680" w:type="dxa"/>
            <w:vAlign w:val="bottom"/>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7"/>
                <w:szCs w:val="7"/>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49"/>
        </w:trPr>
        <w:tc>
          <w:tcPr>
            <w:tcW w:w="26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68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6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34,712,5</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173,3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(396,95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80" w:type="dxa"/>
            <w:vAlign w:val="bottom"/>
            <w:vMerge w:val="continue"/>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13,633,706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142,221</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(254,731)</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(34,712,5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8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(396,95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48,346,231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315,563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(81,384)</w:t>
            </w:r>
          </w:p>
        </w:tc>
        <w:tc>
          <w:tcPr>
            <w:tcW w:w="0" w:type="dxa"/>
            <w:vAlign w:val="bottom"/>
          </w:tcPr>
          <w:p>
            <w:pPr>
              <w:spacing w:after="0"/>
              <w:rPr>
                <w:sz w:val="1"/>
                <w:szCs w:val="1"/>
                <w:color w:val="auto"/>
              </w:rPr>
            </w:pPr>
          </w:p>
        </w:tc>
      </w:tr>
      <w:tr>
        <w:trPr>
          <w:trHeight w:val="135"/>
        </w:trPr>
        <w:tc>
          <w:tcPr>
            <w:tcW w:w="26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7,384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(25,607)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(25,607)</w:t>
            </w:r>
          </w:p>
        </w:tc>
        <w:tc>
          <w:tcPr>
            <w:tcW w:w="0" w:type="dxa"/>
            <w:vAlign w:val="bottom"/>
          </w:tcPr>
          <w:p>
            <w:pPr>
              <w:spacing w:after="0"/>
              <w:rPr>
                <w:sz w:val="1"/>
                <w:szCs w:val="1"/>
                <w:color w:val="auto"/>
              </w:rPr>
            </w:pPr>
          </w:p>
        </w:tc>
      </w:tr>
      <w:tr>
        <w:trPr>
          <w:trHeight w:val="108"/>
        </w:trPr>
        <w:tc>
          <w:tcPr>
            <w:tcW w:w="268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(422,55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CFF0FC"/>
          </w:tcPr>
          <w:p>
            <w:pPr>
              <w:spacing w:after="0"/>
              <w:rPr>
                <w:sz w:val="15"/>
                <w:szCs w:val="15"/>
                <w:color w:val="auto"/>
              </w:rPr>
            </w:pPr>
          </w:p>
        </w:tc>
        <w:tc>
          <w:tcPr>
            <w:tcW w:w="620" w:type="dxa"/>
            <w:vAlign w:val="bottom"/>
            <w:shd w:val="clear" w:color="auto" w:fill="CFF0FC"/>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48,353,615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w:t>
            </w:r>
          </w:p>
        </w:tc>
        <w:tc>
          <w:tcPr>
            <w:tcW w:w="20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gridSpan w:val="2"/>
            <w:shd w:val="clear" w:color="auto" w:fill="CFF0FC"/>
          </w:tcPr>
          <w:p>
            <w:pPr>
              <w:spacing w:after="0"/>
              <w:rPr>
                <w:sz w:val="15"/>
                <w:szCs w:val="15"/>
                <w:color w:val="auto"/>
              </w:rPr>
            </w:pPr>
          </w:p>
        </w:tc>
        <w:tc>
          <w:tcPr>
            <w:tcW w:w="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315,960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(106,594)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(57,290)</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(35,788)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(707)</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(1,165)</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Funds held in escrow</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(4,332)</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committed equity facility transaction costs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31,773</w:t>
            </w:r>
          </w:p>
        </w:tc>
        <w:tc>
          <w:tcPr>
            <w:tcW w:w="3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102,380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(26,224)</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24,264</w:t>
            </w:r>
          </w:p>
        </w:tc>
        <w:tc>
          <w:tcPr>
            <w:tcW w:w="3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0"/>
                <w:szCs w:val="20"/>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warrants for common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-4474210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-4474210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-2399665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-1816735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condensed consolidated financial statements of the Company, post-Merger (as defined below), include the accounts of the Company and its wholly owned subsidiaries. Prior to the Merger, the Company’s condensed consolidated financial statements included that of Legacy Blaize, as defined below, and included the accounts of Legacy Blaize and its wholly owned subsidiaries.</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Company designs and develops low-power, high-efficiency, programmable artificial intelligence (“AI”) edge computing hardware and software, offering edge computing solutions for AI data collection and processing, with a focus on smart vision and other AI applications for the smart city, defense, retail and enterprise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The Nasdaq Stock Market LLC (“Nasdaq”) under the ticker symbols “BZAI” and “BZAIW”,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by applying the Exchange Ratio. Legacy Blaize shareholders were issued 87,314,968 shares of common stock.</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(“BurTech LP”) was the sponsor of BurTech (the “Sponsor”) and with the close of the Merger, BurTech LP and its affiliated entities have remained a significant shareholder in Blaize.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September 30, 2025, the Company has funded its operations primarily with cash flows from contributions from founders or other investors and other financing activities. The Company has incurred recurring losses and negative operating cash flows since its inception, including net losses of $203.6 million and $54.5 million for the nine months ended September 30, 2025 and 2024, respectively. As of September 30, 2025, the Company had cash and cash equivalents of $24.0 million, and an accumulated deficit of $632.9 million.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“Committed Equity Facility”) and a related Registration Rights Agreement with B. Riley Principal Capital II, LLC (“B. Riley”). Pursuant to the Committed Equity Facility, the Company has the right, but not the obligation, to sell to B. Riley up to an aggregate of $50.0 million in gross proceeds of newly issued shares of the Company’s common stock, subject to certain conditions and limitations, which will be used to further support the Company’s growth strategy (see Notes 2, 6 and 13).</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its operations, the Company will need to raise additional financing. There can be no assurance that the Company will be able to raise additional financing.</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and all significant intercompany balances and transactions have been eliminated in consolidation for all periods presented. The Company has no other comprehensive income or loss, therefore net loss was equal to other comprehensive loss for all periods presented. The results of operations of any interim periods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and the estimated fair values of historical convertible notes and legacy warrants, the Other Earnout Shares, the Committed Equity Facility, unissued shares of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cash and cash equivalents balances in excess of domestic and international insurance limits of $23.1 million and $49.3 million, respectively.</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held $3.8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September 30, 2025 and December 31, 2024, restricted cash of $0.3 million was included within other assets on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against the allowance after all means of collection have been exhausted and the potential for recovery is considered remote. The allowance for credit losses was $0.4 million as of September 30,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incurred from issuing securities. The Company’s deferred offering costs primarily relate to offering costs associated with the Merger (see Note 3), as well as offering costs associated with future equity financing arrangements.</w:t>
      </w:r>
    </w:p>
    <w:p>
      <w:pPr>
        <w:spacing w:after="0" w:line="17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related offering costs that had been capitalized were fully expensed within transaction costs on the condensed consolidated statement of operations during the nine months ended September 30, 2025. As of September 30, 2025, there was $0.2 million of capitalized deferred offering costs in relation to future equity financing arrangements, and as of December 31, 2024, there was $11.1 million of deferred offering costs in relation to the Merger, respectively, included in prepaid expenses and other current assets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2025 and 2024, the Company did not recognize any impairment expense related to its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evaluates the terms of its debt instruments and other contracts to determine if those contracts or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27"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Committed Equity Facility to determine whether it should be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concluded that it is an equity-linked contract that does not qualify for equity classification (see Notes 1, 6 and 13). As a result, the Committed Equity Facility is considered to be a freestanding purchased put right and should be accounted for as a derivative with fair value accounting. Changes in the fair value of the Committed Equity Facility will be recorded on the condensed consolidated statements of operations.</w:t>
      </w:r>
    </w:p>
    <w:p>
      <w:pPr>
        <w:spacing w:after="0" w:line="182" w:lineRule="exact"/>
        <w:rPr>
          <w:sz w:val="20"/>
          <w:szCs w:val="20"/>
          <w:color w:val="auto"/>
        </w:rPr>
      </w:pPr>
    </w:p>
    <w:p>
      <w:pPr>
        <w:jc w:val="both"/>
        <w:ind w:right="180" w:firstLine="449"/>
        <w:spacing w:after="0" w:line="266" w:lineRule="auto"/>
        <w:rPr>
          <w:sz w:val="20"/>
          <w:szCs w:val="20"/>
          <w:color w:val="auto"/>
        </w:rPr>
      </w:pPr>
      <w:r>
        <w:rPr>
          <w:rFonts w:ascii="Times New Roman" w:cs="Times New Roman" w:eastAsia="Times New Roman" w:hAnsi="Times New Roman"/>
          <w:sz w:val="18"/>
          <w:szCs w:val="18"/>
          <w:color w:val="auto"/>
        </w:rPr>
        <w:t>Additionally, the Company analyzed the subsequent draws on the Committed Equity Facility and determined that each draw would be considered a forward contract and should be accounted for individually as derivatives with fair value accounting. As of September 30, 2025, the forward contracts from subsequent draws on the Committed Equity Facility were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Accounting for Convertible Instruments and Contracts in an Entity’s Own Equity</w:t>
      </w:r>
      <w:r>
        <w:rPr>
          <w:rFonts w:ascii="Times New Roman" w:cs="Times New Roman" w:eastAsia="Times New Roman" w:hAnsi="Times New Roman"/>
          <w:sz w:val="18"/>
          <w:szCs w:val="18"/>
          <w:color w:val="auto"/>
        </w:rPr>
        <w:t>. The Company elected to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10). The liability associated with these warrants was subject to fair value remeasurement at each balance sheet date, with changes in fair value recorded in change in the fair value of warrants on the condensed consolidated statements of operations. The warrants were remeasured just prior to the date of the Merger and, upon the consummation of the Merger, the warrants were fully converted into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2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restricted stock units (“RSUs”) are entitled to receive up to 15,000,000 shares of common stock and Burkhan has the right to receive up to 2,600,000 shares of common stock. (collectively, the “Earnout Shares”) (see Note 3).</w:t>
      </w:r>
    </w:p>
    <w:p>
      <w:pPr>
        <w:spacing w:after="0" w:line="176"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auto"/>
        </w:rPr>
        <w:t xml:space="preserve">Earnout Shares issued to eligible Legacy Blaize employee equity award holders (“Employee Earnout Shares”)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Employee Earnout Shares have been determined to be equity classified and accordingly, will not be remeasured at each reporting date.</w:t>
      </w:r>
    </w:p>
    <w:p>
      <w:pPr>
        <w:spacing w:after="0" w:line="176" w:lineRule="exact"/>
        <w:rPr>
          <w:sz w:val="20"/>
          <w:szCs w:val="20"/>
          <w:color w:val="auto"/>
        </w:rPr>
      </w:pPr>
    </w:p>
    <w:p>
      <w:pPr>
        <w:jc w:val="both"/>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Earnout Shares issued to Burkhan and Legacy Blaize shareholders not within the scope of ASC 718 (the “Other Earnout Shares”),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The Company determined that the Other Earnout Shares are freestanding and not liability-classified under ASC 480 but represented a structured forward contract pursuant to ASC 815, which resulted in liability classification (see Note 3). Therefore, the Company considers the Other Earnout Shares a derivative liability and will remeasure the Other Earnout Shares at each reporting date, with changes in the fair value recorded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end while the warrants are outstanding.</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September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all its revenue from contracts with customers, including sales of hardware and software products and engineering services, all as further described below.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a period of time. Hardware revenue is recognized at a point in time when the product is shipped.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engineering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Additions to deferred revenue</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Deferred revenue recognized</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Additions to deferred revenue and deferred revenue recognized during the three and nine months ended September 30, 2025 are from related parties (see Note 16).</w:t>
      </w:r>
    </w:p>
    <w:p>
      <w:pPr>
        <w:spacing w:after="0" w:line="20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when applicable. There is no depreciation and amortization allocable to cost of revenue; however, if such depreciation and amortization expense were to be incurred, it would be allocated to cost of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consultants, and directors which vest upon the satisfaction of a service-based condition. The fair value of RSUs is determined based on the fair value of common stock at the date of grant. Due to the Merger that occurred during the nine months ended September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14). Forfeitures are recognized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fair value measurements be classified and disclosed in one of the following pricing categories:</w:t>
      </w:r>
    </w:p>
    <w:p>
      <w:pPr>
        <w:spacing w:after="0" w:line="185" w:lineRule="exact"/>
        <w:rPr>
          <w:sz w:val="20"/>
          <w:szCs w:val="20"/>
          <w:color w:val="auto"/>
        </w:rPr>
      </w:pPr>
    </w:p>
    <w:p>
      <w:pPr>
        <w:jc w:val="both"/>
        <w:ind w:left="800" w:right="20" w:hanging="795"/>
        <w:spacing w:after="0" w:line="262"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jc w:val="both"/>
        <w:ind w:left="800" w:right="20" w:hanging="795"/>
        <w:spacing w:after="0" w:line="250"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1" w:lineRule="exact"/>
        <w:rPr>
          <w:sz w:val="20"/>
          <w:szCs w:val="20"/>
          <w:color w:val="auto"/>
        </w:rPr>
      </w:pPr>
    </w:p>
    <w:p>
      <w:pPr>
        <w:jc w:val="both"/>
        <w:ind w:left="800" w:right="20" w:hanging="795"/>
        <w:spacing w:after="0" w:line="255"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accounts payable, accrued expenses and other current liabilities (including to related parties), accrued compensation, accrued loss on purchase commitments, and working capital loans approximate their fair values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nine months ended September 30, 2025 and 2024, foreign currency transaction gains and losses were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FDIC insurance coverage of $250,000. Investments in money markets are not insured or guaranteed by the FDIC or any other government agency.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the financial condition of its customers.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two customers, one a related party (see Note 16), accounted for approximately 25% and 65% of the Company’s accounts receivable. As of December 31, 2024, one customer accounted for approximately 98% of the Company’s accounts receivable.</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16)</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Defined as less than 10% for the period.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effect of potentially dilutive securities, including warrants, and the if-converted method to determine the dilutive effect of any potentially dilutive convertible securities. The Company’s only participating securities for the three and nine months ended September 30, 2025 and 2024 are shares of the Company’s common stock, and any dividends declared on the common stock would be forfeitable if not vested. Since the Merger was accounted for as a reverse recapitalization, net loss per share has been retroactively adjusted for periods ended prior to the Merger.</w:t>
      </w:r>
    </w:p>
    <w:p>
      <w:pPr>
        <w:spacing w:after="0" w:line="183"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of common stock that the Company is contractually obligated to issue.</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are no potentially dilutive securities included in the Company’s diluted net loss per share calculation for the three and nine months ended September 30, 2025 and 2024, as the effect of any potentially dilutive security is anti-dilutive due to the net losses in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its condensed consolidated financial statements.</w:t>
      </w:r>
    </w:p>
    <w:p>
      <w:pPr>
        <w:spacing w:after="0" w:line="180"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for the year ended December 31, 2025. The Company is currently evaluating the impact that the adoption of this ASU will have on its condensed consolidated financial statements.</w:t>
      </w:r>
    </w:p>
    <w:p>
      <w:pPr>
        <w:spacing w:after="0" w:line="17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the Company beginning on January 1, 2026, and early adoption is permitted, although the Company does not plan to early adopt. The Company is currently evaluating the impact that the adoption of this ASU will have on its condensed consolidated financial statements.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8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provides a practical expedient to assume that conditions as of the balance sheet date remain unchanged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asset when estimating expected credit losses for current accounts receivable and current contract assets arising from transactions accounted for under ASC 606. This guidance is effective for the Company beginning on January 1, 2026, and early adoption is permitted, although the Company does not plan to early adopt. The amendments in this ASU should be applied prospectively. The Company is currently evaluating the impact of the adoption of this standard.</w:t>
      </w:r>
    </w:p>
    <w:p>
      <w:pPr>
        <w:spacing w:after="0" w:line="18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Immediately prior to the consummation of the Merger, BurTech LP, a related party, issued a secured promissory note and pledge agreement (the “Shareholder Note”) to BurTech in the principal amount of $8.8 million in exchange for 750,000 shares of common stock. The principal of the Shareholder Note will decrease when BurTech LP pays for transaction costs that the Company assumed from BurTech in the Merger. The Shareholder Note bears interest at 7.0%, compounded annually on December 31 of each year and is secured by 2,000,000 shares of the Company’s common stock owned by BurTech LP. During the three and nine months ended September 30, 2025, payments of zero and $0.2 million, respectively, were made under the Shareholder Note. As of September 30, 2025, the outstanding principal of the Shareholder Note was $8.6 million, included in additional paid-in capital on the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2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September 30, 2025.</w:t>
      </w:r>
    </w:p>
    <w:p>
      <w:pPr>
        <w:spacing w:after="0" w:line="19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nine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5"/>
                <w:szCs w:val="15"/>
                <w:color w:val="auto"/>
              </w:rPr>
            </w:pPr>
          </w:p>
        </w:tc>
      </w:tr>
      <w:tr>
        <w:trPr>
          <w:trHeight w:val="209"/>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27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r>
      <w:tr>
        <w:trPr>
          <w:trHeight w:val="216"/>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2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r>
      <w:tr>
        <w:trPr>
          <w:trHeight w:val="209"/>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23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earnout shares</w:t>
            </w: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r>
      <w:tr>
        <w:trPr>
          <w:trHeight w:val="216"/>
        </w:trPr>
        <w:tc>
          <w:tcPr>
            <w:tcW w:w="6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2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r>
      <w:tr>
        <w:trPr>
          <w:trHeight w:val="20"/>
        </w:trPr>
        <w:tc>
          <w:tcPr>
            <w:tcW w:w="634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23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6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63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580" w:type="dxa"/>
            <w:vAlign w:val="bottom"/>
            <w:shd w:val="clear" w:color="auto" w:fill="CFF0FC"/>
          </w:tcPr>
          <w:p>
            <w:pPr>
              <w:spacing w:after="0"/>
              <w:rPr>
                <w:sz w:val="18"/>
                <w:szCs w:val="18"/>
                <w:color w:val="auto"/>
              </w:rPr>
            </w:pPr>
          </w:p>
        </w:tc>
        <w:tc>
          <w:tcPr>
            <w:tcW w:w="19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580" w:type="dxa"/>
            <w:vAlign w:val="bottom"/>
            <w:shd w:val="clear" w:color="auto" w:fill="CFF0FC"/>
          </w:tcPr>
          <w:p>
            <w:pPr>
              <w:spacing w:after="0"/>
              <w:rPr>
                <w:sz w:val="18"/>
                <w:szCs w:val="18"/>
                <w:color w:val="auto"/>
              </w:rPr>
            </w:pPr>
          </w:p>
        </w:tc>
        <w:tc>
          <w:tcPr>
            <w:tcW w:w="18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5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58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720" w:type="dxa"/>
            <w:vAlign w:val="bottom"/>
          </w:tcPr>
          <w:p>
            <w:pPr>
              <w:spacing w:after="0"/>
              <w:rPr>
                <w:sz w:val="24"/>
                <w:szCs w:val="24"/>
                <w:color w:val="auto"/>
              </w:rPr>
            </w:pPr>
          </w:p>
        </w:tc>
        <w:tc>
          <w:tcPr>
            <w:tcW w:w="15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24"/>
                <w:szCs w:val="24"/>
                <w:color w:val="auto"/>
              </w:rPr>
            </w:pPr>
          </w:p>
        </w:tc>
        <w:tc>
          <w:tcPr>
            <w:tcW w:w="17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legacy 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Share Arrangements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(including stock options and RSUs) and Burkhan are entitled to Earnout Shares in four tranches upon the occurrence of four separate Triggering Events (defined below), if they occur between January 13, 2025 and January 13, 2030 (the “Earnout Period”). The Triggering Events are driven by whether the Company’s closing share price on 20 trading days out of 30 consecutive trading days equals or exceeds defined per share thresholds in each tranche as follows:</w:t>
      </w:r>
    </w:p>
    <w:p>
      <w:pPr>
        <w:spacing w:after="0" w:line="180" w:lineRule="exact"/>
        <w:rPr>
          <w:sz w:val="20"/>
          <w:szCs w:val="20"/>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jc w:val="both"/>
        <w:ind w:left="460" w:hanging="452"/>
        <w:spacing w:after="0" w:line="25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 (each a “Triggering Event” and collectively, the “Triggering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Earnout Shares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estimated fair value of the Employee Earnout Shares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$3.8 million and $11.4 million, respectively, in stock-based compensation expense related to the Employee Earnout Shares. During the three and nine months ended September 30, 2025, 182,180 and 237,669 Employee Earnout Shares, respectively, were forfeited due to employee terminations. As of September 30, 2025, there was $68.6 million of total unrecognized compensation cost related to the Employee Earnout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Earnout Shares</w:t>
      </w:r>
    </w:p>
    <w:p>
      <w:pPr>
        <w:spacing w:after="0" w:line="225" w:lineRule="exact"/>
        <w:rPr>
          <w:sz w:val="20"/>
          <w:szCs w:val="20"/>
          <w:color w:val="auto"/>
        </w:rPr>
      </w:pPr>
    </w:p>
    <w:p>
      <w:pPr>
        <w:jc w:val="both"/>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dependent upon, among other things, changes in the closing share price of the Company’s common stock and the probability of each Triggering Events being achieved. As certain inputs are not observable in the market, the Other Earnout Shares are classified as a Level 3 instrument within the fair value hierarchy (see Note 5). The Company adjusts the previous fair value of the Other Earnout Shares at each reporting period based on changes to the Company’s expected share price volatility, as well as other factors which impact the Company’s expectation of settlement timing and achieving the Triggering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9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Committed equity facility</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Unissued shares of common stock</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earnout shares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40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-1516380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-1499235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-1516380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-1499235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-1516380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-1499235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-942340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-942340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-942340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Legacy warrants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-882650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-882650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-882650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mutual funds, U.S. Government money market funds and U.S. Government treasury securities, because they were valued using quoted prices in active markets and can be redeemed on any business days with an intermediary. Additionally, the accrued liability associated with unissued shares of common stock due to advisors of the Company under service contracts is included as a Level 1 instrument in accrued expenses and other current liabilities on the condensed consolidated balance sheet as of September 30, 2025, as it uses the Company’s share price as of period end for remeasurement.</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 of the Other Earnout Shares (see Note 3), the day-one put right and subsequent-draw forward contracts associated with the Committed Equity Facility (see Notes 6 and 13) as well as the historical convertible notes and legacy warrants.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Changes in the fair value measurement of Level 3 instruments are related to unrealized gains (losses) resulting from the remeasurement of the historical convertible notes and legacy warrants (see Notes 9 and 10), the unissued shares of common stock, the Other Earnout Shares, and the Committed Equity Facility (see Notes 6 and 13). The respective changes for remeasurement are reflected in the change in fair value of convertible notes, change in fair value of warrants, change in fair value of the other earnout shares and change in fair value of committed equity facility in the condensed consolidated statements of operations.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change in the fair values of the Company’s Level 3 instruments during the three and nine months ended September 30,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Pay-to-Play</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2"/>
              </w:rPr>
              <w:t>Other earnout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4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equity facility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convertible notes</w:t>
            </w:r>
          </w:p>
        </w:tc>
        <w:tc>
          <w:tcPr>
            <w:tcW w:w="220" w:type="dxa"/>
            <w:vAlign w:val="bottom"/>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132,687</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163,340</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other earnout shares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126,024</w:t>
            </w:r>
          </w:p>
        </w:tc>
        <w:tc>
          <w:tcPr>
            <w:tcW w:w="100" w:type="dxa"/>
            <w:vAlign w:val="bottom"/>
          </w:tcPr>
          <w:p>
            <w:pPr>
              <w:spacing w:after="0"/>
              <w:rPr>
                <w:sz w:val="17"/>
                <w:szCs w:val="17"/>
                <w:color w:val="auto"/>
              </w:rPr>
            </w:pPr>
          </w:p>
        </w:tc>
      </w:tr>
      <w:tr>
        <w:trPr>
          <w:trHeight w:val="203"/>
        </w:trPr>
        <w:tc>
          <w:tcPr>
            <w:tcW w:w="4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Committed equity facility - day one put option</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Committed equity facility - drawdown forward contracts</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4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(105,463)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120,522</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Conversion to common stock</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(75,056)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(389,388)</w:t>
            </w:r>
          </w:p>
        </w:tc>
      </w:tr>
      <w:tr>
        <w:trPr>
          <w:trHeight w:val="20"/>
        </w:trPr>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 as of June 30, 2025</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Committed equity facility - day one put option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Committed equity facility - drawdown forward contracts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80" w:type="dxa"/>
            <w:vAlign w:val="bottom"/>
          </w:tcPr>
          <w:p>
            <w:pPr>
              <w:spacing w:after="0"/>
              <w:rPr>
                <w:sz w:val="12"/>
                <w:szCs w:val="12"/>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260" w:type="dxa"/>
            <w:vAlign w:val="bottom"/>
          </w:tcPr>
          <w:p>
            <w:pPr>
              <w:spacing w:after="0"/>
              <w:rPr>
                <w:sz w:val="12"/>
                <w:szCs w:val="12"/>
                <w:color w:val="auto"/>
              </w:rPr>
            </w:pPr>
          </w:p>
        </w:tc>
        <w:tc>
          <w:tcPr>
            <w:tcW w:w="1380" w:type="dxa"/>
            <w:vAlign w:val="bottom"/>
            <w:gridSpan w:val="4"/>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5"/>
        </w:trPr>
        <w:tc>
          <w:tcPr>
            <w:tcW w:w="10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ind w:left="84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ind w:left="660"/>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ind w:left="480"/>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16,763</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16,763</w:t>
            </w:r>
          </w:p>
        </w:tc>
        <w:tc>
          <w:tcPr>
            <w:tcW w:w="40" w:type="dxa"/>
            <w:vAlign w:val="bottom"/>
          </w:tcPr>
          <w:p>
            <w:pPr>
              <w:spacing w:after="0"/>
              <w:rPr>
                <w:sz w:val="15"/>
                <w:szCs w:val="15"/>
                <w:color w:val="auto"/>
              </w:rPr>
            </w:pPr>
          </w:p>
        </w:tc>
      </w:tr>
      <w:tr>
        <w:trPr>
          <w:trHeight w:val="202"/>
        </w:trPr>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4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0"/>
        </w:trPr>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-509905</wp:posOffset>
            </wp:positionV>
            <wp:extent cx="713232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-252730</wp:posOffset>
            </wp:positionV>
            <wp:extent cx="713232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20" w:space="640"/>
            <w:col w:w="7080"/>
          </w:cols>
          <w:pgMar w:left="320" w:top="1195"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2025</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125</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311"/>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8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5"/>
              </w:rPr>
              <w:t>Other earnout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 facility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w w:val="90"/>
              </w:rPr>
              <w:t>warrants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36,435</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Issuance of 2023 convertible notes and related warrants</w:t>
            </w:r>
          </w:p>
        </w:tc>
        <w:tc>
          <w:tcPr>
            <w:tcW w:w="10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24,666</w:t>
            </w: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148,551</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172,283</w:t>
            </w:r>
          </w:p>
        </w:tc>
        <w:tc>
          <w:tcPr>
            <w:tcW w:w="100" w:type="dxa"/>
            <w:vAlign w:val="bottom"/>
            <w:shd w:val="clear" w:color="auto" w:fill="CFF0FC"/>
          </w:tcPr>
          <w:p>
            <w:pPr>
              <w:spacing w:after="0"/>
              <w:rPr>
                <w:sz w:val="20"/>
                <w:szCs w:val="20"/>
                <w:color w:val="auto"/>
              </w:rPr>
            </w:pPr>
          </w:p>
        </w:tc>
      </w:tr>
      <w:tr>
        <w:trPr>
          <w:trHeight w:val="1175"/>
        </w:trPr>
        <w:tc>
          <w:tcPr>
            <w:tcW w:w="4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-1790700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-1773555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-1927860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-1790700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-1773555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-1927860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-1790700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-1773555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-1927860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-1773555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-1927860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-1790700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-1773555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-1927860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-796290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-779780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-796290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-779780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-796290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-779780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-796290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-779780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-796290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-779780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5"/>
              </w:rPr>
              <w:t>Committed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Pay-to-Play</w:t>
            </w:r>
          </w:p>
        </w:tc>
        <w:tc>
          <w:tcPr>
            <w:tcW w:w="10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2023 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7"/>
              </w:rPr>
              <w:t>Other earnout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(Amounts in thousands)</w:t>
            </w:r>
          </w:p>
        </w:tc>
        <w:tc>
          <w:tcPr>
            <w:tcW w:w="10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facility</w:t>
            </w:r>
          </w:p>
        </w:tc>
        <w:tc>
          <w:tcPr>
            <w:tcW w:w="24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9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June 30, 2024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16,042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133,088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156,795</w:t>
            </w:r>
          </w:p>
        </w:tc>
        <w:tc>
          <w:tcPr>
            <w:tcW w:w="100" w:type="dxa"/>
            <w:vAlign w:val="bottom"/>
            <w:shd w:val="clear" w:color="auto" w:fill="CFF0FC"/>
          </w:tcPr>
          <w:p>
            <w:pPr>
              <w:spacing w:after="0"/>
              <w:rPr>
                <w:sz w:val="17"/>
                <w:szCs w:val="17"/>
                <w:color w:val="auto"/>
              </w:rPr>
            </w:pPr>
          </w:p>
        </w:tc>
      </w:tr>
      <w:tr>
        <w:trPr>
          <w:trHeight w:val="203"/>
        </w:trPr>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Change in estimated fair value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15,488</w:t>
            </w:r>
          </w:p>
        </w:tc>
        <w:tc>
          <w:tcPr>
            <w:tcW w:w="10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September 30, 2024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148,551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172,283</w:t>
            </w:r>
          </w:p>
        </w:tc>
        <w:tc>
          <w:tcPr>
            <w:tcW w:w="100" w:type="dxa"/>
            <w:vAlign w:val="bottom"/>
            <w:shd w:val="clear" w:color="auto" w:fill="CFF0FC"/>
          </w:tcPr>
          <w:p>
            <w:pPr>
              <w:spacing w:after="0"/>
              <w:rPr>
                <w:sz w:val="18"/>
                <w:szCs w:val="18"/>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Company’s derivatives are comprised of the structured forward contract related to the Other Earnout Shares (see Notes 2, 3 and 5), the day-one put option and the subsequent forward contracts related to the Committed Equity Facility (see Notes 5 and 13).</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Other Earnout Shares, issued upon the consummation of the Merger, were determined to represent a freestanding structured forward contract as the Other Earnout Share were issued for nominal or no apparent consideration, and contain the essential characteristics inherent in a derivative instrument, including an underlying security, a notional amount, and a mechanism for net settlement, as the terms provide for the delivery of a variable number of shares of the Company’s common stock, or equivalent value, based on changes in the underlying market price.</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Committed Equity Facility, upon execution on July 14, 2025, was considered a freestanding purchased put right, and each draw on the Committed Equity Facility is considered an embedded forward contract. The put right was issued for nominal or no apparent consideration, and has the essential characteristics inherent in a derivative instrument of a notional amount, an underlying security, and a mechanism for net settlement. The derivative asset related to the forward contracts embedded within the Committed Equity Facility is included within prepaid expenses and other current assets on the condensed consolidated balance sheets as of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provision for income taxes of less than $0.1 million and $0.2 million, respectively, which represented effective tax rates of (0.1)% and (0.1)%, respectively, while during the three and nine months ended September 30, 2024, the Company recorded a provision for income taxes of $0.1 million and $0.3 million respectively, which represented effective tax rates of (0.2)% and (0.6)%, respectively. The effective income tax rates for the three and nine months ended September 30, 2025 and 2024 are different from the U.S. federal statutory rate of 21.0% due to a full valuation allowance.</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effects of changes in tax rates and laws on deferred tax balances to be recognized in the period in which the legislation is enacted. The Company is in the process of evaluating the impact of OBBBA on its condensed consolidated financial statements. Any results of such evaluations will be reflected in the Company’s consolidated financial statements included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9. Convertible Notes and Demand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16).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P2P Notes representing less than its pro rata portion of the Insider Amount, such investor’s converted common stock remained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8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Exchange Agreement totaled $0.1 million.</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the Company’s common stock issuable upon the conversion of the notes, all Company shares issuable upon the exercise of warrants issued to the RT Parties, and all securities of Blaize to be issued to the RT Parties upon the consummation of the Merger.</w:t>
      </w:r>
    </w:p>
    <w:p>
      <w:pPr>
        <w:spacing w:after="0" w:line="187" w:lineRule="exact"/>
        <w:rPr>
          <w:sz w:val="20"/>
          <w:szCs w:val="20"/>
          <w:color w:val="auto"/>
        </w:rPr>
      </w:pPr>
    </w:p>
    <w:p>
      <w:pPr>
        <w:jc w:val="both"/>
        <w:ind w:right="18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16), which vested in full in the year ended December 31, 2023.</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September 30, 2025 and December 31, 2024, the Company had outstanding Working Capital Loans of $1.5 million and zero,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September 30, 2025 and December 31, 2024, the Company had outstanding advances from the related party in the amount of $2.9 million and zero,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Warrants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had previously issued convertible preferred stock warrants to purchase shares of its various series of convertible preferred stock.</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could be redeemed by the holders of these shares upon the occurrence of certain events that were outside of the Company’s control. As of December 31, 2024, the Company had liabilities of $14.7 million related to outstanding warrants.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became indexed to the shares of Company’s common stock, and therefore were reclassified from debt classified instruments to equity classified instruments.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were exercised on a net basis, and were automatically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to purchase the Company’s common stock.</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2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to each warrant holder;</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(i) the product of the number of shares of common stock underlying the warrants, multiplied by the difference between the exercise price of the warrants and the “fair market value”, as described below, by (ii)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that the Company may issue to BurTech, officers, directors, initial stockholders or their affiliates in payment of working capital loans made to the Company, will be identical to the warrants underlying the units offered in the Merger, except they will not be transferable, assignable or saleable until 30 days after the consummation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nine months ended September 30, 2025 was de minimis.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4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3.34</w:t>
            </w:r>
          </w:p>
        </w:tc>
      </w:tr>
      <w:tr>
        <w:trPr>
          <w:trHeight w:val="1195"/>
        </w:trPr>
        <w:tc>
          <w:tcPr>
            <w:tcW w:w="68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condensed consolidated statements of operations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Company’s operating leases had a weighted average remaining lease term of 2.5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9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tcPr>
          <w:p>
            <w:pPr>
              <w:spacing w:after="0"/>
              <w:rPr>
                <w:sz w:val="18"/>
                <w:szCs w:val="18"/>
                <w:color w:val="auto"/>
              </w:rPr>
            </w:pP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8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9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Convertible Preferred Stock Prior to the Merger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its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there were 600,000,000 and 136,562,809 shares of common stock authorized, respectively, and 106,754,588 and 48,376,052 shares issued and outstanding,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entitled to one vote for each share of common stock held at all meetings of stockholders.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20" w:type="dxa"/>
            <w:vAlign w:val="bottom"/>
          </w:tcPr>
          <w:p>
            <w:pPr>
              <w:spacing w:after="0"/>
              <w:rPr>
                <w:sz w:val="13"/>
                <w:szCs w:val="13"/>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RSUs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stock purchase plan shares available for future purchase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3,047,669</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Equity awards available for future issuance </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20,223,481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3,631,787</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Legacy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110,653,031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43,128,526</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right="620" w:firstLine="8"/>
        <w:spacing w:after="0" w:line="306" w:lineRule="auto"/>
        <w:tabs>
          <w:tab w:leader="none" w:pos="153"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September 30, 2025, includes 32,000 shares of vested RSUs due to an advisor to satisfy an outstanding liability, which will be issued from the 2025 Equity Incentive Plan. Half of these awards were issued in exchange for shares of common stock due to the same advisor in prior periods.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14, 2025, the Company entered into the Committed Equity Facility and a Registration Rights Agreement with B. Riley (see Note 1).</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Committed Equity Facility, the Company has the right, but not the obligation, to direct B. Riley to purchase newly issued common shares of common stock up to an aggregate value of $50.0 million over a defined 36-month period. The total aggregate shares issued to B. Riley under the Committed Equity Facility cannot exceed 20,326,316, representing 19.99% of the aggregate number of shares issued and outstanding immediately prior to the execution of the Committed Equity Facility, without prior stockholder approval. Provided that the closing price of the Company</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s common stock on the trading day immediately prior to each purchase is greater than $1.00 per share and all prior purchases between the parties are finalized, the Company has the right to sell shares of its common stock to B. Riley in distinct individual transactions (each a “Purchase”). The total number of shares to be issued per Purchase may not exceed 1,000,000 shares and will be further limited by a calculated percentage, not to exceed 25%, of the total aggregate trading volume during a defined period of time applicable to each Purchase. The Committed Equity Facility establishes the purchase price per share as 0.97 of the volume-weighted average price (“VWAP”) of the common stock for the defined period applicable to each Purchase, with 0.03 of the VWAP as commission to B. Riley, and excluding specific transactions outlined in the Committed Equity Facility. All such calculations are subject to adjustment for any stock dividend, stock split, stock combination, recapitalization or other similar transactions.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with B. Riley, 20,326,158 shares of common stock have been registered to permit the subsequent resale of shares purchased under the Committed Equity Facility. The Company controls the timing and amount of any sales to B. Riley, which depends on a variety of factors including, among other things, market conditions, the trading price of the Company’s common stock, and determinations by the Company as to appropriate sources of funding for its business and operations. However, B. Riley’s obligation to purchase shares is subject to certain conditions. In all instances, the Company may not sell shares of its common stock under the Committed Equity Facility if it would result in B. Riley beneficially owning more than 4.99% of its common stock at any one point in time prior to the execution of the agreement without prior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color w:val="auto"/>
        </w:rPr>
        <w:t>The Committed Equity Facility will automatically terminate on the earlier of (i) one day after the 36-month anniversary of the Commencement Date,</w:t>
      </w:r>
    </w:p>
    <w:p>
      <w:pPr>
        <w:spacing w:after="0" w:line="27" w:lineRule="exact"/>
        <w:rPr>
          <w:sz w:val="20"/>
          <w:szCs w:val="20"/>
          <w:color w:val="auto"/>
        </w:rPr>
      </w:pPr>
    </w:p>
    <w:p>
      <w:pPr>
        <w:jc w:val="both"/>
        <w:ind w:firstLine="8"/>
        <w:spacing w:after="0" w:line="253"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shall have purchased the shares of common stock for an aggregate purchase price of $50.0 million or (iii) various other dates associated with events as set forth in the agreement. Neither the Company nor B. Riley may assign or transfer any of their respective rights or obligations under the Committed Equity Facility or the Registration Rights Agreement. No provision of the Committed Equity Facility or the Registration Rights Agreement may be modified or waived by either party.</w:t>
      </w:r>
    </w:p>
    <w:p>
      <w:pPr>
        <w:spacing w:after="0" w:line="18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and determined that it was not indexed to the Company’s shares of common stock and, therefore, measures the derivative asset associated with the Committed Equity Facility at fair value based on the consideration transferred to B. Riley in exchange for its irrevocable commitment to purchase up to $50.0 million in shares of the Company’s common stock. The derivative asset is revalued at each reporting date with changes in the fair value reported as non-operating income or expense (see Notes 5 and 6).</w:t>
      </w:r>
    </w:p>
    <w:p>
      <w:pPr>
        <w:spacing w:after="0" w:line="180"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fair value associated with the Committed Equity Facility is dependent upon, among other things, changes in the closing share price of the Company’s common stock, the quantity and purchase price of shares sold under the agreement during the reporting period, the unused funding capacity and the cost of raising other forms of capital. As certain inputs are not observable in the market, the derivative asset is classified as a Level 3 instrument within the fair value hierarchy. The Company adjusts the previous fair value estimate of the Committed Equity Facility at each reporting period end based on changes in the weighted average purchase price of shares purchased by B. Riley during the period, the unused capacity available, expected share price volatility, and other macroeconomic factors which impact the cost of raising comparable forms of capital.</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incurred costs associated with the Committed Equity Facility totaling $0.4 million, of which $0.2 million was in cash, representing 0.5% of B. Riley’s $50.0 million total aggregate purchase commitment under the Committed Equity Facility, and $0.2 million in fair value related to the issuance of 83,353 shares of common stock. The total consideration paid to B. Riley of $0.4 million was recognized on day one as a derivative asset with subsequent change in fair value reflected in the condensed consolidated statement of operations.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settled a total of 5,673,734 shares of the Company’s common stock, sold to B. Riley under this agreement, for net proceeds of $20.0 million. The VWAP of shares purchased by B. Riley ranged from $3.14 to $4.07 per share during the three and nine months ended September 30, 2025.</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Based on the September 30, 2025 closing share price of our common stock of $3.45 and $30.0 million of unused capacity under the Committed Equity Facility as of September 30, 2025, the Company would expect to sell only an additional 8,409,939 of its total 14,652,582 remaining registered shares available for purchase under the Committed Equity Facility. Total commission expense of $0.6 million was recognized as a financing charge within “other, net” on the condensed consolidated statement of operations during the three and nine months ended September 30, 2025. The Company had no commission expense during the three and nine months ended September 30, 2024, as the Committed Equity Facility was entered into during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historical 2011 Equity Incentive Plan (“2011 Amended Stock Plan”).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As of September 30, 2025, the total number of authorized shares available under the 2025 Incentive Plan is 30,500,000.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of Directors.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nine months ending September 30, 2025, the Company commenced the granting of equity awards under the 2025 Incentive Plan. As of September 30, 2025, 20,223,481 shares of common stock were reserved for issuance under the 2025 Incentive Plan.</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2011 Amended Plan, the Company had previously issued RSUs, which vested upon the satisfaction of both the service-based condition and a liquidity event condition. The liquidity event condition for the RSUs was satisfied upon the occurrence of a qualifying event, defined specifically in the equity documents, and generally referred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vested)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(Value in thousands, life in years)</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68,324</w:t>
            </w:r>
          </w:p>
        </w:tc>
        <w:tc>
          <w:tcPr>
            <w:tcW w:w="100" w:type="dxa"/>
            <w:vAlign w:val="bottom"/>
            <w:shd w:val="clear" w:color="auto" w:fill="CFF0FC"/>
          </w:tcPr>
          <w:p>
            <w:pPr>
              <w:spacing w:after="0"/>
              <w:rPr>
                <w:sz w:val="19"/>
                <w:szCs w:val="19"/>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September 30, 2025</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29,318,783</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2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68,324</w:t>
            </w:r>
          </w:p>
        </w:tc>
        <w:tc>
          <w:tcPr>
            <w:tcW w:w="10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2025</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15,847,903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2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38,507</w:t>
            </w:r>
          </w:p>
        </w:tc>
        <w:tc>
          <w:tcPr>
            <w:tcW w:w="100" w:type="dxa"/>
            <w:vAlign w:val="bottom"/>
            <w:shd w:val="clear" w:color="auto" w:fill="CFF0FC"/>
          </w:tcPr>
          <w:p>
            <w:pPr>
              <w:spacing w:after="0"/>
              <w:rPr>
                <w:sz w:val="18"/>
                <w:szCs w:val="18"/>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-350520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-333375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-350520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-333375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$15.9 million of total unrecognized compensation cost related to unvested stock options, which is expected to be recognized over a weighted average period of 1.8 years.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grant-date fair value of stock options. The determination of the fair value of stock options on the grant date is affected by the estimated closing share price of the Company’s common stock, as well as assumptions regarding a number of complex and subjective variables. These variables include expected share price volatility over the term of the awards, actual and projected employee stock option exercise behaviors, risk-free interest rates, and expected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grant date fair value of the stock options granted was $2.05 per share. The fair value of the options issued was determined using the Black-Scholes option pricing model, using the following inputs: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2025</w:t>
            </w:r>
          </w:p>
        </w:tc>
        <w:tc>
          <w:tcPr>
            <w:tcW w:w="180" w:type="dxa"/>
            <w:vAlign w:val="bottom"/>
          </w:tcPr>
          <w:p>
            <w:pPr>
              <w:spacing w:after="0"/>
              <w:rPr>
                <w:sz w:val="15"/>
                <w:szCs w:val="15"/>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rate</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rate</w:t>
            </w:r>
          </w:p>
        </w:tc>
        <w:tc>
          <w:tcPr>
            <w:tcW w:w="1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accelerated the vesting associated with 388,988 outstanding options resulting in $1.1 million of incremental stock 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Number of RSUs </w:t>
            </w:r>
            <w:r>
              <w:rPr>
                <w:rFonts w:ascii="Times New Roman" w:cs="Times New Roman" w:eastAsia="Times New Roman" w:hAnsi="Times New Roman"/>
                <w:sz w:val="19"/>
                <w:szCs w:val="19"/>
                <w:b w:val="1"/>
                <w:bCs w:val="1"/>
                <w:color w:val="auto"/>
                <w:vertAlign w:val="superscript"/>
              </w:rPr>
              <w:t>(1)</w:t>
            </w:r>
          </w:p>
        </w:tc>
        <w:tc>
          <w:tcPr>
            <w:tcW w:w="1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w:t>
            </w:r>
          </w:p>
        </w:tc>
        <w:tc>
          <w:tcPr>
            <w:tcW w:w="2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(1,331,257)</w:t>
            </w: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(406,649)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10,764,848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right="20" w:firstLine="8"/>
        <w:spacing w:after="0" w:line="239" w:lineRule="auto"/>
        <w:tabs>
          <w:tab w:leader="none" w:pos="177"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 of September 30, 2025, 1,973,365 of the RSUs have vested but have not yet been issued to the award holders. As no conditions remain in order for these shares of common stock to be issuable, these awards have been included in the weighted average shares outstanding calculation for purposes of earnings per share (see Note 18).</w:t>
      </w:r>
    </w:p>
    <w:p>
      <w:pPr>
        <w:spacing w:after="0" w:line="20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satisfied on the consummation of the liquidity event, and effective with the consummation of the Merger, the Company recognized $3.9 million in stock-based compensation expense associated with the vesting of the outstanding RSUs (see Note 3).</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$20.7 million of total unrecognized compensation cost related to unvested RSUs, which is expected to be recognized over a weighted 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Under the 2025 ESPP, eligible employees will be able to purchase share of common stock at a discount over a series of offering periods, which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3,047,669 shares of common stock were reserved for issuance pursuant to the 2025 ESPP, and no shares of stock had been purchased by employees as the Company had not commenced the 2025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outstanding purchase orders and contractual obligations totaling $0.5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a contract manufacturer when components have not been consumed within a period defined in the terms of its agreement with the manufacturer. The Company purchased inventories due to this obligation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288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September 30, 2025 and December 31, 2024, the liability balance of the Company’s accrued losses on purchase commitments equaled $0.6 million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 million contingent upon the closing of the Merger and for reimbursement of expenses up to $0.5 million.</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pre-and post-judgment interest and legal costs and seeking summary judgment in lieu of complaint. On September 4, 2025, the court denied Jefferies’s motion for summary judgment, and on September 19, 2025, Jefferies filed a complaint. The Company has engaged counsel and intends to vigorously defend this matter.</w:t>
      </w:r>
    </w:p>
    <w:p>
      <w:pPr>
        <w:spacing w:after="0" w:line="181"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has recorded estimated liabilities as a maximum potential of contingent exposure in this matter of $5.0 million as of September 30, 2025, of which $4.0 million is included in accounts payable and $1.0 million is included in accrued expenses and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229" w:lineRule="exact"/>
        <w:rPr>
          <w:sz w:val="20"/>
          <w:szCs w:val="20"/>
          <w:color w:val="auto"/>
        </w:rPr>
      </w:pPr>
    </w:p>
    <w:p>
      <w:pPr>
        <w:jc w:val="both"/>
        <w:ind w:right="220" w:firstLine="449"/>
        <w:spacing w:after="0" w:line="258"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Board of Directors, is in the form of restricted stock units following the filing of a registration statement subsequent to the Merger consummation to register such shares, and subject to the advisors continued service on the applicable grant date. During the three months ended September 30, 2025, the Company released the advisor restricted stock units which had vested under the terms of the agreements (see Note 14).</w:t>
      </w:r>
    </w:p>
    <w:p>
      <w:pPr>
        <w:spacing w:after="0" w:line="183" w:lineRule="exact"/>
        <w:rPr>
          <w:sz w:val="20"/>
          <w:szCs w:val="20"/>
          <w:color w:val="auto"/>
        </w:rPr>
      </w:pPr>
    </w:p>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the Company’s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In July 2025, the Company released the 769,231 shares of common stock due under the advisory agreement. The Fee Shares are subject to a one-year lock-up provision (the “Lock-Up Period”) which expires the earlier of one year from the date of the agreement or the date of a change of control as defined in the agreement. Prior to the expiration of the Lock-Up Period, the advisor may sell the common stock shares back to the Company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 and Balances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affiliated party. Pursuant to the Referral Agreement, the Sales Partner will, on a non-exclusive basis, promote certain of the Company’s products and refer potential customers to the Company. The Company may approve or reject any customer opportunity presented by the Sales Partner in its sole discretion. Sales commissions payable to the Sales Partner are negotiable, as further discussed, below.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$56.5 million of the Company’s products on behalf of an unaffiliated end user, beginning in the second quarter of 2025 through 2026. The Sales Partner will receive a commission, payable by the Company, of up to 10%, depending on its gross margins under the purchase order, payable in cash or partially, at the Company’s discretion, in shares of the Company’s common stock.</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pursuant to the Referral Agreement, the Company recognized $1.3 million and $3.0 million, respectively, in revenue from sales to an affiliate of Burkhan, inclusive of sales commissions to Burkhan of $0.1 million and $0.3 million, respectively, which was reported as a reduction of revenue. The sales commission payable was included in the accrued expense and other current liabilities - related party balance as of September 30, 2025.</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$3.4 million in accounts receivable that was due from an affiliate of Burkhan, while as of December 31, 2024 there were no amounts due from this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 and Balances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 of $0.8 million, approximately 97% of total revenue, from sales to a minority stockholder, while during the nine months ended September 30, 2024, the Company recognized revenue of $1.5 million, approximately 98% of total revenue, from sales to two minority stockholders.</w:t>
      </w:r>
    </w:p>
    <w:p>
      <w:pPr>
        <w:spacing w:after="0" w:line="17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2023, the Company issued a convertible note in the amount of $5.0 million or 41% of the total 2023 Convertible Note proceeds raised in 2023 to a related party investor holding more than a 10% ownership the Company’s outstanding stock. This related party investor also has a representative serving on the Company’s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10).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nine months ended September 30, 2025, the change in fair value for the respective 2023 Convertible Note was zero and $6.0 million, respectively (see Note 5). During the three and nine months ended September 30, 2024, the changes in fair value for the respective 2023 Convertible Note and 2023 Convertible Note Warrants equaled $0.3 million and $0.6 million, respectively, and immaterial and $(0.4) million, respectively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prior revenue arrangement, representing zero and approximately 21% of total revenues for the three and nine months ended September 30, 2024, also invested in a P2P Note in the amount of $3.3 million, or 35% of the total P2P proceeds raised in 2023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and nine months ended September 30, 2025, the change in fair value for the respective P2P Note was zero and $7.2 million, respectively (see Note 5). During the three and nine months ended September 30, 2024, the change in fair value for the respective P2P Note and P2P Warrants was immaterial and $0.4 million, respectively, and immaterial and ($0.4) million, respectively (see Note 5).</w:t>
      </w:r>
    </w:p>
    <w:p>
      <w:pPr>
        <w:spacing w:after="0" w:line="18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prior revenue arrangement, representing approximately 97% and 77% of total revenues for the three and nine months ended September 30, 2024, respectively, and 98% of accounts receivable as of December 31, 2024, also invested in a P2P Note in the amount of $0.4 million, or 13% of the total P2P proceeds raised in 2022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and nine months ended September 30, 2025, the changes in fair value for this set of P2P Notes were zero and $0.8 million, respectively (see Note 5). During the three and nine months ended September 30, 2024, the changes in fair value for this set of P2P Note and P2P Note Warrants were immaterial and $0.4 million, respectively and immaterial (see Note 5).</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2025, in connection with the consummation of the Merger, the Company signed the Shareholder Note (see Note 3).</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incurred zero and $0.5 million, respectively, of marketing expenses paid to a company owned by a direct family member of one of its minority stockholders and board of directors. During the three and nine months ended September 30, 2024, the Company incurred no such marketing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2025, the Company had amounts due to related parties for a working capital loan and other advances (see Note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and as further adjusted (“Adjusted EBITDA”), to make decisions regarding the allocation of resources and assessment of performance. The Company defines Adjusted EBITDA as net loss before interest, taxes, depreciation and amortization, certain non-cash items and other adjustments that it does not consider in its evaluation of ongoing operating performance from period to period.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Pr>
          <w:p>
            <w:pPr>
              <w:spacing w:after="0"/>
              <w:rPr>
                <w:sz w:val="15"/>
                <w:szCs w:val="15"/>
                <w:color w:val="auto"/>
              </w:rPr>
            </w:pPr>
          </w:p>
        </w:tc>
        <w:tc>
          <w:tcPr>
            <w:tcW w:w="3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(10,091)</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(11,222)</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costs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(17,175)</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(7,520)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(51,498)</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(21,392)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costs</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(5,192)</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(4,424)</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(121,511)</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(5,265)</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(29,436)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(26,258)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(25,607)</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(203,608)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firstLine="8"/>
        <w:spacing w:after="0" w:line="226" w:lineRule="auto"/>
        <w:tabs>
          <w:tab w:leader="none" w:pos="19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items” includes marketing expense, professional fees, income tax expense, facilities costs, transaction costs, foreign exchange gains and losses, credit loss expense, and other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color w:val="auto"/>
        </w:rPr>
        <w:t>The following reflects the Company’s EBITDA and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(26,258)</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(25,607)</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(203,608)</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(26,566)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(26,574)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(203,781)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(55,144)</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(11,066)</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(10,478)</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(39,372)</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(28,564)</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jc w:val="both"/>
        <w:ind w:firstLine="8"/>
        <w:spacing w:after="0" w:line="237" w:lineRule="auto"/>
        <w:tabs>
          <w:tab w:leader="none" w:pos="193"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excluding these costs provides a more meaningful comparison of its results of operations over comparative periods.</w:t>
      </w:r>
    </w:p>
    <w:p>
      <w:pPr>
        <w:spacing w:after="0" w:line="20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0" w:type="dxa"/>
            <w:vAlign w:val="bottom"/>
          </w:tcPr>
          <w:p>
            <w:pPr>
              <w:spacing w:after="0"/>
              <w:rPr>
                <w:sz w:val="15"/>
                <w:szCs w:val="15"/>
                <w:color w:val="auto"/>
              </w:rPr>
            </w:pPr>
          </w:p>
        </w:tc>
        <w:tc>
          <w:tcPr>
            <w:tcW w:w="294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160" w:type="dxa"/>
            <w:vAlign w:val="bottom"/>
          </w:tcPr>
          <w:p>
            <w:pPr>
              <w:spacing w:after="0"/>
              <w:rPr>
                <w:sz w:val="15"/>
                <w:szCs w:val="15"/>
                <w:color w:val="auto"/>
              </w:rPr>
            </w:pPr>
          </w:p>
        </w:tc>
        <w:tc>
          <w:tcPr>
            <w:tcW w:w="26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(26,258)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(25,607)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103,585,681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100,130,737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ind w:firstLine="8"/>
        <w:spacing w:after="0" w:line="239" w:lineRule="auto"/>
        <w:tabs>
          <w:tab w:leader="none" w:pos="17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Three and nine months ended September 30, 2025 include 1,944,865 vested but unissued shares underlying awards of RSUs to employees and 28,500 vested RSUs but unissued shares underlying awards of RSUs to advisors. The Company is contractually obligated to issue shares of common stock for all vested but unissued RSUs.</w:t>
      </w:r>
    </w:p>
    <w:p>
      <w:pPr>
        <w:spacing w:after="0" w:line="20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or out-of-the-money: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326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3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8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20" w:type="dxa"/>
            <w:vAlign w:val="bottom"/>
            <w:tcBorders>
              <w:top w:val="single" w:sz="8" w:color="auto"/>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12,736,621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29,318,783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12,736,621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3,743,578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8,791,483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3,743,578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Earnout shares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warrants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c>
          <w:tcPr>
            <w:tcW w:w="100" w:type="dxa"/>
            <w:vAlign w:val="bottom"/>
          </w:tcPr>
          <w:p>
            <w:pPr>
              <w:spacing w:after="0"/>
              <w:rPr>
                <w:sz w:val="18"/>
                <w:szCs w:val="18"/>
                <w:color w:val="auto"/>
              </w:rPr>
            </w:pPr>
          </w:p>
        </w:tc>
      </w:tr>
      <w:tr>
        <w:trPr>
          <w:trHeight w:val="24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55,878,802</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85,408,516</w:t>
            </w:r>
          </w:p>
        </w:tc>
        <w:tc>
          <w:tcPr>
            <w:tcW w:w="2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55,878,802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condensed consolidated financial statements and determined that the following subsequent events, other than those disclosed elsewhere in the condensed consolidated financial statements, are reportable: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Sales of Securities Under the Committed Equity Facility</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October 1, 2025 through October 17, 2025, the Company settled an additional 2,736,587 shares of newly-issued common stock, sold to B. Riley under the Committed Equity Facility, for net proceeds of $13.4 million. As of the date of issuance of these condensed consolidated financial statements, the Company had settled a total of 8,410,321 shares of common stock, sold to B. Riley under the Committed Equity Facility, for net proceeds of $33.4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10, 2025 Private Placement</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U.S. Securities and Exchange Commission (“SEC”) on April 15, 2025, and the previous Quarterly Reports on Form 10-Q as filed with the SEC on May 14, 2025 and August 14,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provide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Macroeconomic Environment and its Effect on Blaize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United States (“U.S.”) government announced the forthcoming imposition of a series of new tariff policies affecting imports from many countries, including China. At the same time, many countries, including China, threatened retaliatory tariff regimes. Subsequently, China announced tighter export controls on certain rare earth metals, which are critical for high-tech manufacturing, and the U.S. government announced additional tariffs. Further, the regulations restricting the export of certain products and technology from the U.S. to China continue to be fluid, which could affect our business in China. These export controls, regulations, and tariffs are currently subject to ongoing negotiation.</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While the legality and ultimate implications of the tariffs imposed by the U.S. government remain unclear, tariffs could materially increase our import costs and potentially lead to higher prices that may reduce consumer demand, and add an overall element of uncertainty to the U.S. economy. We are proactively evaluating strategies to mitigate the impact of tariffs on our supply chain and costs. These strategies include exploring alternative sourcing outside of China, working with our suppliers to manage cost increases, and implementing price increases. These actions may not fully offset the impact of tariffs and, as a result, our revenues, cost of materials, and overall financial performance may be materially affected.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Adding to overall economic uncertainty, the U.S. government has ceased all operations but those deemed essential (the “government shutdown”). During a government shutdown, import and export processes can slow, especially if agencies involved reduce staff levels. Further, the SEC does not review registration statements during a government shutdown, which could limit our access to public capital markets until the government resumes normal operations.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effects of the new tax law will be recognized in the period of enactment. We are in the process of evaluating the impact of OBBBA on our condensed consolidated financial statements. Any results of such evaluations will be reflected on our consolidated financial statements included in our Annual Report on Form 10-K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in Our Business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July 14, 2025, we entered into a $50.0 million common stock purchase agreement (“Committed Equity Facility”) with B. Riley Principal Capital II, LLC (“B. Riley”). We expect to use the proceeds from this facility to accelerate commercialization of our South Asia smart infrastructure contract and investment in our next-generation chip, as well as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we have no contractual arrangement(s) with respect to such pipeline and there is no assurance of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September 30, 2025, a total of 53 POCs were initiated or in progress with a potential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September 30, 2025, we had a total of 42 Partners.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September 30, 2025, a total of 26 Design Wins have been confirmed with a Partner or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2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through various supply agreements.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providing customized design services to our customers, tailored to their specific requirements.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nine months ended September 30,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Three Months Ended September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Nine Months Ended September 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1"/>
              </w:rPr>
              <w:t>Change</w:t>
            </w:r>
          </w:p>
        </w:tc>
      </w:tr>
      <w:tr>
        <w:trPr>
          <w:trHeight w:val="128"/>
        </w:trPr>
        <w:tc>
          <w:tcPr>
            <w:tcW w:w="366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7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6"/>
        </w:trPr>
        <w:tc>
          <w:tcPr>
            <w:tcW w:w="3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11,867</w:t>
            </w:r>
          </w:p>
        </w:tc>
        <w:tc>
          <w:tcPr>
            <w:tcW w:w="40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781</w:t>
            </w:r>
          </w:p>
        </w:tc>
        <w:tc>
          <w:tcPr>
            <w:tcW w:w="2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11,086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1,419% $</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14,856</w:t>
            </w:r>
          </w:p>
        </w:tc>
        <w:tc>
          <w:tcPr>
            <w:tcW w:w="3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1,553</w:t>
            </w:r>
          </w:p>
        </w:tc>
        <w:tc>
          <w:tcPr>
            <w:tcW w:w="2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13,303</w:t>
            </w:r>
          </w:p>
        </w:tc>
        <w:tc>
          <w:tcPr>
            <w:tcW w:w="1240" w:type="dxa"/>
            <w:vAlign w:val="bottom"/>
            <w:gridSpan w:val="3"/>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857%</w:t>
            </w:r>
          </w:p>
        </w:tc>
      </w:tr>
    </w:tbl>
    <w:p>
      <w:pPr>
        <w:spacing w:after="0" w:line="19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revenue increased 1,419% to $11.9 million, compared to $0.8 million for the three months ended September 30, 2024. This increase in revenue was primarily due to hardware sold to a new customer which included $10.4 million of revenue for the three months ended September 30, 2025, with the remainder of this increase due to hardware sold to a related party,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revenue increased 857% to $14.9 million compared to $1.6 million for the nine months ended September 30, 2024. The increase was primarily due to hardware sales to a new customer in the third quarter of 2025 of $10.4 million,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the three and nine months ended September 30,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7"/>
              </w:rPr>
              <w:t>Three Months Ended September 30,</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2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8"/>
        </w:trPr>
        <w:tc>
          <w:tcPr>
            <w:tcW w:w="29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1"/>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227"/>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5"/>
        </w:trPr>
        <w:tc>
          <w:tcPr>
            <w:tcW w:w="298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5"/>
                <w:szCs w:val="15"/>
                <w:color w:val="auto"/>
              </w:rPr>
              <w:t>Asia Pacific</w:t>
            </w: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10,445</w:t>
            </w:r>
          </w:p>
        </w:tc>
        <w:tc>
          <w:tcPr>
            <w:tcW w:w="1120" w:type="dxa"/>
            <w:vAlign w:val="bottom"/>
            <w:tcBorders>
              <w:right w:val="single" w:sz="8" w:color="CFF0FC"/>
            </w:tcBorders>
            <w:gridSpan w:val="3"/>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88%</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3"/>
            <w:shd w:val="clear" w:color="auto" w:fill="CFF0FC"/>
          </w:tcPr>
          <w:p>
            <w:pPr>
              <w:jc w:val="right"/>
              <w:ind w:right="3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11,411</w:t>
            </w:r>
          </w:p>
        </w:tc>
        <w:tc>
          <w:tcPr>
            <w:tcW w:w="96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21%</w:t>
            </w:r>
          </w:p>
        </w:tc>
      </w:tr>
      <w:tr>
        <w:trPr>
          <w:trHeight w:val="162"/>
        </w:trPr>
        <w:tc>
          <w:tcPr>
            <w:tcW w:w="29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North America</w:t>
            </w:r>
          </w:p>
        </w:tc>
        <w:tc>
          <w:tcPr>
            <w:tcW w:w="2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1,338</w:t>
            </w:r>
          </w:p>
        </w:tc>
        <w:tc>
          <w:tcPr>
            <w:tcW w:w="112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3,312</w:t>
            </w:r>
          </w:p>
        </w:tc>
        <w:tc>
          <w:tcPr>
            <w:tcW w:w="96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1,215</w:t>
            </w:r>
          </w:p>
        </w:tc>
        <w:tc>
          <w:tcPr>
            <w:tcW w:w="100" w:type="dxa"/>
            <w:vAlign w:val="bottom"/>
          </w:tcPr>
          <w:p>
            <w:pPr>
              <w:spacing w:after="0"/>
              <w:rPr>
                <w:sz w:val="14"/>
                <w:szCs w:val="14"/>
                <w:color w:val="auto"/>
              </w:rPr>
            </w:pPr>
          </w:p>
        </w:tc>
        <w:tc>
          <w:tcPr>
            <w:tcW w:w="8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78%</w:t>
            </w:r>
          </w:p>
        </w:tc>
      </w:tr>
      <w:tr>
        <w:trPr>
          <w:trHeight w:val="162"/>
        </w:trPr>
        <w:tc>
          <w:tcPr>
            <w:tcW w:w="298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96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20"/>
        </w:trPr>
        <w:tc>
          <w:tcPr>
            <w:tcW w:w="2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6"/>
        </w:trPr>
        <w:tc>
          <w:tcPr>
            <w:tcW w:w="29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Total revenue</w:t>
            </w:r>
          </w:p>
        </w:tc>
        <w:tc>
          <w:tcPr>
            <w:tcW w:w="2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11,867</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14,856</w:t>
            </w:r>
          </w:p>
        </w:tc>
        <w:tc>
          <w:tcPr>
            <w:tcW w:w="96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2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1,553</w:t>
            </w:r>
          </w:p>
        </w:tc>
        <w:tc>
          <w:tcPr>
            <w:tcW w:w="100" w:type="dxa"/>
            <w:vAlign w:val="bottom"/>
          </w:tcPr>
          <w:p>
            <w:pPr>
              <w:spacing w:after="0"/>
              <w:rPr>
                <w:sz w:val="13"/>
                <w:szCs w:val="13"/>
                <w:color w:val="auto"/>
              </w:rPr>
            </w:pPr>
          </w:p>
        </w:tc>
        <w:tc>
          <w:tcPr>
            <w:tcW w:w="8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100%</w:t>
            </w: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-136525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-136525</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-136525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-136525</wp:posOffset>
            </wp:positionV>
            <wp:extent cx="946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-136525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wp:posOffset>
            </wp:positionV>
            <wp:extent cx="939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-136525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-136525</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Thus far in 2025, our revenue was derived from two significant customers, one significant customer located in the Asia Pacific region, who is not a related party, and one significant customer located in North America, who is a related party. In 2024, our revenue was derived from two different customers, located in both North America and Asia Pacific, and both of whom were related parties.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expect our growth to continue in both Asia Pacific and North America. Since our revenue is concentrated among a small number of customers, revenue from any one significant customer may change the geographical mix of our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associated with the servicing of our engineering services revenue contracts. Engineering services revenue with the related party is no longer expected, as the development contract with this party has been completed. There is no depreciation and amortization allocable to cost of revenue; however, if such depreciation and amortization expense were to be incurred, it would be allocated to cost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ordinary depreciation and amortization on long-lived assets such as computer equipment, furniture and fixtures, leasehold improvements, and office equipment and is generally not material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which was completed in the first quarter of 2025. No additional costs relating to the Merger are expected to be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three and nine months ended September 30,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Three Months Ended September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Nine Months Ended September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5"/>
        </w:trPr>
        <w:tc>
          <w:tcPr>
            <w:tcW w:w="4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8"/>
        </w:trPr>
        <w:tc>
          <w:tcPr>
            <w:tcW w:w="42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211"/>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22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4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1"/>
                <w:szCs w:val="11"/>
                <w:color w:val="auto"/>
              </w:rPr>
            </w:pPr>
          </w:p>
        </w:tc>
      </w:tr>
      <w:tr>
        <w:trPr>
          <w:trHeight w:val="155"/>
        </w:trPr>
        <w:tc>
          <w:tcPr>
            <w:tcW w:w="428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5"/>
                <w:szCs w:val="15"/>
                <w:color w:val="auto"/>
              </w:rPr>
              <w:t>Cost of revenue</w:t>
            </w:r>
          </w:p>
        </w:tc>
        <w:tc>
          <w:tcPr>
            <w:tcW w:w="160" w:type="dxa"/>
            <w:vAlign w:val="bottom"/>
            <w:shd w:val="clear" w:color="auto" w:fill="CFF0FC"/>
          </w:tcPr>
          <w:p>
            <w:pPr>
              <w:jc w:val="right"/>
              <w:ind w:right="1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10,091</w:t>
            </w:r>
          </w:p>
        </w:tc>
        <w:tc>
          <w:tcPr>
            <w:tcW w:w="4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476</w:t>
            </w:r>
          </w:p>
        </w:tc>
        <w:tc>
          <w:tcPr>
            <w:tcW w:w="7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9,615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2,020% $</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11,222</w:t>
            </w:r>
          </w:p>
        </w:tc>
        <w:tc>
          <w:tcPr>
            <w:tcW w:w="3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1,039</w:t>
            </w:r>
          </w:p>
        </w:tc>
        <w:tc>
          <w:tcPr>
            <w:tcW w:w="6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$ 10,183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980%</w:t>
            </w:r>
          </w:p>
        </w:tc>
      </w:tr>
      <w:tr>
        <w:trPr>
          <w:trHeight w:val="162"/>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2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Research and development</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5,799</w:t>
            </w: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3,877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32,407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15,765</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16,642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106%</w:t>
            </w:r>
          </w:p>
        </w:tc>
      </w:tr>
      <w:tr>
        <w:trPr>
          <w:trHeight w:val="162"/>
        </w:trPr>
        <w:tc>
          <w:tcPr>
            <w:tcW w:w="42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14,321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5,546</w:t>
            </w: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8,775</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158%</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40,207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14,538</w:t>
            </w:r>
          </w:p>
        </w:tc>
        <w:tc>
          <w:tcPr>
            <w:tcW w:w="6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25,669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177%</w:t>
            </w: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Selling, general and administrative - related party</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20" w:type="dxa"/>
            <w:vAlign w:val="bottom"/>
            <w:gridSpan w:val="3"/>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r>
      <w:tr>
        <w:trPr>
          <w:trHeight w:val="162"/>
        </w:trPr>
        <w:tc>
          <w:tcPr>
            <w:tcW w:w="42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68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r>
      <w:tr>
        <w:trPr>
          <w:trHeight w:val="162"/>
        </w:trPr>
        <w:tc>
          <w:tcPr>
            <w:tcW w:w="42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 costs</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6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11,880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operating expenses</w:t>
            </w:r>
          </w:p>
        </w:tc>
        <w:tc>
          <w:tcPr>
            <w:tcW w:w="160" w:type="dxa"/>
            <w:vAlign w:val="bottom"/>
            <w:shd w:val="clear" w:color="auto" w:fill="CFF0FC"/>
          </w:tcPr>
          <w:p>
            <w:pPr>
              <w:jc w:val="right"/>
              <w:ind w:right="1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24,361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11,673</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$ 12,688</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86,123</w:t>
            </w:r>
          </w:p>
        </w:tc>
        <w:tc>
          <w:tcPr>
            <w:tcW w:w="38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31,154</w:t>
            </w:r>
          </w:p>
        </w:tc>
        <w:tc>
          <w:tcPr>
            <w:tcW w:w="6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$ 54,969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0000" w:firstLine="8"/>
        <w:spacing w:after="0" w:line="368" w:lineRule="auto"/>
        <w:tabs>
          <w:tab w:leader="none" w:pos="1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material ** Not meaningful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cost of revenue increased by $9.6 million, or 2,020%, to $10.1 million, compared to $0.5 million for the three months ended September 30, 2024. The increase was primarily driven by higher hardware costs required to fulfil sales contracts during the current period.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cost of revenue increased by $10.2 million, or 980%, to $11.2 million, compared to $1.0 million for the nine months ended September 30, 2024. The increase was primarily driven by higher hardware costs required to fulfil sales contracts during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R&amp;D expense increased by $3.9 million, or 67%, to $9.7 million, compared to $5.8 million for the three months ended September 30, 2024. The increase was primarily due to higher stock-based compensation expenses allocated to R&amp;D and the acquisition of third-party intellectual property for new chip development.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R&amp;D expense increased by $16.6 million, or 106%, to $32.4 million, compared to $15.8 million for the nine months ended September 30, 2024. The increase was primarily due to higher stock-based compensation expenses allocated to R&amp;D and the acquisition of third-party intellectual property for new chip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SG&amp;A expense increased by $8.8 million, or 158%, to $14.3 million compared to $5.5 million for the three months ended September 30, 2024. This increase was primarily due to stock-based compensation expense, which is the largest component of payroll expense, which is, in turn, the largest component of SG&amp;A.</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SG&amp;A expense increased by $25.7 million, or 177%, reaching $40.2 million, up from $14.5 million for the nine months ended September 30, 2024. This increase was primarily due to stock-based compensation expense, which is the largest component of payroll expense, which is, in turn, the largest component of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three and nine months ended September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Debt financing charge on convertible notes</w:t>
            </w:r>
          </w:p>
        </w:tc>
        <w:tc>
          <w:tcPr>
            <w:tcW w:w="30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shd w:val="clear" w:color="auto" w:fill="CFF0FC"/>
          </w:tcPr>
          <w:p>
            <w:pPr>
              <w:jc w:val="right"/>
              <w:ind w:right="5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(464)</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464</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Gain (loss) on foreign exchange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260" w:type="dxa"/>
            <w:vAlign w:val="bottom"/>
          </w:tcPr>
          <w:p>
            <w:pPr>
              <w:spacing w:after="0"/>
              <w:rPr>
                <w:sz w:val="14"/>
                <w:szCs w:val="14"/>
                <w:color w:val="auto"/>
              </w:rPr>
            </w:pPr>
          </w:p>
        </w:tc>
        <w:tc>
          <w:tcPr>
            <w:tcW w:w="7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(384)%</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26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145"/>
        </w:trPr>
        <w:tc>
          <w:tcPr>
            <w:tcW w:w="3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(139,78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Change in fair value of convertible notes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(15,398)</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15,398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(165,703)</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(25,921)</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539%</w:t>
            </w: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14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(60,345)</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(61,600)</w:t>
            </w:r>
          </w:p>
        </w:tc>
        <w:tc>
          <w:tcPr>
            <w:tcW w:w="26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other earnout shares</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(3,798)</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(3,798)</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105,463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105,463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60" w:type="dxa"/>
            <w:vAlign w:val="bottom"/>
          </w:tcPr>
          <w:p>
            <w:pPr>
              <w:ind w:left="80"/>
              <w:spacing w:after="0" w:line="145" w:lineRule="exact"/>
              <w:rPr>
                <w:sz w:val="20"/>
                <w:szCs w:val="20"/>
                <w:color w:val="auto"/>
              </w:rPr>
            </w:pPr>
            <w:r>
              <w:rPr>
                <w:rFonts w:ascii="Times New Roman" w:cs="Times New Roman" w:eastAsia="Times New Roman" w:hAnsi="Times New Roman"/>
                <w:sz w:val="15"/>
                <w:szCs w:val="15"/>
                <w:color w:val="auto"/>
              </w:rPr>
              <w:t>Change in fair value of unissued shares of 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(244)</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(244)</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Change in fair value of committed equity facility</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1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(1,032)</w:t>
            </w:r>
          </w:p>
        </w:tc>
        <w:tc>
          <w:tcPr>
            <w:tcW w:w="260" w:type="dxa"/>
            <w:vAlign w:val="bottom"/>
          </w:tcPr>
          <w:p>
            <w:pPr>
              <w:spacing w:after="0"/>
              <w:rPr>
                <w:sz w:val="14"/>
                <w:szCs w:val="14"/>
                <w:color w:val="auto"/>
              </w:rPr>
            </w:pPr>
          </w:p>
        </w:tc>
        <w:tc>
          <w:tcPr>
            <w:tcW w:w="7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(1,528)</w:t>
            </w:r>
          </w:p>
        </w:tc>
        <w:tc>
          <w:tcPr>
            <w:tcW w:w="260" w:type="dxa"/>
            <w:vAlign w:val="bottom"/>
          </w:tcPr>
          <w:p>
            <w:pPr>
              <w:spacing w:after="0"/>
              <w:rPr>
                <w:sz w:val="14"/>
                <w:szCs w:val="14"/>
                <w:color w:val="auto"/>
              </w:rPr>
            </w:pPr>
          </w:p>
        </w:tc>
        <w:tc>
          <w:tcPr>
            <w:tcW w:w="7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other expense, net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(3,652)</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(14,184)</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10,532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gridSpan w:val="3"/>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(120,897)</w:t>
            </w:r>
          </w:p>
        </w:tc>
        <w:tc>
          <w:tcPr>
            <w:tcW w:w="180" w:type="dxa"/>
            <w:vAlign w:val="bottom"/>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(23,515)</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(97,382)</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3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“other expense, net” for the three and nine months ended September 20, 2025 compared to the three and nine months ended September 30, 2024 was driven by the fair value changes in the different financial instruments in place during each period. In the first quarter of 2025, as a result of the Merger, the convertible notes, convertible preferred stock, and warrants were all converted into shares of our common stock. These instruments were, therefore, only outstanding fully during the comparative period for 2024.</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“Other, net” includes fines and penalties as well as the Committed Equity Facility transaction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accounting principles generally accepted in the U.S. (“GAAP”), we also use EBITDA and Adjusted EBITDA to evaluate our ongoing operations and for internal planning and forecasting purposes. Non-GAAP financial information is presented for supplemental informational purposes only, should not be considered in isolation or as a substitute for financial information presented in accordance with GAAP, and may be different from similarly-titled non-GAAP measures used by other companies. We believe that along with our GAAP financial information, our non-GAAP financial information when taken collectively and evaluated appropriately, is helpful to investors in assessing our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adjusted for certain unusual and other significant items and removes the volatility associated with non-cash items such as stock-based compensation, changes in fair value, and operational income and expenses that are not expected to be ongoing, as discussed below in the footnote to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three and nine months ended September 30,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7"/>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Nine Months Ended September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5"/>
        </w:trPr>
        <w:tc>
          <w:tcPr>
            <w:tcW w:w="3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3780" w:type="dxa"/>
            <w:vAlign w:val="bottom"/>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(Amounts in thousands)</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8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86"/>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1"/>
                <w:szCs w:val="11"/>
                <w:color w:val="auto"/>
              </w:rPr>
            </w:pPr>
          </w:p>
        </w:tc>
      </w:tr>
      <w:tr>
        <w:trPr>
          <w:trHeight w:val="155"/>
        </w:trPr>
        <w:tc>
          <w:tcPr>
            <w:tcW w:w="3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(26,258)</w:t>
            </w:r>
          </w:p>
        </w:tc>
        <w:tc>
          <w:tcPr>
            <w:tcW w:w="1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rPr>
              <w:t>(25,607)</w:t>
            </w:r>
          </w:p>
        </w:tc>
        <w:tc>
          <w:tcPr>
            <w:tcW w:w="2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(651)</w:t>
            </w:r>
          </w:p>
        </w:tc>
        <w:tc>
          <w:tcPr>
            <w:tcW w:w="20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 $</w:t>
            </w:r>
          </w:p>
        </w:tc>
        <w:tc>
          <w:tcPr>
            <w:tcW w:w="82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(203,608)</w:t>
            </w:r>
          </w:p>
        </w:tc>
        <w:tc>
          <w:tcPr>
            <w:tcW w:w="200" w:type="dxa"/>
            <w:vAlign w:val="bottom"/>
            <w:gridSpan w:val="2"/>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(54,503)</w:t>
            </w: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5"/>
                <w:szCs w:val="15"/>
                <w:color w:val="auto"/>
              </w:rPr>
              <w:t>(149,105)</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274%</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222</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Interest income, net</w:t>
            </w:r>
          </w:p>
        </w:tc>
        <w:tc>
          <w:tcPr>
            <w:tcW w:w="180" w:type="dxa"/>
            <w:vAlign w:val="bottom"/>
          </w:tcPr>
          <w:p>
            <w:pPr>
              <w:spacing w:after="0"/>
              <w:rPr>
                <w:sz w:val="14"/>
                <w:szCs w:val="14"/>
                <w:color w:val="auto"/>
              </w:rPr>
            </w:pPr>
          </w:p>
        </w:tc>
        <w:tc>
          <w:tcPr>
            <w:tcW w:w="780" w:type="dxa"/>
            <w:vAlign w:val="bottom"/>
            <w:gridSpan w:val="2"/>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(693)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140" w:type="dxa"/>
            <w:vAlign w:val="bottom"/>
          </w:tcPr>
          <w:p>
            <w:pPr>
              <w:spacing w:after="0"/>
              <w:rPr>
                <w:sz w:val="14"/>
                <w:szCs w:val="14"/>
                <w:color w:val="auto"/>
              </w:rPr>
            </w:pPr>
          </w:p>
        </w:tc>
        <w:tc>
          <w:tcPr>
            <w:tcW w:w="820" w:type="dxa"/>
            <w:vAlign w:val="bottom"/>
            <w:gridSpan w:val="2"/>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(1,406)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2"/>
              <w:spacing w:after="0" w:line="162" w:lineRule="exact"/>
              <w:rPr>
                <w:sz w:val="20"/>
                <w:szCs w:val="20"/>
                <w:color w:val="auto"/>
              </w:rPr>
            </w:pPr>
            <w:r>
              <w:rPr>
                <w:rFonts w:ascii="Times New Roman" w:cs="Times New Roman" w:eastAsia="Times New Roman" w:hAnsi="Times New Roman"/>
                <w:sz w:val="15"/>
                <w:szCs w:val="15"/>
                <w:color w:val="auto"/>
              </w:rPr>
              <w:t>(1,677)</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(16)%</w:t>
            </w: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5"/>
        </w:trPr>
        <w:tc>
          <w:tcPr>
            <w:tcW w:w="3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EBITDA</w:t>
            </w:r>
          </w:p>
        </w:tc>
        <w:tc>
          <w:tcPr>
            <w:tcW w:w="1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(26,566)</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rPr>
              <w:t>(26,574)</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2"/>
              <w:spacing w:after="0" w:line="156" w:lineRule="exact"/>
              <w:rPr>
                <w:sz w:val="20"/>
                <w:szCs w:val="20"/>
                <w:color w:val="auto"/>
              </w:rPr>
            </w:pPr>
            <w:r>
              <w:rPr>
                <w:rFonts w:ascii="Times New Roman" w:cs="Times New Roman" w:eastAsia="Times New Roman" w:hAnsi="Times New Roman"/>
                <w:sz w:val="15"/>
                <w:szCs w:val="15"/>
                <w:color w:val="auto"/>
              </w:rPr>
              <w:t>(203,781)</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line="156" w:lineRule="exact"/>
              <w:rPr>
                <w:sz w:val="20"/>
                <w:szCs w:val="20"/>
                <w:color w:val="auto"/>
              </w:rPr>
            </w:pPr>
            <w:r>
              <w:rPr>
                <w:rFonts w:ascii="Times New Roman" w:cs="Times New Roman" w:eastAsia="Times New Roman" w:hAnsi="Times New Roman"/>
                <w:sz w:val="15"/>
                <w:szCs w:val="15"/>
                <w:color w:val="auto"/>
              </w:rPr>
              <w:t>(55,144)</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5"/>
                <w:szCs w:val="15"/>
                <w:color w:val="auto"/>
              </w:rPr>
              <w:t>(148,637)</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270%</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9,486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2,542%</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28,092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2,596%</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Fair value changes and financing charges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4,424</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15,488</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(11,064)</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(71)%</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121,511</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25,130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96,381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384%</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Transaction costs</w:t>
            </w:r>
          </w:p>
        </w:tc>
        <w:tc>
          <w:tcPr>
            <w:tcW w:w="180" w:type="dxa"/>
            <w:vAlign w:val="bottom"/>
          </w:tcPr>
          <w:p>
            <w:pPr>
              <w:spacing w:after="0"/>
              <w:rPr>
                <w:sz w:val="14"/>
                <w:szCs w:val="14"/>
                <w:color w:val="auto"/>
              </w:rPr>
            </w:pPr>
          </w:p>
        </w:tc>
        <w:tc>
          <w:tcPr>
            <w:tcW w:w="780" w:type="dxa"/>
            <w:vAlign w:val="bottom"/>
            <w:gridSpan w:val="2"/>
          </w:tcPr>
          <w:p>
            <w:pPr>
              <w:jc w:val="right"/>
              <w:ind w:right="162"/>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11,880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7,288%</w:t>
            </w:r>
          </w:p>
        </w:tc>
      </w:tr>
      <w:tr>
        <w:trPr>
          <w:trHeight w:val="162"/>
        </w:trPr>
        <w:tc>
          <w:tcPr>
            <w:tcW w:w="37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Non-cash inventory cost realignment adjustments</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(155)%</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2"/>
              <w:spacing w:after="0" w:line="162" w:lineRule="exact"/>
              <w:rPr>
                <w:sz w:val="20"/>
                <w:szCs w:val="20"/>
                <w:color w:val="auto"/>
              </w:rPr>
            </w:pPr>
            <w:r>
              <w:rPr>
                <w:rFonts w:ascii="Times New Roman" w:cs="Times New Roman" w:eastAsia="Times New Roman" w:hAnsi="Times New Roman"/>
                <w:sz w:val="15"/>
                <w:szCs w:val="15"/>
                <w:color w:val="auto"/>
              </w:rPr>
              <w:t>(656)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(835)</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(466)%</w:t>
            </w:r>
          </w:p>
        </w:tc>
      </w:tr>
      <w:tr>
        <w:trPr>
          <w:trHeight w:val="162"/>
        </w:trPr>
        <w:tc>
          <w:tcPr>
            <w:tcW w:w="3780" w:type="dxa"/>
            <w:vAlign w:val="bottom"/>
          </w:tcPr>
          <w:p>
            <w:pPr>
              <w:ind w:left="80"/>
              <w:spacing w:after="0" w:line="162" w:lineRule="exact"/>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(5,419)%</w:t>
            </w: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5,080%</w:t>
            </w:r>
          </w:p>
        </w:tc>
      </w:tr>
      <w:tr>
        <w:trPr>
          <w:trHeight w:val="196"/>
        </w:trPr>
        <w:tc>
          <w:tcPr>
            <w:tcW w:w="37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Adjusted EBITDA</w:t>
            </w:r>
          </w:p>
        </w:tc>
        <w:tc>
          <w:tcPr>
            <w:tcW w:w="1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(11,066</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(10,478</w:t>
            </w:r>
          </w:p>
        </w:tc>
        <w:tc>
          <w:tcPr>
            <w:tcW w:w="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(588)</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6%</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(39,372</w:t>
            </w:r>
          </w:p>
        </w:tc>
        <w:tc>
          <w:tcPr>
            <w:tcW w:w="18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(28,564</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(10,808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jc w:val="both"/>
        <w:ind w:firstLine="8"/>
        <w:spacing w:after="0" w:line="264" w:lineRule="auto"/>
        <w:tabs>
          <w:tab w:leader="none" w:pos="167"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Issue Shares of Our Common Stock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September 30, 2025, we have commitments to issue 29,318,739 shares of common stock to employees and others under stock option awards, and an additional 10,764,848 shares of our common stock under employee and other RSU awards. We have further reserved 3,047,669 shares of our common stock under an employee stock purchase plan, which has not yet commenced.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Additionally, 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Further, we have a total of 29,698,250 warrants to purchase shares of our common stock outstanding, exercisable at $11.50 per share, expiring at various dates within the first quarter of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 Sales Partner Referral Agreement with an affiliate that allows for shares of our common stock to be issued to that affiliate in respect of a sales commission. Cash or shares of stock for commission payments are to be released upon our receipt of cash on the sales made under the Sales Partner Referral Agreement. To date, sales have been made to another related party, an affiliate of the sales partner, but no payments have been made on amounts due to us, and therefore, no cash or shares of stock relating to the sales commission have been released.</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also have commitments to issue shares of our common stock under the Committed Equity Facility and Polar Private Placement,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Available Financing Facilities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July 14, 2025, we entered into a Committed Equity Facility with B. Riley. Pursuant to the Committed Equity Facility, we have the right, but not the obligation, to sell to B. Riley up to an aggregate of $50.0 million of newly issued shares of our common stock, subject to certain conditions and limitations. As of September 30, 2025, we had settled 5,673,734 shares of our common stock, sold to B. Riley for net proceeds of $20.0 million.</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Subsequent to September 30, 2025, we settled additional shares of newly-issued common stock, sold to B. Riley under this agreement, and as of October 17, 2025, the most recent date of such a sale, we had settled a total of 8,410,321 shares of our common stock, sold to B. Riley under the Committed Equity Facility, for net proceeds of $33.4 million.</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November 10, 2025, Blaize and Polar entered into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and for the year ended December 31, 2024, certain agreements were in place which provided us with funding. Upon the consummation of the Merger, these agreements all converted to equity (shares of our common stock or warrants to purchase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2025 and 2024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27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2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(57,290)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(35,788)</w:t>
            </w: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(26,224)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$57.3 million for the nine months ended September 30, 2025, compared to $35.8 million for the nine months ended September 30, 2024. The increase in cash used in operating activities was primarily due to an increase of $149.1 million in net loss, partially offset by an increase in adjustments to reconcile net loss to net cash used in operating expenses of $122.0 million and an increase in changes in operating assets and liabilities of $5.6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we used $0.7 million and $1.2 million, respectively, of cash to purchase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$31.8 million, which primarily consisted of $20.0 million of proceeds from the Committed Equity Facility and $15.9 million of proceeds from the Merger and PIPE financing, partially offset by the $4.3 million payment of deferred offering costs. Net cash provided by financing activities for the nine months ended September 30, 2024 of $102.4 million primarily consisted of $110.7 million in proceeds from the issuance of secured convertible notes under the 2023 Note Purchase Agreement, partially offset by the payment of demand notes of $4.8 million and deferred offering costs of $3.7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Cash Availability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Material cash requirements generally include the near-term general corporate expenses of the business, such as employee payroll and consulting fees. Additionally, as of September 30, 2025 and December 31, 2024, we had outstanding purchase orders and contractual obligations totaling $0.5 million and $0.2 million, respectively, to procure inventory.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on hand of $24.0 million, and we had $30.0 million remaining available to draw on the Committed Equity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 anniversary of the closing of BurTech’s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condensed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income taxes, revenue, the net realizable value of inventories, the liability or equity classification and/or valuation of financial instruments, which may be complex financial instruments. Our financial instruments subject to valuation other than a Level 1 valuation technique currently include the Committed Equity Facility, earnout shares, and the valuation of stock-based compensation awards subject to market conditions, and historically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62" w:lineRule="exact"/>
        <w:rPr>
          <w:sz w:val="20"/>
          <w:szCs w:val="20"/>
          <w:color w:val="auto"/>
        </w:rPr>
      </w:pPr>
    </w:p>
    <w:p>
      <w:pPr>
        <w:jc w:val="both"/>
        <w:ind w:firstLine="511"/>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Condensed Consolidated Financial Statements in Part I, Item 1 of this Quarterly Report on Form 10-Q for a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reflect the consummation of the Merger and other transactions contemplated by the Merger Agreement (altogether with the Merger, the “Business Combination”), which was accounted for as a reverse recapitalization in accordance with U.S. GAAP. The accounting for the Business Combination required management to make significant estimates and judgments, particularly in identifying the accounting acquirer, determining the fair value of instruments issued, and evaluating the classification of certain financial instruments.</w:t>
      </w:r>
    </w:p>
    <w:p>
      <w:pPr>
        <w:spacing w:after="0" w:line="17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8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addition, management evaluated the appropriate classification of certain financial instruments such as contingent earnout liabilities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deferred tax asset balance is currently subject to a full valuation allowance. In evaluating the need for a valuation allowance, management considers both positive and negative evidence, including historical operating results, forecasts of future taxable income, the reversal of existing temporary differences, tax planning strategies, and the length of carryforward periods. The weight given to each piece of evidence depends on the extent to which it can be objectively verified. The most significant factor in this assessment is management’s projection of future taxable income, which inherently involves estimates and assumptions regarding future business performance, market conditions, and other factors that may affect profitability. Should actual results differ materially from our estimates of future taxable income, or should there be a change in the weighting of available evidence, our conclusion regarding the need for, or amount of, a valuation allowance could change significantly in future periods.</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While accounting for income taxes involves several areas of judgment, the valuation allowance represents the most significant estimate subject to material variability in future periods. Management reviews the realizability of deferred tax assets at each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date and adjusts the valuation allowance as appropriate based on updated information and revised forecasts.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We must make significant estimates and assumptions as we follow the revenue accounting model of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to (i) identify the contract(s) with a customer; (ii) identify the performance obligations in the contract; (iii) determine the transaction price; (iv)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Most of the products and services function on a standalone basis and do not require a significant amount of integration or interdependency. Therefore, multiple 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 out method. NRV represents the estimated selling price in the ordinary course of business, less reasonably predictable costs of completion, disposal, and transportation.</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include various instruments with characteristics of both debt and equity, currently including the Committed Equity Facility, earnout shares, and warrants trading under the ticker symbol “BZAIW”,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Committed Equity Facility, the earnout shares, and stock options. Previously outstanding instruments subject to valuation have included convertible notes and previously outstanding warrants.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 Over time, the fair value of this put option will revert to zero, as the Committed Equity Facility is either fully utilized or expired.</w:t>
      </w:r>
    </w:p>
    <w:p>
      <w:pPr>
        <w:spacing w:after="0" w:line="183"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 date closing share price of our common stock. The embedded derivative of the forward contract does not involve a complex valuation model.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earnout shares have been valued using a Monte Carlo simulation model, as described above.</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previous issue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previous issue of convertible notes was valued at an assumed market price, and did not involve a complex valuation model.</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September 30, 2025, the material weaknesses of the combined entity were remediated by the Company.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our remediation of the prior material weakness of the combined company, as referred to above, there have not been any changes in our internal control over financial reporting (as such term is defined in Rules 13a-15(f) and 15d-15(f) under the Exchange Act) that occurred during the nine months ended September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15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external partners for critical processes in manufacturing our products.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rely on certain external partners for critical manufacturing steps for our semiconductor and/or System-on-a-Chip (“SoC”) products, including our wafer fabrication,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reliance on these third-party manufacturers also subjects us to risks that include, but are not limited to:</w:t>
      </w:r>
    </w:p>
    <w:p>
      <w:pPr>
        <w:spacing w:after="0" w:line="22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procuring inventory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of our control;</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production delays, increased costs, or a compromise in the quality and performance of our products, which could materially adversely affect our business and financial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a disruption in our supply chain, any efforts to develop alternative supply sources may not be successful or may take longer to take effect than anticipated.</w:t>
      </w:r>
    </w:p>
    <w:p>
      <w:pPr>
        <w:spacing w:after="0" w:line="15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a design, manufacturing, and sales agreement with a third party that provides us with design expertise, support and assistance, and certain deliverables, prototypes, products, and services. We cannot be certain that this third party will remain in business, or that it will not be purchased by one of our competitors or another company that is not interested in continuing to produce these products for our intended purpose or supply us with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8" w:name="page49"/>
    <w:bookmarkEnd w:id="48"/>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we seek alternative sources of supply, or our manufacturers may have to make financial accommodations to other contract manufacturers or otherwise take steps to mitigate supply disruption. Any alternative manufacturers may be unable or unwilling to meet our and our customers’ specifications.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must enter or exit the United States. Those components are at the highest risk of being affected by the aforementioned changes, and in turn disrupting the supply chain and our product pipeline.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 relatively small number of customers account, and have accounted, for a significant portion of our revenue and accounts receivable balance. In the current year, during the three and nine months ended September 30, 2025, two customers, one a related party and one a third party customer, account for approximately 99% and approximately 90%, respectively, of our revenue, of which approximately 11% and approximately 20%, respectively, is from the related party. As of September 30, 2025, two customers, one a related party and one a third party customer, comprised approximately 90% of our accounts receivable balance, of which approximately 25% is from the related party. In the prior year during the three months ended September 30, 2024, one customer, a related party, accounted for approximately 97% of our revenue and during the nine months ended September 30, 2024, two customers, both related parties, accounted for approximately 98% of our revenue. As of December 31, 2024, one customer, a third party customer, accounted for approximately 98% of our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1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During the three months ending September 30, 2025, we sold 5,673,734 shares of our common stock for net proceeds of $20.0 million pursuant to the Committed Equity Facility. Subsequent to September 30, 2025, we sold additional shares of newly-issued common stock under this agreement, and as of October 17, 2025, the most recent date of such a sale, we had sold a total of 8,410,321 shares of our common stock to B. Riley for net proceeds of $33.4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As of September 30, 2025, there were 14,569,072 registered shares available for purchase under the Committed Equity Facility. Assuming all of the registered shares available and offered for resale by B. Riley were sold by us to B. Riley for $3.45 per share of common stock (which represents the official closing share price of our common stock on Nasdaq on September 30, 2025), less a 3.0% discount (the same fixed percentage discount that will be used to calculate the applicable per share purchase price for shares of common stock that we may elect to sell to B. Riley under the Committed Equity Facility), we would only receive aggregate gross proceeds of $29.3 million. Therefore,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20,326,158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conditions could materially adversely affect our business, financial condition, results of operations, and prospects.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Macroeconomic conditions, such as persistent high inflation, changes to monetary policy, high interest rates, volatile currency exchange rates, credit and debt concerns, decreasing consumer confidence and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225"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July 15, 2025, the Company issued an aggregate of 769,231 shares of common stock to Cantor Fitzgerald &amp; Co. (“Cantor”) in a private placement under the Securities Act in connection with that certain Engagement Letter, dated April 11, 2025, by and between the Company and Cantor.</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settled 5,673,734 newly-issued shares of our common stock for total net proceeds of $20.0 million, sold to B. Riley Principal Capital II, LLC under the Common Stock Purchase Agreement (the “Committed Equity Facility”), dated July 14, 2025.</w:t>
      </w:r>
    </w:p>
    <w:p>
      <w:pPr>
        <w:spacing w:after="0" w:line="172" w:lineRule="exact"/>
        <w:rPr>
          <w:sz w:val="20"/>
          <w:szCs w:val="20"/>
          <w:color w:val="auto"/>
        </w:rPr>
      </w:pPr>
    </w:p>
    <w:p>
      <w:pPr>
        <w:ind w:left="460" w:right="9580" w:hanging="452"/>
        <w:spacing w:after="0" w:line="500" w:lineRule="auto"/>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740" w:hanging="452"/>
        <w:spacing w:after="0" w:line="500" w:lineRule="auto"/>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or terminated a trading arrangement for the purchase of Company securities for the three months ended September 30, 2025 that is either (i) a contract, instruction, or written plan intended to satisfy the affirmative defense conditions of Rule 10b5-1(c), or a “Rule 10b5-1 trading arrangement” or (ii) a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Polaris Private Placement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November 10, 2025, Blaize Holdings, Inc. (the “Company”) entered into a securities purchase agreement (the “Purchase Agreement”) with affiliates of Polar Asset Management Partners Inc. (“Polar” or the “Purchaser”), for the private placement (the “Polar Private Placement”) of (i) 9,375,000 shares (the “Shares”) of the Company’s common stock (the “Common Stock”), at a purchase price of $3.20 per Share and (ii) 9,375,000 warrants to purchase additional shares of Common Stock (the “Warrants”). The Warrants have a term of five years and an exercise price of $5.00 per share. The aggregate gross proceeds for the Polar Private Placement are $30.0 million, before deducting offering expenses. The Company intends to use the net proceeds from the financing for general corporate and working capital purposes.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agreed that until the date that is 60 days from the effective date (the “Effective Date”) of the registration statement (the “Registration Statement”) filed by the Company with the Securities and Exchange Commission (the “SEC”) for purposes of registering the resale of the Shares, neither the Company nor any subsidiary will issue, enter into any agreement to issue or announce the issuance of Common Stock or any securities convertible into or exercisable or exchangeable for Common Stock, or file a registration statement other than the Registration Statement, subject to certain exceptions, including the Company’s existing committed equity financing facility. The Company has further agreed not to enter into an agreement involving a Variable Rate Transaction (as defined in the Purchase Agreement) until 180 days from the Effective Date, subject to exceptions. In addition, pursuant to lock-up agreements, the Company’s executive officers and directors agreed that until the date that they will not sell or transfer any Common Stock or any securities convertible into or exercisable or exchangeable for Common Stock, subject to certain exceptions, for a time period defined in those certain lock-up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indemnification obligations of the Company and the Purchaser, including for liabilities under the Securities Act of 1933, as amended (the “Securities Act”), and other obligations of the parties. The representations, warranties and covenants contained in the Purchase Agreement were made only for purposes of such Purchase Agreement and are made as of specific dates; are solely for the benefit of the parties (except as specifically set forth therein); may be subject to qualifications and limitations agreed upon by the parties in connection with negotiating the terms of the Purchase Agreement,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Warrants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Warrants have an exercise price of $5.00 per share of Common Stock and will be exercisable commencing on the Initial Exercise Date and will expire on the fifth anniversary of the issuance dates of the Warrants.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at any time after six month anniversary of the grant date, a registration statement registering the issuance of the Common Warrant Shares under the Securities Act is not effective or available, the holder may, in its sole discretion, elect to exercise the Warrants through a cashless exercise, in which case the holder would receive upon such exercise the net number of shares of Common Stock determined according to the formula set forth in the Warrants.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exercise price of the Warrants, and the number of Warrant Shares, will be subject to adjustment in the event of any stock dividend or split, reverse stock split, recapitalization, reorganization or similar transaction, as described in the Warrants.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Warrants if the holder (together with its affiliates) would beneficially own in excess of 4.99% of the number of shares of Common Stock outstanding immediately after giving effect to the exercise, as such percentage ownership is determined in accordance with the terms of the warrants. However, any holder may increase or decrease such percentage up to 9.99%.</w:t>
      </w:r>
    </w:p>
    <w:p>
      <w:pPr>
        <w:spacing w:after="0" w:line="176"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the event of a Fundamental Transaction (as such term is defined in the Warrants), the successor entity will succeed to, and be substituted for the Company, and may exercise every right and power that the Company may exercise and will assume all of its obligations under the Warrants with the same effect as if the successor entity had been named in the warrant itself. If holders of Common Stock are given a choice as to the securities, cash or property to be received in a Fundamental Transaction, then the holder will be given the same choice as to the consideration it receives upon any exercise of the Warrants following the Fundamental Transaction. In addition, the successor entity, at the request of holders of Warrants, will be obligated to purchase any unexercised portion of the Warrants in accordance with their terms. Notwithstanding the foregoing, in the event of a Fundamental Transaction, the holders of the Warrants have the right to require the Company or a successor entity to redeem the Warrants for cash in the amount of the Black Scholes Value (as defined in the Warrants) of the unexercised portion of the Warrants concurrently with or within thirty (30) days following the consummation of a Fundamental Transaction. However, in the event of a Fundamental Transaction that is not in the Company’s control, including a Fundamental Transaction not approved by the Company’s board of directors, the holders of the Warrants will only be entitled to receive from the Company or its successor entity the same type or form of consideration (and in the same proportion), at the Black Scholes Value of the unexercised portion of the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addition, on November 10, 2025, the Company and the Purchaser entered into a registration rights agreement (the “Registration Rights Agreement”), pursuant to which the Company agreed to file a Registration Statement with the SEC on or before November 30, 2025 for purposes of registering the resale of the Shares and Warrant Shares, to use its reasonable best efforts to have such Registration Statement declared effective no later than 30 days after filing (or 60 days after filing in the event of SEC review), and to keep the Registration Statement effective until the date that all registrable securities covered by the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Polar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 represented that it was an accredited investor within the meaning of Rule 501(a) of Regulation D and were acquiring the Shares as principal for their own accounts and not with a view to or for distributing or reselling the Shares. The shares of the Company’s common stock were offered without any general solicitation by the Company or its representatives. The shares of the Company’s common stock sold and issued in the Polar Private Placement will not be registered under the Securities Act or any state securities laws and may not be offered or sold in the United States absent registration with the SEC or an applicable exemption from the registration requirements.</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Warrant and the Registration Rights Agreement do not purport to be complete and are qualified in their entirety by reference to the Purchase Agreement, form of Warrant and the Registration Rights Agreement filed as Exhibits 10.4, 10.5 and 10.6, respectively, 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4"/>
                <w:szCs w:val="14"/>
                <w:color w:val="auto"/>
              </w:rPr>
            </w:pPr>
          </w:p>
        </w:tc>
        <w:tc>
          <w:tcPr>
            <w:tcW w:w="59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1"/>
                <w:szCs w:val="21"/>
                <w:color w:val="auto"/>
              </w:rPr>
            </w:pPr>
          </w:p>
        </w:tc>
        <w:tc>
          <w:tcPr>
            <w:tcW w:w="40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Amended and Restated Bylaws of Blaize Holdings, Inc.</w:t>
              </w:r>
            </w:hyperlink>
          </w:p>
        </w:tc>
        <w:tc>
          <w:tcPr>
            <w:tcW w:w="540" w:type="dxa"/>
            <w:vAlign w:val="bottom"/>
          </w:tcPr>
          <w:p>
            <w:pPr>
              <w:spacing w:after="0"/>
              <w:rPr>
                <w:sz w:val="21"/>
                <w:szCs w:val="21"/>
                <w:color w:val="auto"/>
              </w:rPr>
            </w:pPr>
          </w:p>
        </w:tc>
        <w:tc>
          <w:tcPr>
            <w:tcW w:w="23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Blaize Holdings, Inc. Form of Stock Option Agreement under the Blaize Holdings, Inc. 2025 Incentive</w:t>
              </w:r>
            </w:hyperlink>
          </w:p>
        </w:tc>
        <w:tc>
          <w:tcPr>
            <w:tcW w:w="4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Award Plan</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1"/>
                <w:szCs w:val="21"/>
                <w:color w:val="auto"/>
              </w:rPr>
            </w:pPr>
          </w:p>
        </w:tc>
        <w:tc>
          <w:tcPr>
            <w:tcW w:w="7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Common Stock Purchase Agreement, dated as of July 14, 2025, by and between the Company and B. Riley</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Principal Capital II, LLC.</w:t>
              </w:r>
            </w:hyperlink>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1"/>
                <w:szCs w:val="21"/>
                <w:color w:val="auto"/>
              </w:rPr>
            </w:pPr>
          </w:p>
        </w:tc>
        <w:tc>
          <w:tcPr>
            <w:tcW w:w="73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Registration Rights Agreement, dated as of July 14, 2025, by and between the Company and B. Riley</w:t>
              </w:r>
            </w:hyperlink>
          </w:p>
        </w:tc>
        <w:tc>
          <w:tcPr>
            <w:tcW w:w="5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Principal Capital II, LLC.</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Securities Purchase Agreement, dated as of November 10, 2025, by and among the Company, Polar</w:t>
              </w:r>
            </w:hyperlink>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60" w:type="dxa"/>
            <w:vAlign w:val="bottom"/>
            <w:gridSpan w:val="17"/>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Long/Short Master Fund and Polar Multi-Strategy Master Fund</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8"/>
              </w:rPr>
            </w:pPr>
            <w:hyperlink r:id="rId408">
              <w:r>
                <w:rPr>
                  <w:rFonts w:ascii="Times New Roman" w:cs="Times New Roman" w:eastAsia="Times New Roman" w:hAnsi="Times New Roman"/>
                  <w:sz w:val="18"/>
                  <w:szCs w:val="18"/>
                  <w:color w:val="0000FF"/>
                  <w:w w:val="98"/>
                </w:rPr>
                <w:t>Form of Warrant</w:t>
              </w:r>
            </w:hyperlink>
          </w:p>
        </w:tc>
        <w:tc>
          <w:tcPr>
            <w:tcW w:w="2240" w:type="dxa"/>
            <w:vAlign w:val="bottom"/>
            <w:tcBorders>
              <w:top w:val="single" w:sz="8" w:color="0000FF"/>
              <w:bottom w:val="single" w:sz="8" w:color="0000FF"/>
            </w:tcBorders>
            <w:gridSpan w:val="2"/>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1080" w:type="dxa"/>
            <w:vAlign w:val="bottom"/>
            <w:tcBorders>
              <w:top w:val="single" w:sz="8" w:color="0000FF"/>
              <w:bottom w:val="single" w:sz="8" w:color="0000FF"/>
            </w:tcBorders>
            <w:gridSpan w:val="2"/>
          </w:tcPr>
          <w:p>
            <w:pPr>
              <w:spacing w:after="0"/>
              <w:rPr>
                <w:sz w:val="21"/>
                <w:szCs w:val="21"/>
                <w:color w:val="auto"/>
              </w:rPr>
            </w:pPr>
          </w:p>
        </w:tc>
        <w:tc>
          <w:tcPr>
            <w:tcW w:w="23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Registration Rights Agreement, dated as of November 10, 2025, by and among the Company, Polar</w:t>
              </w:r>
            </w:hyperlink>
          </w:p>
        </w:tc>
        <w:tc>
          <w:tcPr>
            <w:tcW w:w="6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60" w:type="dxa"/>
            <w:vAlign w:val="bottom"/>
            <w:gridSpan w:val="17"/>
            <w:vMerge w:val="restart"/>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Long/Short Master Fund and Polar Multi-Strategy Master Fund</w:t>
              </w:r>
            </w:hyperlink>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6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Certification of Principal Executive Officer Pursuant to Rules 13a-14(a) and 15d-14(a) under the Securities</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8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Exchange Act of 1934, as Adopted Pursuant to Section 302 of the Sarbanes-Oxley Act of 2002.</w:t>
              </w:r>
            </w:hyperlink>
          </w:p>
        </w:tc>
        <w:tc>
          <w:tcPr>
            <w:tcW w:w="9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80" w:type="dxa"/>
            <w:vAlign w:val="bottom"/>
            <w:tcBorders>
              <w:bottom w:val="single" w:sz="8" w:color="0000FF"/>
            </w:tcBorders>
            <w:gridSpan w:val="9"/>
            <w:vMerge w:val="continue"/>
          </w:tcPr>
          <w:p>
            <w:pPr>
              <w:spacing w:after="0"/>
              <w:rPr>
                <w:sz w:val="3"/>
                <w:szCs w:val="3"/>
                <w:color w:val="auto"/>
              </w:rPr>
            </w:pPr>
          </w:p>
        </w:tc>
        <w:tc>
          <w:tcPr>
            <w:tcW w:w="9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Certification of Principal Financial Officer Pursuant to Rules 13a-14(a) and 15d-14(a) under the Securities</w:t>
              </w:r>
            </w:hyperlink>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8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Exchange Act of 1934, as Adopted Pursuant to Section 302 of the Sarbanes-Oxley Act of 2002.</w:t>
              </w:r>
            </w:hyperlink>
          </w:p>
        </w:tc>
        <w:tc>
          <w:tcPr>
            <w:tcW w:w="9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80" w:type="dxa"/>
            <w:vAlign w:val="bottom"/>
            <w:tcBorders>
              <w:bottom w:val="single" w:sz="8" w:color="0000FF"/>
            </w:tcBorders>
            <w:gridSpan w:val="9"/>
            <w:vMerge w:val="continue"/>
          </w:tcPr>
          <w:p>
            <w:pPr>
              <w:spacing w:after="0"/>
              <w:rPr>
                <w:sz w:val="3"/>
                <w:szCs w:val="3"/>
                <w:color w:val="auto"/>
              </w:rPr>
            </w:pPr>
          </w:p>
        </w:tc>
        <w:tc>
          <w:tcPr>
            <w:tcW w:w="9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5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Certification of Principal Executive Officer Pursuant to 18 U.S.C. Section 1350, as Adopted Pursuant to</w:t>
              </w:r>
            </w:hyperlink>
          </w:p>
        </w:tc>
        <w:tc>
          <w:tcPr>
            <w:tcW w:w="3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80" w:type="dxa"/>
            <w:vAlign w:val="bottom"/>
            <w:gridSpan w:val="5"/>
            <w:vMerge w:val="restart"/>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Section 906 of the Sarbanes-Oxley Act of 2002.</w:t>
              </w:r>
            </w:hyperlink>
          </w:p>
        </w:tc>
        <w:tc>
          <w:tcPr>
            <w:tcW w:w="438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80" w:type="dxa"/>
            <w:vAlign w:val="bottom"/>
            <w:tcBorders>
              <w:bottom w:val="single" w:sz="8" w:color="0000FF"/>
            </w:tcBorders>
            <w:gridSpan w:val="5"/>
            <w:vMerge w:val="continue"/>
          </w:tcPr>
          <w:p>
            <w:pPr>
              <w:spacing w:after="0"/>
              <w:rPr>
                <w:sz w:val="3"/>
                <w:szCs w:val="3"/>
                <w:color w:val="auto"/>
              </w:rPr>
            </w:pPr>
          </w:p>
        </w:tc>
        <w:tc>
          <w:tcPr>
            <w:tcW w:w="438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Certification of Principal Financial Officer Pursuant to 18 U.S.C. Section 1350, as Adopted Pursuant to</w:t>
              </w:r>
            </w:hyperlink>
          </w:p>
        </w:tc>
        <w:tc>
          <w:tcPr>
            <w:tcW w:w="3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6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Section 906 of the Sarbanes-Oxley Act of 2002.</w:t>
              </w:r>
            </w:hyperlink>
          </w:p>
        </w:tc>
        <w:tc>
          <w:tcPr>
            <w:tcW w:w="4400" w:type="dxa"/>
            <w:vAlign w:val="bottom"/>
            <w:gridSpan w:val="1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60" w:type="dxa"/>
            <w:vAlign w:val="bottom"/>
            <w:tcBorders>
              <w:bottom w:val="single" w:sz="8" w:color="0000FF"/>
            </w:tcBorders>
            <w:gridSpan w:val="4"/>
            <w:vMerge w:val="continue"/>
          </w:tcPr>
          <w:p>
            <w:pPr>
              <w:spacing w:after="0"/>
              <w:rPr>
                <w:sz w:val="3"/>
                <w:szCs w:val="3"/>
                <w:color w:val="auto"/>
              </w:rPr>
            </w:pPr>
          </w:p>
        </w:tc>
        <w:tc>
          <w:tcPr>
            <w:tcW w:w="44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53"/>
        </w:trPr>
        <w:tc>
          <w:tcPr>
            <w:tcW w:w="920" w:type="dxa"/>
            <w:vAlign w:val="bottom"/>
            <w:gridSpan w:val="2"/>
            <w:vMerge w:val="continue"/>
          </w:tcPr>
          <w:p>
            <w:pPr>
              <w:spacing w:after="0"/>
              <w:rPr>
                <w:sz w:val="13"/>
                <w:szCs w:val="13"/>
                <w:color w:val="auto"/>
              </w:rPr>
            </w:pPr>
          </w:p>
        </w:tc>
        <w:tc>
          <w:tcPr>
            <w:tcW w:w="7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6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3086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308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3086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3086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3086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82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32320" cy="182880"/>
                    </a:xfrm>
                    <a:prstGeom prst="rect">
                      <a:avLst/>
                    </a:prstGeom>
                    <a:noFill/>
                  </pic:spPr>
                </pic:pic>
              </a:graphicData>
            </a:graphic>
          </wp:anchor>
        </w:drawing>
      </w:r>
    </w:p>
    <w:p>
      <w:pPr>
        <w:spacing w:after="0" w:line="16" w:lineRule="exact"/>
        <w:rPr>
          <w:sz w:val="20"/>
          <w:szCs w:val="20"/>
          <w:color w:val="auto"/>
        </w:rPr>
      </w:pPr>
    </w:p>
    <w:p>
      <w:pPr>
        <w:ind w:right="2100" w:firstLine="8"/>
        <w:spacing w:after="0" w:line="485" w:lineRule="auto"/>
        <w:tabs>
          <w:tab w:leader="none" w:pos="9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1534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right="80" w:hanging="123"/>
        <w:spacing w:after="0"/>
        <w:rPr>
          <w:sz w:val="20"/>
          <w:szCs w:val="20"/>
          <w:color w:val="auto"/>
        </w:rPr>
      </w:pPr>
      <w:r>
        <w:rPr>
          <w:rFonts w:ascii="Times New Roman" w:cs="Times New Roman" w:eastAsia="Times New Roman" w:hAnsi="Times New Roman"/>
          <w:sz w:val="28"/>
          <w:szCs w:val="28"/>
          <w:b w:val="1"/>
          <w:bCs w:val="1"/>
          <w:color w:val="auto"/>
          <w:vertAlign w:val="superscript"/>
        </w:rPr>
        <w:t>Schedule/</w:t>
      </w:r>
      <w:r>
        <w:rPr>
          <w:rFonts w:ascii="Times New Roman" w:cs="Times New Roman" w:eastAsia="Times New Roman" w:hAnsi="Times New Roman"/>
          <w:sz w:val="14"/>
          <w:szCs w:val="14"/>
          <w:b w:val="1"/>
          <w:bCs w:val="1"/>
          <w:color w:val="auto"/>
        </w:rPr>
        <w:t xml:space="preserve"> Exhibit Ref.</w:t>
      </w:r>
      <w:r>
        <w:rPr>
          <w:sz w:val="20"/>
          <w:szCs w:val="20"/>
          <w:color w:val="auto"/>
        </w:rPr>
        <w:t xml:space="preserve"> </w:t>
      </w:r>
      <w:r>
        <w:rPr>
          <w:rFonts w:ascii="Times New Roman" w:cs="Times New Roman" w:eastAsia="Times New Roman" w:hAnsi="Times New Roman"/>
          <w:sz w:val="14"/>
          <w:szCs w:val="14"/>
          <w:b w:val="1"/>
          <w:bCs w:val="1"/>
          <w:color w:val="auto"/>
        </w:rPr>
        <w:t>Filing Date Form</w:t>
      </w: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1/17/2025</w:t>
            </w: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1/17/2025</w:t>
            </w:r>
          </w:p>
        </w:tc>
      </w:tr>
      <w:tr>
        <w:trPr>
          <w:trHeight w:val="37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9/2/2025</w:t>
            </w:r>
          </w:p>
        </w:tc>
      </w:tr>
      <w:tr>
        <w:trPr>
          <w:trHeight w:val="48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r>
      <w:tr>
        <w:trPr>
          <w:trHeight w:val="48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r>
    </w:tbl>
    <w:p>
      <w:pPr>
        <w:spacing w:after="0" w:line="4923" w:lineRule="exact"/>
        <w:rPr>
          <w:sz w:val="20"/>
          <w:szCs w:val="20"/>
          <w:color w:val="auto"/>
        </w:rPr>
      </w:pPr>
    </w:p>
    <w:p>
      <w:pPr>
        <w:sectPr>
          <w:pgSz w:w="11900" w:h="16838" w:orient="portrait"/>
          <w:cols w:equalWidth="0" w:num="2">
            <w:col w:w="8780" w:space="220"/>
            <w:col w:w="2240"/>
          </w:cols>
          <w:pgMar w:left="320" w:top="981" w:right="339" w:bottom="1440" w:gutter="0" w:footer="0" w:header="0"/>
          <w:type w:val="continuous"/>
        </w:sectPr>
      </w:pPr>
    </w:p>
    <w:p>
      <w:pPr>
        <w:jc w:val="both"/>
        <w:ind w:firstLine="8"/>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54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Roman"/>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0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02" Type="http://schemas.openxmlformats.org/officeDocument/2006/relationships/hyperlink" Target="https://www.sec.gov/Archives/edgar/data/1871638/000119312525008517/d903961dex31.htm" TargetMode="External"/><Relationship Id="rId403" Type="http://schemas.openxmlformats.org/officeDocument/2006/relationships/hyperlink" Target="https://www.sec.gov/Archives/edgar/data/1871638/000119312525008517/d903961dex32.htm" TargetMode="External"/><Relationship Id="rId404" Type="http://schemas.openxmlformats.org/officeDocument/2006/relationships/hyperlink" Target="https://www.sec.gov/Archives/edgar/data/1871638/000119312525194046/d99229dex101.htm" TargetMode="External"/><Relationship Id="rId405" Type="http://schemas.openxmlformats.org/officeDocument/2006/relationships/hyperlink" Target="https://www.sec.gov/Archives/edgar/data/1871638/000119312525158997/d13627dex101.htm" TargetMode="External"/><Relationship Id="rId406" Type="http://schemas.openxmlformats.org/officeDocument/2006/relationships/hyperlink" Target="https://www.sec.gov/Archives/edgar/data/1871638/000119312525158997/d13627dex102.htm" TargetMode="External"/><Relationship Id="rId407" Type="http://schemas.openxmlformats.org/officeDocument/2006/relationships/hyperlink" Target="https://www.sec.gov/Archives/edgar/data/1871638/000119312525280252/bzai-ex10_4.htm" TargetMode="External"/><Relationship Id="rId408" Type="http://schemas.openxmlformats.org/officeDocument/2006/relationships/hyperlink" Target="https://www.sec.gov/Archives/edgar/data/1871638/000119312525280252/bzai-ex10_5.htm" TargetMode="External"/><Relationship Id="rId409" Type="http://schemas.openxmlformats.org/officeDocument/2006/relationships/hyperlink" Target="https://www.sec.gov/Archives/edgar/data/1871638/000119312525280252/bzai-ex10_6.htm" TargetMode="External"/><Relationship Id="rId410" Type="http://schemas.openxmlformats.org/officeDocument/2006/relationships/hyperlink" Target="https://www.sec.gov/Archives/edgar/data/1871638/000119312525280252/bzai-ex31_1.htm" TargetMode="External"/><Relationship Id="rId411" Type="http://schemas.openxmlformats.org/officeDocument/2006/relationships/hyperlink" Target="https://www.sec.gov/Archives/edgar/data/1871638/000119312525280252/bzai-ex31_2.htm" TargetMode="External"/><Relationship Id="rId412" Type="http://schemas.openxmlformats.org/officeDocument/2006/relationships/hyperlink" Target="https://www.sec.gov/Archives/edgar/data/1871638/000119312525280252/bzai-ex32_1.htm" TargetMode="External"/><Relationship Id="rId413" Type="http://schemas.openxmlformats.org/officeDocument/2006/relationships/hyperlink" Target="https://www.sec.gov/Archives/edgar/data/1871638/000119312525280252/bzai-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2025-11-13T16:03:08Z</dcterms:created>
  <dcterms:modified xsi:type="dcterms:W3CDTF">2025-11-13T16:03:08Z</dcterms:modified>
</cp:coreProperties>
</file>