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zai-20251113.htm"/>
      <w:bookmarkStart w:id="1" w:name="ksbzai202511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13,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Blaize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781" w:type="dxa"/>
        <w:jc w:val="left"/>
        <w:tblInd w:w="0" w:type="dxa"/>
        <w:tblLayout w:type="fixed"/>
        <w:tblCellMar>
          <w:top w:w="28" w:type="dxa"/>
          <w:left w:w="28" w:type="dxa"/>
          <w:bottom w:w="28" w:type="dxa"/>
          <w:right w:w="28" w:type="dxa"/>
        </w:tblCellMar>
      </w:tblPr>
      <w:tblGrid>
        <w:gridCol w:w="1272"/>
        <w:gridCol w:w="1161"/>
        <w:gridCol w:w="1166"/>
        <w:gridCol w:w="1846"/>
        <w:gridCol w:w="1336"/>
      </w:tblGrid>
      <w:tr>
        <w:trPr/>
        <w:tc>
          <w:tcPr>
            <w:tcW w:w="127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001-41139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86-2708752</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4659 Golden Foothill Parkway, Suite 206</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 Dorado Hills,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95762</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916</w:t>
            </w:r>
            <w:r>
              <w:rPr>
                <w:rFonts w:ascii="Times New Roman" w:hAnsi="Times New Roman"/>
                <w:color w:val="000000"/>
                <w:sz w:val="20"/>
              </w:rPr>
              <w:t xml:space="preserve"> </w:t>
            </w:r>
            <w:r>
              <w:rPr>
                <w:rFonts w:ascii="Times New Roman" w:hAnsi="Times New Roman"/>
                <w:b/>
                <w:color w:val="000000"/>
                <w:sz w:val="20"/>
              </w:rPr>
              <w:t>347-0050</w:t>
            </w:r>
          </w:p>
        </w:tc>
      </w:tr>
    </w:tbl>
    <w:p>
      <w:pPr>
        <w:pStyle w:val="TextBody"/>
        <w:bidi w:val="0"/>
        <w:jc w:val="left"/>
        <w:rPr/>
      </w:pPr>
      <w:r>
        <w:rPr/>
        <w:t> </w:t>
      </w:r>
    </w:p>
    <w:tbl>
      <w:tblPr>
        <w:tblW w:w="481" w:type="dxa"/>
        <w:jc w:val="left"/>
        <w:tblInd w:w="0" w:type="dxa"/>
        <w:tblLayout w:type="fixed"/>
        <w:tblCellMar>
          <w:top w:w="28" w:type="dxa"/>
          <w:left w:w="28" w:type="dxa"/>
          <w:bottom w:w="28" w:type="dxa"/>
          <w:right w:w="28" w:type="dxa"/>
        </w:tblCellMar>
      </w:tblPr>
      <w:tblGrid>
        <w:gridCol w:w="481"/>
      </w:tblGrid>
      <w:tr>
        <w:trPr/>
        <w:tc>
          <w:tcPr>
            <w:tcW w:w="48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211"/>
        <w:gridCol w:w="146"/>
        <w:gridCol w:w="897"/>
        <w:gridCol w:w="146"/>
        <w:gridCol w:w="2805"/>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r>
      <w:tr>
        <w:trPr/>
        <w:tc>
          <w:tcPr>
            <w:tcW w:w="62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805"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BZAI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whole warrant exercisable for one share of common stock at an exercise price of $11.50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BZAIW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jc w:val="left"/>
        <w:rPr/>
      </w:pPr>
      <w:r>
        <w:rPr/>
        <w: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Heading2"/>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13, 2025, Blaize Holdings, Inc. (“Blaize”) issued a press release announcing its results of operations for the quarter ended September 30, 2025. A copy of the press release is attached hereto as Exhibit 99.1.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provided pursuant to this Item 2.02 and in Exhibit 99.1 is being “furnished” herewith and shall not be deemed to be “filed” for purposes of Section 18 of the Securities Exchange Act of 1934, as amended (the “Exchange Act”), or otherwise subject to the liabilities of that section, nor shall it be deemed incorporated by reference in any filing made by Blaize under the Exchange Act or the Securities Act of 1933, as amended, regardless of any general incorporation language in such filings, except as shall be expressly set forth by specific reference in any such filings</w:t>
      </w:r>
    </w:p>
    <w:p>
      <w:pPr>
        <w:pStyle w:val="Heading2"/>
        <w:bidi w:val="0"/>
        <w:jc w:val="left"/>
        <w:rPr/>
      </w:pPr>
      <w:r>
        <w:rPr/>
        <w:t> </w:t>
      </w:r>
    </w:p>
    <w:p>
      <w:pPr>
        <w:pStyle w:val="Heading2"/>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Exhibits.</w:t>
      </w:r>
    </w:p>
    <w:p>
      <w:pPr>
        <w:pStyle w:val="TextBody"/>
        <w:bidi w:val="0"/>
        <w:jc w:val="left"/>
        <w:rPr/>
      </w:pPr>
      <w:r>
        <w:rPr/>
        <w:t> </w:t>
      </w:r>
    </w:p>
    <w:tbl>
      <w:tblPr>
        <w:tblW w:w="7903" w:type="dxa"/>
        <w:jc w:val="left"/>
        <w:tblInd w:w="0" w:type="dxa"/>
        <w:tblLayout w:type="fixed"/>
        <w:tblCellMar>
          <w:top w:w="28" w:type="dxa"/>
          <w:left w:w="28" w:type="dxa"/>
          <w:bottom w:w="28" w:type="dxa"/>
          <w:right w:w="28" w:type="dxa"/>
        </w:tblCellMar>
      </w:tblPr>
      <w:tblGrid>
        <w:gridCol w:w="1081"/>
        <w:gridCol w:w="146"/>
        <w:gridCol w:w="667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pPr>
            <w:hyperlink w:anchor="bzai-ex99_1.htm">
              <w:r>
                <w:rPr>
                  <w:rStyle w:val="InternetLink"/>
                  <w:rFonts w:ascii="Times New Roman" w:hAnsi="Times New Roman"/>
                  <w:color w:val="0000FF"/>
                  <w:sz w:val="20"/>
                  <w:u w:val="single"/>
                </w:rPr>
                <w:t>Press Release, dated November 13, 2025.</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969" w:type="dxa"/>
        <w:jc w:val="left"/>
        <w:tblInd w:w="0" w:type="dxa"/>
        <w:tblLayout w:type="fixed"/>
        <w:tblCellMar>
          <w:top w:w="28" w:type="dxa"/>
          <w:left w:w="28" w:type="dxa"/>
          <w:bottom w:w="28" w:type="dxa"/>
          <w:right w:w="28" w:type="dxa"/>
        </w:tblCellMar>
      </w:tblPr>
      <w:tblGrid>
        <w:gridCol w:w="556"/>
        <w:gridCol w:w="1711"/>
        <w:gridCol w:w="63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Blaize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13, 2025</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Dinakar Munagala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Dinakar Munagala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zai-ex99_1.htm"/>
      <w:bookmarkStart w:id="3" w:name="ksbzai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Blaize Announces Third Quarter 2025 Financial Results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Momentum continues as Blaize expands </w:t>
      </w:r>
      <w:r>
        <w:rPr>
          <w:rFonts w:ascii="Times New Roman" w:hAnsi="Times New Roman"/>
          <w:b/>
          <w:color w:val="000000"/>
          <w:sz w:val="22"/>
        </w:rPr>
        <w:t>Hybrid AI deployments</w:t>
      </w:r>
      <w:r>
        <w:rPr>
          <w:rFonts w:ascii="Times New Roman" w:hAnsi="Times New Roman"/>
          <w:color w:val="000000"/>
          <w:sz w:val="22"/>
        </w:rPr>
        <w:t xml:space="preserve">, scaling </w:t>
      </w:r>
      <w:r>
        <w:rPr>
          <w:rFonts w:ascii="Times New Roman" w:hAnsi="Times New Roman"/>
          <w:b/>
          <w:color w:val="000000"/>
          <w:sz w:val="22"/>
        </w:rPr>
        <w:t>Practical AI</w:t>
      </w:r>
      <w:r>
        <w:rPr>
          <w:color w:val="000000"/>
        </w:rPr>
        <w:t xml:space="preserve"> </w:t>
      </w:r>
      <w:r>
        <w:rPr>
          <w:rFonts w:ascii="Times New Roman" w:hAnsi="Times New Roman"/>
          <w:color w:val="000000"/>
          <w:sz w:val="22"/>
        </w:rPr>
        <w:t xml:space="preserve">across sovereign and enterprise infrastructure.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Revenue of </w:t>
      </w:r>
      <w:r>
        <w:rPr>
          <w:rFonts w:ascii="Times New Roman" w:hAnsi="Times New Roman"/>
          <w:b/>
          <w:color w:val="000000"/>
          <w:sz w:val="22"/>
        </w:rPr>
        <w:t>$11.9 million,</w:t>
      </w:r>
      <w:r>
        <w:rPr>
          <w:color w:val="000000"/>
        </w:rPr>
        <w:t xml:space="preserve"> </w:t>
      </w:r>
      <w:r>
        <w:rPr>
          <w:rFonts w:ascii="Times New Roman" w:hAnsi="Times New Roman"/>
          <w:color w:val="000000"/>
          <w:sz w:val="22"/>
        </w:rPr>
        <w:t xml:space="preserve">exceeding the upper end of guidance of $11.0 to $11.5 million.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Closed </w:t>
      </w:r>
      <w:r>
        <w:rPr>
          <w:rFonts w:ascii="Times New Roman" w:hAnsi="Times New Roman"/>
          <w:b/>
          <w:color w:val="000000"/>
          <w:sz w:val="22"/>
        </w:rPr>
        <w:t>$30.0 million</w:t>
      </w:r>
      <w:r>
        <w:rPr>
          <w:color w:val="000000"/>
        </w:rPr>
        <w:t xml:space="preserve"> </w:t>
      </w:r>
      <w:r>
        <w:rPr>
          <w:rFonts w:ascii="Times New Roman" w:hAnsi="Times New Roman"/>
          <w:color w:val="000000"/>
          <w:sz w:val="22"/>
        </w:rPr>
        <w:t xml:space="preserve">of financing with </w:t>
      </w:r>
      <w:r>
        <w:rPr>
          <w:rFonts w:ascii="Times New Roman" w:hAnsi="Times New Roman"/>
          <w:b/>
          <w:color w:val="000000"/>
          <w:sz w:val="22"/>
        </w:rPr>
        <w:t>Polar Asset Management Partners</w:t>
      </w:r>
      <w:r>
        <w:rPr>
          <w:color w:val="000000"/>
        </w:rPr>
        <w:t xml:space="preserve"> </w:t>
      </w:r>
    </w:p>
    <w:p>
      <w:pPr>
        <w:pStyle w:val="TextBody"/>
        <w:bidi w:val="0"/>
        <w:jc w:val="both"/>
        <w:rPr>
          <w:rFonts w:ascii="Times New Roman" w:hAnsi="Times New Roman"/>
          <w:sz w:val="20"/>
        </w:rPr>
      </w:pPr>
      <w:r>
        <w:rPr>
          <w:rFonts w:ascii="Times New Roman" w:hAnsi="Times New Roman"/>
          <w:b/>
          <w:color w:val="000000"/>
          <w:sz w:val="22"/>
        </w:rPr>
        <w:t>El Dorado Hills, Calif. – November 13, 2025 —</w:t>
      </w:r>
      <w:r>
        <w:rPr>
          <w:rFonts w:ascii="Times New Roman" w:hAnsi="Times New Roman"/>
          <w:color w:val="000000"/>
          <w:sz w:val="20"/>
        </w:rPr>
        <w:t xml:space="preserve"> </w:t>
      </w:r>
      <w:r>
        <w:rPr>
          <w:rFonts w:ascii="Times New Roman" w:hAnsi="Times New Roman"/>
          <w:color w:val="000000"/>
          <w:sz w:val="22"/>
          <w:u w:val="single"/>
        </w:rPr>
        <w:t>Blaize Holdings, Inc.</w:t>
      </w:r>
      <w:r>
        <w:rPr>
          <w:rFonts w:ascii="Times New Roman" w:hAnsi="Times New Roman"/>
          <w:color w:val="000000"/>
          <w:sz w:val="20"/>
        </w:rPr>
        <w:t xml:space="preserve"> </w:t>
      </w:r>
      <w:r>
        <w:rPr>
          <w:rFonts w:ascii="Times New Roman" w:hAnsi="Times New Roman"/>
          <w:color w:val="000000"/>
          <w:sz w:val="22"/>
        </w:rPr>
        <w:t>(NASDAQ: BZAI, NASDAQ: BZAIW) (“Blaize,” the “Company,” “we,” us,” and “our”), a leader in programmable, energy-efficient edge AI computing, today announced financial results for the quarter ended September 30, 2025, marking another quarter of accelerated execution as the company advances from Hybrid AI validation to significant deployment.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In Q3, Blaize achieved </w:t>
      </w:r>
      <w:r>
        <w:rPr>
          <w:rFonts w:ascii="Times New Roman" w:hAnsi="Times New Roman"/>
          <w:b/>
          <w:color w:val="000000"/>
          <w:sz w:val="22"/>
        </w:rPr>
        <w:t>$11.9 million in revenue</w:t>
      </w:r>
      <w:r>
        <w:rPr>
          <w:rFonts w:ascii="Times New Roman" w:hAnsi="Times New Roman"/>
          <w:color w:val="000000"/>
          <w:sz w:val="22"/>
        </w:rPr>
        <w:t xml:space="preserve">, reflecting performance on major customer programs and expanding adoption of its Hybrid AI platform across key regions. The Company advanced its commercial deployments, strengthened partnerships across South Asia and the Middle East, and expanded its ecosystem through new collaborations in sovereign and industrial AI infrastructure. </w:t>
      </w:r>
      <w:r>
        <w:rPr>
          <w:rFonts w:ascii="Times New Roman" w:hAnsi="Times New Roman"/>
          <w:b/>
          <w:color w:val="000000"/>
          <w:sz w:val="22"/>
        </w:rPr>
        <w:t>Post-quarter</w:t>
      </w:r>
      <w:r>
        <w:rPr>
          <w:rFonts w:ascii="Times New Roman" w:hAnsi="Times New Roman"/>
          <w:color w:val="000000"/>
          <w:sz w:val="22"/>
        </w:rPr>
        <w:t xml:space="preserve">, Blaize enhanced its global visibility through new strategic engagements and participation at leading technology and innovation forums, reinforcing its growing leadership in </w:t>
      </w:r>
      <w:r>
        <w:rPr>
          <w:rFonts w:ascii="Times New Roman" w:hAnsi="Times New Roman"/>
          <w:i/>
          <w:color w:val="000000"/>
          <w:sz w:val="22"/>
        </w:rPr>
        <w:t>Practical AI for the real world</w:t>
      </w:r>
      <w:r>
        <w:rPr>
          <w:rFonts w:ascii="Times New Roman" w:hAnsi="Times New Roman"/>
          <w:color w:val="000000"/>
          <w:sz w:val="22"/>
        </w:rPr>
        <w:t>, focused on efficient, outcome-driven intelligence delivering measurable results at scale.</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2"/>
        </w:rPr>
        <w:t xml:space="preserve">Q3 was a defining moment for Blaize, marked by 499% sequential revenue growth and accelerating adoption of our Hybrid AI platform in key regions,” said Dinakar Munagala, co-founder and CEO of Blaize. “It validates our belief in </w:t>
      </w:r>
      <w:r>
        <w:rPr>
          <w:rFonts w:ascii="Times New Roman" w:hAnsi="Times New Roman"/>
          <w:i/>
          <w:color w:val="000000"/>
          <w:sz w:val="22"/>
        </w:rPr>
        <w:t>Practical AI for the real world</w:t>
      </w:r>
      <w:r>
        <w:rPr>
          <w:rFonts w:ascii="Times New Roman" w:hAnsi="Times New Roman"/>
          <w:color w:val="000000"/>
          <w:sz w:val="22"/>
        </w:rPr>
        <w:t>, outcome-driven intelligence built on hybrid compute efficiency that delivers measurable results, not theoretical benchmarks.”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Third Quarter 2025 Financial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7"/>
        <w:gridCol w:w="146"/>
        <w:gridCol w:w="243"/>
        <w:gridCol w:w="906"/>
        <w:gridCol w:w="286"/>
        <w:gridCol w:w="146"/>
        <w:gridCol w:w="226"/>
        <w:gridCol w:w="841"/>
        <w:gridCol w:w="286"/>
        <w:gridCol w:w="146"/>
        <w:gridCol w:w="243"/>
        <w:gridCol w:w="906"/>
        <w:gridCol w:w="286"/>
        <w:gridCol w:w="146"/>
        <w:gridCol w:w="163"/>
        <w:gridCol w:w="524"/>
        <w:gridCol w:w="332"/>
        <w:gridCol w:w="146"/>
        <w:gridCol w:w="146"/>
        <w:gridCol w:w="646"/>
        <w:gridCol w:w="334"/>
      </w:tblGrid>
      <w:tr>
        <w:trPr/>
        <w:tc>
          <w:tcPr>
            <w:tcW w:w="3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GAAP</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(Unaudited; amounts in thousands, except gross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QoQ</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11,867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1,982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781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499</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1,419</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(44)pp</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(24)pp</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14,321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12,992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5,546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158</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(26,258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(29,589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(25,607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03"/>
        <w:gridCol w:w="146"/>
        <w:gridCol w:w="246"/>
        <w:gridCol w:w="918"/>
        <w:gridCol w:w="181"/>
        <w:gridCol w:w="146"/>
        <w:gridCol w:w="226"/>
        <w:gridCol w:w="841"/>
        <w:gridCol w:w="181"/>
        <w:gridCol w:w="146"/>
        <w:gridCol w:w="246"/>
        <w:gridCol w:w="918"/>
        <w:gridCol w:w="181"/>
        <w:gridCol w:w="146"/>
        <w:gridCol w:w="146"/>
        <w:gridCol w:w="421"/>
        <w:gridCol w:w="341"/>
        <w:gridCol w:w="146"/>
        <w:gridCol w:w="146"/>
        <w:gridCol w:w="346"/>
        <w:gridCol w:w="334"/>
      </w:tblGrid>
      <w:tr>
        <w:trPr/>
        <w:tc>
          <w:tcPr>
            <w:tcW w:w="3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Non-GAAP</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(Unaudited;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QoQ</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Research and development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Selling, general and administrative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(11,066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(12,933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Business Highlights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Technology Progress:</w:t>
      </w:r>
      <w:r>
        <w:rPr>
          <w:color w:val="000000"/>
        </w:rPr>
        <w:t xml:space="preserve"> </w:t>
      </w:r>
      <w:r>
        <w:rPr>
          <w:rFonts w:ascii="Times New Roman" w:hAnsi="Times New Roman"/>
          <w:color w:val="000000"/>
          <w:sz w:val="22"/>
        </w:rPr>
        <w:t xml:space="preserve">Continued progress in the commercial rollout of the </w:t>
      </w:r>
      <w:r>
        <w:rPr>
          <w:rFonts w:ascii="Times New Roman" w:hAnsi="Times New Roman"/>
          <w:b/>
          <w:color w:val="000000"/>
          <w:sz w:val="22"/>
        </w:rPr>
        <w:t>Blaize AI Platform</w:t>
      </w:r>
      <w:r>
        <w:rPr>
          <w:rFonts w:ascii="Times New Roman" w:hAnsi="Times New Roman"/>
          <w:color w:val="000000"/>
          <w:sz w:val="22"/>
        </w:rPr>
        <w:t>, with orchestration enhancements improving model optimization and application management. Live demonstrations at GITEX Global 2025 showcased real-world Hybrid AI performance across city safety, retail, and autonomous mobility applications.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Sovereign AI Infrastructure Expansion:</w:t>
      </w:r>
      <w:r>
        <w:rPr>
          <w:color w:val="000000"/>
        </w:rPr>
        <w:t xml:space="preserve"> </w:t>
      </w:r>
      <w:r>
        <w:rPr>
          <w:rFonts w:ascii="Times New Roman" w:hAnsi="Times New Roman"/>
          <w:color w:val="000000"/>
          <w:sz w:val="22"/>
        </w:rPr>
        <w:t xml:space="preserve">Began deployment of the previously announced AI-powered safety and traffic management program with end-customer </w:t>
      </w:r>
      <w:r>
        <w:rPr>
          <w:rFonts w:ascii="Times New Roman" w:hAnsi="Times New Roman"/>
          <w:b/>
          <w:color w:val="000000"/>
          <w:sz w:val="22"/>
        </w:rPr>
        <w:t>Yotta Data Services (Yotta)</w:t>
      </w:r>
      <w:r>
        <w:rPr>
          <w:rFonts w:ascii="Times New Roman" w:hAnsi="Times New Roman"/>
          <w:color w:val="000000"/>
          <w:sz w:val="22"/>
        </w:rPr>
        <w:t xml:space="preserve">, a leading cloud infrastructure provider in India. Blaize also </w:t>
      </w:r>
      <w:r>
        <w:rPr>
          <w:rFonts w:ascii="Times New Roman" w:hAnsi="Times New Roman"/>
          <w:b/>
          <w:color w:val="000000"/>
          <w:sz w:val="22"/>
        </w:rPr>
        <w:t>signed a Memorandum of Understanding (MOU)</w:t>
      </w:r>
      <w:r>
        <w:rPr>
          <w:color w:val="000000"/>
        </w:rPr>
        <w:t xml:space="preserve"> </w:t>
      </w:r>
      <w:r>
        <w:rPr>
          <w:rFonts w:ascii="Times New Roman" w:hAnsi="Times New Roman"/>
          <w:color w:val="000000"/>
          <w:sz w:val="22"/>
        </w:rPr>
        <w:t xml:space="preserve">with Yotta to extend deployment from South Asia into the </w:t>
      </w:r>
      <w:r>
        <w:rPr>
          <w:rFonts w:ascii="Times New Roman" w:hAnsi="Times New Roman"/>
          <w:b/>
          <w:color w:val="000000"/>
          <w:sz w:val="22"/>
        </w:rPr>
        <w:t>Middle East</w:t>
      </w:r>
      <w:r>
        <w:rPr>
          <w:rFonts w:ascii="Times New Roman" w:hAnsi="Times New Roman"/>
          <w:color w:val="000000"/>
          <w:sz w:val="22"/>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Asia Hybrid AI Scale-Up:</w:t>
      </w:r>
      <w:r>
        <w:rPr>
          <w:color w:val="000000"/>
        </w:rPr>
        <w:t xml:space="preserve"> </w:t>
      </w:r>
      <w:r>
        <w:rPr>
          <w:rFonts w:ascii="Times New Roman" w:hAnsi="Times New Roman"/>
          <w:color w:val="000000"/>
          <w:sz w:val="22"/>
        </w:rPr>
        <w:t xml:space="preserve">Initiated fulfillment of the </w:t>
      </w:r>
      <w:r>
        <w:rPr>
          <w:rFonts w:ascii="Times New Roman" w:hAnsi="Times New Roman"/>
          <w:b/>
          <w:color w:val="000000"/>
          <w:sz w:val="22"/>
        </w:rPr>
        <w:t>$120 million</w:t>
      </w:r>
      <w:r>
        <w:rPr>
          <w:color w:val="000000"/>
        </w:rPr>
        <w:t xml:space="preserve"> </w:t>
      </w:r>
      <w:r>
        <w:rPr>
          <w:rFonts w:ascii="Times New Roman" w:hAnsi="Times New Roman"/>
          <w:color w:val="000000"/>
          <w:sz w:val="22"/>
        </w:rPr>
        <w:t xml:space="preserve">multi-year contract with </w:t>
      </w:r>
      <w:r>
        <w:rPr>
          <w:rFonts w:ascii="Times New Roman" w:hAnsi="Times New Roman"/>
          <w:b/>
          <w:color w:val="000000"/>
          <w:sz w:val="22"/>
        </w:rPr>
        <w:t>Starshine</w:t>
      </w:r>
      <w:r>
        <w:rPr>
          <w:rFonts w:ascii="Times New Roman" w:hAnsi="Times New Roman"/>
          <w:color w:val="000000"/>
          <w:sz w:val="22"/>
        </w:rPr>
        <w:t xml:space="preserve">, supporting Hybrid AI deployments across smart urban infrastructure, agriculture, and industrial applications in Asia, enabling scalable, energy-efficient intelligence for city and enterprise systems, with additional regional opportunities planned for 2026.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Middle East Strategic Partnership:</w:t>
      </w:r>
      <w:r>
        <w:rPr>
          <w:color w:val="000000"/>
        </w:rPr>
        <w:t xml:space="preserve"> </w:t>
      </w:r>
      <w:r>
        <w:rPr>
          <w:rFonts w:ascii="Times New Roman" w:hAnsi="Times New Roman"/>
          <w:color w:val="000000"/>
          <w:sz w:val="22"/>
        </w:rPr>
        <w:t xml:space="preserve">Formed a new strategic collaboration with </w:t>
      </w:r>
      <w:r>
        <w:rPr>
          <w:rFonts w:ascii="Times New Roman" w:hAnsi="Times New Roman"/>
          <w:b/>
          <w:color w:val="000000"/>
          <w:sz w:val="22"/>
        </w:rPr>
        <w:t>Technology Control Company (TCC)</w:t>
      </w:r>
      <w:r>
        <w:rPr>
          <w:rFonts w:ascii="Times New Roman" w:hAnsi="Times New Roman"/>
          <w:color w:val="000000"/>
          <w:sz w:val="22"/>
        </w:rPr>
        <w:t xml:space="preserve">, in Saudi Arabia, to build advanced AI infrastructure and accelerate smart transformation across industries in the Gulf.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Ecosystem Expansion: </w:t>
      </w:r>
      <w:r>
        <w:rPr>
          <w:rFonts w:ascii="Times New Roman" w:hAnsi="Times New Roman"/>
          <w:color w:val="000000"/>
          <w:sz w:val="22"/>
        </w:rPr>
        <w:t xml:space="preserve">Signed a strategic </w:t>
      </w:r>
      <w:r>
        <w:rPr>
          <w:rFonts w:ascii="Times New Roman" w:hAnsi="Times New Roman"/>
          <w:b/>
          <w:color w:val="000000"/>
          <w:sz w:val="22"/>
        </w:rPr>
        <w:t>MOU</w:t>
      </w:r>
      <w:r>
        <w:rPr>
          <w:color w:val="000000"/>
        </w:rPr>
        <w:t xml:space="preserve"> </w:t>
      </w:r>
      <w:r>
        <w:rPr>
          <w:rFonts w:ascii="Times New Roman" w:hAnsi="Times New Roman"/>
          <w:color w:val="000000"/>
          <w:sz w:val="22"/>
        </w:rPr>
        <w:t xml:space="preserve">with </w:t>
      </w:r>
      <w:r>
        <w:rPr>
          <w:rFonts w:ascii="Times New Roman" w:hAnsi="Times New Roman"/>
          <w:b/>
          <w:color w:val="000000"/>
          <w:sz w:val="22"/>
        </w:rPr>
        <w:t>REACH Digital</w:t>
      </w:r>
      <w:r>
        <w:rPr>
          <w:rFonts w:ascii="Times New Roman" w:hAnsi="Times New Roman"/>
          <w:color w:val="000000"/>
          <w:sz w:val="22"/>
        </w:rPr>
        <w:t xml:space="preserve">, the digital-transformation arm of REACH Group, a subsidiary of </w:t>
      </w:r>
      <w:r>
        <w:rPr>
          <w:rFonts w:ascii="Times New Roman" w:hAnsi="Times New Roman"/>
          <w:b/>
          <w:color w:val="000000"/>
          <w:sz w:val="22"/>
        </w:rPr>
        <w:t>International Holding Company (IHC),</w:t>
      </w:r>
      <w:r>
        <w:rPr>
          <w:color w:val="000000"/>
        </w:rPr>
        <w:t xml:space="preserve"> </w:t>
      </w:r>
      <w:r>
        <w:rPr>
          <w:rFonts w:ascii="Times New Roman" w:hAnsi="Times New Roman"/>
          <w:color w:val="000000"/>
          <w:sz w:val="22"/>
        </w:rPr>
        <w:t xml:space="preserve">during </w:t>
      </w:r>
      <w:r>
        <w:rPr>
          <w:rFonts w:ascii="Times New Roman" w:hAnsi="Times New Roman"/>
          <w:b/>
          <w:color w:val="000000"/>
          <w:sz w:val="22"/>
        </w:rPr>
        <w:t>GITEX Global 2025</w:t>
      </w:r>
      <w:r>
        <w:rPr>
          <w:color w:val="000000"/>
        </w:rPr>
        <w:t xml:space="preserve"> </w:t>
      </w:r>
      <w:r>
        <w:rPr>
          <w:rFonts w:ascii="Times New Roman" w:hAnsi="Times New Roman"/>
          <w:color w:val="000000"/>
          <w:sz w:val="22"/>
        </w:rPr>
        <w:t xml:space="preserve">in Dubai. The partnership leverages Blaize’s </w:t>
      </w:r>
      <w:r>
        <w:rPr>
          <w:rFonts w:ascii="Times New Roman" w:hAnsi="Times New Roman"/>
          <w:b/>
          <w:color w:val="000000"/>
          <w:sz w:val="22"/>
        </w:rPr>
        <w:t>Hybrid AI platform</w:t>
      </w:r>
      <w:r>
        <w:rPr>
          <w:color w:val="000000"/>
        </w:rPr>
        <w:t xml:space="preserve"> </w:t>
      </w:r>
      <w:r>
        <w:rPr>
          <w:rFonts w:ascii="Times New Roman" w:hAnsi="Times New Roman"/>
          <w:color w:val="000000"/>
          <w:sz w:val="22"/>
        </w:rPr>
        <w:t xml:space="preserve">with REACH Digital’s regional influence to build sovereign, interconnected AI ecosystems that service both sectoral and cross-sectoral domains across the Middle East.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Strategic Investment:</w:t>
      </w:r>
      <w:r>
        <w:rPr>
          <w:color w:val="000000"/>
        </w:rPr>
        <w:t xml:space="preserve"> </w:t>
      </w:r>
      <w:r>
        <w:rPr>
          <w:rFonts w:ascii="Times New Roman" w:hAnsi="Times New Roman"/>
          <w:color w:val="000000"/>
          <w:sz w:val="22"/>
        </w:rPr>
        <w:t xml:space="preserve">After the quarter, we announced a </w:t>
      </w:r>
      <w:r>
        <w:rPr>
          <w:rFonts w:ascii="Times New Roman" w:hAnsi="Times New Roman"/>
          <w:b/>
          <w:color w:val="000000"/>
          <w:sz w:val="22"/>
        </w:rPr>
        <w:t>$30.0 million private placement led by Polar Asset Management Partners</w:t>
      </w:r>
      <w:r>
        <w:rPr>
          <w:rFonts w:ascii="Times New Roman" w:hAnsi="Times New Roman"/>
          <w:color w:val="000000"/>
          <w:sz w:val="22"/>
        </w:rPr>
        <w:t>, a leading institutional investor aligned with Blaize’s long-term vision. The proceeds strengthen the company’s financial position and support continued commercialization, market expansion, and next-generation chip development.</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Company Outlook and Execution Readiness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Blaize expects continued momentum through Q4 2025 and into FY 2026, driven by disciplined execution, expanding platform-driven revenue, and strong customer demand. Blaize’s Hybrid AI platform engagements continue with </w:t>
      </w:r>
      <w:r>
        <w:rPr>
          <w:rFonts w:ascii="Times New Roman" w:hAnsi="Times New Roman"/>
          <w:b/>
          <w:color w:val="000000"/>
          <w:sz w:val="22"/>
        </w:rPr>
        <w:t>Yotta</w:t>
      </w:r>
      <w:r>
        <w:rPr>
          <w:rFonts w:ascii="Times New Roman" w:hAnsi="Times New Roman"/>
          <w:color w:val="000000"/>
          <w:sz w:val="20"/>
        </w:rPr>
        <w:t xml:space="preserve"> </w:t>
      </w:r>
      <w:r>
        <w:rPr>
          <w:rFonts w:ascii="Times New Roman" w:hAnsi="Times New Roman"/>
          <w:color w:val="000000"/>
          <w:sz w:val="22"/>
        </w:rPr>
        <w:t xml:space="preserve">in India and </w:t>
      </w:r>
      <w:r>
        <w:rPr>
          <w:rFonts w:ascii="Times New Roman" w:hAnsi="Times New Roman"/>
          <w:b/>
          <w:color w:val="000000"/>
          <w:sz w:val="22"/>
        </w:rPr>
        <w:t>Starshine</w:t>
      </w:r>
      <w:r>
        <w:rPr>
          <w:rFonts w:ascii="Times New Roman" w:hAnsi="Times New Roman"/>
          <w:color w:val="000000"/>
          <w:sz w:val="20"/>
        </w:rPr>
        <w:t xml:space="preserve"> </w:t>
      </w:r>
      <w:r>
        <w:rPr>
          <w:rFonts w:ascii="Times New Roman" w:hAnsi="Times New Roman"/>
          <w:color w:val="000000"/>
          <w:sz w:val="22"/>
        </w:rPr>
        <w:t xml:space="preserve">in Asia, while new collaborations with </w:t>
      </w:r>
      <w:r>
        <w:rPr>
          <w:rFonts w:ascii="Times New Roman" w:hAnsi="Times New Roman"/>
          <w:b/>
          <w:color w:val="000000"/>
          <w:sz w:val="22"/>
        </w:rPr>
        <w:t>TCC</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b/>
          <w:color w:val="000000"/>
          <w:sz w:val="22"/>
        </w:rPr>
        <w:t>REACH Digital</w:t>
      </w:r>
      <w:r>
        <w:rPr>
          <w:rFonts w:ascii="Times New Roman" w:hAnsi="Times New Roman"/>
          <w:color w:val="000000"/>
          <w:sz w:val="20"/>
        </w:rPr>
        <w:t xml:space="preserve"> </w:t>
      </w:r>
      <w:r>
        <w:rPr>
          <w:rFonts w:ascii="Times New Roman" w:hAnsi="Times New Roman"/>
          <w:color w:val="000000"/>
          <w:sz w:val="22"/>
        </w:rPr>
        <w:t>in the Middle East highlight growing regional interest and validate the platform’s relevance to emerging AI infrastructure needs.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Blaize continues to strengthen its operations while advancing its integrated AI platform portfolio, supported by strategic investment in next-generation silicon and software innovation. In 2026, the company aims to accelerate commercialization of </w:t>
      </w:r>
      <w:r>
        <w:rPr>
          <w:rFonts w:ascii="Times New Roman" w:hAnsi="Times New Roman"/>
          <w:i/>
          <w:color w:val="000000"/>
          <w:sz w:val="22"/>
        </w:rPr>
        <w:t>Practical AI</w:t>
      </w:r>
      <w:r>
        <w:rPr>
          <w:rFonts w:ascii="Times New Roman" w:hAnsi="Times New Roman"/>
          <w:color w:val="000000"/>
          <w:sz w:val="20"/>
        </w:rPr>
        <w:t xml:space="preserve"> </w:t>
      </w:r>
      <w:r>
        <w:rPr>
          <w:rFonts w:ascii="Times New Roman" w:hAnsi="Times New Roman"/>
          <w:color w:val="000000"/>
          <w:sz w:val="22"/>
        </w:rPr>
        <w:t xml:space="preserve">globally and continue to contribute to the </w:t>
      </w:r>
      <w:r>
        <w:rPr>
          <w:rFonts w:ascii="Times New Roman" w:hAnsi="Times New Roman"/>
          <w:b/>
          <w:color w:val="000000"/>
          <w:sz w:val="22"/>
        </w:rPr>
        <w:t>global AI inference infrastructure build-out</w:t>
      </w:r>
      <w:r>
        <w:rPr>
          <w:rFonts w:ascii="Times New Roman" w:hAnsi="Times New Roman"/>
          <w:color w:val="000000"/>
          <w:sz w:val="22"/>
        </w:rPr>
        <w:t>, including opportunities with cloud and communications service providers driving next-generation data center expansion.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Munagala added: “With accelerating deployments, deepening global partnerships, and a strengthened capital position, Blaize enters its next phase of scale with clarity and confidence. Continued development of our next-generation Blaize chip further strengthens our position in the evolution of data center and inference ecosystems, underscoring our commitment in delivering efficient, deployable AI that drives business impact.”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Financial Outlook </w:t>
      </w:r>
      <w:r>
        <w:rPr>
          <w:rFonts w:ascii="Arial" w:hAnsi="Arial"/>
          <w:b/>
          <w:color w:val="000000"/>
          <w:sz w:val="22"/>
        </w:rPr>
        <w:t xml:space="preserve">for </w:t>
      </w:r>
      <w:r>
        <w:rPr>
          <w:rFonts w:ascii="Times New Roman" w:hAnsi="Times New Roman"/>
          <w:b/>
          <w:color w:val="000000"/>
          <w:sz w:val="22"/>
        </w:rPr>
        <w:t>Fourth Quarter 2025 and Fiscal Year 2025</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following forward-looking statements are based on current expectations, and actual results may differ materially, as described below in “Cautionary Statement Regarding Forward-Looking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1"/>
        <w:gridCol w:w="146"/>
        <w:gridCol w:w="3253"/>
        <w:gridCol w:w="146"/>
        <w:gridCol w:w="3299"/>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Guidance</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$21.1 million to $23.1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$36.0 million to $38.0 million</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Adjusted EBITDA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$15.6 million to $18.6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$55.0 million to $58.0 million</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Approximately $9.3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Approximately $33.9 million</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Approximately 119.9 million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Approximately 105.0 million shares</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Earnings Conference Call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Dinakar Munagala, co-founder and CEO of Blaize, and Harminder Sehmi, CFO of Blaize, will host a conference call at 2:00 p.m. Pacific Time today, November 13, 2025, to discuss the company’s financial results and outlook. A live webcast will be accessible on Blaize’s investor relations website at </w:t>
      </w:r>
      <w:r>
        <w:rPr>
          <w:rFonts w:ascii="Times New Roman" w:hAnsi="Times New Roman"/>
          <w:color w:val="0000FF"/>
          <w:sz w:val="22"/>
          <w:u w:val="single"/>
        </w:rPr>
        <w:t>ir.blaize.com</w:t>
      </w:r>
      <w:r>
        <w:rPr>
          <w:rFonts w:ascii="Times New Roman" w:hAnsi="Times New Roman"/>
          <w:color w:val="000000"/>
          <w:sz w:val="22"/>
        </w:rPr>
        <w:t>, and an archived conference call webcast will be available on Blaize’s investor relations website for one year following the live call.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Blaize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Blaize provides a full-stack programmable processor architecture suite and low-code/no-code software platform that enables AI processing solutions for high-performance computing at the network’s edge and in the data center. Blaize specializes in delivering Practical AI solutions through its hybrid, programmable, and efficient AI inference platform, designed for real-world applications. Blaize AI solutions deliver real-time insights and decision-making capabilities at low power consumption, high efficiency, minimal size, and low cost. Headquartered in El Dorado Hills, California, Blaize has more than 220 employees worldwide. To learn more, visit </w:t>
      </w:r>
      <w:r>
        <w:rPr>
          <w:rFonts w:ascii="Times New Roman" w:hAnsi="Times New Roman"/>
          <w:color w:val="0000FF"/>
          <w:sz w:val="22"/>
          <w:u w:val="single"/>
        </w:rPr>
        <w:t>www.blaize.com</w:t>
      </w:r>
      <w:r>
        <w:rPr>
          <w:rFonts w:ascii="Times New Roman" w:hAnsi="Times New Roman"/>
          <w:color w:val="000000"/>
          <w:sz w:val="20"/>
        </w:rPr>
        <w:t xml:space="preserve"> </w:t>
      </w:r>
      <w:r>
        <w:rPr>
          <w:rFonts w:ascii="Times New Roman" w:hAnsi="Times New Roman"/>
          <w:color w:val="000000"/>
          <w:sz w:val="22"/>
        </w:rPr>
        <w:t>or follow us on LinkedIn @blaizeinc.</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Non-GAAP Measures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To supplement Blaize’s condensed consolidated financial statements presented in accordance with generally accepted accounting principles in the United States (“GAAP”), management utilizes earnings before interest, tax, depreciation and amortization (“EBITDA”) and EBITDA adjusted for certain non-cash or other items that management views as distorting operating results period over period (“Adjusted EBITDA”), non-GAAP research and development expense and non-GAAP sales, general and administrative expense, which are financial measures. EBITDA and Adjusted EBITDA are used to evaluate operating profitability on a more variable cost basis. Non-GAAP research and development expense and non-GAAP sales, general and administrative expense are used to evaluate financial performance. These non-GAAP measures facilitate a more direct comparison of our operating performance and financial performance relative to competitors as well as assist us in evaluating performance consistently across periods by excluding the impact of certain items that we believe do not directly reflect our core operations and are therefore not considered in measuring ongoing performance. We define Adjusted EBITDA as net loss before interest, taxes, depreciation and amortization, certain items and other adjustments that are excluded from the Company’s assessment of ongoing operating performance, including but not limited to (a) stock-based compensation; inventory cost realignments; and (c) other expenses. We define non-GAAP research and development expense and non-GAAP sales, general and administrative expense as the related GAAP expense less certain non-cash items, including but not limited to stock-based compensation. We believe these measures are valuable to management and that providing these measures allows management, investors and other users of our financial information to more fully and accurately assess Blaize’s performance. The measures should not be considered in isolation or as an alternative to GAAP measures such as net income (loss) or other financial statement data presented in our condensed consolidated financial statements as an indicator of our financial performance or liquidity. The measures presented may be determined or calculated differently by other companies and may not be directly comparable to that of other companies.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reliance on the exception provided by Item 10(e)(1)(i)(B) of Regulation S-K, we have not reconciled the forward-looking Adjusted EBITDA (Non-GAAP) for the fourth quarter of 2025 or full fiscal year 2025 included above because we are unable to quantify certain amounts that would be required to be included in net income (loss), the most directly comparable GAAP measure, without unreasonable efforts due to the high variability and difficulty in predicting, with reasonable certainty, certain items excluded from Adjusted EBITDA. Consequently, we believe such reconciliation would imply a degree of precision that would be misleading to investors. Preparation of such reconciliations would require a forward-looking balance sheet, statement of income and statement of cash flow, prepared in accordance with GAAP, and such forward-looking financial statements are unavailable to Blaize without unreasonable effort. For the same reasons, Blaize is unable to address the probable significance of the unavailable information. We expect the variability of these excluded items may have an unpredictable, and potentially significant impact on our future GAAP financial results.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Cautionary Statement Regarding Forward Looking Statements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engagements with Yotta, Starshine, TCC, and REACH Digital, or the ultimate value of those contracts, regional growth, the expectations for the Hybrid AI rollout, the projected growth of Hybrid AI,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ability to maintain compliance with stock exchange listing standards; (iii) failure to realize the anticipated benefits of the business combination of Blaize and BurTech Acquisition Corp., which may be affected by, among other things, competition, the ability of the combined company to grow and manage growth profitably, maintain relationships with customers and suppliers and retain its management and key employees; (iv) the ability of the Company to successfully market its products and services; (v) the ability of the Company to successfully deploy its technologies across customer settings; (vi) changes in applicable law or regulations; (vii) the outcome of any legal proceedings that have been or may be instituted against Blaize; (viii) the effects of competition on Blaize’s future business; (ix) the ability of the combined company to issue equity or equity-linked securities or obtain debt financing; and (x) those factors discussed under the heading “Risk Factors” in our Annual Report on Form 10-K filed with the Securities and Exchange Commission (SEC) on April 14, 2025, and our Quarterly Report on Form 10-Q filed with the SEC on November 13,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financial projections in this release are forward-looking statements that are based on assumptions that are inherently subject to significant uncertainties and contingencies, many of which are beyond Blaize’s control. While such projections are necessarily speculative, Blaize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financial information or projections in this press release should not be regarded as an indication that Blaize, or its representatives and advisors, considered or consider the information or projections to be a reliable prediction of future events. The independent registered public accounting firm of Blaize has not audited, reviewed, compiled or performed any procedures with respect to the projections for the purpose of their inclusion in this press release and, accordingly, has not expressed an opinion or provided any other form of assurance with respect thereto for the purpose of this press release.</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Investors:</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IR@blaize.com</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Media:</w:t>
      </w:r>
    </w:p>
    <w:p>
      <w:pPr>
        <w:pStyle w:val="TextBody"/>
        <w:bidi w:val="0"/>
        <w:jc w:val="left"/>
        <w:rPr>
          <w:rFonts w:ascii="Times New Roman" w:hAnsi="Times New Roman"/>
          <w:color w:val="000000"/>
          <w:sz w:val="22"/>
        </w:rPr>
      </w:pPr>
      <w:r>
        <w:rPr>
          <w:rFonts w:ascii="Times New Roman" w:hAnsi="Times New Roman"/>
          <w:color w:val="000000"/>
          <w:sz w:val="22"/>
        </w:rPr>
        <w:t>Jessica Bettencourt</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Blaize@inkhouse.com</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press@blaize.com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www.blaize.com</w:t>
      </w:r>
    </w:p>
    <w:tbl>
      <w:tblPr>
        <w:tblW w:w="10205" w:type="dxa"/>
        <w:jc w:val="left"/>
        <w:tblInd w:w="0" w:type="dxa"/>
        <w:tblLayout w:type="fixed"/>
        <w:tblCellMar>
          <w:top w:w="28" w:type="dxa"/>
          <w:left w:w="28" w:type="dxa"/>
          <w:bottom w:w="28" w:type="dxa"/>
          <w:right w:w="28" w:type="dxa"/>
        </w:tblCellMar>
      </w:tblPr>
      <w:tblGrid>
        <w:gridCol w:w="7090"/>
        <w:gridCol w:w="146"/>
        <w:gridCol w:w="238"/>
        <w:gridCol w:w="950"/>
        <w:gridCol w:w="166"/>
        <w:gridCol w:w="146"/>
        <w:gridCol w:w="236"/>
        <w:gridCol w:w="940"/>
        <w:gridCol w:w="293"/>
      </w:tblGrid>
      <w:tr>
        <w:trPr/>
        <w:tc>
          <w:tcPr>
            <w:tcW w:w="7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99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BLAIZE HOLDINGS, INC.</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2"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 except shares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50,237</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 related party,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14,837</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73,690</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80,516</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11,996</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loss on purchase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Working capital loan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Advances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14,711</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188,143</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earnout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190,979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 $0.0001 par value; 600,000,000 and 136,562,809 shares authorized as of September 30, 2025 and December 31, 2024, respectively, and 106,754,588 and 48,376,052 shares issued and outstanding as of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318,783</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(429,251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(110,463</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80,516</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407"/>
        <w:gridCol w:w="146"/>
        <w:gridCol w:w="211"/>
        <w:gridCol w:w="1006"/>
        <w:gridCol w:w="166"/>
        <w:gridCol w:w="146"/>
        <w:gridCol w:w="211"/>
        <w:gridCol w:w="1006"/>
        <w:gridCol w:w="166"/>
        <w:gridCol w:w="146"/>
        <w:gridCol w:w="211"/>
        <w:gridCol w:w="919"/>
        <w:gridCol w:w="166"/>
        <w:gridCol w:w="146"/>
        <w:gridCol w:w="211"/>
        <w:gridCol w:w="1006"/>
        <w:gridCol w:w="166"/>
        <w:gridCol w:w="146"/>
        <w:gridCol w:w="211"/>
        <w:gridCol w:w="919"/>
        <w:gridCol w:w="493"/>
      </w:tblGrid>
      <w:tr>
        <w:trPr/>
        <w:tc>
          <w:tcPr>
            <w:tcW w:w="2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9712"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BLAIZE HOLDINGS, INC.</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2"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2"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(Amounts in thousands, except shares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Hardware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Hardware revenue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revenue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Engineering services revenue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15,765</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14,538</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31,154</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(30,640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financing charge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foreign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(25,921</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other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unissued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committed equity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(54,155</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(54,503</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103,585,681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104,588,373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17,478,371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100,130,737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17,466,606</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7142"/>
        <w:gridCol w:w="146"/>
        <w:gridCol w:w="230"/>
        <w:gridCol w:w="852"/>
        <w:gridCol w:w="180"/>
        <w:gridCol w:w="159"/>
        <w:gridCol w:w="230"/>
        <w:gridCol w:w="852"/>
        <w:gridCol w:w="414"/>
      </w:tblGrid>
      <w:tr>
        <w:trPr/>
        <w:tc>
          <w:tcPr>
            <w:tcW w:w="7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7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BLAIZE HOLDINGS, INC.</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1"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(57,290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(35,788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Merger and PIPE financing,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Funds held in escrow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advances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net of financing charge on the committed equity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committed equity facility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short term demand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110,718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31,773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102,380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65,427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24,264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68,640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(included within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24,264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68,640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deferred offering costs included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warrants with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under committed equity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to advisors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convertible notes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exercise of warrants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warrants for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 shareholder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common shares with cash held in escrow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01"/>
        <w:gridCol w:w="146"/>
        <w:gridCol w:w="245"/>
        <w:gridCol w:w="857"/>
        <w:gridCol w:w="166"/>
        <w:gridCol w:w="211"/>
        <w:gridCol w:w="736"/>
        <w:gridCol w:w="166"/>
        <w:gridCol w:w="245"/>
        <w:gridCol w:w="857"/>
        <w:gridCol w:w="166"/>
        <w:gridCol w:w="224"/>
        <w:gridCol w:w="898"/>
        <w:gridCol w:w="166"/>
        <w:gridCol w:w="245"/>
        <w:gridCol w:w="857"/>
        <w:gridCol w:w="319"/>
      </w:tblGrid>
      <w:tr>
        <w:trPr/>
        <w:tc>
          <w:tcPr>
            <w:tcW w:w="3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988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BLAIZE HOLDINGS, INC.</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RECONCILIATIONS OF GAAP TO NON-GAAP MEASURES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 -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15,765</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 -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15,226</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14,538</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14,035</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(54,503</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(55,144</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changes and financing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25,130</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inventory cost realignment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adjustments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(28,564</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20"/>
        </w:rPr>
        <w:t>“</w:t>
      </w:r>
      <w:r>
        <w:rPr>
          <w:rFonts w:ascii="Times New Roman" w:hAnsi="Times New Roman"/>
          <w:color w:val="000000"/>
          <w:sz w:val="18"/>
        </w:rPr>
        <w:t>Other adjustments” includes, but is not limited to, other non-cash expenses, including foreign exchange gains and losses, and unusual or non-recurring expenses, including litigation expenses, financing advisory fees, and fines and penalties. We believe that these expenses are not reflective of our ongoing operating performance and excluding these costs provides a more meaningful comparison of our results of operations over comparative periods.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4162</Words>
  <Characters>23816</Characters>
  <CharactersWithSpaces>28477</CharactersWithSpaces>
  <Paragraphs>2288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