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092915107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Shahal Khan</w:t>
      </w:r>
    </w:p>
    <w:p>
      <w:pPr>
        <w:spacing w:after="0" w:line="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5601 Arbor Lane,</w:t>
      </w:r>
    </w:p>
    <w:p>
      <w:pPr>
        <w:ind w:left="3700"/>
        <w:spacing w:after="0" w:line="230" w:lineRule="auto"/>
        <w:rPr>
          <w:sz w:val="20"/>
          <w:szCs w:val="20"/>
          <w:color w:val="auto"/>
        </w:rPr>
      </w:pPr>
      <w:r>
        <w:rPr>
          <w:rFonts w:ascii="Times New Roman" w:cs="Times New Roman" w:eastAsia="Times New Roman" w:hAnsi="Times New Roman"/>
          <w:sz w:val="22"/>
          <w:szCs w:val="22"/>
          <w:b w:val="1"/>
          <w:bCs w:val="1"/>
          <w:color w:val="0000FF"/>
        </w:rPr>
        <w:t>Coral Gables, FL, 33156</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(202) 600-5757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BurTech LP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9,135,750.00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9,135,750.00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9,135,750.00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540"/>
          </w:cols>
          <w:pgMar w:left="320" w:top="126" w:right="87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BurTech LP, LLC, a Delaware limited liability company - Shahal Khan the manager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092915107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Shahal Khan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700"/>
          </w:cols>
          <w:pgMar w:left="320" w:top="126" w:right="879" w:bottom="0" w:gutter="0" w:footer="0" w:header="0"/>
          <w:type w:val="continuous"/>
        </w:sectPr>
      </w:pPr>
    </w:p>
    <w:bookmarkStart w:id="2" w:name="page3"/>
    <w:bookmarkEnd w:id="2"/>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320" w:right="7960" w:hanging="271"/>
        <w:spacing w:after="0" w:line="389" w:lineRule="auto"/>
        <w:tabs>
          <w:tab w:leader="none" w:pos="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9,135,750.00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9,135,750.00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9,135,750.00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2" w:orient="portrait"/>
          <w:cols w:equalWidth="0" w:num="2">
            <w:col w:w="1100" w:space="60"/>
            <w:col w:w="9900"/>
          </w:cols>
          <w:pgMar w:left="320" w:top="111" w:right="51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BurTech LP, LLC, a Delaware limited liability company - Shahal Khan the manager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BurTech LP, LLC, a Delaware limited liability company - Shahal Khan the manager</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1300 Pennsylvania Ave NW, Suite 700, Washington, DC 20004</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Shahal Khan the manager of BurTech LP LLC</w:t>
      </w:r>
    </w:p>
    <w:p>
      <w:pPr>
        <w:spacing w:after="0" w:line="44" w:lineRule="exact"/>
        <w:rPr>
          <w:rFonts w:ascii="Times New Roman" w:cs="Times New Roman" w:eastAsia="Times New Roman" w:hAnsi="Times New Roman"/>
          <w:sz w:val="22"/>
          <w:szCs w:val="22"/>
          <w:color w:val="auto"/>
        </w:rPr>
      </w:pPr>
    </w:p>
    <w:p>
      <w:pPr>
        <w:ind w:left="980" w:right="120" w:hanging="932"/>
        <w:spacing w:after="0" w:line="185" w:lineRule="auto"/>
        <w:tabs>
          <w:tab w:leader="none" w:pos="98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80" w:right="80" w:hanging="932"/>
        <w:spacing w:after="0" w:line="184" w:lineRule="auto"/>
        <w:tabs>
          <w:tab w:leader="none" w:pos="98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BurTech LP LLC - Delaware; Shahal Khan -USA</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spacing w:after="0" w:line="246" w:lineRule="auto"/>
        <w:rPr>
          <w:sz w:val="20"/>
          <w:szCs w:val="20"/>
          <w:color w:val="auto"/>
        </w:rPr>
      </w:pPr>
      <w:r>
        <w:rPr>
          <w:rFonts w:ascii="Times New Roman" w:cs="Times New Roman" w:eastAsia="Times New Roman" w:hAnsi="Times New Roman"/>
          <w:sz w:val="21"/>
          <w:szCs w:val="21"/>
          <w:color w:val="auto"/>
        </w:rPr>
        <w:t>In connection with the initial public offering of Burtech Acquisition Corp. (the "SPAC"), BurTech LP LLC served as the "Sponsor", in which it owned 10,835,750 shares of Class A Common Stock, $0.0001 par value per share. In connection with the business combination between the SPAC and Blaize, Inc., a Delaware corporation ("Blaize") pursuant to an Agreement and Plan of Merger, dated as of December 22, 2023 (as amended on April 22, 2024, October 24, 2024 and November 21, 2024, the "Business Combination Agreement"). The transactions contemplated by the Business Combination Agreement (the "Business Combination") closed on January 13, 2025 (the "Closing"). Pursuant to the terms of the Business Combination Agreement, immediately prior to the Closing, (i) each share of Blaize Series D-2 Shadow Preferred Stock of Blaize (the "Series D-2 Shadow Preferred Stock") converted to Blaize common stock and (ii) holders of Blaize common stock received approximately 0.78 shares of Common Stock for each share of Blaize common stock held by them at such time, subject to certain limitations. Holders of the SPAC</w:t>
      </w:r>
    </w:p>
    <w:p>
      <w:pPr>
        <w:sectPr>
          <w:pgSz w:w="11900" w:h="16882" w:orient="portrait"/>
          <w:cols w:equalWidth="0" w:num="1">
            <w:col w:w="11060"/>
          </w:cols>
          <w:pgMar w:left="320" w:top="111" w:right="51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Times New Roman" w:cs="Times New Roman" w:eastAsia="Times New Roman" w:hAnsi="Times New Roman"/>
          <w:sz w:val="22"/>
          <w:szCs w:val="22"/>
          <w:color w:val="auto"/>
        </w:rPr>
        <w:t>received shares in Blaize on a 1:1 basis. In connection with the Business Combination, the Sponsor forfeited 2,000,000 of its shares of Common Stock in the SPAC, leaving the Sponsor with 8,835,750 shares of Common Stock of Blaize. In consideration for certain expenses paid for by the Sponsor in connection with the Business Combination, Blaize issued to Sponsor an additional 750,000 shares of Common Stock of Blaize, bringing the total number of shares to 9,135,750. Other than the transaction described above, there have been no transactions effected by the Reporting Persons in the past sixty days with respect to the securities of the Issuer.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The Reporting Persons acquired the securities of the Issuer for investment purposes. Reporting Persons or their affiliates may purchase additional securities or dispose of securities in varying amounts and at varying times depending upon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"Board") and management of the Issuer, the availability and nature of opportunities to dispose of shares of the Issuer and other plans and requirements of the particular entities. The Reporting Persons may discuss items of mutual interest with the Issuer, which could include items in subparagraphs</w:t>
      </w:r>
    </w:p>
    <w:p>
      <w:pPr>
        <w:spacing w:after="0" w:line="4" w:lineRule="exact"/>
        <w:rPr>
          <w:sz w:val="20"/>
          <w:szCs w:val="20"/>
          <w:color w:val="auto"/>
        </w:rPr>
      </w:pPr>
    </w:p>
    <w:p>
      <w:pPr>
        <w:spacing w:after="0" w:line="232" w:lineRule="auto"/>
        <w:tabs>
          <w:tab w:leader="none" w:pos="2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their control. The Reporting Persons or their affiliates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 The Reporting Persons intend to review their investment in the Issuer on an ongoing basis and, in the course of their review, may take actions (including through their affiliates) with respect to their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 Interest in Securities of the Issuer</w:t>
      </w:r>
    </w:p>
    <w:p>
      <w:pPr>
        <w:spacing w:after="0" w:line="27"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8.98% of the outstanding shares of the Common Stock. Calculations of the percentage of the shares of Common Stock beneficially owned is based on 101,683,916 shares of Common Stock outstanding as of April 29, 2025, according to the Issuer's Form POS AM filed on April 29, 2025.</w:t>
      </w:r>
    </w:p>
    <w:p>
      <w:pPr>
        <w:spacing w:after="0" w:line="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8.98% of the outstanding shares of the Common Stock. Calculations of the percentage of the shares of Common Stock beneficially owned is based on 101,683,916 shares of Common Stock outstanding as of April 29, 2025, according to the Issuer's Form POS AM filed on April 29, 2025.</w:t>
      </w:r>
    </w:p>
    <w:p>
      <w:pPr>
        <w:spacing w:after="0" w:line="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1"/>
          <w:szCs w:val="21"/>
          <w:color w:val="auto"/>
        </w:rPr>
        <w:t>The Reporting Persons were involved in the Business Combination as the Sponsor of the SPAC, which approved the Business Combination and Mr. Khan as the manager of BurTech LP LLC, who owned equity interests in the SPAC</w:t>
      </w:r>
    </w:p>
    <w:p>
      <w:pPr>
        <w:sectPr>
          <w:pgSz w:w="11900" w:h="16838" w:orient="portrait"/>
          <w:cols w:equalWidth="0" w:num="2">
            <w:col w:w="620" w:space="320"/>
            <w:col w:w="10220"/>
          </w:cols>
          <w:pgMar w:left="360" w:top="112" w:right="379" w:bottom="0" w:gutter="0" w:footer="0" w:header="0"/>
        </w:sectPr>
      </w:pPr>
    </w:p>
    <w:bookmarkStart w:id="4" w:name="page5"/>
    <w:bookmarkEnd w:id="4"/>
    <w:p>
      <w:pPr>
        <w:spacing w:after="0" w:line="22" w:lineRule="exact"/>
        <w:rPr>
          <w:sz w:val="20"/>
          <w:szCs w:val="20"/>
          <w:color w:val="auto"/>
        </w:rPr>
      </w:pPr>
    </w:p>
    <w:p>
      <w:pPr>
        <w:ind w:left="940" w:right="160"/>
        <w:spacing w:after="0" w:line="244" w:lineRule="auto"/>
        <w:rPr>
          <w:sz w:val="20"/>
          <w:szCs w:val="20"/>
          <w:color w:val="auto"/>
        </w:rPr>
      </w:pPr>
      <w:r>
        <w:rPr>
          <w:rFonts w:ascii="Times New Roman" w:cs="Times New Roman" w:eastAsia="Times New Roman" w:hAnsi="Times New Roman"/>
          <w:sz w:val="22"/>
          <w:szCs w:val="22"/>
          <w:color w:val="auto"/>
        </w:rPr>
        <w:t>and voted in support of the Business Combination. Except as set forth in this Schedule 13D, none of the Reporting Persons have engaged in any transaction with respect to the Common Stock during the sixty days prior to the date of filing of this Schedule 13D.</w:t>
      </w:r>
    </w:p>
    <w:p>
      <w:pPr>
        <w:spacing w:after="0" w:line="12" w:lineRule="exact"/>
        <w:rPr>
          <w:sz w:val="20"/>
          <w:szCs w:val="20"/>
          <w:color w:val="auto"/>
        </w:rPr>
      </w:pPr>
    </w:p>
    <w:p>
      <w:pPr>
        <w:ind w:left="940"/>
        <w:spacing w:after="0" w:line="253"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To the best knowledge of the Reporting Persons, no one other than the Reporting Persons, or the partners, members, affiliates or shareholders</w:t>
      </w:r>
    </w:p>
    <w:p>
      <w:pPr>
        <w:spacing w:after="0" w:line="1" w:lineRule="exact"/>
        <w:rPr>
          <w:sz w:val="20"/>
          <w:szCs w:val="20"/>
          <w:color w:val="auto"/>
        </w:rPr>
      </w:pPr>
    </w:p>
    <w:p>
      <w:pPr>
        <w:ind w:left="940" w:right="180" w:hanging="932"/>
        <w:spacing w:after="0" w:line="235" w:lineRule="auto"/>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Reporting Persons, is known to have the right to receive, or the power to direct the receipt of, dividends from, or proceeds from the sale of, the shares of Common Stock reported herein as beneficially owned by the Reporting Persons.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Item 3 of this Schedule 13D is incorporated by reference herein. 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40"/>
        <w:spacing w:after="0" w:line="231" w:lineRule="auto"/>
        <w:rPr>
          <w:sz w:val="20"/>
          <w:szCs w:val="20"/>
          <w:color w:val="auto"/>
        </w:rPr>
      </w:pPr>
      <w:r>
        <w:rPr>
          <w:rFonts w:ascii="Times New Roman" w:cs="Times New Roman" w:eastAsia="Times New Roman" w:hAnsi="Times New Roman"/>
          <w:sz w:val="22"/>
          <w:szCs w:val="22"/>
          <w:color w:val="auto"/>
        </w:rPr>
        <w:t>The information contained in Item 3 of this Schedule 13D is incorporated by reference herein. Registration Rights Agreement Upon the Closing, Mr. Khan and BurTech LP LLC entered into an Amended and Restated Registration Rights Agreement ("the "Registration Rights Agreement") by and among (i) the Issuer (formerly known as BurTech Acquisition Corp.), (ii) BurTech LP LLC (the "Sponsor"), (iii) certain equityholders of Blaize, , (iv) EF Hutton, Division of Benchmark Investments, LLC, (v) Burkhan Capital LLC and (vi) affiliates and nominees of Burkhan Capital LLC. Pursuant to the Registration Rights Agreement, the Issuer agreed to register for resale certain shares of the Issuer's Common Stock and other equity securities of the Issuer. Additionally, the Registration Rights Agreement provides for customary "demand" and "piggyback" registration rights for certain stockholders. Lock-Up Agreements Upon the Closing, the Issuer entered into lock-up agreements (the "Lock-up Agreements") with Mr. Khan and BurTech LP LLC, in each case, restricting the transfer of Common Stock and any shares of Issuer Common Stock immediately after the effective time of the Business Combination from and after the Closing. The restrictions under the Lock-up Agreements began at the Closing and end on the date that is 180 days after the Closing, or upon the earlier of (x) the last reported sale price of Common Stock reaching $12.00 per share (as adjusted for stock splits, stock dividends, reorganizations, recapitalizations and the like) for any 20 trading days within any 30-trading day period commencing at least 150 days after the Closing and (y) the liquidation of the Issuer. SPAC Support Agreement On December 22, 2023, Mr. Khan and BurTech LP LLC entered into a Stockholder Support Agreement (the "SPAC Support Agreement"), by and among BurTech, Blaize, Mr. Khan and BurTech LP LLC and certain other equityholders of the SPAC (together with Mr. Khan and BurTech LP LLC, the "SPAC Equityholders"). Under the SPAC Support Agreement, the SPAC Equityholders agreed to vote or cause to be voted or to execute and deliver a written consent with respect to the SPAC equity interests held by the SPAC Equityholders adopting the Business Combination Agreement and approving the Business Combination. The SPAC Support Agreement terminated in connection with the Closing. Earnout Pursuant to the Business Combination Agreement, Eligible Company Holders (as defined in the Business Combination Agreement), including Mr. Khan and BurTech LP LLC, are entitled to up to 15 million shares of Common Stock in the aggregate (the "Earnout Shares") upon the occurrence of certain triggering events linked to the trading price of the Common Stock after the Closing. In the event the triggering events occur, Earnout Shares will be distributed to Eligible Company Holders in proportion to such Eligible Company Holders pro rata share of Blaize common stock immediately prior to the Closing. The information disclosed in this Item 6, including the foregoing descriptions of the Business Combination Agreement, the Support Agreement, the Lock-Up Agreement, the Registration Rights Agreement and the Letter Agreement, and the transactions contemplated thereby, do not purport to be complete and are subject to, and qualified in its entirety by, the full text of such agreements, copies of which are attached hereto as Exhibits 2, 3, 4, 5 and 5, and 6 incorporated herein by reference in their entirety.</w:t>
      </w:r>
    </w:p>
    <w:p>
      <w:pPr>
        <w:spacing w:after="0" w:line="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Exhibit 1. Joint Filing Agreement by and among the Reporting Persons Exhibit 2. Agreement and Plan of Merger, dated as of December 22, 2023, by and among BurTech Acquisition Corp., BurTech Merger Sub Inc., Blaize, Inc. and Burkhan Capital LLC (for the limited purposes set forth therein) (incorporated by reference to Annex A to the Issuer's Registration Statement on Form S-4, as amended (File No. 333-280889)). Exhibit 3. Stockholder Support Agreement by and among BurTech, Blaize, Mr. Khan and certain other equityholders of Blaize (incorporated by reference to Annex G to the Issuer's Registration Statement on Form S-4, as amended (File No. 333-280889)) Exhibit 4. Form of Lock-Up Agreement by and among the Issuer and the securityholders named therein (incorporated by reference to Annex I to the Issuer's Registration Statement on Form S-4, as amended (File No. 333-280889)). Exhibit 5. Form of Registration Rights Agreement, by and among the Issuer (formerly known as BurTech Acquisition Corp.), the Sponsor, certain equityholders of Blaize, EF Hutton, Division of Benchmark Investments, LLC, Burkhan Capital LLC and affiliates and nominees of Burkhan Capital LLC (incorporated by reference to Annex H to the Issuer's Registration Statement on Form S-4, as amended (File No. 333-280889)). Exhibit 6. Letter Agreement dated as of December 10, 2021, by and among BurTech, its officers and its directors, Sponsor and certain other stockholders party thereto. (incorporated by reference to Exhibit 10.2 from the current report on form 8-K filed on December 16, 2021).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BurTech LP LLC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Shahal Khan</w:t>
      </w:r>
    </w:p>
    <w:p>
      <w:pPr>
        <w:sectPr>
          <w:pgSz w:w="11900" w:h="16860" w:orient="portrait"/>
          <w:cols w:equalWidth="0" w:num="1">
            <w:col w:w="11160"/>
          </w:cols>
          <w:pgMar w:left="360" w:top="112" w:right="379" w:bottom="0" w:gutter="0" w:footer="0" w:header="0"/>
        </w:sectPr>
      </w:pPr>
    </w:p>
    <w:bookmarkStart w:id="5" w:name="page6"/>
    <w:bookmarkEnd w:id="5"/>
    <w:p>
      <w:pPr>
        <w:ind w:left="3040"/>
        <w:spacing w:after="0"/>
        <w:rPr>
          <w:sz w:val="20"/>
          <w:szCs w:val="20"/>
          <w:color w:val="auto"/>
        </w:rPr>
      </w:pPr>
      <w:r>
        <w:rPr>
          <w:rFonts w:ascii="Times New Roman" w:cs="Times New Roman" w:eastAsia="Times New Roman" w:hAnsi="Times New Roman"/>
          <w:sz w:val="21"/>
          <w:szCs w:val="21"/>
          <w:color w:val="auto"/>
        </w:rPr>
        <w:t>Name/Title: Shahal Khan/Managing Member</w:t>
      </w:r>
    </w:p>
    <w:p>
      <w:pPr>
        <w:spacing w:after="0" w:line="56"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Shahal Khan</w:t>
      </w:r>
    </w:p>
    <w:p>
      <w:pPr>
        <w:spacing w:after="0" w:line="152" w:lineRule="exact"/>
        <w:rPr>
          <w:sz w:val="20"/>
          <w:szCs w:val="20"/>
          <w:color w:val="auto"/>
        </w:rPr>
      </w:pPr>
    </w:p>
    <w:p>
      <w:pPr>
        <w:ind w:left="1580"/>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Shahal Khan</w:t>
      </w:r>
    </w:p>
    <w:p>
      <w:pPr>
        <w:spacing w:after="0" w:line="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Name/Title: Shahal Khan</w:t>
      </w:r>
    </w:p>
    <w:p>
      <w:pPr>
        <w:spacing w:after="0" w:line="44" w:lineRule="exact"/>
        <w:rPr>
          <w:sz w:val="20"/>
          <w:szCs w:val="20"/>
          <w:color w:val="auto"/>
        </w:rPr>
      </w:pPr>
    </w:p>
    <w:p>
      <w:pPr>
        <w:ind w:left="1580"/>
        <w:spacing w:after="0"/>
        <w:tabs>
          <w:tab w:leader="none" w:pos="2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7"/>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2025-05-15T15:13:53Z</dcterms:created>
  <dcterms:modified xsi:type="dcterms:W3CDTF">2025-05-15T15:13:53Z</dcterms:modified>
</cp:coreProperties>
</file>