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jc w:val="center"/>
        <w:ind w:left="360" w:right="2560"/>
        <w:spacing w:after="0" w:line="268" w:lineRule="auto"/>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RULES 13d-1(b), (c) AND (d) AND AMENDMENTS THERETO FILED PURSUANT TO §240.13d-2</w:t>
      </w:r>
    </w:p>
    <w:p>
      <w:pPr>
        <w:spacing w:after="0" w:line="3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of Class A common stock, $0.0001 par value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123013104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(c)</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(d)</w:t>
      </w:r>
    </w:p>
    <w:p>
      <w:pPr>
        <w:spacing w:after="0" w:line="225" w:lineRule="exact"/>
        <w:rPr>
          <w:sz w:val="24"/>
          <w:szCs w:val="24"/>
          <w:color w:val="auto"/>
        </w:rPr>
      </w:pPr>
    </w:p>
    <w:p>
      <w:pPr>
        <w:ind w:left="340" w:right="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7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460" w:type="dxa"/>
            <w:vAlign w:val="bottom"/>
            <w:tcBorders>
              <w:top w:val="single" w:sz="8" w:color="auto"/>
              <w:left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CUSIP No. 123013104</w:t>
            </w:r>
          </w:p>
        </w:tc>
        <w:tc>
          <w:tcPr>
            <w:tcW w:w="820" w:type="dxa"/>
            <w:vAlign w:val="bottom"/>
            <w:tcBorders>
              <w:top w:val="single" w:sz="8" w:color="auto"/>
              <w:bottom w:val="single" w:sz="8" w:color="auto"/>
              <w:right w:val="single" w:sz="8" w:color="auto"/>
            </w:tcBorders>
          </w:tcPr>
          <w:p>
            <w:pPr>
              <w:spacing w:after="0"/>
              <w:rPr>
                <w:sz w:val="22"/>
                <w:szCs w:val="22"/>
                <w:color w:val="auto"/>
              </w:rPr>
            </w:pPr>
          </w:p>
        </w:tc>
        <w:tc>
          <w:tcPr>
            <w:tcW w:w="4480" w:type="dxa"/>
            <w:vAlign w:val="bottom"/>
            <w:tcBorders>
              <w:top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60" w:type="dxa"/>
            <w:vAlign w:val="bottom"/>
            <w:tcBorders>
              <w:top w:val="single" w:sz="8" w:color="auto"/>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5360" w:type="dxa"/>
            <w:vAlign w:val="bottom"/>
            <w:tcBorders>
              <w:bottom w:val="single" w:sz="8" w:color="auto"/>
            </w:tcBorders>
            <w:gridSpan w:val="3"/>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BurTech LP LLC</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0" w:type="dxa"/>
            <w:vAlign w:val="bottom"/>
            <w:tcBorders>
              <w:left w:val="single" w:sz="8" w:color="auto"/>
            </w:tcBorders>
          </w:tcPr>
          <w:p>
            <w:pPr>
              <w:jc w:val="center"/>
              <w:ind w:left="19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3"/>
                <w:szCs w:val="13"/>
                <w:color w:val="auto"/>
              </w:rPr>
            </w:pPr>
          </w:p>
        </w:tc>
        <w:tc>
          <w:tcPr>
            <w:tcW w:w="7280" w:type="dxa"/>
            <w:vAlign w:val="bottom"/>
            <w:gridSpan w:val="6"/>
          </w:tcPr>
          <w:p>
            <w:pPr>
              <w:ind w:left="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6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17"/>
                <w:szCs w:val="17"/>
                <w:color w:val="auto"/>
              </w:rPr>
            </w:pPr>
          </w:p>
        </w:tc>
        <w:tc>
          <w:tcPr>
            <w:tcW w:w="5360" w:type="dxa"/>
            <w:vAlign w:val="bottom"/>
            <w:tcBorders>
              <w:bottom w:val="single" w:sz="8" w:color="auto"/>
            </w:tcBorders>
            <w:gridSpan w:val="3"/>
          </w:tcPr>
          <w:p>
            <w:pPr>
              <w:spacing w:after="0"/>
              <w:rPr>
                <w:sz w:val="17"/>
                <w:szCs w:val="17"/>
                <w:color w:val="auto"/>
              </w:rPr>
            </w:pPr>
          </w:p>
        </w:tc>
        <w:tc>
          <w:tcPr>
            <w:tcW w:w="3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72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Delaware limited liability company</w:t>
            </w: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6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231F20"/>
              </w:rPr>
              <w:t xml:space="preserve">10,385,750 </w:t>
            </w:r>
            <w:r>
              <w:rPr>
                <w:rFonts w:ascii="Times New Roman" w:cs="Times New Roman" w:eastAsia="Times New Roman" w:hAnsi="Times New Roman"/>
                <w:sz w:val="29"/>
                <w:szCs w:val="29"/>
                <w:color w:val="000000"/>
                <w:vertAlign w:val="superscript"/>
              </w:rPr>
              <w:t>(1)</w:t>
            </w: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Borders>
              <w:right w:val="single" w:sz="8" w:color="auto"/>
            </w:tcBorders>
            <w:vMerge w:val="restart"/>
          </w:tcPr>
          <w:p>
            <w:pPr>
              <w:jc w:val="center"/>
              <w:ind w:right="370"/>
              <w:spacing w:after="0" w:line="157" w:lineRule="exact"/>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46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7"/>
                <w:szCs w:val="7"/>
                <w:color w:val="auto"/>
              </w:rPr>
            </w:pPr>
          </w:p>
        </w:tc>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8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2"/>
                <w:szCs w:val="12"/>
                <w:color w:val="auto"/>
              </w:rPr>
            </w:pPr>
          </w:p>
        </w:tc>
        <w:tc>
          <w:tcPr>
            <w:tcW w:w="4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48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Borders>
              <w:right w:val="single" w:sz="8" w:color="auto"/>
            </w:tcBorders>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3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6"/>
                <w:szCs w:val="6"/>
                <w:color w:val="auto"/>
              </w:rPr>
            </w:pPr>
          </w:p>
        </w:tc>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60" w:type="dxa"/>
            <w:vAlign w:val="bottom"/>
            <w:tcBorders>
              <w:left w:val="single" w:sz="8" w:color="auto"/>
            </w:tcBorders>
          </w:tcPr>
          <w:p>
            <w:pPr>
              <w:spacing w:after="0"/>
              <w:rPr>
                <w:sz w:val="13"/>
                <w:szCs w:val="13"/>
                <w:color w:val="auto"/>
              </w:rPr>
            </w:pPr>
          </w:p>
        </w:tc>
        <w:tc>
          <w:tcPr>
            <w:tcW w:w="136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3"/>
                <w:szCs w:val="13"/>
                <w:color w:val="auto"/>
              </w:rPr>
            </w:pPr>
          </w:p>
        </w:tc>
        <w:tc>
          <w:tcPr>
            <w:tcW w:w="4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3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6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8"/>
              </w:rPr>
              <w:t>PERSON</w:t>
            </w:r>
          </w:p>
        </w:tc>
        <w:tc>
          <w:tcPr>
            <w:tcW w:w="2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231F20"/>
              </w:rPr>
              <w:t xml:space="preserve">10,385,750 </w:t>
            </w:r>
            <w:r>
              <w:rPr>
                <w:rFonts w:ascii="Times New Roman" w:cs="Times New Roman" w:eastAsia="Times New Roman" w:hAnsi="Times New Roman"/>
                <w:sz w:val="29"/>
                <w:szCs w:val="29"/>
                <w:color w:val="000000"/>
                <w:vertAlign w:val="superscript"/>
              </w:rPr>
              <w:t>(1)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tcPr>
          <w:p>
            <w:pPr>
              <w:jc w:val="center"/>
              <w:ind w:right="37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gridSpan w:val="2"/>
            <w:vMerge w:val="continue"/>
          </w:tcPr>
          <w:p>
            <w:pPr>
              <w:spacing w:after="0"/>
              <w:rPr>
                <w:sz w:val="15"/>
                <w:szCs w:val="15"/>
                <w:color w:val="auto"/>
              </w:rPr>
            </w:pPr>
          </w:p>
        </w:tc>
        <w:tc>
          <w:tcPr>
            <w:tcW w:w="33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AGGREGATE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3"/>
              </w:rPr>
              <w:t>AMOUNT</w:t>
            </w:r>
          </w:p>
        </w:tc>
        <w:tc>
          <w:tcPr>
            <w:tcW w:w="5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31F20"/>
              </w:rPr>
              <w:t xml:space="preserve">10,385,750 </w:t>
            </w:r>
            <w:r>
              <w:rPr>
                <w:rFonts w:ascii="Times New Roman" w:cs="Times New Roman" w:eastAsia="Times New Roman" w:hAnsi="Times New Roman"/>
                <w:sz w:val="29"/>
                <w:szCs w:val="29"/>
                <w:color w:val="000000"/>
                <w:vertAlign w:val="superscript"/>
              </w:rPr>
              <w:t>(1)</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w w:val="99"/>
              </w:rPr>
              <w:t>CHECK BOX IF THE AGGREGATE AMOUNT IN ROW (9) EXCLUDES CERTAIN SHARES*</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68.5%</w:t>
            </w:r>
            <w:r>
              <w:rPr>
                <w:rFonts w:ascii="Times New Roman" w:cs="Times New Roman" w:eastAsia="Times New Roman" w:hAnsi="Times New Roman"/>
                <w:sz w:val="29"/>
                <w:szCs w:val="29"/>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w:t>
      </w:r>
      <w:r>
        <w:rPr>
          <w:rFonts w:ascii="Times New Roman" w:cs="Times New Roman" w:eastAsia="Times New Roman" w:hAnsi="Times New Roman"/>
          <w:sz w:val="18"/>
          <w:szCs w:val="18"/>
          <w:color w:val="231F20"/>
        </w:rPr>
        <w:t>10,385,745</w:t>
      </w:r>
      <w:r>
        <w:rPr>
          <w:rFonts w:ascii="Times New Roman" w:cs="Times New Roman" w:eastAsia="Times New Roman" w:hAnsi="Times New Roman"/>
          <w:sz w:val="18"/>
          <w:szCs w:val="18"/>
          <w:color w:val="auto"/>
        </w:rPr>
        <w:t xml:space="preserve"> shares of Class A common stock and five shares of Class B common stock, which is convertible into five shares of Class A common stock on a one-for-one basis at the time of the consummation of an initial business combination.</w:t>
      </w:r>
    </w:p>
    <w:p>
      <w:pPr>
        <w:spacing w:after="0" w:line="186"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is calculated based on 15,162,663 shares of common stock as of December 31, 2023 which includes 915,162,662 shares of Class A common stock and one share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7"/>
        </w:trPr>
        <w:tc>
          <w:tcPr>
            <w:tcW w:w="460" w:type="dxa"/>
            <w:vAlign w:val="bottom"/>
            <w:tcBorders>
              <w:top w:val="single" w:sz="8" w:color="auto"/>
              <w:left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CUSIP No. 123013104</w:t>
            </w:r>
          </w:p>
        </w:tc>
        <w:tc>
          <w:tcPr>
            <w:tcW w:w="820" w:type="dxa"/>
            <w:vAlign w:val="bottom"/>
            <w:tcBorders>
              <w:top w:val="single" w:sz="8" w:color="auto"/>
              <w:bottom w:val="single" w:sz="8" w:color="auto"/>
              <w:right w:val="single" w:sz="8" w:color="auto"/>
            </w:tcBorders>
          </w:tcPr>
          <w:p>
            <w:pPr>
              <w:spacing w:after="0"/>
              <w:rPr>
                <w:sz w:val="22"/>
                <w:szCs w:val="22"/>
                <w:color w:val="auto"/>
              </w:rPr>
            </w:pPr>
          </w:p>
        </w:tc>
        <w:tc>
          <w:tcPr>
            <w:tcW w:w="4480" w:type="dxa"/>
            <w:vAlign w:val="bottom"/>
            <w:tcBorders>
              <w:top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60" w:type="dxa"/>
            <w:vAlign w:val="bottom"/>
            <w:tcBorders>
              <w:top w:val="single" w:sz="8" w:color="auto"/>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5360" w:type="dxa"/>
            <w:vAlign w:val="bottom"/>
            <w:tcBorders>
              <w:bottom w:val="single" w:sz="8" w:color="auto"/>
            </w:tcBorders>
            <w:gridSpan w:val="3"/>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Shahal Khan</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0" w:type="dxa"/>
            <w:vAlign w:val="bottom"/>
            <w:tcBorders>
              <w:left w:val="single" w:sz="8" w:color="auto"/>
            </w:tcBorders>
          </w:tcPr>
          <w:p>
            <w:pPr>
              <w:jc w:val="center"/>
              <w:ind w:left="19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3"/>
                <w:szCs w:val="13"/>
                <w:color w:val="auto"/>
              </w:rPr>
            </w:pPr>
          </w:p>
        </w:tc>
        <w:tc>
          <w:tcPr>
            <w:tcW w:w="7280" w:type="dxa"/>
            <w:vAlign w:val="bottom"/>
            <w:gridSpan w:val="6"/>
          </w:tcPr>
          <w:p>
            <w:pPr>
              <w:ind w:left="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4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17"/>
                <w:szCs w:val="17"/>
                <w:color w:val="auto"/>
              </w:rPr>
            </w:pPr>
          </w:p>
        </w:tc>
        <w:tc>
          <w:tcPr>
            <w:tcW w:w="5360" w:type="dxa"/>
            <w:vAlign w:val="bottom"/>
            <w:tcBorders>
              <w:bottom w:val="single" w:sz="8" w:color="auto"/>
            </w:tcBorders>
            <w:gridSpan w:val="3"/>
          </w:tcPr>
          <w:p>
            <w:pPr>
              <w:spacing w:after="0"/>
              <w:rPr>
                <w:sz w:val="17"/>
                <w:szCs w:val="17"/>
                <w:color w:val="auto"/>
              </w:rPr>
            </w:pPr>
          </w:p>
        </w:tc>
        <w:tc>
          <w:tcPr>
            <w:tcW w:w="3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6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10,385,750 </w:t>
            </w:r>
            <w:r>
              <w:rPr>
                <w:rFonts w:ascii="Times New Roman" w:cs="Times New Roman" w:eastAsia="Times New Roman" w:hAnsi="Times New Roman"/>
                <w:sz w:val="29"/>
                <w:szCs w:val="29"/>
                <w:color w:val="auto"/>
                <w:vertAlign w:val="superscript"/>
              </w:rPr>
              <w:t>(1)</w:t>
            </w: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Borders>
              <w:right w:val="single" w:sz="8" w:color="auto"/>
            </w:tcBorders>
            <w:vMerge w:val="restart"/>
          </w:tcPr>
          <w:p>
            <w:pPr>
              <w:jc w:val="center"/>
              <w:ind w:right="370"/>
              <w:spacing w:after="0" w:line="157" w:lineRule="exact"/>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46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7"/>
                <w:szCs w:val="7"/>
                <w:color w:val="auto"/>
              </w:rPr>
            </w:pPr>
          </w:p>
        </w:tc>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8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2"/>
                <w:szCs w:val="12"/>
                <w:color w:val="auto"/>
              </w:rPr>
            </w:pPr>
          </w:p>
        </w:tc>
        <w:tc>
          <w:tcPr>
            <w:tcW w:w="4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48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Borders>
              <w:right w:val="single" w:sz="8" w:color="auto"/>
            </w:tcBorders>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3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6"/>
                <w:szCs w:val="6"/>
                <w:color w:val="auto"/>
              </w:rPr>
            </w:pPr>
          </w:p>
        </w:tc>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60" w:type="dxa"/>
            <w:vAlign w:val="bottom"/>
            <w:tcBorders>
              <w:left w:val="single" w:sz="8" w:color="auto"/>
            </w:tcBorders>
          </w:tcPr>
          <w:p>
            <w:pPr>
              <w:spacing w:after="0"/>
              <w:rPr>
                <w:sz w:val="13"/>
                <w:szCs w:val="13"/>
                <w:color w:val="auto"/>
              </w:rPr>
            </w:pPr>
          </w:p>
        </w:tc>
        <w:tc>
          <w:tcPr>
            <w:tcW w:w="136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3"/>
                <w:szCs w:val="13"/>
                <w:color w:val="auto"/>
              </w:rPr>
            </w:pPr>
          </w:p>
        </w:tc>
        <w:tc>
          <w:tcPr>
            <w:tcW w:w="4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3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6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10,385,750 </w:t>
            </w:r>
            <w:r>
              <w:rPr>
                <w:rFonts w:ascii="Times New Roman" w:cs="Times New Roman" w:eastAsia="Times New Roman" w:hAnsi="Times New Roman"/>
                <w:sz w:val="29"/>
                <w:szCs w:val="29"/>
                <w:color w:val="auto"/>
                <w:vertAlign w:val="superscript"/>
              </w:rPr>
              <w:t>(1)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tcPr>
          <w:p>
            <w:pPr>
              <w:jc w:val="center"/>
              <w:ind w:right="37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gridSpan w:val="2"/>
            <w:vMerge w:val="continue"/>
          </w:tcPr>
          <w:p>
            <w:pPr>
              <w:spacing w:after="0"/>
              <w:rPr>
                <w:sz w:val="15"/>
                <w:szCs w:val="15"/>
                <w:color w:val="auto"/>
              </w:rPr>
            </w:pPr>
          </w:p>
        </w:tc>
        <w:tc>
          <w:tcPr>
            <w:tcW w:w="33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AGGREGATE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3"/>
              </w:rPr>
              <w:t>AMOUNT</w:t>
            </w:r>
          </w:p>
        </w:tc>
        <w:tc>
          <w:tcPr>
            <w:tcW w:w="5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10,385,750 </w:t>
            </w:r>
            <w:r>
              <w:rPr>
                <w:rFonts w:ascii="Times New Roman" w:cs="Times New Roman" w:eastAsia="Times New Roman" w:hAnsi="Times New Roman"/>
                <w:sz w:val="29"/>
                <w:szCs w:val="29"/>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w w:val="99"/>
              </w:rPr>
              <w:t>CHECK BOX IF THE AGGREGATE AMOUNT IN ROW (9) EXCLUDES CERTAIN SHARES*</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68.5%</w:t>
            </w:r>
            <w:r>
              <w:rPr>
                <w:rFonts w:ascii="Times New Roman" w:cs="Times New Roman" w:eastAsia="Times New Roman" w:hAnsi="Times New Roman"/>
                <w:sz w:val="29"/>
                <w:szCs w:val="29"/>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w:t>
      </w:r>
      <w:r>
        <w:rPr>
          <w:rFonts w:ascii="Times New Roman" w:cs="Times New Roman" w:eastAsia="Times New Roman" w:hAnsi="Times New Roman"/>
          <w:sz w:val="18"/>
          <w:szCs w:val="18"/>
          <w:color w:val="231F20"/>
        </w:rPr>
        <w:t>10,385,745</w:t>
      </w:r>
      <w:r>
        <w:rPr>
          <w:rFonts w:ascii="Times New Roman" w:cs="Times New Roman" w:eastAsia="Times New Roman" w:hAnsi="Times New Roman"/>
          <w:sz w:val="18"/>
          <w:szCs w:val="18"/>
          <w:color w:val="auto"/>
        </w:rPr>
        <w:t xml:space="preserve"> shares of Class A common stock and five shares of Class B common stock, which is convertible into five shares of Class A common stock on a one-for-one basis at the time of the consummation of an initial business combination.</w:t>
      </w:r>
    </w:p>
    <w:p>
      <w:pPr>
        <w:spacing w:after="0" w:line="186"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is calculated based on 15,162,663 shares of common stock as of December 31, 2023 which includes 915,162,658 shares of Class A common stock and five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7"/>
        </w:trPr>
        <w:tc>
          <w:tcPr>
            <w:tcW w:w="460" w:type="dxa"/>
            <w:vAlign w:val="bottom"/>
            <w:tcBorders>
              <w:top w:val="single" w:sz="8" w:color="auto"/>
              <w:left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CUSIP No. 123013104</w:t>
            </w:r>
          </w:p>
        </w:tc>
        <w:tc>
          <w:tcPr>
            <w:tcW w:w="820" w:type="dxa"/>
            <w:vAlign w:val="bottom"/>
            <w:tcBorders>
              <w:top w:val="single" w:sz="8" w:color="auto"/>
              <w:bottom w:val="single" w:sz="8" w:color="auto"/>
              <w:right w:val="single" w:sz="8" w:color="auto"/>
            </w:tcBorders>
          </w:tcPr>
          <w:p>
            <w:pPr>
              <w:spacing w:after="0"/>
              <w:rPr>
                <w:sz w:val="22"/>
                <w:szCs w:val="22"/>
                <w:color w:val="auto"/>
              </w:rPr>
            </w:pPr>
          </w:p>
        </w:tc>
        <w:tc>
          <w:tcPr>
            <w:tcW w:w="4480" w:type="dxa"/>
            <w:vAlign w:val="bottom"/>
            <w:tcBorders>
              <w:top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60" w:type="dxa"/>
            <w:vAlign w:val="bottom"/>
            <w:tcBorders>
              <w:top w:val="single" w:sz="8" w:color="auto"/>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4 of 8 Pages</w:t>
            </w: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spacing w:after="0"/>
              <w:rPr>
                <w:sz w:val="18"/>
                <w:szCs w:val="18"/>
                <w:color w:val="auto"/>
              </w:rPr>
            </w:pPr>
          </w:p>
        </w:tc>
        <w:tc>
          <w:tcPr>
            <w:tcW w:w="5360" w:type="dxa"/>
            <w:vAlign w:val="bottom"/>
            <w:tcBorders>
              <w:bottom w:val="single" w:sz="8" w:color="auto"/>
            </w:tcBorders>
            <w:gridSpan w:val="3"/>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Roman Livson</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60" w:type="dxa"/>
            <w:vAlign w:val="bottom"/>
            <w:tcBorders>
              <w:left w:val="single" w:sz="8" w:color="auto"/>
            </w:tcBorders>
          </w:tcPr>
          <w:p>
            <w:pPr>
              <w:jc w:val="center"/>
              <w:ind w:left="19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3"/>
                <w:szCs w:val="13"/>
                <w:color w:val="auto"/>
              </w:rPr>
            </w:pPr>
          </w:p>
        </w:tc>
        <w:tc>
          <w:tcPr>
            <w:tcW w:w="7280" w:type="dxa"/>
            <w:vAlign w:val="bottom"/>
            <w:gridSpan w:val="6"/>
          </w:tcPr>
          <w:p>
            <w:pPr>
              <w:ind w:left="8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4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spacing w:after="0"/>
              <w:rPr>
                <w:sz w:val="17"/>
                <w:szCs w:val="17"/>
                <w:color w:val="auto"/>
              </w:rPr>
            </w:pPr>
          </w:p>
        </w:tc>
        <w:tc>
          <w:tcPr>
            <w:tcW w:w="5360" w:type="dxa"/>
            <w:vAlign w:val="bottom"/>
            <w:tcBorders>
              <w:bottom w:val="single" w:sz="8" w:color="auto"/>
            </w:tcBorders>
            <w:gridSpan w:val="3"/>
          </w:tcPr>
          <w:p>
            <w:pPr>
              <w:spacing w:after="0"/>
              <w:rPr>
                <w:sz w:val="17"/>
                <w:szCs w:val="17"/>
                <w:color w:val="auto"/>
              </w:rPr>
            </w:pPr>
          </w:p>
        </w:tc>
        <w:tc>
          <w:tcPr>
            <w:tcW w:w="3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USA</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6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10,385,750 </w:t>
            </w:r>
            <w:r>
              <w:rPr>
                <w:rFonts w:ascii="Times New Roman" w:cs="Times New Roman" w:eastAsia="Times New Roman" w:hAnsi="Times New Roman"/>
                <w:sz w:val="29"/>
                <w:szCs w:val="29"/>
                <w:color w:val="auto"/>
                <w:vertAlign w:val="superscript"/>
              </w:rPr>
              <w:t>(1)</w:t>
            </w: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Borders>
              <w:right w:val="single" w:sz="8" w:color="auto"/>
            </w:tcBorders>
            <w:vMerge w:val="restart"/>
          </w:tcPr>
          <w:p>
            <w:pPr>
              <w:jc w:val="center"/>
              <w:ind w:right="370"/>
              <w:spacing w:after="0" w:line="157" w:lineRule="exact"/>
              <w:rPr>
                <w:sz w:val="20"/>
                <w:szCs w:val="20"/>
                <w:color w:val="auto"/>
              </w:rPr>
            </w:pPr>
            <w:r>
              <w:rPr>
                <w:rFonts w:ascii="Times New Roman" w:cs="Times New Roman" w:eastAsia="Times New Roman" w:hAnsi="Times New Roman"/>
                <w:sz w:val="18"/>
                <w:szCs w:val="18"/>
                <w:color w:val="auto"/>
                <w:w w:val="98"/>
              </w:rPr>
              <w:t>SHARES</w:t>
            </w: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460" w:type="dxa"/>
            <w:vAlign w:val="bottom"/>
            <w:tcBorders>
              <w:lef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7"/>
                <w:szCs w:val="7"/>
                <w:color w:val="auto"/>
              </w:rPr>
            </w:pPr>
          </w:p>
        </w:tc>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8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20" w:type="dxa"/>
            <w:vAlign w:val="bottom"/>
          </w:tcPr>
          <w:p>
            <w:pPr>
              <w:spacing w:after="0"/>
              <w:rPr>
                <w:sz w:val="12"/>
                <w:szCs w:val="12"/>
                <w:color w:val="auto"/>
              </w:rPr>
            </w:pPr>
          </w:p>
        </w:tc>
        <w:tc>
          <w:tcPr>
            <w:tcW w:w="4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820" w:type="dxa"/>
            <w:vAlign w:val="bottom"/>
            <w:tcBorders>
              <w:left w:val="single" w:sz="8" w:color="auto"/>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80" w:type="dxa"/>
            <w:vAlign w:val="bottom"/>
          </w:tcPr>
          <w:p>
            <w:pPr>
              <w:spacing w:after="0"/>
              <w:rPr>
                <w:sz w:val="6"/>
                <w:szCs w:val="6"/>
                <w:color w:val="auto"/>
              </w:rPr>
            </w:pP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448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Borders>
              <w:right w:val="single" w:sz="8" w:color="auto"/>
            </w:tcBorders>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7"/>
              </w:rPr>
              <w:t>EACH</w:t>
            </w: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33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Borders>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6"/>
                <w:szCs w:val="6"/>
                <w:color w:val="auto"/>
              </w:rPr>
            </w:pPr>
          </w:p>
        </w:tc>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60" w:type="dxa"/>
            <w:vAlign w:val="bottom"/>
            <w:tcBorders>
              <w:left w:val="single" w:sz="8" w:color="auto"/>
            </w:tcBorders>
          </w:tcPr>
          <w:p>
            <w:pPr>
              <w:spacing w:after="0"/>
              <w:rPr>
                <w:sz w:val="13"/>
                <w:szCs w:val="13"/>
                <w:color w:val="auto"/>
              </w:rPr>
            </w:pPr>
          </w:p>
        </w:tc>
        <w:tc>
          <w:tcPr>
            <w:tcW w:w="1360" w:type="dxa"/>
            <w:vAlign w:val="bottom"/>
            <w:tcBorders>
              <w:right w:val="single" w:sz="8" w:color="auto"/>
            </w:tcBorders>
            <w:gridSpan w:val="2"/>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220" w:type="dxa"/>
            <w:vAlign w:val="bottom"/>
          </w:tcPr>
          <w:p>
            <w:pPr>
              <w:spacing w:after="0"/>
              <w:rPr>
                <w:sz w:val="13"/>
                <w:szCs w:val="13"/>
                <w:color w:val="auto"/>
              </w:rPr>
            </w:pPr>
          </w:p>
        </w:tc>
        <w:tc>
          <w:tcPr>
            <w:tcW w:w="4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300" w:type="dxa"/>
            <w:vAlign w:val="bottom"/>
            <w:gridSpan w:val="2"/>
            <w:vMerge w:val="continue"/>
          </w:tcPr>
          <w:p>
            <w:pPr>
              <w:spacing w:after="0"/>
              <w:rPr>
                <w:sz w:val="13"/>
                <w:szCs w:val="13"/>
                <w:color w:val="auto"/>
              </w:rPr>
            </w:pPr>
          </w:p>
        </w:tc>
        <w:tc>
          <w:tcPr>
            <w:tcW w:w="3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6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8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8"/>
              </w:rPr>
              <w:t>PERSON</w:t>
            </w:r>
          </w:p>
        </w:tc>
        <w:tc>
          <w:tcPr>
            <w:tcW w:w="22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xml:space="preserve">10,385,750 </w:t>
            </w:r>
            <w:r>
              <w:rPr>
                <w:rFonts w:ascii="Times New Roman" w:cs="Times New Roman" w:eastAsia="Times New Roman" w:hAnsi="Times New Roman"/>
                <w:sz w:val="29"/>
                <w:szCs w:val="29"/>
                <w:color w:val="auto"/>
                <w:vertAlign w:val="superscript"/>
              </w:rPr>
              <w:t>(1)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tcPr>
          <w:p>
            <w:pPr>
              <w:jc w:val="center"/>
              <w:ind w:right="37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gridSpan w:val="2"/>
            <w:vMerge w:val="continue"/>
          </w:tcPr>
          <w:p>
            <w:pPr>
              <w:spacing w:after="0"/>
              <w:rPr>
                <w:sz w:val="15"/>
                <w:szCs w:val="15"/>
                <w:color w:val="auto"/>
              </w:rPr>
            </w:pPr>
          </w:p>
        </w:tc>
        <w:tc>
          <w:tcPr>
            <w:tcW w:w="33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1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AGGREGATE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3"/>
              </w:rPr>
              <w:t>AMOUNT</w:t>
            </w:r>
          </w:p>
        </w:tc>
        <w:tc>
          <w:tcPr>
            <w:tcW w:w="5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10,385,750 </w:t>
            </w:r>
            <w:r>
              <w:rPr>
                <w:rFonts w:ascii="Times New Roman" w:cs="Times New Roman" w:eastAsia="Times New Roman" w:hAnsi="Times New Roman"/>
                <w:sz w:val="29"/>
                <w:szCs w:val="29"/>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w w:val="99"/>
              </w:rPr>
              <w:t>CHECK BOX IF THE AGGREGATE AMOUNT IN ROW (9) EXCLUDES CERTAIN SHARES*</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68.5%</w:t>
            </w:r>
            <w:r>
              <w:rPr>
                <w:rFonts w:ascii="Times New Roman" w:cs="Times New Roman" w:eastAsia="Times New Roman" w:hAnsi="Times New Roman"/>
                <w:sz w:val="29"/>
                <w:szCs w:val="29"/>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Borders>
              <w:right w:val="single" w:sz="8" w:color="auto"/>
            </w:tcBorders>
          </w:tcPr>
          <w:p>
            <w:pPr>
              <w:spacing w:after="0"/>
              <w:rPr>
                <w:sz w:val="19"/>
                <w:szCs w:val="19"/>
                <w:color w:val="auto"/>
              </w:rPr>
            </w:pPr>
          </w:p>
        </w:tc>
        <w:tc>
          <w:tcPr>
            <w:tcW w:w="728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Includes </w:t>
      </w:r>
      <w:r>
        <w:rPr>
          <w:rFonts w:ascii="Times New Roman" w:cs="Times New Roman" w:eastAsia="Times New Roman" w:hAnsi="Times New Roman"/>
          <w:sz w:val="18"/>
          <w:szCs w:val="18"/>
          <w:color w:val="231F20"/>
        </w:rPr>
        <w:t>10,385,745</w:t>
      </w:r>
      <w:r>
        <w:rPr>
          <w:rFonts w:ascii="Times New Roman" w:cs="Times New Roman" w:eastAsia="Times New Roman" w:hAnsi="Times New Roman"/>
          <w:sz w:val="18"/>
          <w:szCs w:val="18"/>
          <w:color w:val="auto"/>
        </w:rPr>
        <w:t xml:space="preserve"> shares of Class A common stock and five shares of Class B common stock, which is convertible into five shares of Class A common stock on a one-for-one basis at the time of the consummation of an initial business combination.</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Percentage is calculated based on 15,162,663 shares of common stock as of December 31, 2023 which includes 915,162,658 shares of Class A common stock and five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7"/>
        </w:trPr>
        <w:tc>
          <w:tcPr>
            <w:tcW w:w="34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480" w:type="dxa"/>
            <w:vAlign w:val="bottom"/>
            <w:tcBorders>
              <w:top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60" w:type="dxa"/>
            <w:vAlign w:val="bottom"/>
            <w:tcBorders>
              <w:top w:val="single" w:sz="8" w:color="auto"/>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BurTech Acquisition Corp.</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Address of Issuer’s Principal Executive Offices: </w:t>
      </w:r>
      <w:r>
        <w:rPr>
          <w:rFonts w:ascii="Times New Roman" w:cs="Times New Roman" w:eastAsia="Times New Roman" w:hAnsi="Times New Roman"/>
          <w:sz w:val="18"/>
          <w:szCs w:val="18"/>
          <w:color w:val="auto"/>
        </w:rPr>
        <w:t>1300 Pennsylvania Ave NW, Suite 700, Washington, DC 20004.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29" w:lineRule="exact"/>
        <w:rPr>
          <w:rFonts w:ascii="Times New Roman" w:cs="Times New Roman" w:eastAsia="Times New Roman" w:hAnsi="Times New Roman"/>
          <w:sz w:val="18"/>
          <w:szCs w:val="18"/>
          <w:b w:val="1"/>
          <w:bCs w:val="1"/>
          <w:color w:val="auto"/>
        </w:rPr>
      </w:pPr>
    </w:p>
    <w:p>
      <w:pPr>
        <w:ind w:left="660" w:right="93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BurTech LP LLC Shahal Khan Roman Livson</w:t>
      </w:r>
    </w:p>
    <w:p>
      <w:pPr>
        <w:spacing w:after="0" w:line="15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BurTech LP LLC:</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 BurTech Acquisition Corp., 1300 Pennsylvania Ave NW, Suite 700, Washington, DC 20004.</w:t>
      </w:r>
    </w:p>
    <w:p>
      <w:pPr>
        <w:spacing w:after="0" w:line="20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Shahal Khan,</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 BurTech Acquisition Corp., 1300 Pennsylvania Ave NW, Suite 700, Washington, DC 20004.</w:t>
      </w:r>
    </w:p>
    <w:p>
      <w:pPr>
        <w:spacing w:after="0" w:line="20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Roman Livson,</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 BurTech Acquisition Corp., 1300 Pennsylvania Ave NW, Suite 700, Washington, DC 20004.</w:t>
      </w:r>
    </w:p>
    <w:p>
      <w:pPr>
        <w:spacing w:after="0" w:line="20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rFonts w:ascii="Times New Roman" w:cs="Times New Roman" w:eastAsia="Times New Roman" w:hAnsi="Times New Roman"/>
          <w:sz w:val="18"/>
          <w:szCs w:val="18"/>
          <w:b w:val="1"/>
          <w:bCs w:val="1"/>
          <w:color w:val="auto"/>
        </w:rPr>
      </w:pPr>
    </w:p>
    <w:p>
      <w:pPr>
        <w:ind w:left="660" w:right="64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BurTech LP LLC – A Delaware limited liability company Shahal Khan – USA</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Roman Livson - USA</w:t>
      </w:r>
    </w:p>
    <w:p>
      <w:pPr>
        <w:spacing w:after="0" w:line="20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Class A common stock, $0.0001 par value per share</w:t>
      </w:r>
    </w:p>
    <w:p>
      <w:pPr>
        <w:spacing w:after="0" w:line="22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123013104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229" w:lineRule="exact"/>
        <w:rPr>
          <w:rFonts w:ascii="Times New Roman" w:cs="Times New Roman" w:eastAsia="Times New Roman" w:hAnsi="Times New Roman"/>
          <w:sz w:val="18"/>
          <w:szCs w:val="18"/>
          <w:b w:val="1"/>
          <w:bCs w:val="1"/>
          <w:color w:val="auto"/>
        </w:rPr>
      </w:pPr>
    </w:p>
    <w:p>
      <w:pPr>
        <w:ind w:left="660" w:right="838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BurTech LP LLC– 10,385,750 Shahal Khan – 10,385,750 Roman Livson – 10,385,750</w:t>
      </w:r>
    </w:p>
    <w:p>
      <w:pPr>
        <w:spacing w:after="0" w:line="1"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BurTech LP LLC, the Issuer’s Sponsor, is the record holder of the securities reported herein. Shahal Khan and Roman Livson are the managing members of the Sponsor. By virtue of this relationship, each of Mr. Khan and Mr. Livson may be deemed the beneficial owner of the securities held of record by the Sponsor. Mr. Khan and Mr. Livson each disclaims any such beneficial ownership except to the extent of his pecuniary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p>
      <w:pPr>
        <w:spacing w:after="0"/>
        <w:tabs>
          <w:tab w:leader="none" w:pos="590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123013104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8 Pages</w:t>
      </w:r>
    </w:p>
    <w:p>
      <w:pPr>
        <w:sectPr>
          <w:pgSz w:w="11900" w:h="16838" w:orient="portrait"/>
          <w:cols w:equalWidth="0" w:num="1">
            <w:col w:w="11080"/>
          </w:cols>
          <w:pgMar w:left="440" w:top="941" w:right="379" w:bottom="1440" w:gutter="0" w:footer="0" w:header="0"/>
        </w:sectPr>
      </w:pPr>
    </w:p>
    <w:p>
      <w:pPr>
        <w:spacing w:after="0" w:line="239" w:lineRule="exact"/>
        <w:rPr>
          <w:sz w:val="20"/>
          <w:szCs w:val="20"/>
          <w:color w:val="auto"/>
        </w:rPr>
      </w:pPr>
    </w:p>
    <w:p>
      <w:pPr>
        <w:ind w:left="540" w:hanging="328"/>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25"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BurTech LP LLC: </w:t>
      </w:r>
      <w:r>
        <w:rPr>
          <w:rFonts w:ascii="Times New Roman" w:cs="Times New Roman" w:eastAsia="Times New Roman" w:hAnsi="Times New Roman"/>
          <w:sz w:val="18"/>
          <w:szCs w:val="18"/>
          <w:color w:val="auto"/>
        </w:rPr>
        <w:t>68.5%</w:t>
      </w:r>
    </w:p>
    <w:p>
      <w:pPr>
        <w:spacing w:after="0" w:line="31"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Shahal Khan: </w:t>
      </w:r>
      <w:r>
        <w:rPr>
          <w:rFonts w:ascii="Times New Roman" w:cs="Times New Roman" w:eastAsia="Times New Roman" w:hAnsi="Times New Roman"/>
          <w:sz w:val="18"/>
          <w:szCs w:val="18"/>
          <w:color w:val="auto"/>
        </w:rPr>
        <w:t>68.5%</w:t>
      </w:r>
    </w:p>
    <w:p>
      <w:pPr>
        <w:spacing w:after="0" w:line="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Roman Livson: </w:t>
      </w:r>
      <w:r>
        <w:rPr>
          <w:rFonts w:ascii="Times New Roman" w:cs="Times New Roman" w:eastAsia="Times New Roman" w:hAnsi="Times New Roman"/>
          <w:sz w:val="18"/>
          <w:szCs w:val="18"/>
          <w:color w:val="auto"/>
        </w:rPr>
        <w:t>68.5%</w:t>
      </w:r>
    </w:p>
    <w:p>
      <w:pPr>
        <w:spacing w:after="0" w:line="207" w:lineRule="exact"/>
        <w:rPr>
          <w:sz w:val="20"/>
          <w:szCs w:val="20"/>
          <w:color w:val="auto"/>
        </w:rPr>
      </w:pPr>
    </w:p>
    <w:p>
      <w:pPr>
        <w:ind w:left="220" w:firstLine="324"/>
        <w:spacing w:after="0" w:line="282" w:lineRule="auto"/>
        <w:rPr>
          <w:sz w:val="20"/>
          <w:szCs w:val="20"/>
          <w:color w:val="auto"/>
        </w:rPr>
      </w:pPr>
      <w:r>
        <w:rPr>
          <w:rFonts w:ascii="Times New Roman" w:cs="Times New Roman" w:eastAsia="Times New Roman" w:hAnsi="Times New Roman"/>
          <w:sz w:val="18"/>
          <w:szCs w:val="18"/>
          <w:color w:val="auto"/>
        </w:rPr>
        <w:t>The foregoing percentages are based on 15,162,663 shares of common stock as of December 31, 2023 which includes 915,162,658 shares of Class A common stock and five shares of Class B common stock.</w:t>
      </w:r>
    </w:p>
    <w:p>
      <w:pPr>
        <w:spacing w:after="0" w:line="158" w:lineRule="exact"/>
        <w:rPr>
          <w:sz w:val="20"/>
          <w:szCs w:val="20"/>
          <w:color w:val="auto"/>
        </w:rPr>
      </w:pPr>
    </w:p>
    <w:p>
      <w:pPr>
        <w:ind w:left="540" w:right="6940" w:hanging="328"/>
        <w:spacing w:after="0" w:line="500" w:lineRule="auto"/>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 BurTech LP LLC:</w:t>
      </w:r>
    </w:p>
    <w:p>
      <w:pPr>
        <w:spacing w:after="0" w:line="1"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10,385,750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10,385,750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0</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Shahal Khan:</w:t>
      </w:r>
    </w:p>
    <w:p>
      <w:pPr>
        <w:spacing w:after="0" w:line="225" w:lineRule="exact"/>
        <w:rPr>
          <w:sz w:val="20"/>
          <w:szCs w:val="20"/>
          <w:color w:val="auto"/>
        </w:rPr>
      </w:pPr>
    </w:p>
    <w:p>
      <w:pPr>
        <w:ind w:left="860" w:hanging="324"/>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10,385,750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10,385,750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0</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Roman Livson:</w:t>
      </w:r>
    </w:p>
    <w:p>
      <w:pPr>
        <w:spacing w:after="0" w:line="225" w:lineRule="exact"/>
        <w:rPr>
          <w:sz w:val="20"/>
          <w:szCs w:val="20"/>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10,385,750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10,385,750</w:t>
      </w:r>
    </w:p>
    <w:p>
      <w:pPr>
        <w:spacing w:after="0" w:line="225" w:lineRule="exact"/>
        <w:rPr>
          <w:rFonts w:ascii="Times New Roman" w:cs="Times New Roman" w:eastAsia="Times New Roman" w:hAnsi="Times New Roman"/>
          <w:sz w:val="18"/>
          <w:szCs w:val="18"/>
          <w:b w:val="1"/>
          <w:bCs w:val="1"/>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448310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40" w:top="941" w:right="37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7"/>
        </w:trPr>
        <w:tc>
          <w:tcPr>
            <w:tcW w:w="34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480" w:type="dxa"/>
            <w:vAlign w:val="bottom"/>
            <w:tcBorders>
              <w:top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60" w:type="dxa"/>
            <w:vAlign w:val="bottom"/>
            <w:tcBorders>
              <w:top w:val="single" w:sz="8" w:color="auto"/>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5</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percent of the class of securities, check the following: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Ownership of More than Five Percent on Behalf of Another Person: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Identification and Classification of Subsidiary Which Acquired the Securities: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Identification and Classification of Members of the Group: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Notice of Dissolution of Group: </w:t>
      </w: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10.Certifications:</w:t>
      </w:r>
    </w:p>
    <w:p>
      <w:pPr>
        <w:spacing w:after="0" w:line="229"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7"/>
        </w:trPr>
        <w:tc>
          <w:tcPr>
            <w:tcW w:w="34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123013104</w:t>
            </w:r>
          </w:p>
        </w:tc>
        <w:tc>
          <w:tcPr>
            <w:tcW w:w="4480" w:type="dxa"/>
            <w:vAlign w:val="bottom"/>
            <w:tcBorders>
              <w:top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60" w:type="dxa"/>
            <w:vAlign w:val="bottom"/>
            <w:tcBorders>
              <w:top w:val="single" w:sz="8" w:color="auto"/>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LP I LLC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Shahal Khan</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Shahal Khan</w:t>
            </w:r>
          </w:p>
        </w:tc>
      </w:tr>
      <w:tr>
        <w:trPr>
          <w:trHeight w:val="6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Roman Livson</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Roman Livson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0</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Roman Livson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agree to the joint filing on behalf of each of them of a Statement on Schedule 13G (including any and all amendments thereto) with respect to the Class A common stock, $0.0001 par value per share, of BurTech Acquisition Corp., a Delaware corporation, and further agree that this Joint Filing Agreement shall be included as an Exhibit to such joint filings.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Joint Filing Agreement may be signed in counterparts with the same effect as if the signature on each counterpart were upon the same instrument.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February 20,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LP LLC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Shahal Khan</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Shahal Khan</w:t>
            </w:r>
          </w:p>
        </w:tc>
      </w:tr>
      <w:tr>
        <w:trPr>
          <w:trHeight w:val="41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Roman Livson</w:t>
            </w: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Roman Livson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2024-02-20T13:54:38Z</dcterms:created>
  <dcterms:modified xsi:type="dcterms:W3CDTF">2024-02-20T13:54:38Z</dcterms:modified>
</cp:coreProperties>
</file>