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Delaware</w:t>
            </w:r>
          </w:p>
        </w:tc>
        <w:tc>
          <w:tcPr>
            <w:tcW w:w="2100" w:type="dxa"/>
            <w:vAlign w:val="bottom"/>
            <w:tcBorders>
              <w:bottom w:val="single" w:sz="8" w:color="auto"/>
            </w:tcBorders>
            <w:gridSpan w:val="2"/>
          </w:tcPr>
          <w:p>
            <w:pPr>
              <w:jc w:val="center"/>
              <w:ind w:left="1570"/>
              <w:spacing w:after="0"/>
              <w:rPr>
                <w:sz w:val="20"/>
                <w:szCs w:val="20"/>
                <w:color w:val="auto"/>
              </w:rPr>
            </w:pPr>
            <w:r>
              <w:rPr>
                <w:rFonts w:ascii="Arial" w:cs="Arial" w:eastAsia="Arial" w:hAnsi="Arial"/>
                <w:sz w:val="18"/>
                <w:szCs w:val="18"/>
                <w:b w:val="1"/>
                <w:bCs w:val="1"/>
                <w:color w:val="auto"/>
                <w:w w:val="89"/>
              </w:rPr>
              <w:t>6770</w:t>
            </w:r>
          </w:p>
        </w:tc>
        <w:tc>
          <w:tcPr>
            <w:tcW w:w="24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40" w:type="dxa"/>
            <w:vAlign w:val="bottom"/>
          </w:tcPr>
          <w:p>
            <w:pPr>
              <w:ind w:left="740"/>
              <w:spacing w:after="0" w:line="195" w:lineRule="exact"/>
              <w:rPr>
                <w:sz w:val="20"/>
                <w:szCs w:val="20"/>
                <w:color w:val="auto"/>
              </w:rPr>
            </w:pPr>
            <w:r>
              <w:rPr>
                <w:rFonts w:ascii="Arial" w:cs="Arial" w:eastAsia="Arial" w:hAnsi="Arial"/>
                <w:sz w:val="18"/>
                <w:szCs w:val="18"/>
                <w:i w:val="1"/>
                <w:iCs w:val="1"/>
                <w:color w:val="auto"/>
              </w:rPr>
              <w:t>(State or other jurisdiction of</w:t>
            </w:r>
          </w:p>
        </w:tc>
        <w:tc>
          <w:tcPr>
            <w:tcW w:w="4580" w:type="dxa"/>
            <w:vAlign w:val="bottom"/>
            <w:gridSpan w:val="3"/>
          </w:tcPr>
          <w:p>
            <w:pPr>
              <w:jc w:val="center"/>
              <w:ind w:right="710"/>
              <w:spacing w:after="0" w:line="195" w:lineRule="exact"/>
              <w:rPr>
                <w:sz w:val="20"/>
                <w:szCs w:val="20"/>
                <w:color w:val="auto"/>
              </w:rPr>
            </w:pPr>
            <w:r>
              <w:rPr>
                <w:rFonts w:ascii="Arial" w:cs="Arial" w:eastAsia="Arial" w:hAnsi="Arial"/>
                <w:sz w:val="18"/>
                <w:szCs w:val="18"/>
                <w:i w:val="1"/>
                <w:iCs w:val="1"/>
                <w:color w:val="auto"/>
                <w:w w:val="93"/>
              </w:rPr>
              <w:t>(Primary Standard Industrial</w:t>
            </w:r>
          </w:p>
        </w:tc>
        <w:tc>
          <w:tcPr>
            <w:tcW w:w="3020" w:type="dxa"/>
            <w:vAlign w:val="bottom"/>
          </w:tcPr>
          <w:p>
            <w:pPr>
              <w:jc w:val="center"/>
              <w:ind w:right="730"/>
              <w:spacing w:after="0" w:line="195"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640" w:type="dxa"/>
            <w:vAlign w:val="bottom"/>
          </w:tcPr>
          <w:p>
            <w:pPr>
              <w:ind w:left="700"/>
              <w:spacing w:after="0"/>
              <w:rPr>
                <w:sz w:val="20"/>
                <w:szCs w:val="20"/>
                <w:color w:val="auto"/>
              </w:rPr>
            </w:pPr>
            <w:r>
              <w:rPr>
                <w:rFonts w:ascii="Arial" w:cs="Arial" w:eastAsia="Arial" w:hAnsi="Arial"/>
                <w:sz w:val="18"/>
                <w:szCs w:val="18"/>
                <w:i w:val="1"/>
                <w:iCs w:val="1"/>
                <w:color w:val="auto"/>
              </w:rPr>
              <w:t>incorporation or organization)</w:t>
            </w:r>
          </w:p>
        </w:tc>
        <w:tc>
          <w:tcPr>
            <w:tcW w:w="4580" w:type="dxa"/>
            <w:vAlign w:val="bottom"/>
            <w:gridSpan w:val="3"/>
          </w:tcPr>
          <w:p>
            <w:pPr>
              <w:jc w:val="center"/>
              <w:ind w:right="710"/>
              <w:spacing w:after="0"/>
              <w:rPr>
                <w:sz w:val="20"/>
                <w:szCs w:val="20"/>
                <w:color w:val="auto"/>
              </w:rPr>
            </w:pPr>
            <w:r>
              <w:rPr>
                <w:rFonts w:ascii="Arial" w:cs="Arial" w:eastAsia="Arial" w:hAnsi="Arial"/>
                <w:sz w:val="18"/>
                <w:szCs w:val="18"/>
                <w:i w:val="1"/>
                <w:iCs w:val="1"/>
                <w:color w:val="auto"/>
                <w:w w:val="91"/>
              </w:rPr>
              <w:t>Classification Code Number)</w:t>
            </w:r>
          </w:p>
        </w:tc>
        <w:tc>
          <w:tcPr>
            <w:tcW w:w="3020" w:type="dxa"/>
            <w:vAlign w:val="bottom"/>
          </w:tcPr>
          <w:p>
            <w:pPr>
              <w:jc w:val="center"/>
              <w:ind w:right="71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3640" w:type="dxa"/>
            <w:vAlign w:val="bottom"/>
          </w:tcPr>
          <w:p>
            <w:pPr>
              <w:spacing w:after="0"/>
              <w:rPr>
                <w:sz w:val="24"/>
                <w:szCs w:val="24"/>
                <w:color w:val="auto"/>
              </w:rPr>
            </w:pPr>
          </w:p>
        </w:tc>
        <w:tc>
          <w:tcPr>
            <w:tcW w:w="45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1"/>
              </w:rPr>
              <w:t>BurTech Acquisition Corp.</w:t>
            </w:r>
          </w:p>
        </w:tc>
        <w:tc>
          <w:tcPr>
            <w:tcW w:w="302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45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1300 Pennsylvania Ave NW, Suite 700</w:t>
            </w:r>
          </w:p>
        </w:tc>
        <w:tc>
          <w:tcPr>
            <w:tcW w:w="302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45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0"/>
              </w:rPr>
              <w:t>Washington, DC 20004</w:t>
            </w:r>
          </w:p>
        </w:tc>
        <w:tc>
          <w:tcPr>
            <w:tcW w:w="3020" w:type="dxa"/>
            <w:vAlign w:val="bottom"/>
          </w:tcPr>
          <w:p>
            <w:pPr>
              <w:spacing w:after="0"/>
              <w:rPr>
                <w:sz w:val="18"/>
                <w:szCs w:val="18"/>
                <w:color w:val="auto"/>
              </w:rPr>
            </w:pPr>
          </w:p>
        </w:tc>
      </w:tr>
      <w:tr>
        <w:trPr>
          <w:trHeight w:val="220"/>
        </w:trPr>
        <w:tc>
          <w:tcPr>
            <w:tcW w:w="3640" w:type="dxa"/>
            <w:vAlign w:val="bottom"/>
          </w:tcPr>
          <w:p>
            <w:pPr>
              <w:spacing w:after="0"/>
              <w:rPr>
                <w:sz w:val="19"/>
                <w:szCs w:val="19"/>
                <w:color w:val="auto"/>
              </w:rPr>
            </w:pPr>
          </w:p>
        </w:tc>
        <w:tc>
          <w:tcPr>
            <w:tcW w:w="45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0"/>
              </w:rPr>
              <w:t>Telephone: (202) 600-5757</w:t>
            </w:r>
          </w:p>
        </w:tc>
        <w:tc>
          <w:tcPr>
            <w:tcW w:w="302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458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r>
      <w:tr>
        <w:trPr>
          <w:trHeight w:val="432"/>
        </w:trPr>
        <w:tc>
          <w:tcPr>
            <w:tcW w:w="822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3020" w:type="dxa"/>
            <w:vAlign w:val="bottom"/>
          </w:tcPr>
          <w:p>
            <w:pPr>
              <w:spacing w:after="0"/>
              <w:rPr>
                <w:sz w:val="24"/>
                <w:szCs w:val="24"/>
                <w:color w:val="auto"/>
              </w:rPr>
            </w:pPr>
          </w:p>
        </w:tc>
      </w:tr>
      <w:tr>
        <w:trPr>
          <w:trHeight w:val="43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Each Class to be so Registered</w:t>
            </w:r>
          </w:p>
        </w:tc>
        <w:tc>
          <w:tcPr>
            <w:tcW w:w="1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 of Each Exchange on Which Each Class is to be Registered</w:t>
            </w:r>
          </w:p>
        </w:tc>
      </w:tr>
      <w:tr>
        <w:trPr>
          <w:trHeight w:val="426"/>
        </w:trPr>
        <w:tc>
          <w:tcPr>
            <w:tcW w:w="3640" w:type="dxa"/>
            <w:vAlign w:val="bottom"/>
          </w:tcPr>
          <w:p>
            <w:pPr>
              <w:spacing w:after="0"/>
              <w:rPr>
                <w:sz w:val="20"/>
                <w:szCs w:val="20"/>
                <w:color w:val="auto"/>
              </w:rPr>
            </w:pPr>
            <w:r>
              <w:rPr>
                <w:rFonts w:ascii="Arial" w:cs="Arial" w:eastAsia="Arial" w:hAnsi="Arial"/>
                <w:sz w:val="18"/>
                <w:szCs w:val="18"/>
                <w:color w:val="auto"/>
              </w:rPr>
              <w:t>Class A Common Stock, $0.0001 par value</w:t>
            </w:r>
          </w:p>
        </w:tc>
        <w:tc>
          <w:tcPr>
            <w:tcW w:w="188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The NASDAQ Global Market</w:t>
            </w:r>
          </w:p>
        </w:tc>
        <w:tc>
          <w:tcPr>
            <w:tcW w:w="302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Warrants</w:t>
            </w:r>
          </w:p>
        </w:tc>
        <w:tc>
          <w:tcPr>
            <w:tcW w:w="188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The NASDAQ Global Market</w:t>
            </w:r>
          </w:p>
        </w:tc>
        <w:tc>
          <w:tcPr>
            <w:tcW w:w="302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Units</w:t>
            </w:r>
          </w:p>
        </w:tc>
        <w:tc>
          <w:tcPr>
            <w:tcW w:w="188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The NASDAQ Global Market</w:t>
            </w:r>
          </w:p>
        </w:tc>
        <w:tc>
          <w:tcPr>
            <w:tcW w:w="3020" w:type="dxa"/>
            <w:vAlign w:val="bottom"/>
          </w:tcPr>
          <w:p>
            <w:pPr>
              <w:spacing w:after="0"/>
              <w:rPr>
                <w:sz w:val="24"/>
                <w:szCs w:val="24"/>
                <w:color w:val="auto"/>
              </w:rPr>
            </w:pP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333- 258914</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description of the Class A common stock, warrants and units to be registered hereunder is contained in the section entitled “Description of Securities” in the Prospectus included in BurTech Acquisition Corp.’s (the “Registrant”) Registration Statement on Form S-1 (Registration No. 333-</w:t>
      </w:r>
      <w:r>
        <w:rPr>
          <w:rFonts w:ascii="Arial" w:cs="Arial" w:eastAsia="Arial" w:hAnsi="Arial"/>
          <w:sz w:val="17"/>
          <w:szCs w:val="17"/>
          <w:u w:val="single" w:color="auto"/>
          <w:color w:val="auto"/>
        </w:rPr>
        <w:t>258914</w:t>
      </w:r>
      <w:r>
        <w:rPr>
          <w:rFonts w:ascii="Arial" w:cs="Arial" w:eastAsia="Arial" w:hAnsi="Arial"/>
          <w:sz w:val="17"/>
          <w:szCs w:val="17"/>
          <w:color w:val="auto"/>
        </w:rPr>
        <w:t>) initially filed with the Securities and Exchange Commission on August 19, 2021,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Global Market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December 8, 2021</w:t>
      </w:r>
      <w:r>
        <w:rPr>
          <w:sz w:val="20"/>
          <w:szCs w:val="20"/>
          <w:color w:val="auto"/>
        </w:rPr>
        <w:tab/>
      </w:r>
      <w:r>
        <w:rPr>
          <w:rFonts w:ascii="Arial" w:cs="Arial" w:eastAsia="Arial" w:hAnsi="Arial"/>
          <w:sz w:val="16"/>
          <w:szCs w:val="16"/>
          <w:color w:val="auto"/>
        </w:rPr>
        <w:t>BurTech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2021-12-08T14:48:17Z</dcterms:created>
  <dcterms:modified xsi:type="dcterms:W3CDTF">2021-12-08T14:48:17Z</dcterms:modified>
</cp:coreProperties>
</file>