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36"/>
        </w:rPr>
      </w:pPr>
      <w:bookmarkStart w:id="0" w:name="d30304ddefa14a.htm"/>
      <w:bookmarkStart w:id="1" w:name="ksd30304ddefa14a"/>
      <w:bookmarkEnd w:id="0"/>
      <w:bookmarkEnd w:id="1"/>
      <w:r>
        <w:rPr>
          <w:rFonts w:ascii="Times New Roman" w:hAnsi="Times New Roman"/>
          <w:b/>
          <w:sz w:val="36"/>
        </w:rPr>
        <w:t xml:space="preserve">UNITED STATES </w:t>
      </w:r>
    </w:p>
    <w:p>
      <w:pPr>
        <w:pStyle w:val="TextBody"/>
        <w:bidi w:val="0"/>
        <w:spacing w:before="12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12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0"/>
        </w:rPr>
      </w:pPr>
      <w:r>
        <w:rPr>
          <w:rFonts w:ascii="Times New Roman" w:hAnsi="Times New Roman"/>
          <w:b/>
          <w:sz w:val="20"/>
        </w:rPr>
        <w:t xml:space="preserve">(Rule 14a-101)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Filed by the Registrant ☒ </w:t>
      </w:r>
    </w:p>
    <w:p>
      <w:pPr>
        <w:pStyle w:val="TextBody"/>
        <w:bidi w:val="0"/>
        <w:spacing w:before="120" w:after="0"/>
        <w:jc w:val="left"/>
        <w:rPr>
          <w:rFonts w:ascii="Times New Roman" w:hAnsi="Times New Roman"/>
          <w:sz w:val="18"/>
        </w:rPr>
      </w:pPr>
      <w:r>
        <w:rPr>
          <w:rFonts w:ascii="Times New Roman" w:hAnsi="Times New Roman"/>
          <w:sz w:val="18"/>
        </w:rPr>
        <w:t xml:space="preserve">Filed by a Party other than the Registrant ☐ </w:t>
      </w:r>
    </w:p>
    <w:p>
      <w:pPr>
        <w:pStyle w:val="TextBody"/>
        <w:bidi w:val="0"/>
        <w:spacing w:before="480" w:after="0"/>
        <w:jc w:val="left"/>
        <w:rPr>
          <w:rFonts w:ascii="Times New Roman" w:hAnsi="Times New Roman"/>
          <w:sz w:val="18"/>
        </w:rPr>
      </w:pPr>
      <w:r>
        <w:rPr>
          <w:rFonts w:ascii="Times New Roman" w:hAnsi="Times New Roman"/>
          <w:sz w:val="18"/>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
        <w:gridCol w:w="182"/>
        <w:gridCol w:w="9794"/>
      </w:tblGrid>
      <w:tr>
        <w:trPr/>
        <w:tc>
          <w:tcPr>
            <w:tcW w:w="22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9794" w:type="dxa"/>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82" w:type="dxa"/>
            <w:tcBorders/>
            <w:vAlign w:val="bottom"/>
          </w:tcPr>
          <w:p>
            <w:pPr>
              <w:pStyle w:val="TableContents"/>
              <w:bidi w:val="0"/>
              <w:spacing w:before="0" w:after="283"/>
              <w:jc w:val="left"/>
              <w:rPr/>
            </w:pPr>
            <w:r>
              <w:rPr/>
              <w:t>  </w:t>
            </w:r>
          </w:p>
        </w:tc>
        <w:tc>
          <w:tcPr>
            <w:tcW w:w="9794" w:type="dxa"/>
            <w:tcBorders/>
            <w:vAlign w:val="bottom"/>
          </w:tcPr>
          <w:p>
            <w:pPr>
              <w:pStyle w:val="TableContents"/>
              <w:bidi w:val="0"/>
              <w:spacing w:before="0" w:after="283"/>
              <w:jc w:val="left"/>
              <w:rPr/>
            </w:pPr>
            <w:r>
              <w:rPr/>
              <w:t>Preliminary Proxy Statement</w:t>
            </w:r>
          </w:p>
        </w:tc>
      </w:tr>
      <w:tr>
        <w:trPr>
          <w:trHeight w:val="120" w:hRule="atLeast"/>
        </w:trPr>
        <w:tc>
          <w:tcPr>
            <w:tcW w:w="229" w:type="dxa"/>
            <w:tcBorders/>
            <w:vAlign w:val="center"/>
          </w:tcPr>
          <w:p>
            <w:pPr>
              <w:pStyle w:val="TableContents"/>
              <w:bidi w:val="0"/>
              <w:spacing w:before="0" w:after="283"/>
              <w:jc w:val="left"/>
              <w:rPr>
                <w:sz w:val="4"/>
                <w:szCs w:val="4"/>
              </w:rPr>
            </w:pPr>
            <w:r>
              <w:rPr>
                <w:sz w:val="4"/>
                <w:szCs w:val="4"/>
              </w:rPr>
            </w:r>
          </w:p>
        </w:tc>
        <w:tc>
          <w:tcPr>
            <w:tcW w:w="9976" w:type="dxa"/>
            <w:gridSpan w:val="2"/>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82" w:type="dxa"/>
            <w:tcBorders/>
            <w:vAlign w:val="bottom"/>
          </w:tcPr>
          <w:p>
            <w:pPr>
              <w:pStyle w:val="TableContents"/>
              <w:bidi w:val="0"/>
              <w:spacing w:before="0" w:after="283"/>
              <w:jc w:val="left"/>
              <w:rPr/>
            </w:pPr>
            <w:r>
              <w:rPr/>
              <w:t>  </w:t>
            </w:r>
          </w:p>
        </w:tc>
        <w:tc>
          <w:tcPr>
            <w:tcW w:w="9794"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229" w:type="dxa"/>
            <w:tcBorders/>
            <w:vAlign w:val="center"/>
          </w:tcPr>
          <w:p>
            <w:pPr>
              <w:pStyle w:val="TableContents"/>
              <w:bidi w:val="0"/>
              <w:spacing w:before="0" w:after="283"/>
              <w:jc w:val="left"/>
              <w:rPr>
                <w:sz w:val="4"/>
                <w:szCs w:val="4"/>
              </w:rPr>
            </w:pPr>
            <w:r>
              <w:rPr>
                <w:sz w:val="4"/>
                <w:szCs w:val="4"/>
              </w:rPr>
            </w:r>
          </w:p>
        </w:tc>
        <w:tc>
          <w:tcPr>
            <w:tcW w:w="9976" w:type="dxa"/>
            <w:gridSpan w:val="2"/>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82" w:type="dxa"/>
            <w:tcBorders/>
            <w:vAlign w:val="bottom"/>
          </w:tcPr>
          <w:p>
            <w:pPr>
              <w:pStyle w:val="TableContents"/>
              <w:bidi w:val="0"/>
              <w:spacing w:before="0" w:after="283"/>
              <w:jc w:val="left"/>
              <w:rPr/>
            </w:pPr>
            <w:r>
              <w:rPr/>
              <w:t>  </w:t>
            </w:r>
          </w:p>
        </w:tc>
        <w:tc>
          <w:tcPr>
            <w:tcW w:w="9794" w:type="dxa"/>
            <w:tcBorders/>
            <w:vAlign w:val="bottom"/>
          </w:tcPr>
          <w:p>
            <w:pPr>
              <w:pStyle w:val="TableContents"/>
              <w:bidi w:val="0"/>
              <w:spacing w:before="0" w:after="283"/>
              <w:jc w:val="left"/>
              <w:rPr/>
            </w:pPr>
            <w:r>
              <w:rPr/>
              <w:t>Definitive Proxy Statement</w:t>
            </w:r>
          </w:p>
        </w:tc>
      </w:tr>
      <w:tr>
        <w:trPr>
          <w:trHeight w:val="120" w:hRule="atLeast"/>
        </w:trPr>
        <w:tc>
          <w:tcPr>
            <w:tcW w:w="229" w:type="dxa"/>
            <w:tcBorders/>
            <w:vAlign w:val="center"/>
          </w:tcPr>
          <w:p>
            <w:pPr>
              <w:pStyle w:val="TableContents"/>
              <w:bidi w:val="0"/>
              <w:spacing w:before="0" w:after="283"/>
              <w:jc w:val="left"/>
              <w:rPr>
                <w:sz w:val="4"/>
                <w:szCs w:val="4"/>
              </w:rPr>
            </w:pPr>
            <w:r>
              <w:rPr>
                <w:sz w:val="4"/>
                <w:szCs w:val="4"/>
              </w:rPr>
            </w:r>
          </w:p>
        </w:tc>
        <w:tc>
          <w:tcPr>
            <w:tcW w:w="9976" w:type="dxa"/>
            <w:gridSpan w:val="2"/>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82" w:type="dxa"/>
            <w:tcBorders/>
            <w:vAlign w:val="bottom"/>
          </w:tcPr>
          <w:p>
            <w:pPr>
              <w:pStyle w:val="TableContents"/>
              <w:bidi w:val="0"/>
              <w:spacing w:before="0" w:after="283"/>
              <w:jc w:val="left"/>
              <w:rPr/>
            </w:pPr>
            <w:r>
              <w:rPr/>
              <w:t>  </w:t>
            </w:r>
          </w:p>
        </w:tc>
        <w:tc>
          <w:tcPr>
            <w:tcW w:w="9794" w:type="dxa"/>
            <w:tcBorders/>
            <w:vAlign w:val="bottom"/>
          </w:tcPr>
          <w:p>
            <w:pPr>
              <w:pStyle w:val="TableContents"/>
              <w:bidi w:val="0"/>
              <w:spacing w:before="0" w:after="283"/>
              <w:jc w:val="left"/>
              <w:rPr/>
            </w:pPr>
            <w:r>
              <w:rPr/>
              <w:t>Definitive Additional Materials</w:t>
            </w:r>
          </w:p>
        </w:tc>
      </w:tr>
      <w:tr>
        <w:trPr>
          <w:trHeight w:val="120" w:hRule="atLeast"/>
        </w:trPr>
        <w:tc>
          <w:tcPr>
            <w:tcW w:w="229" w:type="dxa"/>
            <w:tcBorders/>
            <w:vAlign w:val="center"/>
          </w:tcPr>
          <w:p>
            <w:pPr>
              <w:pStyle w:val="TableContents"/>
              <w:bidi w:val="0"/>
              <w:spacing w:before="0" w:after="283"/>
              <w:jc w:val="left"/>
              <w:rPr>
                <w:sz w:val="4"/>
                <w:szCs w:val="4"/>
              </w:rPr>
            </w:pPr>
            <w:r>
              <w:rPr>
                <w:sz w:val="4"/>
                <w:szCs w:val="4"/>
              </w:rPr>
            </w:r>
          </w:p>
        </w:tc>
        <w:tc>
          <w:tcPr>
            <w:tcW w:w="9976" w:type="dxa"/>
            <w:gridSpan w:val="2"/>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82" w:type="dxa"/>
            <w:tcBorders/>
            <w:vAlign w:val="bottom"/>
          </w:tcPr>
          <w:p>
            <w:pPr>
              <w:pStyle w:val="TableContents"/>
              <w:bidi w:val="0"/>
              <w:spacing w:before="0" w:after="283"/>
              <w:jc w:val="left"/>
              <w:rPr/>
            </w:pPr>
            <w:r>
              <w:rPr/>
              <w:t>  </w:t>
            </w:r>
          </w:p>
        </w:tc>
        <w:tc>
          <w:tcPr>
            <w:tcW w:w="9794" w:type="dxa"/>
            <w:tcBorders/>
            <w:vAlign w:val="bottom"/>
          </w:tcPr>
          <w:p>
            <w:pPr>
              <w:pStyle w:val="TableContents"/>
              <w:bidi w:val="0"/>
              <w:spacing w:before="0" w:after="283"/>
              <w:jc w:val="left"/>
              <w:rPr/>
            </w:pPr>
            <w:r>
              <w:rPr/>
              <w:t>Soliciting Material under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Blaize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18"/>
        </w:rPr>
      </w:pPr>
      <w:r>
        <w:rPr>
          <w:rFonts w:ascii="Times New Roman" w:hAnsi="Times New Roman"/>
          <w:sz w:val="18"/>
        </w:rPr>
        <w:t xml:space="preserve">Payment of Filing Fee (Check all boxes that apply):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
        <w:gridCol w:w="134"/>
        <w:gridCol w:w="9842"/>
      </w:tblGrid>
      <w:tr>
        <w:trPr/>
        <w:tc>
          <w:tcPr>
            <w:tcW w:w="22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842" w:type="dxa"/>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34" w:type="dxa"/>
            <w:tcBorders/>
            <w:vAlign w:val="bottom"/>
          </w:tcPr>
          <w:p>
            <w:pPr>
              <w:pStyle w:val="TableContents"/>
              <w:bidi w:val="0"/>
              <w:spacing w:before="0" w:after="283"/>
              <w:jc w:val="left"/>
              <w:rPr/>
            </w:pPr>
            <w:r>
              <w:rPr/>
              <w:t>  </w:t>
            </w:r>
          </w:p>
        </w:tc>
        <w:tc>
          <w:tcPr>
            <w:tcW w:w="9842" w:type="dxa"/>
            <w:tcBorders/>
            <w:vAlign w:val="bottom"/>
          </w:tcPr>
          <w:p>
            <w:pPr>
              <w:pStyle w:val="TableContents"/>
              <w:bidi w:val="0"/>
              <w:spacing w:before="0" w:after="283"/>
              <w:jc w:val="left"/>
              <w:rPr/>
            </w:pPr>
            <w:r>
              <w:rPr/>
              <w:t>No fee required</w:t>
            </w:r>
          </w:p>
        </w:tc>
      </w:tr>
      <w:tr>
        <w:trPr>
          <w:trHeight w:val="120" w:hRule="atLeast"/>
        </w:trPr>
        <w:tc>
          <w:tcPr>
            <w:tcW w:w="229" w:type="dxa"/>
            <w:tcBorders/>
            <w:vAlign w:val="center"/>
          </w:tcPr>
          <w:p>
            <w:pPr>
              <w:pStyle w:val="TableContents"/>
              <w:bidi w:val="0"/>
              <w:spacing w:before="0" w:after="283"/>
              <w:jc w:val="left"/>
              <w:rPr>
                <w:sz w:val="4"/>
                <w:szCs w:val="4"/>
              </w:rPr>
            </w:pPr>
            <w:r>
              <w:rPr>
                <w:sz w:val="4"/>
                <w:szCs w:val="4"/>
              </w:rPr>
            </w:r>
          </w:p>
        </w:tc>
        <w:tc>
          <w:tcPr>
            <w:tcW w:w="9976" w:type="dxa"/>
            <w:gridSpan w:val="2"/>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34" w:type="dxa"/>
            <w:tcBorders/>
            <w:vAlign w:val="bottom"/>
          </w:tcPr>
          <w:p>
            <w:pPr>
              <w:pStyle w:val="TableContents"/>
              <w:bidi w:val="0"/>
              <w:spacing w:before="0" w:after="283"/>
              <w:jc w:val="left"/>
              <w:rPr/>
            </w:pPr>
            <w:r>
              <w:rPr/>
              <w:t>  </w:t>
            </w:r>
          </w:p>
        </w:tc>
        <w:tc>
          <w:tcPr>
            <w:tcW w:w="9842" w:type="dxa"/>
            <w:tcBorders/>
            <w:vAlign w:val="bottom"/>
          </w:tcPr>
          <w:p>
            <w:pPr>
              <w:pStyle w:val="TableContents"/>
              <w:bidi w:val="0"/>
              <w:spacing w:before="0" w:after="283"/>
              <w:jc w:val="left"/>
              <w:rPr/>
            </w:pPr>
            <w:r>
              <w:rPr/>
              <w:t>Fee paid previously with preliminary materials</w:t>
            </w:r>
          </w:p>
        </w:tc>
      </w:tr>
      <w:tr>
        <w:trPr>
          <w:trHeight w:val="120" w:hRule="atLeast"/>
        </w:trPr>
        <w:tc>
          <w:tcPr>
            <w:tcW w:w="229" w:type="dxa"/>
            <w:tcBorders/>
            <w:vAlign w:val="center"/>
          </w:tcPr>
          <w:p>
            <w:pPr>
              <w:pStyle w:val="TableContents"/>
              <w:bidi w:val="0"/>
              <w:spacing w:before="0" w:after="283"/>
              <w:jc w:val="left"/>
              <w:rPr>
                <w:sz w:val="4"/>
                <w:szCs w:val="4"/>
              </w:rPr>
            </w:pPr>
            <w:r>
              <w:rPr>
                <w:sz w:val="4"/>
                <w:szCs w:val="4"/>
              </w:rPr>
            </w:r>
          </w:p>
        </w:tc>
        <w:tc>
          <w:tcPr>
            <w:tcW w:w="9976" w:type="dxa"/>
            <w:gridSpan w:val="2"/>
            <w:tcBorders/>
            <w:vAlign w:val="center"/>
          </w:tcPr>
          <w:p>
            <w:pPr>
              <w:pStyle w:val="TableContents"/>
              <w:bidi w:val="0"/>
              <w:spacing w:before="0" w:after="283"/>
              <w:jc w:val="left"/>
              <w:rPr>
                <w:sz w:val="4"/>
                <w:szCs w:val="4"/>
              </w:rPr>
            </w:pPr>
            <w:r>
              <w:rPr>
                <w:sz w:val="4"/>
                <w:szCs w:val="4"/>
              </w:rPr>
            </w:r>
          </w:p>
        </w:tc>
      </w:tr>
      <w:tr>
        <w:trPr/>
        <w:tc>
          <w:tcPr>
            <w:tcW w:w="229" w:type="dxa"/>
            <w:tcBorders/>
          </w:tcPr>
          <w:p>
            <w:pPr>
              <w:pStyle w:val="TableContents"/>
              <w:bidi w:val="0"/>
              <w:spacing w:before="0" w:after="0"/>
              <w:jc w:val="left"/>
              <w:rPr/>
            </w:pPr>
            <w:r>
              <w:rPr/>
              <w:t> ☐</w:t>
            </w:r>
          </w:p>
        </w:tc>
        <w:tc>
          <w:tcPr>
            <w:tcW w:w="134" w:type="dxa"/>
            <w:tcBorders/>
            <w:vAlign w:val="bottom"/>
          </w:tcPr>
          <w:p>
            <w:pPr>
              <w:pStyle w:val="TableContents"/>
              <w:bidi w:val="0"/>
              <w:spacing w:before="0" w:after="283"/>
              <w:jc w:val="left"/>
              <w:rPr/>
            </w:pPr>
            <w:r>
              <w:rPr/>
              <w:t>  </w:t>
            </w:r>
          </w:p>
        </w:tc>
        <w:tc>
          <w:tcPr>
            <w:tcW w:w="9842" w:type="dxa"/>
            <w:tcBorders/>
            <w:vAlign w:val="bottom"/>
          </w:tcPr>
          <w:p>
            <w:pPr>
              <w:pStyle w:val="TableContents"/>
              <w:bidi w:val="0"/>
              <w:spacing w:before="0" w:after="283"/>
              <w:jc w:val="left"/>
              <w:rPr/>
            </w:pPr>
            <w:r>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Counts! BLAIZE HOLDINGS, INC. 2025 Annual Meeting Vote by December 2, 2025 11:59 PM ET BLAIZE HOLDINGS, INC. 4659 GOLDEN FOOTHILL PARKWAY SUITE 206, EL DORADO HILLS, CA 95762 [Graphic Appears Here] V80345-P37692 You invested in BLAIZE HOLDINGS, INC. and it’s time to vote! You have the right to vote on proposals being presented at the 2025 Annual Meeting. This is an important notice regarding the availability of proxy materials for the stockholder meeting to be held on December 3, 2025. Get informed before you vote View the Notice and Proxy Statement and Form 10-K online OR you can receive a free paper or email copy of the material(s) by requesting a copy prior to November 19, 2025.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[Graphic Appears Here]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matters. Board Voting Items Recommends The re-election of seven Directors to serve until the 2026 Annual Meeting of Stockholders, and until their respective successors shall have been duly elected and qualified; Nominees: For 01) Lane M. Bess 05) Anthony Cannestra 02) Dinakar Munagala 06) George de Urioste 03) Edward Frank 07) Yoshiaki Fujimori 04) Juergen Hambrecht 2. The amendment to the Company’s Third Amended and Restated Certificate of Incorporation, to provide that Directors For may be removed in a manner consistent with Section 141(k) of the Delaware General Corporation Law; and 3. The ratification of the appointment of UHY LLP as our independent registered public accounting firm for the fiscal year For ending December 31, 2025. NOTE: To transact such other business as may properly come before the 2025 Annual Meeting or any continuation, postponement, or adjournment of the 2025 Annual Meeting. Prefer to receive an email instead? While voting on www.ProxyVote.com, be sure to click “Delivery Settings”. 30304-001 20Oct25 10:06 Page 2 V80346-P37692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526</Words>
  <Characters>2805</Characters>
  <CharactersWithSpaces>3347</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