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16, 2021 (December 10,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86-2708752</w:t>
            </w:r>
          </w:p>
        </w:tc>
      </w:tr>
      <w:tr>
        <w:trPr>
          <w:trHeight w:val="202"/>
        </w:trPr>
        <w:tc>
          <w:tcPr>
            <w:tcW w:w="3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120" w:type="dxa"/>
            <w:vAlign w:val="bottom"/>
          </w:tcPr>
          <w:p>
            <w:pPr>
              <w:spacing w:after="0"/>
              <w:rPr>
                <w:sz w:val="17"/>
                <w:szCs w:val="17"/>
                <w:color w:val="auto"/>
              </w:rPr>
            </w:pPr>
          </w:p>
        </w:tc>
        <w:tc>
          <w:tcPr>
            <w:tcW w:w="3600" w:type="dxa"/>
            <w:vAlign w:val="bottom"/>
            <w:tcBorders>
              <w:top w:val="single" w:sz="8" w:color="auto"/>
            </w:tcBorders>
          </w:tcPr>
          <w:p>
            <w:pPr>
              <w:ind w:left="1320"/>
              <w:spacing w:after="0" w:line="201" w:lineRule="exact"/>
              <w:rPr>
                <w:sz w:val="20"/>
                <w:szCs w:val="20"/>
                <w:color w:val="auto"/>
              </w:rPr>
            </w:pPr>
            <w:r>
              <w:rPr>
                <w:rFonts w:ascii="Arial" w:cs="Arial" w:eastAsia="Arial" w:hAnsi="Arial"/>
                <w:sz w:val="18"/>
                <w:szCs w:val="18"/>
                <w:color w:val="auto"/>
              </w:rPr>
              <w:t>(Commission</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of incorporation)</w:t>
            </w:r>
          </w:p>
        </w:tc>
        <w:tc>
          <w:tcPr>
            <w:tcW w:w="3700" w:type="dxa"/>
            <w:vAlign w:val="bottom"/>
            <w:gridSpan w:val="2"/>
          </w:tcPr>
          <w:p>
            <w:pPr>
              <w:ind w:left="1320"/>
              <w:spacing w:after="0"/>
              <w:rPr>
                <w:sz w:val="20"/>
                <w:szCs w:val="20"/>
                <w:color w:val="auto"/>
              </w:rPr>
            </w:pPr>
            <w:r>
              <w:rPr>
                <w:rFonts w:ascii="Arial" w:cs="Arial" w:eastAsia="Arial" w:hAnsi="Arial"/>
                <w:sz w:val="18"/>
                <w:szCs w:val="18"/>
                <w:color w:val="auto"/>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Washington, DC 20004 </w:t>
      </w: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 600-5757Registrant’s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60" w:lineRule="auto"/>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5"/>
        </w:trPr>
        <w:tc>
          <w:tcPr>
            <w:tcW w:w="3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and one Redeemable Warrant to</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purchase one share of Class A common stock for</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Warrants, each exercisable for one share of Class A</w:t>
            </w:r>
          </w:p>
        </w:tc>
        <w:tc>
          <w:tcPr>
            <w:tcW w:w="3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8"/>
              </w:rPr>
              <w:t>BRKHW</w:t>
            </w:r>
          </w:p>
        </w:tc>
        <w:tc>
          <w:tcPr>
            <w:tcW w:w="3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December 10, 2021, BurTech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consummated its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of 25,000,000 units (the “</w:t>
      </w:r>
      <w:r>
        <w:rPr>
          <w:rFonts w:ascii="Arial" w:cs="Arial" w:eastAsia="Arial" w:hAnsi="Arial"/>
          <w:sz w:val="18"/>
          <w:szCs w:val="18"/>
          <w:b w:val="1"/>
          <w:bCs w:val="1"/>
          <w:color w:val="auto"/>
        </w:rPr>
        <w:t>Units</w:t>
      </w:r>
      <w:r>
        <w:rPr>
          <w:rFonts w:ascii="Arial" w:cs="Arial" w:eastAsia="Arial" w:hAnsi="Arial"/>
          <w:sz w:val="18"/>
          <w:szCs w:val="18"/>
          <w:color w:val="auto"/>
        </w:rPr>
        <w:t>”). Each Unit consists of one share of Class A common stock of the Company, par value $0.0001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one redeemable warrant of the Company (“</w:t>
      </w:r>
      <w:r>
        <w:rPr>
          <w:rFonts w:ascii="Arial" w:cs="Arial" w:eastAsia="Arial" w:hAnsi="Arial"/>
          <w:sz w:val="18"/>
          <w:szCs w:val="18"/>
          <w:b w:val="1"/>
          <w:bCs w:val="1"/>
          <w:color w:val="auto"/>
        </w:rPr>
        <w:t>Warrant</w:t>
      </w:r>
      <w:r>
        <w:rPr>
          <w:rFonts w:ascii="Arial" w:cs="Arial" w:eastAsia="Arial" w:hAnsi="Arial"/>
          <w:sz w:val="18"/>
          <w:szCs w:val="18"/>
          <w:color w:val="auto"/>
        </w:rPr>
        <w:t>”), with each Warrant entitling the holder thereof to purchase one share of Common Stock for $11.50 per share. The Units were sold at a price of $10.00 per Unit, generating gross proceeds to the Company of $250,000,000. Pursuant to the Underwriting Agreement (defined below), on December 13, 2021, the underwriters exercised their option to purchase an additional 3,750,000 Units solely to cover over-allotments, generating additional proceeds to the Company of $37,500,000.</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IPO, the Company entered into the following agreements, forms of which were previously filed as exhibits to the Company’s Registration Statement on Form S-1 (File No. 333-258914) related to the IPO, initially filed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August 19, 2021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80" w:lineRule="exact"/>
        <w:rPr>
          <w:sz w:val="20"/>
          <w:szCs w:val="20"/>
          <w:color w:val="auto"/>
        </w:rPr>
      </w:pPr>
    </w:p>
    <w:p>
      <w:pPr>
        <w:jc w:val="both"/>
        <w:ind w:left="660" w:hanging="328"/>
        <w:spacing w:after="0" w:line="26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dated December 10, 2021, by and between the Company and EF Hutton, division of Benchmark Investments, LLC (“EF Hutton”) as representative of the several underwriters, a copy of which is attached as Exhibit 1.1 hereto and incorporated herein by reference.</w:t>
      </w:r>
    </w:p>
    <w:p>
      <w:pPr>
        <w:spacing w:after="0" w:line="175"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Warrant Agreement, dated December 10, 2021, by and between the Company and Continental Stock Transfer &amp; Trust Company (“</w:t>
      </w:r>
      <w:r>
        <w:rPr>
          <w:rFonts w:ascii="Arial" w:cs="Arial" w:eastAsia="Arial" w:hAnsi="Arial"/>
          <w:sz w:val="18"/>
          <w:szCs w:val="18"/>
          <w:b w:val="1"/>
          <w:bCs w:val="1"/>
          <w:color w:val="auto"/>
        </w:rPr>
        <w:t>CST</w:t>
      </w:r>
      <w:r>
        <w:rPr>
          <w:rFonts w:ascii="Arial" w:cs="Arial" w:eastAsia="Arial" w:hAnsi="Arial"/>
          <w:sz w:val="18"/>
          <w:szCs w:val="18"/>
          <w:color w:val="auto"/>
        </w:rPr>
        <w:t>”), as warrant agent, a copy of which is attached as Exhibit 4.1 hereto and incorporated herein by reference.</w:t>
      </w:r>
    </w:p>
    <w:p>
      <w:pPr>
        <w:spacing w:after="0" w:line="16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Registration Rights Agreement, dated December 10, 2021, by and between the Company and the Sponsor, a copy of which is attached as Exhibit 10.1 hereto and incorporated herein by reference.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Letter Agreement, dated December 10, 2021, by and among the Company, its officers, its directors and the Company’s sponsor, BurTech LP, LLC (the “</w:t>
      </w:r>
      <w:r>
        <w:rPr>
          <w:rFonts w:ascii="Arial" w:cs="Arial" w:eastAsia="Arial" w:hAnsi="Arial"/>
          <w:sz w:val="18"/>
          <w:szCs w:val="18"/>
          <w:b w:val="1"/>
          <w:bCs w:val="1"/>
          <w:color w:val="auto"/>
        </w:rPr>
        <w:t>Sponsor</w:t>
      </w:r>
      <w:r>
        <w:rPr>
          <w:rFonts w:ascii="Arial" w:cs="Arial" w:eastAsia="Arial" w:hAnsi="Arial"/>
          <w:sz w:val="18"/>
          <w:szCs w:val="18"/>
          <w:color w:val="auto"/>
        </w:rPr>
        <w:t>”), a copy of which is attached as Exhibit 10.2 hereto and incorporated herein by reference.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Investment Management Trust Agreement, dated December 10, 2021, by and between the Company and CST, as trustee, a copy of which is attached as Exhibit 10.3 hereto and incorporated herein by reference.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Administrative Support Agreement, dated December 10, 2021, by and between the Company and the Sponsor, a copy of which is attached as Exhibit 10.4 hereto and incorporated herein by reference.</w:t>
      </w:r>
    </w:p>
    <w:p>
      <w:pPr>
        <w:spacing w:after="0" w:line="16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purchase agreement for private units, dated December 10, 2021 (the “</w:t>
      </w:r>
      <w:r>
        <w:rPr>
          <w:rFonts w:ascii="Arial" w:cs="Arial" w:eastAsia="Arial" w:hAnsi="Arial"/>
          <w:sz w:val="18"/>
          <w:szCs w:val="18"/>
          <w:b w:val="1"/>
          <w:bCs w:val="1"/>
          <w:color w:val="auto"/>
        </w:rPr>
        <w:t>Placement Units Purchase Agreement</w:t>
      </w:r>
      <w:r>
        <w:rPr>
          <w:rFonts w:ascii="Arial" w:cs="Arial" w:eastAsia="Arial" w:hAnsi="Arial"/>
          <w:sz w:val="18"/>
          <w:szCs w:val="18"/>
          <w:color w:val="auto"/>
        </w:rPr>
        <w:t>”), by and between the Company and the Sponsor, a copy of which is attached as Exhibit 10.5 hereto and incorporated herein by reference.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Simultaneously with the closing of the IPO, pursuant to the Private Placement Units Purchase Agreement, the Company completed the private sale of an aggregate of 898,250 units (the “</w:t>
      </w:r>
      <w:r>
        <w:rPr>
          <w:rFonts w:ascii="Arial" w:cs="Arial" w:eastAsia="Arial" w:hAnsi="Arial"/>
          <w:sz w:val="17"/>
          <w:szCs w:val="17"/>
          <w:b w:val="1"/>
          <w:bCs w:val="1"/>
          <w:color w:val="auto"/>
        </w:rPr>
        <w:t>Placement Units</w:t>
      </w:r>
      <w:r>
        <w:rPr>
          <w:rFonts w:ascii="Arial" w:cs="Arial" w:eastAsia="Arial" w:hAnsi="Arial"/>
          <w:sz w:val="17"/>
          <w:szCs w:val="17"/>
          <w:color w:val="auto"/>
        </w:rPr>
        <w:t>”) to the Sponsor at a purchase price of $10.00 per Placement Unit, generating gross proceeds to the Company of $8,882,500. The Placement Units are identical to the Units sold in the IPO, except as otherwise disclosed in the Registration Statement. No underwriting discounts or commissions were paid with respect to such sale. The issuance of the Placement Units was made pursuant to the exemption from registration contained in Section 4(a)(2) of the Securities Act of 1933, as amended.</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Certificate of Incorporation or Bylaws; Change in Fiscal Year.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13, 2021, in connection with the IPO, the Company filed its Second Amended and Restated Certificate of Incorporation with the Secretary of State of the State of Delaware, effective the same day. A copy of the Second Amended and Restated Certificate of Incorporation is attached as Exhibit 3.1 hereto and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total of $291,812,500 was placed in a U.S.-based trust account maintained by Continental Stock Transfer &amp; Trust Company, acting as trustee. Except with respect to interest earned on the funds held in the trust account that may be released to the Company to pay its taxes, the funds held in the trust account will not be released from the trust account until the earliest of (i) the completion of the Company’s initial business combination, (ii) the redemption of any of the Company’s public shares properly submitted in connection with a stockholder vote to amend the Company’s second amended and restated certificate of incorporation (a) to modify the substance or timing of its obligation to redeem 100% of the Company’s public shares if it does not complete its initial business combination within 18 months (the “</w:t>
      </w:r>
      <w:r>
        <w:rPr>
          <w:rFonts w:ascii="Arial" w:cs="Arial" w:eastAsia="Arial" w:hAnsi="Arial"/>
          <w:sz w:val="17"/>
          <w:szCs w:val="17"/>
          <w:b w:val="1"/>
          <w:bCs w:val="1"/>
          <w:color w:val="auto"/>
        </w:rPr>
        <w:t>Combination Period</w:t>
      </w:r>
      <w:r>
        <w:rPr>
          <w:rFonts w:ascii="Arial" w:cs="Arial" w:eastAsia="Arial" w:hAnsi="Arial"/>
          <w:sz w:val="17"/>
          <w:szCs w:val="17"/>
          <w:color w:val="auto"/>
        </w:rPr>
        <w:t>”) from the closing of the IPO or (b) with respect to any other provision relating to stockholders’ rights or pre-initial business combination activity and (iii) the redemption of the Company’s public shares if it is unable to complete its initial business combination within the Combination Period, subject to applicable law.</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10, 2021, the Company issued a press release announcing the pricing of the IPO, a copy of which is attached as Exhibit 99.1 to this Current Report on Form 8-K.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15, 2021, the Company issued a press release announcing the closing of the IPO, a copy of which is attached as Exhibit 99.2 to this Current Report on Form 8-K.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80" w:type="dxa"/>
            <w:vAlign w:val="bottom"/>
            <w:gridSpan w:val="6"/>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32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9"/>
            <w:shd w:val="clear" w:color="auto" w:fill="CCEEFF"/>
          </w:tcPr>
          <w:p>
            <w:pPr>
              <w:ind w:left="20"/>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Underwriting Agreement, dated December 10, 2021, by and between the Company and EF Hutton, as representative of the several</w:t>
              </w:r>
            </w:hyperlink>
          </w:p>
        </w:tc>
      </w:tr>
      <w:tr>
        <w:trPr>
          <w:trHeight w:val="217"/>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0000EE"/>
            </w:tcBorders>
            <w:gridSpan w:val="9"/>
            <w:shd w:val="clear" w:color="auto" w:fill="CCEEFF"/>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underwriters.</w:t>
              </w:r>
            </w:hyperlink>
          </w:p>
        </w:tc>
      </w:tr>
      <w:tr>
        <w:trPr>
          <w:trHeight w:val="216"/>
        </w:trPr>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Second Amended and Restated Certificate of Incorporation.</w:t>
              </w:r>
            </w:hyperlink>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Warrant Agreement, dated December 10, 2021, by and between the Company and CST, as warrant agent.</w:t>
              </w:r>
            </w:hyperlink>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Registration Rights Agreement, dated December 10, 2021, by and between the Company and the Sponsor.</w:t>
              </w:r>
            </w:hyperlink>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Letter Agreement, dated December 10, 2021, by and among the Company, its officers, directors and the Sponsor.</w:t>
              </w:r>
            </w:hyperlink>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Investment Management Trust Agreement, dated December 10, 2021, by and between the Company and CST, as trustee.</w:t>
              </w:r>
            </w:hyperlink>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Administrative Support Agreement, dated December 10, 2021, by and between the Company and the Sponsor.</w:t>
              </w:r>
            </w:hyperlink>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Placement Units Purchase Agreement, dated December 10, 2021, by and between the Company and the Sponsor.</w:t>
              </w:r>
            </w:hyperlink>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Press Release, dated December 10, 2021.</w:t>
              </w:r>
            </w:hyperlink>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Press Release, dated December 15, 2021.</w:t>
              </w:r>
            </w:hyperlink>
          </w:p>
        </w:tc>
      </w:tr>
      <w:tr>
        <w:trPr>
          <w:trHeight w:val="648"/>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980" w:type="dxa"/>
            <w:vAlign w:val="bottom"/>
            <w:tcBorders>
              <w:top w:val="single" w:sz="8" w:color="0000EE"/>
              <w:bottom w:val="single" w:sz="8" w:color="auto"/>
            </w:tcBorders>
            <w:gridSpan w:val="2"/>
          </w:tcPr>
          <w:p>
            <w:pPr>
              <w:spacing w:after="0"/>
              <w:rPr>
                <w:sz w:val="24"/>
                <w:szCs w:val="24"/>
                <w:color w:val="auto"/>
              </w:rPr>
            </w:pPr>
          </w:p>
        </w:tc>
        <w:tc>
          <w:tcPr>
            <w:tcW w:w="4600" w:type="dxa"/>
            <w:vAlign w:val="bottom"/>
            <w:tcBorders>
              <w:top w:val="single" w:sz="8" w:color="CCEEFF"/>
              <w:bottom w:val="single" w:sz="8" w:color="auto"/>
            </w:tcBorders>
            <w:gridSpan w:val="2"/>
          </w:tcPr>
          <w:p>
            <w:pPr>
              <w:jc w:val="right"/>
              <w:ind w:right="3070"/>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BURTECH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Benchmark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Representative of the Underwriters named on Schedule A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BurTech Acquisition Corp., a company incorporated under the law of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confirms its agreement with EF Hutton, division of Benchmark Investments, LLC (the “</w:t>
      </w:r>
      <w:r>
        <w:rPr>
          <w:rFonts w:ascii="Arial" w:cs="Arial" w:eastAsia="Arial" w:hAnsi="Arial"/>
          <w:sz w:val="18"/>
          <w:szCs w:val="18"/>
          <w:u w:val="single" w:color="auto"/>
          <w:color w:val="auto"/>
        </w:rPr>
        <w:t>Representative</w:t>
      </w:r>
      <w:r>
        <w:rPr>
          <w:rFonts w:ascii="Arial" w:cs="Arial" w:eastAsia="Arial" w:hAnsi="Arial"/>
          <w:sz w:val="18"/>
          <w:szCs w:val="18"/>
          <w:color w:val="auto"/>
        </w:rPr>
        <w:t xml:space="preserve">”), as representative of the several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or, each underwriter individually, an “</w:t>
      </w:r>
      <w:r>
        <w:rPr>
          <w:rFonts w:ascii="Arial" w:cs="Arial" w:eastAsia="Arial" w:hAnsi="Arial"/>
          <w:sz w:val="18"/>
          <w:szCs w:val="18"/>
          <w:u w:val="single" w:color="auto"/>
          <w:color w:val="auto"/>
        </w:rPr>
        <w:t>Underwriter</w:t>
      </w:r>
      <w:r>
        <w:rPr>
          <w:rFonts w:ascii="Arial" w:cs="Arial" w:eastAsia="Arial" w:hAnsi="Arial"/>
          <w:sz w:val="18"/>
          <w:szCs w:val="18"/>
          <w:color w:val="auto"/>
        </w:rPr>
        <w:t>”), as follows:</w:t>
      </w:r>
    </w:p>
    <w:p>
      <w:pPr>
        <w:spacing w:after="0" w:line="18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Purchase and Sale of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Firm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Purchase of Firm Units</w:t>
      </w:r>
      <w:r>
        <w:rPr>
          <w:rFonts w:ascii="Arial" w:cs="Arial" w:eastAsia="Arial" w:hAnsi="Arial"/>
          <w:sz w:val="17"/>
          <w:szCs w:val="17"/>
          <w:color w:val="auto"/>
        </w:rPr>
        <w:t>. On the basis of the representations and warranties contained herein, but subject to the terms and conditions herein set forth, the Company agrees to issue and sell to the several Underwriters, severally and not jointly, and the Underwriters agree to purchase from the Company, severally and not jointly, an aggregate of 25,000,000 units (the “</w:t>
      </w:r>
      <w:r>
        <w:rPr>
          <w:rFonts w:ascii="Arial" w:cs="Arial" w:eastAsia="Arial" w:hAnsi="Arial"/>
          <w:sz w:val="17"/>
          <w:szCs w:val="17"/>
          <w:u w:val="single" w:color="auto"/>
          <w:color w:val="auto"/>
        </w:rPr>
        <w:t>Firm Units</w:t>
      </w:r>
      <w:r>
        <w:rPr>
          <w:rFonts w:ascii="Arial" w:cs="Arial" w:eastAsia="Arial" w:hAnsi="Arial"/>
          <w:sz w:val="17"/>
          <w:szCs w:val="17"/>
          <w:color w:val="auto"/>
        </w:rPr>
        <w:t xml:space="preserve">”) of the Company, as set forth opposite the respective names of the Underwriters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at a purchase price (net of discounts and commissions and the Deferred Underwriting Commission described in Section 1.3 below) of $9.55 per Firm Unit. The Firm Units are to be offered initially to the public (the “</w:t>
      </w:r>
      <w:r>
        <w:rPr>
          <w:rFonts w:ascii="Arial" w:cs="Arial" w:eastAsia="Arial" w:hAnsi="Arial"/>
          <w:sz w:val="17"/>
          <w:szCs w:val="17"/>
          <w:u w:val="single" w:color="auto"/>
          <w:color w:val="auto"/>
        </w:rPr>
        <w:t>Offering</w:t>
      </w:r>
      <w:r>
        <w:rPr>
          <w:rFonts w:ascii="Arial" w:cs="Arial" w:eastAsia="Arial" w:hAnsi="Arial"/>
          <w:sz w:val="17"/>
          <w:szCs w:val="17"/>
          <w:color w:val="auto"/>
        </w:rPr>
        <w:t>”) at the offering price of $10.00 per Firm Unit. Each Firm Unit consists of one share of the Class A common stock of the Company, par value $0.0001 per share (the “</w:t>
      </w:r>
      <w:r>
        <w:rPr>
          <w:rFonts w:ascii="Arial" w:cs="Arial" w:eastAsia="Arial" w:hAnsi="Arial"/>
          <w:sz w:val="17"/>
          <w:szCs w:val="17"/>
          <w:u w:val="single" w:color="auto"/>
          <w:color w:val="auto"/>
        </w:rPr>
        <w:t>Class A Shares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Class A Share</w:t>
      </w:r>
      <w:r>
        <w:rPr>
          <w:rFonts w:ascii="Arial" w:cs="Arial" w:eastAsia="Arial" w:hAnsi="Arial"/>
          <w:sz w:val="17"/>
          <w:szCs w:val="17"/>
          <w:color w:val="auto"/>
        </w:rPr>
        <w:t>”), and one redeemable warrant (the “</w:t>
      </w:r>
      <w:r>
        <w:rPr>
          <w:rFonts w:ascii="Arial" w:cs="Arial" w:eastAsia="Arial" w:hAnsi="Arial"/>
          <w:sz w:val="17"/>
          <w:szCs w:val="17"/>
          <w:u w:val="single" w:color="auto"/>
          <w:color w:val="auto"/>
        </w:rPr>
        <w:t>Warrants</w:t>
      </w:r>
      <w:r>
        <w:rPr>
          <w:rFonts w:ascii="Arial" w:cs="Arial" w:eastAsia="Arial" w:hAnsi="Arial"/>
          <w:sz w:val="17"/>
          <w:szCs w:val="17"/>
          <w:color w:val="auto"/>
        </w:rPr>
        <w:t>”) to purchase one share of Class A common stock of the Company. The Class A Shares and Warrants included in the Firm Units will begin to trade separately on the fifty-second (52nd) day following the date hereof unless the Representative on behalf of the Underwriters determines to allow earlier separate trading. Notwithstanding the immediately preceding sentence, in no event will the Class A Shares and Warrants included in the Firm Units trade separately until (i) the Company shall have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 Current Report on Form 8-K that includes an audited balance sheet reflecting the Company’s receipt of the proceeds of the Offering and updated financial information with respect to any proceeds the Company receives from the exercise of the Over-Allotment Option (defined below) if such option is exercised prior to the filing of such Form 8-K, and (ii) the Company has filed with the Commission a Current Report on Form 8-K and issued a press release announcing when such separate trading will begin. Each Warrant entitles its holder to purchase one Class A Share at a price of $11.50 per share, subject to adjustment, at any time commencing on the later of (i) thirty (30) days after the consummation by the Company of a merger, capital stock exchange, asset acquisition, stock purchase, recapitalization, reorganization, or similar business combination with one or more businesses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and (ii) twelve (12) months from the Closing Date (as defined in Section 1.1.2) and expiring on the five year anniversary of the consummation by the Company of its initial Business Combination, or earlier upon redemption of the Class A Shares or liquidation of the Company.</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Payment and Delivery</w:t>
      </w:r>
      <w:r>
        <w:rPr>
          <w:rFonts w:ascii="Arial" w:cs="Arial" w:eastAsia="Arial" w:hAnsi="Arial"/>
          <w:sz w:val="16"/>
          <w:szCs w:val="16"/>
          <w:color w:val="auto"/>
        </w:rPr>
        <w:t>. Delivery and payment for the Firm Units shall be made at 10:00 a.m., New York City time, on the second (2nd) Business Day (as defined below) following the commencement of trading of the Units, or at such earlier time as shall be agreed upon by the Representative and the Company, at the offices of Lucosky Brookman LLP, counsel to the Underwriters, or at such other place as shall be agreed upon by the Representative and the Company. The hour and date of delivery and payment for the Firm Units is called the “</w:t>
      </w:r>
      <w:r>
        <w:rPr>
          <w:rFonts w:ascii="Arial" w:cs="Arial" w:eastAsia="Arial" w:hAnsi="Arial"/>
          <w:sz w:val="16"/>
          <w:szCs w:val="16"/>
          <w:u w:val="single" w:color="auto"/>
          <w:color w:val="auto"/>
        </w:rPr>
        <w:t>Closing Date</w:t>
      </w:r>
      <w:r>
        <w:rPr>
          <w:rFonts w:ascii="Arial" w:cs="Arial" w:eastAsia="Arial" w:hAnsi="Arial"/>
          <w:sz w:val="16"/>
          <w:szCs w:val="16"/>
          <w:color w:val="auto"/>
        </w:rPr>
        <w:t>.” Payment for the Firm Units shall be made on the Closing Date by wire transfer in Federal (same day) funds, payable as follows: $253,750,000 of the proceeds received by the Company for the Firm Units and the sale of Placement Units (as defined in Section 1.4.2) shall be deposited in the trust account (“</w:t>
      </w:r>
      <w:r>
        <w:rPr>
          <w:rFonts w:ascii="Arial" w:cs="Arial" w:eastAsia="Arial" w:hAnsi="Arial"/>
          <w:sz w:val="16"/>
          <w:szCs w:val="16"/>
          <w:u w:val="single" w:color="auto"/>
          <w:color w:val="auto"/>
        </w:rPr>
        <w:t>Trust Account</w:t>
      </w:r>
      <w:r>
        <w:rPr>
          <w:rFonts w:ascii="Arial" w:cs="Arial" w:eastAsia="Arial" w:hAnsi="Arial"/>
          <w:sz w:val="16"/>
          <w:szCs w:val="16"/>
          <w:color w:val="auto"/>
        </w:rPr>
        <w:t>”) established by the Company for the benefit of the Public Shareholders (as defined below), as described in the Registration Statement (as defined in Section 2.1.1) pursuant to the terms of an Investment Management Trust Agreement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between the Company and J.P. Morgan Securities LLC, as investment manager and Continental Stock Transfer &amp; Trust Company acting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The funds deposited in the Trust Account shall include up to an aggregate of $8,750,000 ($0.35 per Firm Unit), payable to the Underwriters as Deferred Underwriting Commission, as defined in and in accordance with Section 1.3 hereof. The remaining proceeds (less commissions and actual expense payments or other fees payable pursuant to this Agreement), if any, shall be paid to the order of the Company upon delivery to the Representative of certificates (in form and substance satisfactory to the Representative) representing the Firm Units (or through the facilities of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(2) full Business Days prior to the Closing Date. The Company will permit the Representative to examine and package the Firm Units for delivery, at least one (1) full Business Day prior to the Closing Date. The Company shall not be obligated to sell or deliver any of the Firm Units except upon tender of payment by the Representative for all the Firm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Shareholders</w:t>
      </w:r>
      <w:r>
        <w:rPr>
          <w:rFonts w:ascii="Arial" w:cs="Arial" w:eastAsia="Arial" w:hAnsi="Arial"/>
          <w:sz w:val="18"/>
          <w:szCs w:val="18"/>
          <w:color w:val="auto"/>
        </w:rPr>
        <w:t>” means the holders of Class A Shares sold as part of the Units in the Offering or acquired in the secondary market, including the Initial Shareholder (defined in Section 1.4.1) to the extent such Initial Shareholder acquires such Class A Shares in the secondary market (and solely with respect to such Class A Shares).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Over-Allotment Option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Option Units</w:t>
      </w:r>
      <w:r>
        <w:rPr>
          <w:rFonts w:ascii="Arial" w:cs="Arial" w:eastAsia="Arial" w:hAnsi="Arial"/>
          <w:sz w:val="16"/>
          <w:szCs w:val="16"/>
          <w:color w:val="auto"/>
        </w:rPr>
        <w:t>. The Representative is hereby granted an option (the “</w:t>
      </w:r>
      <w:r>
        <w:rPr>
          <w:rFonts w:ascii="Arial" w:cs="Arial" w:eastAsia="Arial" w:hAnsi="Arial"/>
          <w:sz w:val="16"/>
          <w:szCs w:val="16"/>
          <w:u w:val="single" w:color="auto"/>
          <w:color w:val="auto"/>
        </w:rPr>
        <w:t>Over-Allotment Option</w:t>
      </w:r>
      <w:r>
        <w:rPr>
          <w:rFonts w:ascii="Arial" w:cs="Arial" w:eastAsia="Arial" w:hAnsi="Arial"/>
          <w:sz w:val="16"/>
          <w:szCs w:val="16"/>
          <w:color w:val="auto"/>
        </w:rPr>
        <w:t>”) to purchase up to an additional 3,750,000 units (the “</w:t>
      </w:r>
      <w:r>
        <w:rPr>
          <w:rFonts w:ascii="Arial" w:cs="Arial" w:eastAsia="Arial" w:hAnsi="Arial"/>
          <w:sz w:val="16"/>
          <w:szCs w:val="16"/>
          <w:u w:val="single" w:color="auto"/>
          <w:color w:val="auto"/>
        </w:rPr>
        <w:t>Option Units</w:t>
      </w:r>
      <w:r>
        <w:rPr>
          <w:rFonts w:ascii="Arial" w:cs="Arial" w:eastAsia="Arial" w:hAnsi="Arial"/>
          <w:sz w:val="16"/>
          <w:szCs w:val="16"/>
          <w:color w:val="auto"/>
        </w:rPr>
        <w:t xml:space="preserve">”), the gross proceeds of which will be deposited in the Trust Account, for the purposes of covering any over-allotments in connection with the distribution and sale of the Firm Units. Such Option Units shall be identical in all respects to the Firm Units. Such Option Units shall be purchased for each account of the several Underwriters in the same proportion as the number of Firm Units, set forth opposite such Underwriter’s name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hereto, bears to the total number of Firm Units (subject to adjustment by the Representative to eliminate fractions). No Option Units shall be sold or delivered unless the Firm Units previously have been, or simultaneously are, sold and delivered. The right to purchase the Option Units, or any portion thereof, may be exercised from time to time and to the extent not previously exercised may be surrendered and terminated at any time upon notice by the Representative to the Company. The purchase price to be paid for each Option Unit will be the same price per Firm Unit set forth in Section 1.1.1 hereof. The Firm Units and the Option Units are hereinafter collectively referred to as the “Units,” and the Units, the Class A Shares and Warrants included in the Units, and the Class A Shares issuable upon exercise of the Warrants are hereinafter referred to collectively as the “</w:t>
      </w:r>
      <w:r>
        <w:rPr>
          <w:rFonts w:ascii="Arial" w:cs="Arial" w:eastAsia="Arial" w:hAnsi="Arial"/>
          <w:sz w:val="16"/>
          <w:szCs w:val="16"/>
          <w:u w:val="single" w:color="auto"/>
          <w:color w:val="auto"/>
        </w:rPr>
        <w:t>Public Securities</w:t>
      </w:r>
      <w:r>
        <w:rPr>
          <w:rFonts w:ascii="Arial" w:cs="Arial" w:eastAsia="Arial" w:hAnsi="Arial"/>
          <w:sz w:val="16"/>
          <w:szCs w:val="16"/>
          <w:color w:val="auto"/>
        </w:rPr>
        <w:t>.”</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Exercise of Option</w:t>
      </w:r>
      <w:r>
        <w:rPr>
          <w:rFonts w:ascii="Arial" w:cs="Arial" w:eastAsia="Arial" w:hAnsi="Arial"/>
          <w:sz w:val="16"/>
          <w:szCs w:val="16"/>
          <w:color w:val="auto"/>
        </w:rPr>
        <w:t>. The Over-Allotment Option granted pursuant to Section 1.2.1 hereof may be exercised by the Representative as to all (at any time) or any part (from time to time) of the Option Units within 45 days after the Effective Date (as defined in Section 2.1.1) of the Registration Statement (as defined in Section 2.1.1 hereof). The Underwriters will not be under any obligation to purchase any Option Units prior to the exercise of the Over-Allotment Option. The Over-Allotment Option granted hereby may be exercised by the giving of oral notice to the Company by the Representative, which must be confirmed in accordance with Section 10.1 herein setting forth the number of Option Units to be purchased and the date and time for delivery of and payment for the Option Units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which shall not be later than five (5) full Business Days after the date of the notice or such other time and in such other manner as shall be agreed upon by the Company and the Representative, at the offices of counsel to the Underwriters or at such other place (including remotely by facsimile or other electronic transmission) as shall be agreed upon by the Company and the Representative. If such delivery and payment for the Option Units does not occur on the Closing Date, the Option Closing Date will be as set forth in the notice. Upon exercise of the Over-Allotment Option, the Company will become obligated to deliver to the Underwriters, and, subject to the terms and conditions set forth herein, the Underwriters will become obligated to purchase, the number of Option Units specified in such notice.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71"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Payment and Delivery</w:t>
      </w:r>
      <w:r>
        <w:rPr>
          <w:rFonts w:ascii="Arial" w:cs="Arial" w:eastAsia="Arial" w:hAnsi="Arial"/>
          <w:sz w:val="17"/>
          <w:szCs w:val="17"/>
          <w:color w:val="auto"/>
        </w:rPr>
        <w:t>. Payment for the Option Units shall be made on the Option Closing Date by wire transfer in Federal (same day) funds, payable as follows: $9.55 per Option Unit shall be deposited in the Trust Account pursuant to the Trust Agreement upon delivery to the Representative of certificates (in form and substance satisfactory to the Representative) representing the Option Units (or through the facilities of DTC) for the account of the Representative. The certificates representing the Option Units to be delivered will be in such denominations and registered in such names as the Representative requests in writing not less than two full Business Days prior to the Closing Date or the Option Closing Date, as the case may be, and will be made available to the Representative for inspection, checking and packaging at the aforesaid office of the Company’s transfer agent or correspondent not less than one full Business Day prior to such Closing Date. The Company shall not be obligated to sell or deliver the Option Units except upon tender of payment by the Underwriters for applicable Option Units.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Deferred Underwriting Commission</w:t>
      </w:r>
      <w:r>
        <w:rPr>
          <w:rFonts w:ascii="Arial" w:cs="Arial" w:eastAsia="Arial" w:hAnsi="Arial"/>
          <w:sz w:val="18"/>
          <w:szCs w:val="18"/>
          <w:color w:val="auto"/>
        </w:rPr>
        <w:t>. The Underwriters agree that up to 3.5% of the gross proceeds from the sale of the Firm Units ($8,750,000), if any (collectively, the “</w:t>
      </w:r>
      <w:r>
        <w:rPr>
          <w:rFonts w:ascii="Arial" w:cs="Arial" w:eastAsia="Arial" w:hAnsi="Arial"/>
          <w:sz w:val="18"/>
          <w:szCs w:val="18"/>
          <w:u w:val="single" w:color="auto"/>
          <w:color w:val="auto"/>
        </w:rPr>
        <w:t>Deferred Underwriting Commission</w:t>
      </w:r>
      <w:r>
        <w:rPr>
          <w:rFonts w:ascii="Arial" w:cs="Arial" w:eastAsia="Arial" w:hAnsi="Arial"/>
          <w:sz w:val="18"/>
          <w:szCs w:val="18"/>
          <w:color w:val="auto"/>
        </w:rPr>
        <w:t>”), will be deposited and held in the Trust Account and payable directly from the Trust Account, without accrued interest, to the Underwriters for their own accounts upon consummation of the Company’s initial Business Combination. In the event that the Company is unable to consummate a Business Combination and the Trustee, as the trustee of the Trust Account commences liquidation of the Trust Account as provided in the Trust Agreement, the Underwriters agree that: (i) they shall forfeit any rights or claims to the Deferred Underwriting Commission; and (ii) the Deferred Underwriting Commission, together with all other amounts on deposit in the Trust Account, shall be distributed on a pro-rata basis among the Public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Private Placements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Insider Shares</w:t>
      </w:r>
      <w:r>
        <w:rPr>
          <w:rFonts w:ascii="Arial" w:cs="Arial" w:eastAsia="Arial" w:hAnsi="Arial"/>
          <w:sz w:val="18"/>
          <w:szCs w:val="18"/>
          <w:color w:val="auto"/>
        </w:rPr>
        <w:t>. On May 21, 2021, the Company issued 8,625,000 shares of its Class B common stock, par value $0.0001 per share (“</w:t>
      </w:r>
      <w:r>
        <w:rPr>
          <w:rFonts w:ascii="Arial" w:cs="Arial" w:eastAsia="Arial" w:hAnsi="Arial"/>
          <w:sz w:val="18"/>
          <w:szCs w:val="18"/>
          <w:u w:val="single" w:color="auto"/>
          <w:color w:val="auto"/>
        </w:rPr>
        <w:t>Class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to BurTech LP LLC, the Company’s sponsor (the “</w:t>
      </w:r>
      <w:r>
        <w:rPr>
          <w:rFonts w:ascii="Arial" w:cs="Arial" w:eastAsia="Arial" w:hAnsi="Arial"/>
          <w:sz w:val="18"/>
          <w:szCs w:val="18"/>
          <w:u w:val="single" w:color="auto"/>
          <w:color w:val="auto"/>
        </w:rPr>
        <w:t>Sponsor</w:t>
      </w:r>
      <w:r>
        <w:rPr>
          <w:rFonts w:ascii="Arial" w:cs="Arial" w:eastAsia="Arial" w:hAnsi="Arial"/>
          <w:sz w:val="18"/>
          <w:szCs w:val="18"/>
          <w:color w:val="auto"/>
        </w:rPr>
        <w:t>”) for an aggregate purchase price of $25,000.</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September 24, 2021, the Company issued 862,500 Class B Shares to the Sponsor (also referred to as the “</w:t>
      </w:r>
      <w:r>
        <w:rPr>
          <w:rFonts w:ascii="Arial" w:cs="Arial" w:eastAsia="Arial" w:hAnsi="Arial"/>
          <w:sz w:val="16"/>
          <w:szCs w:val="16"/>
          <w:u w:val="single" w:color="auto"/>
          <w:color w:val="auto"/>
        </w:rPr>
        <w:t>Initial Shareholder</w:t>
      </w:r>
      <w:r>
        <w:rPr>
          <w:rFonts w:ascii="Arial" w:cs="Arial" w:eastAsia="Arial" w:hAnsi="Arial"/>
          <w:sz w:val="16"/>
          <w:szCs w:val="16"/>
          <w:color w:val="auto"/>
        </w:rPr>
        <w:t>”) in connection with a 1.1 stock split, resulting in an aggregate of 9,487,500 Class B Shares issued and outstanding and held by the Initial Shareholder (the “</w:t>
      </w:r>
      <w:r>
        <w:rPr>
          <w:rFonts w:ascii="Arial" w:cs="Arial" w:eastAsia="Arial" w:hAnsi="Arial"/>
          <w:sz w:val="16"/>
          <w:szCs w:val="16"/>
          <w:u w:val="single" w:color="auto"/>
          <w:color w:val="auto"/>
        </w:rPr>
        <w:t>Insider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No underwriting discounts, commissions, or placement fees have been or will be payable in connection with the purchase of Insider Shares.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described in the Registration Statement, none of the Insider Shares may be sold, assigned or transferred by the Initial Shareholder until</w:t>
      </w:r>
    </w:p>
    <w:p>
      <w:pPr>
        <w:spacing w:after="0" w:line="46" w:lineRule="exact"/>
        <w:rPr>
          <w:sz w:val="20"/>
          <w:szCs w:val="20"/>
          <w:color w:val="auto"/>
        </w:rPr>
      </w:pPr>
    </w:p>
    <w:p>
      <w:pPr>
        <w:jc w:val="both"/>
        <w:ind w:firstLine="8"/>
        <w:spacing w:after="0" w:line="285" w:lineRule="auto"/>
        <w:tabs>
          <w:tab w:leader="none" w:pos="23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earlier of 6 months after the date of the consummation of the Company’s initial Business Combination and (ii) the date on which the Company completes a liquidation, merger, stock exchange or other similar transaction after the Company’s initial Business Combination that results in all of its public stockholders having the right to exchange their Class A Shares for cash, securities or other property. Notwithstanding the foregoing, the converted shares of the Company’s Class A Shares may be sold, assigned or transferred by the Initial Shareholder if (x) subsequent to the Company’s Initial Business Combination, the last reported sale price of the Company’s Class A Shares equals or exceeds $12.00 per share (as adjusted for share splits, share capitalizations, reorganizations and recapitalizations) for any 20 trading days within any 30-trading day period or (y) the Company completes a transaction after the Company’s initial Business Combination which results in all of the Company’s stockholders having the right to exchange their shares for cash, securities or other property. The Insider Shares shall be subject to restrictions on transfer as set forth in the Insider Letters (as defined in Section 2.21.1 herein). The holders of Insider Shares shall have no right to any liquidating distributions with respect to any portion of the Insider Shares in the event the Company fails to consummate a Business Combination. The holders of the Insider Shares shall not have redemption rights with respect to the Insider Shares. In the event that the Over-Allotment Option is not exercised in full, the Sponsor will be required to forfeit such number of Insider Shares (up to 1,237,500 Insider Shares) such that the Insider Shares then outstanding will comprise 24% of the issued and outstanding shares of the Company (but not including any Placement Shares (as defined below)) after giving effect to the Offering and exercise, if any, of the Over-Allotment Option.</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Private Placement</w:t>
      </w:r>
      <w:r>
        <w:rPr>
          <w:rFonts w:ascii="Arial" w:cs="Arial" w:eastAsia="Arial" w:hAnsi="Arial"/>
          <w:sz w:val="16"/>
          <w:szCs w:val="16"/>
          <w:color w:val="auto"/>
        </w:rPr>
        <w:t>. Simultaneously with the Closing Date, the Sponsor will purchase from the Company pursuant to a Private Placement Unit Purchase Agreement (as defined in Section 2.21.2 below) an aggregate of 804,500 Units of the Company, which are identical to the Firm Units subject to certain exceptions (collectively, the “</w:t>
      </w:r>
      <w:r>
        <w:rPr>
          <w:rFonts w:ascii="Arial" w:cs="Arial" w:eastAsia="Arial" w:hAnsi="Arial"/>
          <w:sz w:val="16"/>
          <w:szCs w:val="16"/>
          <w:u w:val="single" w:color="auto"/>
          <w:color w:val="auto"/>
        </w:rPr>
        <w:t>Placement Units</w:t>
      </w:r>
      <w:r>
        <w:rPr>
          <w:rFonts w:ascii="Arial" w:cs="Arial" w:eastAsia="Arial" w:hAnsi="Arial"/>
          <w:sz w:val="16"/>
          <w:szCs w:val="16"/>
          <w:color w:val="auto"/>
        </w:rPr>
        <w:t>”), at a purchase price of $10.00 per Placement Unit in a private placement (the “</w:t>
      </w:r>
      <w:r>
        <w:rPr>
          <w:rFonts w:ascii="Arial" w:cs="Arial" w:eastAsia="Arial" w:hAnsi="Arial"/>
          <w:sz w:val="16"/>
          <w:szCs w:val="16"/>
          <w:u w:val="single" w:color="auto"/>
          <w:color w:val="auto"/>
        </w:rPr>
        <w:t>Private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Placement</w:t>
      </w:r>
      <w:r>
        <w:rPr>
          <w:rFonts w:ascii="Arial" w:cs="Arial" w:eastAsia="Arial" w:hAnsi="Arial"/>
          <w:sz w:val="16"/>
          <w:szCs w:val="16"/>
          <w:color w:val="auto"/>
        </w:rPr>
        <w:t>”) intended to be exempt from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pursuant to Section 4(a)</w:t>
      </w:r>
    </w:p>
    <w:p>
      <w:pPr>
        <w:spacing w:after="0" w:line="1" w:lineRule="exact"/>
        <w:rPr>
          <w:sz w:val="20"/>
          <w:szCs w:val="20"/>
          <w:color w:val="auto"/>
        </w:rPr>
      </w:pPr>
    </w:p>
    <w:p>
      <w:pPr>
        <w:jc w:val="both"/>
        <w:ind w:firstLine="8"/>
        <w:spacing w:after="0" w:line="253" w:lineRule="auto"/>
        <w:tabs>
          <w:tab w:leader="none" w:pos="27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thereof. The terms of the Placement Units are as described in the Prospectus (as defined in Section 2.1.1 below). Simultaneously with the Option Closing Date (if any), the Sponsor will purchase from the Company pursuant to the Private Placement Unit Purchase Agreement, up to an additional 93,750 Placement Units at a purchase price of $10.00 per Placement Unit in a private placement intended to be exempt from registration under the Securities Act pursuant to Section 4(a)(2)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603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648"/>
        <w:spacing w:after="0" w:line="279" w:lineRule="auto"/>
        <w:rPr>
          <w:sz w:val="20"/>
          <w:szCs w:val="20"/>
          <w:color w:val="auto"/>
        </w:rPr>
      </w:pPr>
      <w:r>
        <w:rPr>
          <w:rFonts w:ascii="Arial" w:cs="Arial" w:eastAsia="Arial" w:hAnsi="Arial"/>
          <w:sz w:val="17"/>
          <w:szCs w:val="17"/>
          <w:color w:val="auto"/>
        </w:rPr>
        <w:t>None of the Placement Units may be sold, assigned or transferred by the Sponsor until thirty (30) days after consummation of a Business Combination except to permitted transferees. The purchase price for the Placement Units to be paid by the Sponsor has been delivered to the Trustee or counsel to the Company or to the Representative to hold in a separate escrow account at least 24 hours prior to the date hereof so that such funds are readily available to be delivered to the Trust Account on the Closing Date or the Option Closing Date, as the case may be.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1.4.3. The Placement Units and the Class A Shares (the “</w:t>
      </w:r>
      <w:r>
        <w:rPr>
          <w:rFonts w:ascii="Arial" w:cs="Arial" w:eastAsia="Arial" w:hAnsi="Arial"/>
          <w:sz w:val="18"/>
          <w:szCs w:val="18"/>
          <w:u w:val="single" w:color="auto"/>
          <w:color w:val="auto"/>
        </w:rPr>
        <w:t>Placement Shares</w:t>
      </w:r>
      <w:r>
        <w:rPr>
          <w:rFonts w:ascii="Arial" w:cs="Arial" w:eastAsia="Arial" w:hAnsi="Arial"/>
          <w:sz w:val="18"/>
          <w:szCs w:val="18"/>
          <w:color w:val="auto"/>
        </w:rPr>
        <w:t>”) and Warrants (“</w:t>
      </w:r>
      <w:r>
        <w:rPr>
          <w:rFonts w:ascii="Arial" w:cs="Arial" w:eastAsia="Arial" w:hAnsi="Arial"/>
          <w:sz w:val="18"/>
          <w:szCs w:val="18"/>
          <w:u w:val="single" w:color="auto"/>
          <w:color w:val="auto"/>
        </w:rPr>
        <w:t>Placement Warrants</w:t>
      </w:r>
      <w:r>
        <w:rPr>
          <w:rFonts w:ascii="Arial" w:cs="Arial" w:eastAsia="Arial" w:hAnsi="Arial"/>
          <w:sz w:val="18"/>
          <w:szCs w:val="18"/>
          <w:color w:val="auto"/>
        </w:rPr>
        <w:t>”) underlying the Placement Units, and the Class A Shares issuable upon exercise of the Placement Warrants are hereinafter referred to collectively as the “</w:t>
      </w:r>
      <w:r>
        <w:rPr>
          <w:rFonts w:ascii="Arial" w:cs="Arial" w:eastAsia="Arial" w:hAnsi="Arial"/>
          <w:sz w:val="18"/>
          <w:szCs w:val="18"/>
          <w:u w:val="single" w:color="auto"/>
          <w:color w:val="auto"/>
        </w:rPr>
        <w:t>Placement Securities</w:t>
      </w:r>
      <w:r>
        <w:rPr>
          <w:rFonts w:ascii="Arial" w:cs="Arial" w:eastAsia="Arial" w:hAnsi="Arial"/>
          <w:sz w:val="18"/>
          <w:szCs w:val="18"/>
          <w:color w:val="auto"/>
        </w:rPr>
        <w:t>.” No underwriting discounts, commissions, or placement fees have been or will be payable in connection with the Placement Securities sold in the Private Placement. The Placement Units are identical to the Firm Units except that (i) the Placement Warrants will be non-redeemable by the Company, (ii) the Placement Warrants may be exercised on a cashless basis so long as they are held by the initial purchasers or their permitted transferees, and (iii) none of the Placement Securities may be sold, assigned or transferred by the Sponsor, or its permitted transferees until thirty (30) days after consummation of the Company’s initial Business Combination. The Public Securities, the Placement Securities, and the Insider Shares are hereinafter referred to collectively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Representative’s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Class A Shares</w:t>
      </w:r>
      <w:r>
        <w:rPr>
          <w:rFonts w:ascii="Arial" w:cs="Arial" w:eastAsia="Arial" w:hAnsi="Arial"/>
          <w:sz w:val="18"/>
          <w:szCs w:val="18"/>
          <w:color w:val="auto"/>
        </w:rPr>
        <w:t>. Upon consummation of the Offering, the Company shall issue to the Representative or its designees an aggregate of 375,000 Class A Shares and, if the Underwriters exercise the Over-Allotment option in full, the Company shall issue to the Representative an additional 56,250 Class A Shares (the “</w:t>
      </w:r>
      <w:r>
        <w:rPr>
          <w:rFonts w:ascii="Arial" w:cs="Arial" w:eastAsia="Arial" w:hAnsi="Arial"/>
          <w:sz w:val="18"/>
          <w:szCs w:val="18"/>
          <w:u w:val="single" w:color="auto"/>
          <w:color w:val="auto"/>
        </w:rPr>
        <w:t>Representative’s Securities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Transfer and other Restrictions</w:t>
      </w:r>
      <w:r>
        <w:rPr>
          <w:rFonts w:ascii="Arial" w:cs="Arial" w:eastAsia="Arial" w:hAnsi="Arial"/>
          <w:sz w:val="18"/>
          <w:szCs w:val="18"/>
          <w:color w:val="auto"/>
        </w:rPr>
        <w:t>. The Representative hereby agrees (i) to waive its redemption rights (or rights to participate in any tender offer) with respect to the Representative’s Securities in connection with the completion of the initial Business Combination and (ii) to waive its rights to liquidating distributions from the Trust Account with respect to the Representative’s Securities if the Company fails to complete the initial Business Combination. The Representative will not sell, transfer, assign, pledge or hypothecate the Representative’s Securities, or cause the Representative’s Securities to be the subject of any hedging, short sale, derivative, put, or call transaction that would result in the effective economic disposition of the Representative’s Securities by any person, for a period of time ending on the later of the completion of the initial Business Combination and 180 days (pursuant to FINRA Rule 5110(e)(1)) following the Effective Date to anyone other than (i) the Representative or an underwriter or selected dealer in connection with the Offering, (ii) a bona fide officer or partner, associated person or affiliate of the Representative or of any such underwriter or selected dealer. Thereafter, transfers to others may be made subject to compliance with or exemptions from applicable securities laws or (iii) otherwise, without the Company’s written consent. The Representative further agrees to vote in favor of any initial Business Combination presented to the Company’s stockholders.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and payment for the Representative’s Securities shall be made on the Closing Date. On such date, the Company shall deliver to the Representative or its designees, the Representative’s Securities in book-entry form in the name or names and in such authorized denominations as the Representative may request.</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Working Capital</w:t>
      </w:r>
      <w:r>
        <w:rPr>
          <w:rFonts w:ascii="Arial" w:cs="Arial" w:eastAsia="Arial" w:hAnsi="Arial"/>
          <w:sz w:val="17"/>
          <w:szCs w:val="17"/>
          <w:color w:val="auto"/>
        </w:rPr>
        <w:t>. Upon consummation of the Offering, approximately $1,150,000 of the net proceeds from the sale of Units and Placement Units will be released to the Company and held outside of the Trust Account to fund the working capital requirements of the Company.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Interest Income</w:t>
      </w:r>
      <w:r>
        <w:rPr>
          <w:rFonts w:ascii="Arial" w:cs="Arial" w:eastAsia="Arial" w:hAnsi="Arial"/>
          <w:sz w:val="18"/>
          <w:szCs w:val="18"/>
          <w:color w:val="auto"/>
        </w:rPr>
        <w:t>. Prior to the Company’s consummation of a Business Combination or the Company’s liquidation, interest earned on the Trust Account may be released to the Company from the Trust Account in accordance with the terms of the Trust Agreement to pay any taxes incurred by the Company, as more fully described in the Prospectus (as defined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Underwriters as follows: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Filing of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Pursuant to the Securities Act</w:t>
      </w:r>
      <w:r>
        <w:rPr>
          <w:rFonts w:ascii="Arial" w:cs="Arial" w:eastAsia="Arial" w:hAnsi="Arial"/>
          <w:sz w:val="16"/>
          <w:szCs w:val="16"/>
          <w:color w:val="auto"/>
        </w:rPr>
        <w:t>. The Company has filed with the Commission a registration statement and any amendments thereto, on Form S-1 (File No. 333-258914), including any related preliminary prospectus (the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including any prospectus that is included in the registration statement immediately prior to the effectiveness of the registration statement), for the registration of the Units and the Class A Shares and Warrants included in the Units, under the Securities Act, which registration statement and amendment or amendments have been prepared by the Company in conformity with the requirements of the Securities Act and the rules and regulations of the Commission thereunder (the “</w:t>
      </w:r>
      <w:r>
        <w:rPr>
          <w:rFonts w:ascii="Arial" w:cs="Arial" w:eastAsia="Arial" w:hAnsi="Arial"/>
          <w:sz w:val="16"/>
          <w:szCs w:val="16"/>
          <w:u w:val="single" w:color="auto"/>
          <w:color w:val="auto"/>
        </w:rPr>
        <w:t>Regulations</w:t>
      </w:r>
      <w:r>
        <w:rPr>
          <w:rFonts w:ascii="Arial" w:cs="Arial" w:eastAsia="Arial" w:hAnsi="Arial"/>
          <w:sz w:val="16"/>
          <w:szCs w:val="16"/>
          <w:color w:val="auto"/>
        </w:rPr>
        <w:t>”). The conditions for use of Form S-1 to register the Offering under the Securities Act, as set forth in the General Instructions to such form, have been satisfied. Except as the context may otherwise require, such registration statement, as amended, on file with the Commission at the time the registration statement is declared effective by the Commission (the date of such declaration by the Commission being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financial statements, schedules, exhibits and all other documents filed as a part thereof or incorporated therein and all information deemed to be a part thereof as of such time pursuant to Rule 430A under the Securities Act, together with the registration statement filed by the Company pursuant to Rule 462(b) under the Securities Act registering additional Public Securities (the “</w:t>
      </w:r>
      <w:r>
        <w:rPr>
          <w:rFonts w:ascii="Arial" w:cs="Arial" w:eastAsia="Arial" w:hAnsi="Arial"/>
          <w:sz w:val="16"/>
          <w:szCs w:val="16"/>
          <w:u w:val="single" w:color="auto"/>
          <w:color w:val="auto"/>
        </w:rPr>
        <w:t>Rule 462(b) Registration Statement</w:t>
      </w:r>
      <w:r>
        <w:rPr>
          <w:rFonts w:ascii="Arial" w:cs="Arial" w:eastAsia="Arial" w:hAnsi="Arial"/>
          <w:sz w:val="16"/>
          <w:szCs w:val="16"/>
          <w:color w:val="auto"/>
        </w:rPr>
        <w:t>”), is hereinafter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under the Securities Act, filed by the Company with the Commission pursuant to Rule 424 under the Securities Act), is hereinafter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Applicable Time</w:t>
      </w:r>
      <w:r>
        <w:rPr>
          <w:rFonts w:ascii="Arial" w:cs="Arial" w:eastAsia="Arial" w:hAnsi="Arial"/>
          <w:sz w:val="16"/>
          <w:szCs w:val="16"/>
          <w:color w:val="auto"/>
        </w:rPr>
        <w:t>,” as used in the Securities Act, means 5:00p.m. New York City time, on the date of this Agreement. Prior to the Applicable Time, the Company prepared a Preliminary Prospectus, which was included in the Registration Statement filed on August 19, 2021, for distribution by the Underwriters (such Preliminary Prospectus used most recently prior to the Applicable Time, the “</w:t>
      </w:r>
      <w:r>
        <w:rPr>
          <w:rFonts w:ascii="Arial" w:cs="Arial" w:eastAsia="Arial" w:hAnsi="Arial"/>
          <w:sz w:val="16"/>
          <w:szCs w:val="16"/>
          <w:u w:val="single" w:color="auto"/>
          <w:color w:val="auto"/>
        </w:rPr>
        <w:t>Statutory Prospectus</w:t>
      </w:r>
      <w:r>
        <w:rPr>
          <w:rFonts w:ascii="Arial" w:cs="Arial" w:eastAsia="Arial" w:hAnsi="Arial"/>
          <w:sz w:val="16"/>
          <w:szCs w:val="16"/>
          <w:color w:val="auto"/>
        </w:rPr>
        <w:t>”). Other than the Registration Statement, together with any correspondence letters between the Company and/or counsel for the Company and the Commission, no other document with respect to the Registration Statement has been filed under the Act with the Commission. All of the Public Securities have been or will be registered for public sale under the Act pursuant to the Registration Statement. The Registration Statement has been declared effective by the Commission on the date hereof. If, subsequent to the date of this Agreement, the Company or the Representative determines that, at the Applicable Time, the Statutory Prospectus included an untrue statement of a material fact or omitted a statement of material fact necessary to make the statements therein, in light of the circumstances under which they were made, not misleading and the Company and the Representative agree to provide an opportunity to purchasers of the Units to terminate their old purchase commitments and enter into new purchase commitments, then the Statutory Prospectus will be deemed to include any additional information available to purchasers at the time of entry into the first such new purchase commitment.</w:t>
      </w:r>
    </w:p>
    <w:p>
      <w:pPr>
        <w:spacing w:after="0" w:line="3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Pursuant to the Exchange Act</w:t>
      </w:r>
      <w:r>
        <w:rPr>
          <w:rFonts w:ascii="Arial" w:cs="Arial" w:eastAsia="Arial" w:hAnsi="Arial"/>
          <w:sz w:val="17"/>
          <w:szCs w:val="17"/>
          <w:color w:val="auto"/>
        </w:rPr>
        <w:t>. The Company has filed with the Commission a Registration Statement on Form 8-A (File Number 001-[__]) providing for the registration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of the Units, Class A Shares and the Warrants. The registration of the Units, Class A Shares and Warrants under the Exchange Act has been declared effective by the Commission on the date hereof and the Units, Class A Shares and Warrants have been registered pursuant to Section 12(b) of the Exchange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None of the Commission, any federal, state or other regulatory authority has issued, or, to the Company’s knowledge, after reasonable inquiry, threatened to issue, any order preventing or suspending the use of the Registration Statement, any Preliminary Prospectus, the Statutory Prospectus or Prospectus or any part thereof, or has instituted or, to the Company’s knowledge, after reasonable inquiry, threatened to institute, any proceedings with respect to such an order.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Disclosures in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10b-5 Representation</w:t>
      </w:r>
      <w:r>
        <w:rPr>
          <w:rFonts w:ascii="Arial" w:cs="Arial" w:eastAsia="Arial" w:hAnsi="Arial"/>
          <w:sz w:val="16"/>
          <w:szCs w:val="16"/>
          <w:color w:val="auto"/>
        </w:rPr>
        <w:t>. At the time of effectiveness of the Registration Statement (or at the time of any post-effective amendment to the Registration Statement) and at all times subsequent thereto up to and including the Closing Date and the Option Closing Date, if any, the Registration Statement, the Statutory Prospectus and the Prospectus do and will contain all material statements that are required to be stated therein in accordance with the Securities Act and the Regulations, and did or will, in all material respects, conform to the requirements of the Securities Act and the Regulations. The Registration Statement, as of the Effective Date and at the Applicable Time, did not, and the amendments and supplements thereto, as of their respective dates, will not contain any untrue statement of a material fact or omit to state any material fact required to be stated therein or necessary to make the statements therein not misleading. The Prospectus, as of its date and the Closing Date or the Option Closing Date, as the case may be, did not, and the amendments and supplements thereto, as of their respective dates, will not, include any untrue statement of a material fact or omit to state a material fact necessary in order to make the statements therein, in the light of the circumstances under which they were made, not misleading. The Statutory Prospectus, as of the Applicable Time (or such subsequent Applicable Time pursuant to Section 2.1.1), did not include any untrue statement of a material fact or omit to state a material fact necessary in order to make the statements therein, in the light of the circumstances under which they were made, not misleading. When any Preliminary Prospectus or the Statutory Prospectus was first filed with the Commission (whether filed as part of the Registration Statement for the registration of the Public Securities or any amendment thereto or pursuant to Rule 424(a) of the Regulations) and when any amendment thereof or supplement thereto was first filed with the Commission, such Preliminary Prospectus or the Statutory Prospectus and any amendments thereof and supplements thereto complied or will have been corrected in the Statutory Prospectus and the Prospectus to comply in all material respects with the applicable provisions of the Securities Act and the Regulations and did not and will not contain an untrue statement of a material fact or omit to state any material fact necessary in order to make the statements therein, in the light of the circumstances under which they were made, not misleading. The representation and warranty made in this Section 2.2.1 does not apply to statements made or statements omitted in reliance upon and in conformity with written information furnished to the Company with respect to the Underwriters by the Underwriters expressly for use in the Registration Statement, the Statutory Prospectus or the Prospectus or any amendment thereof or supplement thereto. The parties acknowledge and agree that such information provided by or on behalf of the Underwriters consists solely of the following: the names of the Underwriters, the information with respect to stabilization transactions contained in the section entitled “Underwriting - Stabilization” and the identity of counsel to the Underwriters contained in the section entitled “Legal Matters” (such information, collectively, the “</w:t>
      </w:r>
      <w:r>
        <w:rPr>
          <w:rFonts w:ascii="Arial" w:cs="Arial" w:eastAsia="Arial" w:hAnsi="Arial"/>
          <w:sz w:val="16"/>
          <w:szCs w:val="16"/>
          <w:u w:val="single" w:color="auto"/>
          <w:color w:val="auto"/>
        </w:rPr>
        <w:t>Underwriters’ Information</w:t>
      </w:r>
      <w:r>
        <w:rPr>
          <w:rFonts w:ascii="Arial" w:cs="Arial" w:eastAsia="Arial" w:hAnsi="Arial"/>
          <w:sz w:val="16"/>
          <w:szCs w:val="16"/>
          <w:color w:val="auto"/>
        </w:rPr>
        <w:t>”).</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Disclosure of Agreements</w:t>
      </w:r>
      <w:r>
        <w:rPr>
          <w:rFonts w:ascii="Arial" w:cs="Arial" w:eastAsia="Arial" w:hAnsi="Arial"/>
          <w:sz w:val="17"/>
          <w:szCs w:val="17"/>
          <w:color w:val="auto"/>
        </w:rPr>
        <w:t>. The agreements and documents described in the Registration Statement, the Statutory Prospectus and the Prospectus conform to the descriptions thereof contained therein in all material respects and there are no agreements or other documents required to be described in the Registration Statement, the Statutory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Statutory Prospectus or the Prospectus or attached as an exhibit thereto, or (ii) that is material to the Company’s business, has been duly authorized, validly executed and delivered by the Company, is in full force and effect and is enforceable against the Company and, to the Company’s knowledge, after reasonable inquiry, the other parties thereto, in accordance with its terms, and no such agreement or instrument has been assigned by the Company, and neither the Company nor, to the Company’s knowledge, after reasonable inquiry, any other party is in breach or default thereunder and no event has occurred that, with the lapse of time or the giving of notice, or both, would constitute a breach or default thereunder. The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Regulations</w:t>
      </w:r>
      <w:r>
        <w:rPr>
          <w:rFonts w:ascii="Arial" w:cs="Arial" w:eastAsia="Arial" w:hAnsi="Arial"/>
          <w:sz w:val="17"/>
          <w:szCs w:val="17"/>
          <w:color w:val="auto"/>
        </w:rPr>
        <w:t>. The disclosures in the Registration Statement, the Statutory Prospectus and Prospectus concerning the effects of federal, foreign, state and local regulation on the Company’s business as currently contemplated are correct in all material respects and do not omit to state a material fact necessary to make the statements therein, in the light of the circumstances in which they were made, not misleading.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Changes After Dates in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the respective dates as of which information is given in the Registration Statement, the Statutory Prospectus and the Prospectus, except as otherwise specifically stated therein,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or management has resigned from any position with the Company and (iv) no event or occurrence has taken place which materially impairs, or would likely materially impair, with the passage of time, the ability of the members of the Board of Directors or management to act in their capacities with the Company as described in the Registration Statement, the Statutory Prospectus and the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Recent Securities Transactions</w:t>
      </w:r>
      <w:r>
        <w:rPr>
          <w:rFonts w:ascii="Arial" w:cs="Arial" w:eastAsia="Arial" w:hAnsi="Arial"/>
          <w:sz w:val="18"/>
          <w:szCs w:val="18"/>
          <w:color w:val="auto"/>
        </w:rPr>
        <w:t>. Subsequent to the respective dates as of which information is given in the Registration Statement, the Statutory Prospectus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share capital.</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Marcum LLP (“</w:t>
      </w:r>
      <w:r>
        <w:rPr>
          <w:rFonts w:ascii="Arial" w:cs="Arial" w:eastAsia="Arial" w:hAnsi="Arial"/>
          <w:sz w:val="17"/>
          <w:szCs w:val="17"/>
          <w:u w:val="single" w:color="auto"/>
          <w:color w:val="auto"/>
        </w:rPr>
        <w:t>Marcum</w:t>
      </w:r>
      <w:r>
        <w:rPr>
          <w:rFonts w:ascii="Arial" w:cs="Arial" w:eastAsia="Arial" w:hAnsi="Arial"/>
          <w:sz w:val="17"/>
          <w:szCs w:val="17"/>
          <w:color w:val="auto"/>
        </w:rPr>
        <w:t>”), whose report is filed with the Commission as part of, and is included in, the Registration Statement, the Statutory Prospectus, and the Prospectus, are independent registered public accountants as required by the Securities Act, the Regulations and the Public Company Accounting Oversight Board (the “</w:t>
      </w:r>
      <w:r>
        <w:rPr>
          <w:rFonts w:ascii="Arial" w:cs="Arial" w:eastAsia="Arial" w:hAnsi="Arial"/>
          <w:sz w:val="17"/>
          <w:szCs w:val="17"/>
          <w:u w:val="single" w:color="auto"/>
          <w:color w:val="auto"/>
        </w:rPr>
        <w:t>PCAOB</w:t>
      </w:r>
      <w:r>
        <w:rPr>
          <w:rFonts w:ascii="Arial" w:cs="Arial" w:eastAsia="Arial" w:hAnsi="Arial"/>
          <w:sz w:val="17"/>
          <w:szCs w:val="17"/>
          <w:color w:val="auto"/>
        </w:rPr>
        <w:t>”), including the rules and regulations promulgated by such entity. To the Company’s knowledge, after reasonable inquiry, Marcum is currently registered with the PCAOB and in good standing. Marcum has not, during the periods covered by the financial statements included in the Registration Statement, the Statutory Prospectus and the Prospectus, provided to the Company any non-audit services, as such term is used in Section 10A(g) of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Financial Statements; Statistical Data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including the notes thereto and supporting schedules (if any) included in the Registration Statement, the Statutory Prospectus and the Prospectus fairly present the financial condition, the results of operations and the cash flows of the Company at the dates and for the periods to which they apply; such financial statements have been prepared in conformity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and the supporting schedules included in the Registration Statement, the Statutory Prospectus and the Prospectus present fairly the information required to be stated therein in conformity with the Regulations. No other financial statements or supporting schedules are required to be included or incorporated by reference in the Registration Statement, the Statutory Prospectus or the Prospectus. The Registration Statement, the Statutory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There are no pro forma or as adjusted financial statements which are required to be included in the Registration Statement, the Statutory Prospectus and the Prospectus in accordance with Regulation S-X or Form 10 that have not been included as so required.</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Statistical Data</w:t>
      </w:r>
      <w:r>
        <w:rPr>
          <w:rFonts w:ascii="Arial" w:cs="Arial" w:eastAsia="Arial" w:hAnsi="Arial"/>
          <w:sz w:val="18"/>
          <w:szCs w:val="18"/>
          <w:color w:val="auto"/>
        </w:rPr>
        <w:t>. The statistical, industry-related and market-related data included in the Registration Statement, the Statutory Prospectus and/or the Prospectus are based on or derived from sources that the Company reasonably and in good faith believes are reliable and accurate, and such data agree with the sources from which they are derived.</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Authorized Capital; Options</w:t>
      </w:r>
      <w:r>
        <w:rPr>
          <w:rFonts w:ascii="Arial" w:cs="Arial" w:eastAsia="Arial" w:hAnsi="Arial"/>
          <w:sz w:val="16"/>
          <w:szCs w:val="16"/>
          <w:color w:val="auto"/>
        </w:rPr>
        <w:t>. The Company had at the date or dates indicated in each of the Registration Statement, the Statutory Prospectus, and the Prospectus, as the case may be, duly authorized, issued and outstanding capitalization as set forth in the Registration Statement, the Statutory Prospectus, and the Prospectus. Based on the assumptions stated in the Registration Statement, the Statutory Prospectus, and the Prospectus, the Company will have on the Closing Date or on the Option Closing Date, as the case may be, the adjusted stock capitalization set forth therein. Except as set forth in, or contemplated by, the Registration Statement, the Statutory Prospectus and the Prospectus, on the Effective Date and on the Closing Date or Option Closing Date, as the case may be, there will be no options, warrants, or other rights to purchase or otherwise acquire any authorized but unissued shares of any of class of common stock of the Company or any security convertible into shares of any class of of common stock, or any contracts or commitments to issue or sell shares of any class of common stock or any such options, warrants, rights or convertible securities.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Valid Issuance of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2.7.1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 All issued and outstanding securities of the Company issued prior to the transactions contemplated by this Agreement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holders of any security of the Company or similar contractual rights granted by the Company. The authorized and outstanding securities of the Company conform in all material respects to all statements relating thereto contained in the Registration Statement, the Statutory Prospectus and the Prospectus. All offers, sales and any transfers of the outstanding securities of the Company were at all relevant times either registered under the Securities Act and the applicable state securities or “Blue Sky” laws or exempt from such registration requirements (based in part on the representations and warranties of the purchasers of such securities).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2.7.2. </w:t>
      </w:r>
      <w:r>
        <w:rPr>
          <w:rFonts w:ascii="Arial" w:cs="Arial" w:eastAsia="Arial" w:hAnsi="Arial"/>
          <w:sz w:val="17"/>
          <w:szCs w:val="17"/>
          <w:u w:val="single" w:color="auto"/>
          <w:color w:val="auto"/>
        </w:rPr>
        <w:t>Public Securities</w:t>
      </w:r>
      <w:r>
        <w:rPr>
          <w:rFonts w:ascii="Arial" w:cs="Arial" w:eastAsia="Arial" w:hAnsi="Arial"/>
          <w:sz w:val="17"/>
          <w:szCs w:val="17"/>
          <w:color w:val="auto"/>
        </w:rPr>
        <w:t>. The Public Securities have been duly authorized and reserved for issuance and when issued and paid for in accordance with this Agreement, will be validly issued, fully paid and non-assessable; the holders thereof are not and will not be subject to personal liability by reason of being such holders; the Public Securities are not and will not be subject to the preemptive rights of any holders of any security of the Company or similar contractual rights granted by the Company; and all corporate action required to be taken for the authorization, issuance and sale of the Public Securities has been duly and validly taken. The form of certificates for the Public Securities conform to the corporate law of the jurisdiction of the Company’s incorporation and applicable securities laws. The Public Securities conform in all material respects to the descriptions thereof contained in the Registration Statement, the Statutory Prospectus and the Prospectus, as the case may be. When paid for and issued, the Warrants will constitute the legal, valid and binding obligations of the Company to issue the number and type of securities of the Company called for thereby in accordance with the terms thereof and such Warrants are enforceable against the Company in accordance with their respective terms. The Class A Shares issuable upon exercise of the Warrants have been reserved for issuance and upon the exercise of the Warrants and upon payment of the consideration therefor, and when issued in accordance with the terms thereof, such shares will be duly and validly authorized, validly issued, fully paid and non-assessable, and the holders thereof are not and will not be subject to personal liability by reason of being such holders.</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2.7.3.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The Placement Warrants constitute valid and binding obligations of the Company to issue the number of Class A Shares in accordance with the terms thereof, and are, or will be, enforceable against the Company in accordance with their respective terms. The Placement Securities have been duly authorized and reserved for issuance and when issued and paid for in accordance with the Private Placement Unit Purchase Agreement and Warrant Agreement, as applicable, will be validly issued, fully paid and non- assessable; the holders thereof are not and will not be subject to personal liability by reason of being such holders; the Placement Securities are not and will not be subject to the preemptive rights of any holders of any security of the Company or similar contractual rights granted by the Company; and all corporate action required to be taken for the authorization, issuance and sale of the Placement Securities has been duly and validly taken. The Placement Securities conform in all material respects to the descriptions thereof contained in the Registration Statement, the Statutory Prospectus, and the Prospectus, as the case may be.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2.7.4. </w:t>
      </w:r>
      <w:r>
        <w:rPr>
          <w:rFonts w:ascii="Arial" w:cs="Arial" w:eastAsia="Arial" w:hAnsi="Arial"/>
          <w:sz w:val="18"/>
          <w:szCs w:val="18"/>
          <w:u w:val="single" w:color="auto"/>
          <w:color w:val="auto"/>
        </w:rPr>
        <w:t>Representative’s Securities</w:t>
      </w:r>
      <w:r>
        <w:rPr>
          <w:rFonts w:ascii="Arial" w:cs="Arial" w:eastAsia="Arial" w:hAnsi="Arial"/>
          <w:sz w:val="18"/>
          <w:szCs w:val="18"/>
          <w:color w:val="auto"/>
        </w:rPr>
        <w:t>. The Representative’s Securities have been duly authorized and reserved for issuance and when issued and paid for in accordance with this Agreement, will be validly issued, fully paid and non-assessable; the holders thereof are not and will not be subject to personal liability by reason of being such holders; and all corporate action required to be taken for the authorization, issuance and sale of the Representative’s Securities has been duly and validly taken.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2.7.5. </w:t>
      </w:r>
      <w:r>
        <w:rPr>
          <w:rFonts w:ascii="Arial" w:cs="Arial" w:eastAsia="Arial" w:hAnsi="Arial"/>
          <w:sz w:val="18"/>
          <w:szCs w:val="18"/>
          <w:u w:val="single" w:color="auto"/>
          <w:color w:val="auto"/>
        </w:rPr>
        <w:t>No Integration</w:t>
      </w:r>
      <w:r>
        <w:rPr>
          <w:rFonts w:ascii="Arial" w:cs="Arial" w:eastAsia="Arial" w:hAnsi="Arial"/>
          <w:sz w:val="18"/>
          <w:szCs w:val="18"/>
          <w:color w:val="auto"/>
        </w:rPr>
        <w:t>. Neither the Company nor any of its affiliates has, prior to the date hereof, made any offer or sale of any securities which are required to be or may be “integrated” pursuant to the Securities Act or the Regulations with the offer and sale of the Public Securities pursuant to the Registration Statement or the Placement Securities.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Statutory Prospectus and the Prospectus, no 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a registration statement to be filed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75"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Validity and Binding Effect of Agreements</w:t>
      </w:r>
      <w:r>
        <w:rPr>
          <w:rFonts w:ascii="Arial" w:cs="Arial" w:eastAsia="Arial" w:hAnsi="Arial"/>
          <w:sz w:val="17"/>
          <w:szCs w:val="17"/>
          <w:color w:val="auto"/>
        </w:rPr>
        <w:t>. Each of this Agreement, the Insider Letters (as defined in Section 2.21.1), the Trust Agreement, the Services Agreement (as defined in Section 2.21.3), the Registration Rights Agreement (as defined in Section 2.21.4), the Warrant Agreement (as defined in Section 2.23) and the Private Placement Unit Purchase Agreement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has been duly and validly authorized by the Company and, when executed and delivered by the Company and the other parties thereto, will constitute the legal, valid and binding agreement of the Company, enforceable against the Company in accordance with its terms.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No Conflicts, Etc</w:t>
      </w:r>
      <w:r>
        <w:rPr>
          <w:rFonts w:ascii="Arial" w:cs="Arial" w:eastAsia="Arial" w:hAnsi="Arial"/>
          <w:sz w:val="18"/>
          <w:szCs w:val="18"/>
          <w:color w:val="auto"/>
        </w:rPr>
        <w:t>. The execution, delivery, and performance by the Company of the Transaction Documents, the consummation by the Company of the transactions herein and therein contemplated and the compliance by the Company with the terms hereof and thereof do not and will not, with or without the giving of notice or the lapse of time or both: (i)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agreement, obligation, condition, covenant or instrument to which the Company is a party or bound or to which its property is subject except pursuant to the Trust Agreement; (ii) result in any violation of the provisions of the Company’s certificate of incorporation or bylaws, each as may be amended (collectively, the “</w:t>
      </w:r>
      <w:r>
        <w:rPr>
          <w:rFonts w:ascii="Arial" w:cs="Arial" w:eastAsia="Arial" w:hAnsi="Arial"/>
          <w:sz w:val="18"/>
          <w:szCs w:val="18"/>
          <w:u w:val="single" w:color="auto"/>
          <w:color w:val="auto"/>
        </w:rPr>
        <w:t>Charter Documents</w:t>
      </w:r>
      <w:r>
        <w:rPr>
          <w:rFonts w:ascii="Arial" w:cs="Arial" w:eastAsia="Arial" w:hAnsi="Arial"/>
          <w:sz w:val="18"/>
          <w:szCs w:val="18"/>
          <w:color w:val="auto"/>
        </w:rPr>
        <w:t>”); or (iii) violate any applicable statute, law, rule, regulation, judgment, order or decree of any governmental agency or court, domestic or foreign, having jurisdiction over the Company or any of its properties, assets or business constituted as of the date hereof.</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Defaults; Violations</w:t>
      </w:r>
      <w:r>
        <w:rPr>
          <w:rFonts w:ascii="Arial" w:cs="Arial" w:eastAsia="Arial" w:hAnsi="Arial"/>
          <w:sz w:val="18"/>
          <w:szCs w:val="18"/>
          <w:color w:val="auto"/>
        </w:rPr>
        <w:t>. No default or violation exists in the due performance and observance of any term, covenant or condition of any license, contract, indenture, mortgage, deed of trust, note, loan or credit agreement, or any other agreement or instrument evidencing an obligation for borrowed money, or any other agreement or instrument to which the Company is a party or by which the Company may be bound or to which any of the properties or assets of the Company is subject. The Company is not in violation of any term or provision of its Charter Documents or in violation of any franchise, license, permit, applicable law, rule, regulation, judgment or decree of any governmental agency or court, domestic or foreign, having jurisdiction over the Company or any of its properties or businesses.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Corporate Power; Licenses; Consents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2.12.1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The Company has all requisite corporate power and authority, and has all necessary authorizations, approvals, orders, licenses, certificates and permits of and from all governmental regulatory officials and bodies required as of the date hereof to conduct its business for the purpose as described in the Registration Statement, the Statutory Prospectus and the Prospectus. The disclosures in the Registration Statement, the Statutory Prospectus and the Prospectus concerning the effects of foreign, federal, state and local regulation on this Offering and the Company’s business purpose as currently contemplated are correct in all material respects and do not omit to state a material fact required to be stated therein or necessary in order to make the statements therein, in light of the circumstances under which they were made, not misleading. Since its formation, the Company has conducted no business and has incurred no liabilities other than in connection with its formation and in furtherance of this Offering.</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2.12.2. </w:t>
      </w:r>
      <w:r>
        <w:rPr>
          <w:rFonts w:ascii="Arial" w:cs="Arial" w:eastAsia="Arial" w:hAnsi="Arial"/>
          <w:sz w:val="17"/>
          <w:szCs w:val="17"/>
          <w:u w:val="single" w:color="auto"/>
          <w:color w:val="auto"/>
        </w:rPr>
        <w:t>Transactions Contemplated Herein</w:t>
      </w:r>
      <w:r>
        <w:rPr>
          <w:rFonts w:ascii="Arial" w:cs="Arial" w:eastAsia="Arial" w:hAnsi="Arial"/>
          <w:sz w:val="17"/>
          <w:szCs w:val="17"/>
          <w:color w:val="auto"/>
        </w:rPr>
        <w:t>. The Company has all requisite corporate power and authority to enter into this Agreement and to carry out the provisions and conditions hereof, and all consents, authorizations, approvals and orders required in connection herewith have been obtained. No consent, authorization, or order of, and no filing with, any court, government agency or other body, foreign or domestic, is required for the valid issuance, sale and delivery, of the Public Securities and the Placement Securities and the consummation of the transactions and agreements contemplated by the Transaction Documents and as contemplated by the Registration Statement, the Statutory Prospectus and the Prospectus, except with respect to applicable foreign, federal and state securities laws and the rules and regulations promulgated by FINRA.</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D&amp;O Questionnaires</w:t>
      </w:r>
      <w:r>
        <w:rPr>
          <w:rFonts w:ascii="Arial" w:cs="Arial" w:eastAsia="Arial" w:hAnsi="Arial"/>
          <w:sz w:val="18"/>
          <w:szCs w:val="18"/>
          <w:color w:val="auto"/>
        </w:rPr>
        <w:t>. All information contained in the questionnaires (“</w:t>
      </w:r>
      <w:r>
        <w:rPr>
          <w:rFonts w:ascii="Arial" w:cs="Arial" w:eastAsia="Arial" w:hAnsi="Arial"/>
          <w:sz w:val="18"/>
          <w:szCs w:val="18"/>
          <w:u w:val="single" w:color="auto"/>
          <w:color w:val="auto"/>
        </w:rPr>
        <w:t>Questionnaires</w:t>
      </w:r>
      <w:r>
        <w:rPr>
          <w:rFonts w:ascii="Arial" w:cs="Arial" w:eastAsia="Arial" w:hAnsi="Arial"/>
          <w:sz w:val="18"/>
          <w:szCs w:val="18"/>
          <w:color w:val="auto"/>
        </w:rPr>
        <w:t>”) completed by each of the Company’s officers, directors and 5% or greater stockholders (“</w:t>
      </w:r>
      <w:r>
        <w:rPr>
          <w:rFonts w:ascii="Arial" w:cs="Arial" w:eastAsia="Arial" w:hAnsi="Arial"/>
          <w:sz w:val="18"/>
          <w:szCs w:val="18"/>
          <w:u w:val="single" w:color="auto"/>
          <w:color w:val="auto"/>
        </w:rPr>
        <w:t>Insiders</w:t>
      </w:r>
      <w:r>
        <w:rPr>
          <w:rFonts w:ascii="Arial" w:cs="Arial" w:eastAsia="Arial" w:hAnsi="Arial"/>
          <w:sz w:val="18"/>
          <w:szCs w:val="18"/>
          <w:color w:val="auto"/>
        </w:rPr>
        <w:t>”) and provided to the Representative and its counsel and the biographies of the Insiders contained in the Registration Statement, Statutory Prospectus and the Prospectus (to the extent a biography is contained) is, to the Company’s knowledge, true and correct and the Company has not become aware of any information which would cause the information disclosed in the Questionnaires completed by each Insider to become inaccurate, incorrect or incomplete.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Litigation; Governmental Proceedings</w:t>
      </w:r>
      <w:r>
        <w:rPr>
          <w:rFonts w:ascii="Arial" w:cs="Arial" w:eastAsia="Arial" w:hAnsi="Arial"/>
          <w:sz w:val="18"/>
          <w:szCs w:val="18"/>
          <w:color w:val="auto"/>
        </w:rPr>
        <w:t>. There is no action, suit, proceeding, inquiry, arbitration, investigation, litigation or governmental proceeding pending, or to the Company’s knowledge, after reasonable inquiry, threatened, against or involving the Company or, to the Company’s knowledge, after reasonable inquiry, any Insider or any stockholder or member of an Insider that has not been disclosed, that is required to be disclosed, in the Registration Statement, the Statutory Prospectus, the Prospectus or the Questionnaires.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Good Standing</w:t>
      </w:r>
      <w:r>
        <w:rPr>
          <w:rFonts w:ascii="Arial" w:cs="Arial" w:eastAsia="Arial" w:hAnsi="Arial"/>
          <w:sz w:val="18"/>
          <w:szCs w:val="18"/>
          <w:color w:val="auto"/>
        </w:rPr>
        <w:t>. The Company has been duly organized and is validly existing as a limited company and is in good standing under the laws of the State of Delaware. The Company is duly qualified to do business and is in good standing as a foreign corporation in each jurisdiction in which its ownership or lease of property or the conduct of business requires such qualification, except where the failure to so qualify would not have a material adverse effect on the condition (financial or otherwise), earnings, assets, prospects, business, operations or properties of the Company, whether or not arising from transactions in the ordinary course of business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The Company has not identified any Business Combination target (each a “</w:t>
      </w:r>
      <w:r>
        <w:rPr>
          <w:rFonts w:ascii="Arial" w:cs="Arial" w:eastAsia="Arial" w:hAnsi="Arial"/>
          <w:sz w:val="18"/>
          <w:szCs w:val="18"/>
          <w:u w:val="single" w:color="auto"/>
          <w:color w:val="auto"/>
        </w:rPr>
        <w:t>Target Business</w:t>
      </w:r>
      <w:r>
        <w:rPr>
          <w:rFonts w:ascii="Arial" w:cs="Arial" w:eastAsia="Arial" w:hAnsi="Arial"/>
          <w:sz w:val="18"/>
          <w:szCs w:val="18"/>
          <w:color w:val="auto"/>
        </w:rPr>
        <w:t>”) and it has not, nor has anyone on its behalf, initiated any substantive discussions, directly or indirectly, with any Target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Transactions Requiring Disclosure to FINRA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2.17.1. </w:t>
      </w:r>
      <w:r>
        <w:rPr>
          <w:rFonts w:ascii="Arial" w:cs="Arial" w:eastAsia="Arial" w:hAnsi="Arial"/>
          <w:sz w:val="18"/>
          <w:szCs w:val="18"/>
          <w:u w:val="single" w:color="auto"/>
          <w:color w:val="auto"/>
        </w:rPr>
        <w:t>Finder’s Fees</w:t>
      </w:r>
      <w:r>
        <w:rPr>
          <w:rFonts w:ascii="Arial" w:cs="Arial" w:eastAsia="Arial" w:hAnsi="Arial"/>
          <w:sz w:val="18"/>
          <w:szCs w:val="18"/>
          <w:color w:val="auto"/>
        </w:rPr>
        <w:t>. There are no claims, payments, arrangements, agreements or understandings relating to the payment of a finder’s, consulting or origination fee by the Company or any Insider with respect to the sale of the Public Securities hereunder or any other arrangements, agreements or understandings of the Company or to the Company’s knowledge, after reasonable inquiry, any Insider that may affect the Underwriters’ compensation, as determined by FINRA.</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2.17.2. </w:t>
      </w:r>
      <w:r>
        <w:rPr>
          <w:rFonts w:ascii="Arial" w:cs="Arial" w:eastAsia="Arial" w:hAnsi="Arial"/>
          <w:sz w:val="17"/>
          <w:szCs w:val="17"/>
          <w:u w:val="single" w:color="auto"/>
          <w:color w:val="auto"/>
        </w:rPr>
        <w:t>Payments Within 180 Days</w:t>
      </w:r>
      <w:r>
        <w:rPr>
          <w:rFonts w:ascii="Arial" w:cs="Arial" w:eastAsia="Arial" w:hAnsi="Arial"/>
          <w:sz w:val="17"/>
          <w:szCs w:val="17"/>
          <w:color w:val="auto"/>
        </w:rPr>
        <w:t>.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180-day period prior to the initial filing of the Registration Statement, other than the prior payments to the Representative in connection with the Offering.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 No person to whom securities of the Company have been privately issued within the 180-day period prior to the initial filing date of the Registration Statement has any relationship or affiliation or association with any member of FINRA participating in the Offering.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with the Commission, which arrangement or agreement provides for the receipt of any item of value and/or the transfer or issuance of any warrants, options, or other securities from the Company to a FINRA member, any person associated with a member (as defined by FINRA rules), any potential underwriters in the Offering and/or any related persons.</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2.17.3. </w:t>
      </w:r>
      <w:r>
        <w:rPr>
          <w:rFonts w:ascii="Arial" w:cs="Arial" w:eastAsia="Arial" w:hAnsi="Arial"/>
          <w:sz w:val="17"/>
          <w:szCs w:val="17"/>
          <w:u w:val="single" w:color="auto"/>
          <w:color w:val="auto"/>
        </w:rPr>
        <w:t>FINRA Affiliation</w:t>
      </w:r>
      <w:r>
        <w:rPr>
          <w:rFonts w:ascii="Arial" w:cs="Arial" w:eastAsia="Arial" w:hAnsi="Arial"/>
          <w:sz w:val="17"/>
          <w:szCs w:val="17"/>
          <w:color w:val="auto"/>
        </w:rPr>
        <w:t>. Other than as disclosed to the Representative, no officer or director or any direct or indirect beneficial owner (including the Insiders) of any class of the Company’s unregistered securities (whether debt or equity, registered or unregistered, regardless of the time acquired or the source from which derived) has any direct or indirect affiliation or association with any FINRA member (as determined in accordance with the rules and regulations of FINRA). The Company will advise the Representative if it learns that any officer or director or any direct or indirect beneficial owner (including the Insiders) is or becomes an affiliate or associated person of a FINRA member participating in the Offering.</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2.17.4. </w:t>
      </w:r>
      <w:r>
        <w:rPr>
          <w:rFonts w:ascii="Arial" w:cs="Arial" w:eastAsia="Arial" w:hAnsi="Arial"/>
          <w:sz w:val="18"/>
          <w:szCs w:val="18"/>
          <w:u w:val="single" w:color="auto"/>
          <w:color w:val="auto"/>
        </w:rPr>
        <w:t>Share Ownership</w:t>
      </w:r>
      <w:r>
        <w:rPr>
          <w:rFonts w:ascii="Arial" w:cs="Arial" w:eastAsia="Arial" w:hAnsi="Arial"/>
          <w:sz w:val="18"/>
          <w:szCs w:val="18"/>
          <w:color w:val="auto"/>
        </w:rPr>
        <w:t>. No officer or director or any direct or indirect beneficial owner (including the Insiders) of any class of the Company’s unregistered securities is an owner of shares or other securities of any member of FINRA participating in the Offering (other than securities purchased on the open market).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2.17.5. </w:t>
      </w:r>
      <w:r>
        <w:rPr>
          <w:rFonts w:ascii="Arial" w:cs="Arial" w:eastAsia="Arial" w:hAnsi="Arial"/>
          <w:sz w:val="18"/>
          <w:szCs w:val="18"/>
          <w:u w:val="single" w:color="auto"/>
          <w:color w:val="auto"/>
        </w:rPr>
        <w:t>Loans</w:t>
      </w:r>
      <w:r>
        <w:rPr>
          <w:rFonts w:ascii="Arial" w:cs="Arial" w:eastAsia="Arial" w:hAnsi="Arial"/>
          <w:sz w:val="18"/>
          <w:szCs w:val="18"/>
          <w:color w:val="auto"/>
        </w:rPr>
        <w:t>. No officer or director or any direct or indirect beneficial owner (including the Insiders) of any class of the Company’s unregistered securities has made a subordinated loan to any member of FINRA participating in the Offering.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63" w:lineRule="auto"/>
        <w:rPr>
          <w:sz w:val="20"/>
          <w:szCs w:val="20"/>
          <w:color w:val="auto"/>
        </w:rPr>
      </w:pPr>
      <w:r>
        <w:rPr>
          <w:rFonts w:ascii="Arial" w:cs="Arial" w:eastAsia="Arial" w:hAnsi="Arial"/>
          <w:sz w:val="18"/>
          <w:szCs w:val="18"/>
          <w:color w:val="auto"/>
        </w:rPr>
        <w:t xml:space="preserve">2.17.6. </w:t>
      </w:r>
      <w:r>
        <w:rPr>
          <w:rFonts w:ascii="Arial" w:cs="Arial" w:eastAsia="Arial" w:hAnsi="Arial"/>
          <w:sz w:val="18"/>
          <w:szCs w:val="18"/>
          <w:u w:val="single" w:color="auto"/>
          <w:color w:val="auto"/>
        </w:rPr>
        <w:t>Proceeds of the Offering</w:t>
      </w:r>
      <w:r>
        <w:rPr>
          <w:rFonts w:ascii="Arial" w:cs="Arial" w:eastAsia="Arial" w:hAnsi="Arial"/>
          <w:sz w:val="18"/>
          <w:szCs w:val="18"/>
          <w:color w:val="auto"/>
        </w:rPr>
        <w:t>. No proceeds from the sale of the Public Securities (excluding underwriting compensation) or the Placement Securities will be paid to any FINRA member participating in the Offering, or any persons associated or affiliated with a member of FINRA participating in the Offering, except as specifically authorized herein.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2.17.7. </w:t>
      </w:r>
      <w:r>
        <w:rPr>
          <w:rFonts w:ascii="Arial" w:cs="Arial" w:eastAsia="Arial" w:hAnsi="Arial"/>
          <w:sz w:val="18"/>
          <w:szCs w:val="18"/>
          <w:u w:val="single" w:color="auto"/>
          <w:color w:val="auto"/>
        </w:rPr>
        <w:t>Conflicts of Interest</w:t>
      </w:r>
      <w:r>
        <w:rPr>
          <w:rFonts w:ascii="Arial" w:cs="Arial" w:eastAsia="Arial" w:hAnsi="Arial"/>
          <w:sz w:val="18"/>
          <w:szCs w:val="18"/>
          <w:color w:val="auto"/>
        </w:rPr>
        <w:t>. To the Company’s knowledge, after reasonable inquiry, no FINRA member intending to participate in the Offering has a conflict of interest with the Company. For this purpose, a “conflict of interest” exists when a member of FINRA and/or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2.18.1. There are no transfer taxes or other similar fees or charges under U.S. federal law or the laws of any U.S. state or any political subdivision of the United States, required to be paid in connection with the execution and delivery of this Agreement or the issuance or sale by the Company of the Public Securities.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2.18.2. The Company has filed all U.S. federal, state and local and foreign tax returns required to be filed with taxing authorities prior to the date hereof in a timely manner or has duly obtained extensions of time for the filing thereof. The Company has paid all taxes shown as due on such returns that were filed and has paid all taxes imposed on it and any other assessment, fine or penalty levied against it, to the extent that any of the foregoing is due and payable. The Company has made appropriate provisions in the applicable financial statements referred to in Section 2.5.1 above in respect of all federal, state, local and foreign income and franchise taxes for all current or prior periods as to which the tax liability of the Company has not been finally determined.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Foreign Corrupt Practices Act; Anti-Money Laundering; USA PATRIOT Act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2.19.1. </w:t>
      </w: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Neither the Company nor to the Company’s knowledge, after reasonable inquiry, any of the Insiders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or (iii) if not continued in the future, might adversely affect the assets, business or operations of the Company. The Company has taken reasonable steps to ensure that its accounting controls and procedures are sufficient to cause the Company to comply in all material respects with the Foreign Corrupt Practices Act of 1977, as amended.</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2.19.2. </w:t>
      </w:r>
      <w:r>
        <w:rPr>
          <w:rFonts w:ascii="Arial" w:cs="Arial" w:eastAsia="Arial" w:hAnsi="Arial"/>
          <w:sz w:val="18"/>
          <w:szCs w:val="18"/>
          <w:u w:val="single" w:color="auto"/>
          <w:color w:val="auto"/>
        </w:rPr>
        <w:t>Bank Secrecy Act</w:t>
      </w:r>
      <w:r>
        <w:rPr>
          <w:rFonts w:ascii="Arial" w:cs="Arial" w:eastAsia="Arial" w:hAnsi="Arial"/>
          <w:sz w:val="18"/>
          <w:szCs w:val="18"/>
          <w:color w:val="auto"/>
        </w:rPr>
        <w:t>. The operations of the Company are and have been conducted at all times in compliance with (i) the requirements of the U.S. Treasury Department Office of Foreign Assets Control and (ii) applicable financial recordkeeping and reporting requirements of the Bank Secrecy Act of 1970 (the Currency and Foreign Transactions Reporting Act), as amended, including the Money Laundering Control Act of 1986, as amended, the rules and regulations thereunder and any related or similar money laundering statutes, rules, regulations or guidelines, issued, administered or enforced by any Federal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Company’s knowledge, after reasonable inquiry, threatened.</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2.19.3. </w:t>
      </w:r>
      <w:r>
        <w:rPr>
          <w:rFonts w:ascii="Arial" w:cs="Arial" w:eastAsia="Arial" w:hAnsi="Arial"/>
          <w:sz w:val="18"/>
          <w:szCs w:val="18"/>
          <w:u w:val="single" w:color="auto"/>
          <w:color w:val="auto"/>
        </w:rPr>
        <w:t>USA PATRIOT Act</w:t>
      </w:r>
      <w:r>
        <w:rPr>
          <w:rFonts w:ascii="Arial" w:cs="Arial" w:eastAsia="Arial" w:hAnsi="Arial"/>
          <w:sz w:val="18"/>
          <w:szCs w:val="18"/>
          <w:color w:val="auto"/>
        </w:rPr>
        <w:t>. Neither the Company nor to the Company’s knowledge, after reasonable inquiry, any Insider has violated the Uniting and Strengthening of America by Providing Appropriate Tools Required to Intercept and Obstruct Terrorism (USA PATRIOT) Act of 2001, and/or the rules and regulations promulgated under any such law, or any successor law.</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Any certificate signed by any duly authorized officer of the Company in connection with the Offering and delivered to the Representative shall be deemed a representation and warranty by the Company to the Underwriters as to the matters covered thereby.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Agreements with Insiders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2.21.1. </w:t>
      </w:r>
      <w:r>
        <w:rPr>
          <w:rFonts w:ascii="Arial" w:cs="Arial" w:eastAsia="Arial" w:hAnsi="Arial"/>
          <w:sz w:val="17"/>
          <w:szCs w:val="17"/>
          <w:u w:val="single" w:color="auto"/>
          <w:color w:val="auto"/>
        </w:rPr>
        <w:t>Insider Letters</w:t>
      </w:r>
      <w:r>
        <w:rPr>
          <w:rFonts w:ascii="Arial" w:cs="Arial" w:eastAsia="Arial" w:hAnsi="Arial"/>
          <w:sz w:val="17"/>
          <w:szCs w:val="17"/>
          <w:color w:val="auto"/>
        </w:rPr>
        <w:t>. The Company has caused to be duly executed legal, valid, binding and enforceable agreements, substantially in the form filed as an exhibit to the Registration Statement (the “</w:t>
      </w:r>
      <w:r>
        <w:rPr>
          <w:rFonts w:ascii="Arial" w:cs="Arial" w:eastAsia="Arial" w:hAnsi="Arial"/>
          <w:sz w:val="17"/>
          <w:szCs w:val="17"/>
          <w:u w:val="single" w:color="auto"/>
          <w:color w:val="auto"/>
        </w:rPr>
        <w:t>Insider Letters</w:t>
      </w:r>
      <w:r>
        <w:rPr>
          <w:rFonts w:ascii="Arial" w:cs="Arial" w:eastAsia="Arial" w:hAnsi="Arial"/>
          <w:sz w:val="17"/>
          <w:szCs w:val="17"/>
          <w:color w:val="auto"/>
        </w:rPr>
        <w:t>”), pursuant to which each of the Insiders of the Company agree to certain matters. The Insider Letters shall not be amended, modified or otherwise changed without the prior written consent of the Representative.</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2.21.2. </w:t>
      </w:r>
      <w:r>
        <w:rPr>
          <w:rFonts w:ascii="Arial" w:cs="Arial" w:eastAsia="Arial" w:hAnsi="Arial"/>
          <w:sz w:val="17"/>
          <w:szCs w:val="17"/>
          <w:u w:val="single" w:color="auto"/>
          <w:color w:val="auto"/>
        </w:rPr>
        <w:t>Private Placement Unit Purchase Agreement</w:t>
      </w:r>
      <w:r>
        <w:rPr>
          <w:rFonts w:ascii="Arial" w:cs="Arial" w:eastAsia="Arial" w:hAnsi="Arial"/>
          <w:sz w:val="17"/>
          <w:szCs w:val="17"/>
          <w:color w:val="auto"/>
        </w:rPr>
        <w:t>. The Sponsor has executed and delivered a Private Placement Unit Purchase Agreement, substantially in the form filed as an exhibit to the Registration Statement (the “</w:t>
      </w:r>
      <w:r>
        <w:rPr>
          <w:rFonts w:ascii="Arial" w:cs="Arial" w:eastAsia="Arial" w:hAnsi="Arial"/>
          <w:sz w:val="17"/>
          <w:szCs w:val="17"/>
          <w:u w:val="single" w:color="auto"/>
          <w:color w:val="auto"/>
        </w:rPr>
        <w:t>Private Placement Unit Purchase Agreement</w:t>
      </w:r>
      <w:r>
        <w:rPr>
          <w:rFonts w:ascii="Arial" w:cs="Arial" w:eastAsia="Arial" w:hAnsi="Arial"/>
          <w:sz w:val="17"/>
          <w:szCs w:val="17"/>
          <w:color w:val="auto"/>
        </w:rPr>
        <w:t>”), pursuant to which the Sponsor will, among other things, on the Closing Date, consummate the purchase of and deliver the purchase price for the Placement Units as provided for in such Private Placement Unit Purchase Agreement. Pursuant to the Private Placement Unit Purchase Agreement, (i) the Sponsor has waived any and all rights and claims each may have to any proceeds, and any interest thereon, held in the Trust Account in respect of the Placement Securities, and (ii) the proceeds from the sale of the Placement Securities will be deposited by the Company in the Trust Account in accordance with the terms of the Trust Agreement on the Closing Date as provided for in the Private Placement Unit Purchase Agreement.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2.21.3. </w:t>
      </w:r>
      <w:r>
        <w:rPr>
          <w:rFonts w:ascii="Arial" w:cs="Arial" w:eastAsia="Arial" w:hAnsi="Arial"/>
          <w:sz w:val="18"/>
          <w:szCs w:val="18"/>
          <w:u w:val="single" w:color="auto"/>
          <w:color w:val="auto"/>
        </w:rPr>
        <w:t>Administrative Services</w:t>
      </w:r>
      <w:r>
        <w:rPr>
          <w:rFonts w:ascii="Arial" w:cs="Arial" w:eastAsia="Arial" w:hAnsi="Arial"/>
          <w:sz w:val="18"/>
          <w:szCs w:val="18"/>
          <w:color w:val="auto"/>
        </w:rPr>
        <w:t>. The Company and the Sponsor have entered into an Administrative Services Agreement, substantially in the form filed as an exhibit to the Registration Statement (the “</w:t>
      </w:r>
      <w:r>
        <w:rPr>
          <w:rFonts w:ascii="Arial" w:cs="Arial" w:eastAsia="Arial" w:hAnsi="Arial"/>
          <w:sz w:val="18"/>
          <w:szCs w:val="18"/>
          <w:u w:val="single" w:color="auto"/>
          <w:color w:val="auto"/>
        </w:rPr>
        <w:t>Services Agreement</w:t>
      </w:r>
      <w:r>
        <w:rPr>
          <w:rFonts w:ascii="Arial" w:cs="Arial" w:eastAsia="Arial" w:hAnsi="Arial"/>
          <w:sz w:val="18"/>
          <w:szCs w:val="18"/>
          <w:color w:val="auto"/>
        </w:rPr>
        <w:t>”) pursuant to which the Sponsor will make available to the Company general and administrative services including office space, utilities and administrative support for the Company’s use for $10,000 per month payable until the earlier of the consummation by the Company of a Business Combination or the liquidation of the Trust Account, on the terms and subject to the conditions set forth in the Services Agreement.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2.21.4.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Company and the Initial Stockholders have entered into a Registration Rights Agreement, substantially in the form filed as an exhibit to the Registration Statement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whereby such parties will be entitled to certain registration rights with respect to the securities they hold or may hold, as set forth in such Registration Rights Agreement and described more fully in the Registration Statement, the Statutory Prospectus and the Prospectus.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2.21.5. </w:t>
      </w:r>
      <w:r>
        <w:rPr>
          <w:rFonts w:ascii="Arial" w:cs="Arial" w:eastAsia="Arial" w:hAnsi="Arial"/>
          <w:sz w:val="18"/>
          <w:szCs w:val="18"/>
          <w:u w:val="single" w:color="auto"/>
          <w:color w:val="auto"/>
        </w:rPr>
        <w:t>Loans</w:t>
      </w:r>
      <w:r>
        <w:rPr>
          <w:rFonts w:ascii="Arial" w:cs="Arial" w:eastAsia="Arial" w:hAnsi="Arial"/>
          <w:sz w:val="18"/>
          <w:szCs w:val="18"/>
          <w:color w:val="auto"/>
        </w:rPr>
        <w:t>. The Sponsor has agreed to lend to the Company up to an aggregate of $300,000 to be used for a portion of the expenses of the Offering (the “</w:t>
      </w:r>
      <w:r>
        <w:rPr>
          <w:rFonts w:ascii="Arial" w:cs="Arial" w:eastAsia="Arial" w:hAnsi="Arial"/>
          <w:sz w:val="18"/>
          <w:szCs w:val="18"/>
          <w:u w:val="single" w:color="auto"/>
          <w:color w:val="auto"/>
        </w:rPr>
        <w:t>Insider Loan</w:t>
      </w:r>
      <w:r>
        <w:rPr>
          <w:rFonts w:ascii="Arial" w:cs="Arial" w:eastAsia="Arial" w:hAnsi="Arial"/>
          <w:sz w:val="18"/>
          <w:szCs w:val="18"/>
          <w:color w:val="auto"/>
        </w:rPr>
        <w:t>”). As of September 30, 2021, the Company has borrowed $100,091 from the Sponsor. The Insider Loan does not bear any interest and is repayable by the Company upon the consummation of the Offering.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 pursuant to which the funds held in the Trust Account may be released under limited circumstances. The Trust Agreement shall not be amended, modified, or otherwise changed in any way that modifies the rights or obligations of the Company without the prior written consent of the Representative.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Warrant Agreement</w:t>
      </w:r>
      <w:r>
        <w:rPr>
          <w:rFonts w:ascii="Arial" w:cs="Arial" w:eastAsia="Arial" w:hAnsi="Arial"/>
          <w:sz w:val="18"/>
          <w:szCs w:val="18"/>
          <w:color w:val="auto"/>
        </w:rPr>
        <w:t>. The Company has entered into a warrant agreement with respect to the Warrants underlying the Units and the Placement Warrants and certain other warrants that may be issued by the Company with the Trustee, substantially in the form filed as an exhibit to the Registration Statement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No Existing Non-Competition Agreements</w:t>
      </w:r>
      <w:r>
        <w:rPr>
          <w:rFonts w:ascii="Arial" w:cs="Arial" w:eastAsia="Arial" w:hAnsi="Arial"/>
          <w:sz w:val="18"/>
          <w:szCs w:val="18"/>
          <w:color w:val="auto"/>
        </w:rPr>
        <w:t>. No Insider is subject to any non-competition agreement or non-solicitation agreement with any employer or prior employer which could materially affect his ability to be an employee, officer and/or director of the Company, except as disclosed in the Registration Statement.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Act</w:t>
      </w:r>
      <w:r>
        <w:rPr>
          <w:rFonts w:ascii="Arial" w:cs="Arial" w:eastAsia="Arial" w:hAnsi="Arial"/>
          <w:sz w:val="18"/>
          <w:szCs w:val="18"/>
          <w:color w:val="auto"/>
        </w:rPr>
        <w:t>”)) of the Company’s total assets consist of, and no more than 45% of the Company’s net income after taxes is derived from, securities other than “Government securities” (as defined in Section 2(a)(16) of the Investment Company Act) or money market funds meeting the conditions of Rule 2a-7 under the Investment Company Act.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Securities as herein contemplated and the application of the net proceeds therefrom as described in the Statutory Prospectus and Prospectus will not be required, to register as an “investment company” under the Investment Company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the Company, on the one hand, and any Insider, on the other hand, which is required by the Securities Act, the Exchange Act or the Regulations to be described in the Registration Statement, the Statutory Prospectus and the Prospectus which is not so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Statutory Prospectus and Prospectus. The Company has not extended or maintained credit, arranged for the extension of credit, or renewed an extension of credit, in the form of a personal loan to or for any director or officer of the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(a) a customer or supplier of the Company or any affiliate of the Company to alter the customer’s or supplier’s level or type of business with the Company or such affiliate or (b) a journalist or publication to write or publish favorable information about the Company or any such affiliate.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or on the Closing Date will be, in material compliance with the provisions of the Sarbanes-Oxley Act of 2002, as amended, and the rules and regulations promulgated thereunder and related or similar rules or regulations promulgated by any governmental or self-regulatory entity or agency, that are applicable to it as of the date hereof.</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Distribution of Offering Material by the Company</w:t>
      </w:r>
      <w:r>
        <w:rPr>
          <w:rFonts w:ascii="Arial" w:cs="Arial" w:eastAsia="Arial" w:hAnsi="Arial"/>
          <w:sz w:val="18"/>
          <w:szCs w:val="18"/>
          <w:color w:val="auto"/>
        </w:rPr>
        <w:t>. The Company has not distributed and will not distribute, prior to the later of the Closing Date and the completion of the distribution of the Units, any offering material in connection with the offering and sale of the Units other than the Statutory Prospectus and the Prospectus, in each case as supplemented and amended.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Nasdaq Stock Market</w:t>
      </w:r>
      <w:r>
        <w:rPr>
          <w:rFonts w:ascii="Arial" w:cs="Arial" w:eastAsia="Arial" w:hAnsi="Arial"/>
          <w:sz w:val="18"/>
          <w:szCs w:val="18"/>
          <w:color w:val="auto"/>
        </w:rPr>
        <w:t>. The Public Securities have been authorized for listing, subject to official notice of issuance and evidence of satisfactory distribution, on The Nasdaq Stock Market (“</w:t>
      </w:r>
      <w:r>
        <w:rPr>
          <w:rFonts w:ascii="Arial" w:cs="Arial" w:eastAsia="Arial" w:hAnsi="Arial"/>
          <w:sz w:val="18"/>
          <w:szCs w:val="18"/>
          <w:u w:val="single" w:color="auto"/>
          <w:color w:val="auto"/>
        </w:rPr>
        <w:t>Nasdaq</w:t>
      </w:r>
      <w:r>
        <w:rPr>
          <w:rFonts w:ascii="Arial" w:cs="Arial" w:eastAsia="Arial" w:hAnsi="Arial"/>
          <w:sz w:val="18"/>
          <w:szCs w:val="18"/>
          <w:color w:val="auto"/>
        </w:rPr>
        <w:t>”), and the Company knows of no reason or set of facts that is likely to adversely affect such authorization.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Board of Directors</w:t>
      </w:r>
      <w:r>
        <w:rPr>
          <w:rFonts w:ascii="Arial" w:cs="Arial" w:eastAsia="Arial" w:hAnsi="Arial"/>
          <w:sz w:val="18"/>
          <w:szCs w:val="18"/>
          <w:color w:val="auto"/>
        </w:rPr>
        <w:t>. As of the Effective Date, the Board of Directors of the Company will be comprised of the persons set forth as “Directors” or “Director nominees” under the heading of the Statutory Prospectus and the Prospectus captioned “Management.” As of the Effective Date, the qualifications of the persons serving as board members and the overall composition of the board will comply with the Sarbanes-Oxley Act of 2002 and the rules promulgated thereunder and the rules of Nasdaq that are, in each case, applicable to the Company. As of the Effective Date, the Company will have an Audit Committee that satisfies the applicable requirements under the Sarbanes-Oxley Act of 2002 and the rules promulgated thereunder and the rules of Nasdaq.</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 From its formation through the date hereof, the Company has been and is an “emerging growth company,” as defined in Section 2(a) of the Securities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u w:val="single" w:color="auto"/>
          <w:color w:val="auto"/>
        </w:rPr>
        <w:t>No Disqualification Events</w:t>
      </w:r>
      <w:r>
        <w:rPr>
          <w:rFonts w:ascii="Arial" w:cs="Arial" w:eastAsia="Arial" w:hAnsi="Arial"/>
          <w:sz w:val="17"/>
          <w:szCs w:val="17"/>
          <w:color w:val="auto"/>
        </w:rPr>
        <w:t>. Neither the Company, nor any of its predecessors or any affiliated issuer, nor any director, executive officer, or other officer of the Company participating in the Offering, nor any beneficial owner of 20% or more of the Company’s outstanding voting equity securities, calculated on the basis of voting power, nor any promoter (as that term is defined in Rule 405 under the Securities Act) connected with the Company in any capacity at the Applicable Time (each, a “</w:t>
      </w:r>
      <w:r>
        <w:rPr>
          <w:rFonts w:ascii="Arial" w:cs="Arial" w:eastAsia="Arial" w:hAnsi="Arial"/>
          <w:sz w:val="17"/>
          <w:szCs w:val="17"/>
          <w:u w:val="single" w:color="auto"/>
          <w:color w:val="auto"/>
        </w:rPr>
        <w:t>Company Covered Person</w:t>
      </w:r>
      <w:r>
        <w:rPr>
          <w:rFonts w:ascii="Arial" w:cs="Arial" w:eastAsia="Arial" w:hAnsi="Arial"/>
          <w:sz w:val="17"/>
          <w:szCs w:val="17"/>
          <w:color w:val="auto"/>
        </w:rPr>
        <w:t>” and, together, “</w:t>
      </w:r>
      <w:r>
        <w:rPr>
          <w:rFonts w:ascii="Arial" w:cs="Arial" w:eastAsia="Arial" w:hAnsi="Arial"/>
          <w:sz w:val="17"/>
          <w:szCs w:val="17"/>
          <w:u w:val="single" w:color="auto"/>
          <w:color w:val="auto"/>
        </w:rPr>
        <w:t>Company Covered Persons</w:t>
      </w:r>
      <w:r>
        <w:rPr>
          <w:rFonts w:ascii="Arial" w:cs="Arial" w:eastAsia="Arial" w:hAnsi="Arial"/>
          <w:sz w:val="17"/>
          <w:szCs w:val="17"/>
          <w:color w:val="auto"/>
        </w:rPr>
        <w:t>”) is subject to any of the “Bad Actor” disqualifications described in Rule 506(d)(1)(i) to (viii) under the Securities Act (a “</w:t>
      </w:r>
      <w:r>
        <w:rPr>
          <w:rFonts w:ascii="Arial" w:cs="Arial" w:eastAsia="Arial" w:hAnsi="Arial"/>
          <w:sz w:val="17"/>
          <w:szCs w:val="17"/>
          <w:u w:val="single" w:color="auto"/>
          <w:color w:val="auto"/>
        </w:rPr>
        <w:t>Disqualification Event</w:t>
      </w:r>
      <w:r>
        <w:rPr>
          <w:rFonts w:ascii="Arial" w:cs="Arial" w:eastAsia="Arial" w:hAnsi="Arial"/>
          <w:sz w:val="17"/>
          <w:szCs w:val="17"/>
          <w:color w:val="auto"/>
        </w:rPr>
        <w:t>”), except for a Disqualification Event covered by Rule 506(d)(2) or (d)(3). The Company has exercised reasonable care to determine whether any Company Covered Person is subject to a Disqualification Event. The Company has complied, to the extent applicable, with its disclosure obligations under Rule 506(e), and has furnished to the Underwriters a copy of any disclosures provided thereunder.</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2.36. </w:t>
      </w:r>
      <w:r>
        <w:rPr>
          <w:rFonts w:ascii="Arial" w:cs="Arial" w:eastAsia="Arial" w:hAnsi="Arial"/>
          <w:sz w:val="17"/>
          <w:szCs w:val="17"/>
          <w:u w:val="single" w:color="auto"/>
          <w:color w:val="auto"/>
        </w:rPr>
        <w:t>Free-Writing Prospectus and Testing-the-Waters</w:t>
      </w:r>
      <w:r>
        <w:rPr>
          <w:rFonts w:ascii="Arial" w:cs="Arial" w:eastAsia="Arial" w:hAnsi="Arial"/>
          <w:sz w:val="17"/>
          <w:szCs w:val="17"/>
          <w:color w:val="auto"/>
        </w:rPr>
        <w:t>. The Company has not made any offer relating to the Public Securities that would constitute an issuer free writing prospectus, as defined in Rule 433 under the Act, or that would otherwise constitute a “free writing prospectus” as defined in Rule 405. The Company: (a) has not engaged in any Testing-the-Waters Communication other than Testing-the-Waters Communications with the consent of the Representative with entities that are “qualified institutional buyers” within the meaning of Rule 144A under the Securities Act or institutions that are accredited investors within the meaning of Rule 501 under the Act and (b) has not authorized anyone to engage in Testing-the-Waters Communications other than its officers and the Representative and individuals engaged by the Representative. The Company has not distributed any written Testing-the-Waters Communications. “Testing-the-Waters Communication” means any oral or written communication with potential investors undertaken in reliance on Section 5(d) of the Securities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as follows: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any Preliminary Prospectus or the Prospectus proposed to be filed after the Effective Date and the Company shall not file any such amendment or supplement to which the Representative reasonably objects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Compliance</w:t>
      </w:r>
      <w:r>
        <w:rPr>
          <w:rFonts w:ascii="Arial" w:cs="Arial" w:eastAsia="Arial" w:hAnsi="Arial"/>
          <w:sz w:val="16"/>
          <w:szCs w:val="16"/>
          <w:color w:val="auto"/>
        </w:rPr>
        <w:t>. During the time when a Prospectus is required to be delivered under the Securities Act, the Company will use its best efforts to comply with all requirements imposed upon it by the Securities Act, the Regulations, and the Exchange Act, and by the regulations under the Exchange Act, as from time to time in force, so far as necessary to permit the continuance of sales of or dealings in the Securities in accordance with the provisions hereof and the Statutory Prospectus and the Prospectus. If at any time when a Prospectus relating to the Securities is required to be delivered under the Securities Act, any event shall have occurred as a result of which, in the opinion of counsel for the Company or counsel to the Underwriters, the Prospectus, as then amended or supplemented, includes an untrue statement of a material fact or omits to state any material fact required to be stated therein or necessary to make the statements therein, in the light of the circumstances under which they were made, not misleading, or if it is necessary at any time to amend or supplement the Prospectus to comply with the Securities Act, the Company will notify the Representative promptly and prepare and file with the Commission, subject to Section 3.1 hereof, an appropriate amendment or supplement in accordance with Section 10 of the Securities Act.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Filing of Final Prospectus</w:t>
      </w:r>
      <w:r>
        <w:rPr>
          <w:rFonts w:ascii="Arial" w:cs="Arial" w:eastAsia="Arial" w:hAnsi="Arial"/>
          <w:sz w:val="18"/>
          <w:szCs w:val="18"/>
          <w:color w:val="auto"/>
        </w:rPr>
        <w:t>. The Company will file the Prospectus (in form and substance satisfactory to the Underwriters) with the Commission pursuant to the requirements of Rule 424 under the Securities Act.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The Company will use its best efforts to maintain the registration of the Public Securities under the provisions of the Exchange Act (except in connection with a going-private transaction) for a period of five years from the Effective Date, or until the Company is required to be liquidated or is acquired, if earlier, or, in the case of the Warrants, until the Warrants expire and are no longer exercisable or have been exercised or redeemed in full. The Company will not deregister the Public Securities under the Exchange Act without the prior written consent of the Representative.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Exchange Act Filings</w:t>
      </w:r>
      <w:r>
        <w:rPr>
          <w:rFonts w:ascii="Arial" w:cs="Arial" w:eastAsia="Arial" w:hAnsi="Arial"/>
          <w:sz w:val="17"/>
          <w:szCs w:val="17"/>
          <w:color w:val="auto"/>
        </w:rPr>
        <w:t>. From the Effective Date until the earlier of the Company’s initial Business Combination, or its liquidation and dissolution, the Company shall timely file with the Commission via the Electronic Data Gathering, Analysis and Retrieval System (“</w:t>
      </w:r>
      <w:r>
        <w:rPr>
          <w:rFonts w:ascii="Arial" w:cs="Arial" w:eastAsia="Arial" w:hAnsi="Arial"/>
          <w:sz w:val="17"/>
          <w:szCs w:val="17"/>
          <w:u w:val="single" w:color="auto"/>
          <w:color w:val="auto"/>
        </w:rPr>
        <w:t>EDGAR</w:t>
      </w:r>
      <w:r>
        <w:rPr>
          <w:rFonts w:ascii="Arial" w:cs="Arial" w:eastAsia="Arial" w:hAnsi="Arial"/>
          <w:sz w:val="17"/>
          <w:szCs w:val="17"/>
          <w:color w:val="auto"/>
        </w:rPr>
        <w:t>”) such statements and reports as are required to be filed by a company with a class of securities registered under Section 12(b) of the Exchange Act.</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Sarbanes-Oxley Compliance</w:t>
      </w:r>
      <w:r>
        <w:rPr>
          <w:rFonts w:ascii="Arial" w:cs="Arial" w:eastAsia="Arial" w:hAnsi="Arial"/>
          <w:sz w:val="16"/>
          <w:szCs w:val="16"/>
          <w:color w:val="auto"/>
        </w:rPr>
        <w:t>. As soon as it is legally required to do so, the Company shall take all actions necessary to obtain and thereafter maintain material compliance with each applicable provision of the Sarbanes-Oxley Act of 2002 and the rules and regulations promulgated thereunder and related or similar rules and regulations promulgated by any other governmental or self-regulatory entity or agency with jurisdiction over the Company.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Free-Writing Prospectus</w:t>
      </w:r>
      <w:r>
        <w:rPr>
          <w:rFonts w:ascii="Arial" w:cs="Arial" w:eastAsia="Arial" w:hAnsi="Arial"/>
          <w:sz w:val="18"/>
          <w:szCs w:val="18"/>
          <w:color w:val="auto"/>
        </w:rPr>
        <w:t>. The Company agrees that it will not make any offer relating to the Public Securities that would constitute an issuer free writing prospectus, as defined in Rule 433 under the Securities Act, or that would otherwise constitute a “free writing prospectus” as defined in Rule 405 under the Securities Act.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Delivery to Underwriters of Prospectuses</w:t>
      </w:r>
      <w:r>
        <w:rPr>
          <w:rFonts w:ascii="Arial" w:cs="Arial" w:eastAsia="Arial" w:hAnsi="Arial"/>
          <w:sz w:val="16"/>
          <w:szCs w:val="16"/>
          <w:color w:val="auto"/>
        </w:rPr>
        <w:t>. The Company will deliver to the Underwriters, without charge and from time to time during the period when the Prospectus is required to be delivered under the Securities Act or the Exchange Act, such number of copies of each Preliminary Prospectus and the Prospectus as the Underwriters may reasonably request and, as soon as the Registration Statement or any amendment or supplement thereto becomes effective, deliver to the Underwriters, upon their request, two manually executed Registration Statements, including exhibits, and all post-effective amendments thereto and copies of all exhibits filed therewith or incorporated therein by reference and all manually executed consents of certified experts.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will use its best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foreign or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that, in the reasonable judgment of the Company, makes any statement of a material fact made in the Registration Statement or the Prospectus untrue or that requires the making of any changes in the Registration Statement or the Prospectus in order to make the statements therein, and in light of the circumstances under which they were made, not misleading. If the Commission or any foreign or state securities commission shall enter a stop order or suspend such qualification at any time, the Company will make every reasonable effort to obtain promptly the lifting of such order.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Affiliated Transactions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3.6.1. </w:t>
      </w:r>
      <w:r>
        <w:rPr>
          <w:rFonts w:ascii="Arial" w:cs="Arial" w:eastAsia="Arial" w:hAnsi="Arial"/>
          <w:sz w:val="18"/>
          <w:szCs w:val="18"/>
          <w:u w:val="single" w:color="auto"/>
          <w:color w:val="auto"/>
        </w:rPr>
        <w:t>Business Combinations</w:t>
      </w:r>
      <w:r>
        <w:rPr>
          <w:rFonts w:ascii="Arial" w:cs="Arial" w:eastAsia="Arial" w:hAnsi="Arial"/>
          <w:sz w:val="18"/>
          <w:szCs w:val="18"/>
          <w:color w:val="auto"/>
        </w:rPr>
        <w:t>. The Company will not consummate a Business Combination with any entity that is affiliated with any Insider unless (i) the Company obtains an opinion from an independent investment banking firm or another independent entity that commonly renders valuation opinions that the Business Combination is fair to the Company from a financial point of view and (ii) a majority of the Company’s disinterested and independent directors (if there are any) approve such transaction.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3.6.2. </w:t>
      </w:r>
      <w:r>
        <w:rPr>
          <w:rFonts w:ascii="Arial" w:cs="Arial" w:eastAsia="Arial" w:hAnsi="Arial"/>
          <w:sz w:val="18"/>
          <w:szCs w:val="18"/>
          <w:u w:val="single" w:color="auto"/>
          <w:color w:val="auto"/>
        </w:rPr>
        <w:t>Compensation to Insiders</w:t>
      </w:r>
      <w:r>
        <w:rPr>
          <w:rFonts w:ascii="Arial" w:cs="Arial" w:eastAsia="Arial" w:hAnsi="Arial"/>
          <w:sz w:val="18"/>
          <w:szCs w:val="18"/>
          <w:color w:val="auto"/>
        </w:rPr>
        <w:t>. Except as disclosed in the Registration Statement, the Statutory Prospectus and the Prospectus, the Company shall not pay any of the Insiders or any of their affiliates any fees or compensation from the Company, for services rendered to the Company prior to, or in connection with, the consummation of a Business Combination.</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Financial Public Relations Firm</w:t>
      </w:r>
      <w:r>
        <w:rPr>
          <w:rFonts w:ascii="Arial" w:cs="Arial" w:eastAsia="Arial" w:hAnsi="Arial"/>
          <w:sz w:val="17"/>
          <w:szCs w:val="17"/>
          <w:color w:val="auto"/>
        </w:rPr>
        <w:t>. Promptly after the execution of a definitive agreement for a Business Combination, the Company shall retain a financial public relations firm reasonably acceptable to the Representative for a term to be agreed on by the Company and the Representative.</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Reports to the Representative</w:t>
      </w:r>
      <w:r>
        <w:rPr>
          <w:rFonts w:ascii="Arial" w:cs="Arial" w:eastAsia="Arial" w:hAnsi="Arial"/>
          <w:sz w:val="16"/>
          <w:szCs w:val="16"/>
          <w:color w:val="auto"/>
        </w:rPr>
        <w:t>. For a period of five years from the Effective Date or until such earlier time upon which the Company is required to be liquidated or is no longer required to file reports under the Exchange Act, the Company will furnish to the Representative and counsel to the Underwriters copies of such financial statements and other periodic and special reports as the Company from time to time furnishes generally to holders of any class of its securities, and promptly furnish to the Underwriters, (i) a copy of each periodic report the Company shall be required to file with the Commission, (ii) a copy of every press release and every news item and article with respect to the Company or its affairs that was released by the Company, (iii) a copy of each current Report on Form 8-K or Schedules 13D, 13G, TO or 13E-4 received or prepared by the Company, (iv) two (2) copies of each registration statement filed by the Company with the Commission under the Securities Act, and (v) such additional documents and information with respect to the Company and the affairs of any future subsidiaries of the Company as the Representative may from time to time reasonably request; provided the Representative shall sign, if requested by the Company, a Regulation FD compliant confidentiality agreement which is reasonably acceptable to the Representative and counsel to the Underwriters in connection with the Representative’s receipt of such information. Documents filed with the Commission pursuant to its EDGAR system shall be deemed to have been delivered to the Representative pursuant to this Section.</w:t>
      </w:r>
    </w:p>
    <w:p>
      <w:pPr>
        <w:spacing w:after="0" w:line="1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Transfer Agent</w:t>
      </w:r>
      <w:r>
        <w:rPr>
          <w:rFonts w:ascii="Arial" w:cs="Arial" w:eastAsia="Arial" w:hAnsi="Arial"/>
          <w:sz w:val="16"/>
          <w:szCs w:val="16"/>
          <w:color w:val="auto"/>
        </w:rPr>
        <w:t>. For a period of five years following the Effective Date or until such earlier time upon which the Company is required to be liquidated, the Company shall retain a transfer agent and warrant agent acceptable to the Representative. The Trustee is acceptable to the Representative.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line="291"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hereby agrees to pay on each of the Closing Date and the Option Closing Date, if any, to the extent not paid at the Closing Date, all Company expenses incident to the performance of the obligations of the Company under this Agreement, including but not limited to</w:t>
      </w:r>
    </w:p>
    <w:p>
      <w:pPr>
        <w:jc w:val="both"/>
        <w:ind w:firstLine="8"/>
        <w:spacing w:after="0" w:line="281"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legal and accounting fees and disbursements, (ii) the preparation, printing, filing, mailing and delivery (including the payment of postage with respect to such mailing) of the Registration Statement, the Statutory Prospectus and the Prospectus, including any pre or post effective amendments or supplements thereto, and the printing and mailing of this Agreement and related documents, including the cost of all copies thereof and any amendments thereof or supplements thereto supplied to the Underwriters in quantities as may be required by the Underwriters, (iii) fees incurred in connection with conducting background checks of the Company’s management team, (iv) the preparation, printing, engraving, issuance and delivery of the Units, the Class A Shares and the Warrants included in the Units, including any transfer or other taxes payable thereon, (v) filing fees incurred in registering the Offering with FINRA, (vi) fees, costs and expenses incurred in listing the Securities on Nasdaq or such other stock exchanges as the Company and the Underwriters together determine, (vii) all fees and disbursements of the transfer, warrant and rights agent, (viii) all of the Company’s expenses associated with “due diligence” and “road show” meetings arranged by the Representative and any presentations made available by way of a net roadshow, including without limitation trips for the Company’s management to meet with prospective investors, all travel, food and lodging expenses associated with such trips incurred by the Company or such management, (ix) the preparation, binding and delivery of bound transaction “bibles,” in quantities and form and style reasonably satisfactory to the Representative and Lucite cube mementos in such quantities as the Representative and the Company may mutually agree,</w:t>
      </w:r>
    </w:p>
    <w:p>
      <w:pPr>
        <w:spacing w:after="0" w:line="7" w:lineRule="exact"/>
        <w:rPr>
          <w:rFonts w:ascii="Arial" w:cs="Arial" w:eastAsia="Arial" w:hAnsi="Arial"/>
          <w:sz w:val="16"/>
          <w:szCs w:val="16"/>
          <w:color w:val="auto"/>
        </w:rPr>
      </w:pPr>
    </w:p>
    <w:p>
      <w:pPr>
        <w:jc w:val="both"/>
        <w:ind w:firstLine="8"/>
        <w:spacing w:after="0" w:line="286" w:lineRule="auto"/>
        <w:tabs>
          <w:tab w:leader="none" w:pos="2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reasonable fees and expenses of counsel to the Underwriters and (xi) all other costs and expenses customarily borne by an issuer incident to the performance of its obligations hereunder which are not otherwise specifically provided for in this Section 3.10; subject to a maximum amount of $200,000. If the Representative elects not to proceed with the Offering for any reason (other than the reasons described in the next sentence), the Company shall reimburse the Representative for its out-of-pocket expenses in an aggregate amount of up to $75,000 (less any amounts previously paid by the Company pursuant to the engagement letter dated February 16, 2021 between the Sponsor and the Representative). If the Representative elects not to proceed with the Offering because the Company has materially breached any of its representations, warranties or obligations hereunder, or has failed to expeditiously proceed with the Offering or to cooperate with the Representative in requesting effectiveness of the Registration Statement at such time as the Representative may reasonably deem appropriate, the Company shall reimburse the Representative in full for its out-of-pocket accountable expenses actually incurred through such date, including, without limitation, reasonable fees and disbursements of counsel to the Underwriters.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and Private Placement and received by it in a manner consistent with the application described under the caption “Use of Proceeds” in the Prospectus.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Delivery of Earnings Statements to Security Holders</w:t>
      </w:r>
      <w:r>
        <w:rPr>
          <w:rFonts w:ascii="Arial" w:cs="Arial" w:eastAsia="Arial" w:hAnsi="Arial"/>
          <w:sz w:val="17"/>
          <w:szCs w:val="17"/>
          <w:color w:val="auto"/>
        </w:rPr>
        <w:t>. The Company will make generally available to its security holders as soon as practicable, but not later than the first day of the fifteenth full calendar month following the Effective Date, an earnings statement (which need not be certified by independent public or independent certified public accountants unless required by the Securities Act or the Regulations, but which shall satisfy the provisions of Rule 158(a) under the Securities Act) covering a period of at least twelve consecutive months beginning after the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Notice to FINRA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3.13.1. </w:t>
      </w:r>
      <w:r>
        <w:rPr>
          <w:rFonts w:ascii="Arial" w:cs="Arial" w:eastAsia="Arial" w:hAnsi="Arial"/>
          <w:sz w:val="16"/>
          <w:szCs w:val="16"/>
          <w:u w:val="single" w:color="auto"/>
          <w:color w:val="auto"/>
        </w:rPr>
        <w:t>Notice to FINRA</w:t>
      </w:r>
      <w:r>
        <w:rPr>
          <w:rFonts w:ascii="Arial" w:cs="Arial" w:eastAsia="Arial" w:hAnsi="Arial"/>
          <w:sz w:val="16"/>
          <w:szCs w:val="16"/>
          <w:color w:val="auto"/>
        </w:rPr>
        <w:t>. For a period of ninety (90) days after the date of the Prospectus, in the event any person or entity (regardless of any FINRA affiliation or association) is engaged, in writing, to assist the Company in its search for a Target Business or to provide any other services in connection therewith, the Company will provide the following to FINRA and the Representative prior to the consummation of the Business Combination:</w:t>
      </w:r>
    </w:p>
    <w:p>
      <w:pPr>
        <w:spacing w:after="0" w:line="2" w:lineRule="exact"/>
        <w:rPr>
          <w:sz w:val="20"/>
          <w:szCs w:val="20"/>
          <w:color w:val="auto"/>
        </w:rPr>
      </w:pPr>
    </w:p>
    <w:p>
      <w:pPr>
        <w:jc w:val="both"/>
        <w:ind w:firstLine="8"/>
        <w:spacing w:after="0" w:line="295" w:lineRule="auto"/>
        <w:tabs>
          <w:tab w:leader="none" w:pos="233"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complete details of all services and copies of agreements governing such services; and (ii) justification as to why the person or entity providing the merger and acquisition services should not be considered an “underwriter and related person” with respect to the Offering, as such term is defined in Rule 5110 of the FINRA Manual. The Company also agrees that, if required by law, proper disclosure of such arrangement or potential arrangement will be made in the tender offer documents or proxy statement which the Company will file with the Commission in connection with the Business Combination.</w:t>
      </w:r>
    </w:p>
    <w:p>
      <w:pPr>
        <w:spacing w:after="0" w:line="16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3.13.2. </w:t>
      </w:r>
      <w:r>
        <w:rPr>
          <w:rFonts w:ascii="Arial" w:cs="Arial" w:eastAsia="Arial" w:hAnsi="Arial"/>
          <w:sz w:val="16"/>
          <w:szCs w:val="16"/>
          <w:u w:val="single" w:color="auto"/>
          <w:color w:val="auto"/>
        </w:rPr>
        <w:t>FINRA</w:t>
      </w:r>
      <w:r>
        <w:rPr>
          <w:rFonts w:ascii="Arial" w:cs="Arial" w:eastAsia="Arial" w:hAnsi="Arial"/>
          <w:sz w:val="16"/>
          <w:szCs w:val="16"/>
          <w:color w:val="auto"/>
        </w:rPr>
        <w:t>. The Company shall advise the Representative (who shall make an appropriate filing with FINRA) if it is aware that any 10% or greater stockholder of the Company becomes an affiliate or associated person of a FINRA member participating in the distribution of the Public Securities.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77" w:lineRule="auto"/>
        <w:rPr>
          <w:sz w:val="20"/>
          <w:szCs w:val="20"/>
          <w:color w:val="auto"/>
        </w:rPr>
      </w:pPr>
      <w:r>
        <w:rPr>
          <w:rFonts w:ascii="Arial" w:cs="Arial" w:eastAsia="Arial" w:hAnsi="Arial"/>
          <w:sz w:val="18"/>
          <w:szCs w:val="18"/>
          <w:color w:val="auto"/>
        </w:rPr>
        <w:t xml:space="preserve">3.13.3. </w:t>
      </w:r>
      <w:r>
        <w:rPr>
          <w:rFonts w:ascii="Arial" w:cs="Arial" w:eastAsia="Arial" w:hAnsi="Arial"/>
          <w:sz w:val="18"/>
          <w:szCs w:val="18"/>
          <w:u w:val="single" w:color="auto"/>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Stabilization</w:t>
      </w:r>
      <w:r>
        <w:rPr>
          <w:rFonts w:ascii="Arial" w:cs="Arial" w:eastAsia="Arial" w:hAnsi="Arial"/>
          <w:sz w:val="17"/>
          <w:szCs w:val="17"/>
          <w:color w:val="auto"/>
        </w:rPr>
        <w:t>. Neither the Company, nor to its knowledge, after reasonable inquiry, any of its employees, directors or stockholders (without the consent of the Representative) has taken and the Company will not take, and has directed its employees, directors and stockholders not to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Payment of Deferred Underwriting Commission on Business Combination</w:t>
      </w:r>
      <w:r>
        <w:rPr>
          <w:rFonts w:ascii="Arial" w:cs="Arial" w:eastAsia="Arial" w:hAnsi="Arial"/>
          <w:sz w:val="18"/>
          <w:szCs w:val="18"/>
          <w:color w:val="auto"/>
        </w:rPr>
        <w:t>. Upon the consummation of the Company’s initial Business Combination, the Company agrees that it will cause the Trustee to pay the Deferred Underwriting Commission directly from the Trust Account to the Underwriters, in accordance with Section 1.3.</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Internal Controls</w:t>
      </w:r>
      <w:r>
        <w:rPr>
          <w:rFonts w:ascii="Arial" w:cs="Arial" w:eastAsia="Arial" w:hAnsi="Arial"/>
          <w:sz w:val="18"/>
          <w:szCs w:val="18"/>
          <w:color w:val="auto"/>
        </w:rPr>
        <w:t>.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Accountants</w:t>
      </w:r>
      <w:r>
        <w:rPr>
          <w:rFonts w:ascii="Arial" w:cs="Arial" w:eastAsia="Arial" w:hAnsi="Arial"/>
          <w:sz w:val="17"/>
          <w:szCs w:val="17"/>
          <w:color w:val="auto"/>
        </w:rPr>
        <w:t>. Until the earlier of five years from the Effective Date or until such earlier time upon which the Company is required to be liquidated, the Company shall retain Marcum or another independent registered public accounting firm reasonably acceptable to the Representative.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Form 8-K</w:t>
      </w:r>
      <w:r>
        <w:rPr>
          <w:rFonts w:ascii="Arial" w:cs="Arial" w:eastAsia="Arial" w:hAnsi="Arial"/>
          <w:sz w:val="18"/>
          <w:szCs w:val="18"/>
          <w:color w:val="auto"/>
        </w:rPr>
        <w:t>. The Company shall, on or prior to the date hereof, retain its independent registered public accounting firm to audit the balance sheet of the Company as of the Closing Date (“</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reflecting the receipt by the Company of the proceeds of the Offering and the Private Placement. Within four (4) Business Days after the Closing Date, the Company shall file a Current Report on Form 8-K with the Commission, which Report shall contain the Company’s Audited Financial Statements. Promptly after the Option Closing Date, if the Over-Allotment Option is exercised after the Closing Date, the Company shall file with the Commission a Current Report on Form 8-K or an amendment to the Form 8-K to provide updated financial information to reflect the exercise of such option.</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Corporate Proceedings</w:t>
      </w:r>
      <w:r>
        <w:rPr>
          <w:rFonts w:ascii="Arial" w:cs="Arial" w:eastAsia="Arial" w:hAnsi="Arial"/>
          <w:sz w:val="17"/>
          <w:szCs w:val="17"/>
          <w:color w:val="auto"/>
        </w:rPr>
        <w:t>. All corporate proceedings and other legal matters necessary to carry out the provisions of this Agreement and the transactions contemplated hereby shall have been done to the reasonable satisfaction of the Representative or counsel to the Underwriters.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shall cause the proceeds of the Offering to be held in the Trust Account to be invested only as provided for in the Trust Agreement and disclosed in the Prospectus. The Company will otherwise conduct its business in a manner so that it will not become subject to the Investment Company Act. Furthermore, once the Company consummates a Business Combination, it shall be engaged in a business other than that of investing, reinvesting, owning, holding or trading securities.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Amendments to Charter Documents</w:t>
      </w:r>
      <w:r>
        <w:rPr>
          <w:rFonts w:ascii="Arial" w:cs="Arial" w:eastAsia="Arial" w:hAnsi="Arial"/>
          <w:sz w:val="18"/>
          <w:szCs w:val="18"/>
          <w:color w:val="auto"/>
        </w:rPr>
        <w:t>. The Company covenants and agrees, that prior to its initial Business Combination it will not seek to amend or modify its Charter Documents, except as set forth therein. The Company acknowledges that the purchasers of the Public Securities in the Offering shall be deemed to be third party beneficiaries of this Agreement and specifically this Section 3.21.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the Representative’s prior written consent (not to be unreasonably withheld), for a period of forty (40) days after the Closing Date. Notwithstanding the foregoing, in no event shall the Company be prohibited from issuing any press releases or engaging in any other publicity required by law, except that including the name of any Underwriter therein shall require the prior written consent of such Underwriter.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will maintain directors’ and officers’ insurance (including, without limitation, insurance covering the Company, its directors and officers for liabilities or losses arising in connection with this Offering, including, without limitation, liabilities or losses arising under the Securities Act, the Exchange Act, the Regulations and any applicable foreign securities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Underwriters, at the Company’s expense, promptly, but in no event later than two (2) Business Days from the effective date of this Agreement, an Electronic Prospectus to be used by the Underwriters in connection with the Offering. As used herein, the term “Electronic Prospectus” means a form of prospectus, and any amendment or supplement thereto, that meets each of the following conditions: (i) it shall be encoded in an electronic format, satisfactory to the Representative, that may be transmitted electronically by the Underwriters to offerees and purchasers of the Units for at least the period during which a prospectus relating to the Units is required to be delivered under the Securities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On the Closing Date, the Company shall cause to be deposited into the Trust Account from proceeds from the Private Placement an amount such that the amount of the funds in the Trust Account shall be equal to $253,750,000, or $10.15 per Public Share sold in the Offering. On the Option Closing Date, if any, the Company shall cause to be deposited an amount of additional proceeds from the additional Placement Units sold on the Option Closing Date into the Trust Account such that the amount of funds in the Trust Account shall be $291,812,500, or $10.15 per Public Share sold in the Offering.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Future Financings</w:t>
      </w:r>
      <w:r>
        <w:rPr>
          <w:rFonts w:ascii="Arial" w:cs="Arial" w:eastAsia="Arial" w:hAnsi="Arial"/>
          <w:sz w:val="18"/>
          <w:szCs w:val="18"/>
          <w:color w:val="auto"/>
        </w:rPr>
        <w:t>. The Company agrees that neither it, nor any successor or subsidiary of the Company, will consummate any public or private equity or debt financing prior to the consummation of a Business Combination, unless all investors in such financing expressly waive, in writing, any rights in or claims against the Trust Account.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3.27. </w:t>
      </w:r>
      <w:r>
        <w:rPr>
          <w:rFonts w:ascii="Arial" w:cs="Arial" w:eastAsia="Arial" w:hAnsi="Arial"/>
          <w:sz w:val="16"/>
          <w:szCs w:val="16"/>
          <w:u w:val="single" w:color="auto"/>
          <w:color w:val="auto"/>
        </w:rPr>
        <w:t>Amendments to Agreements</w:t>
      </w:r>
      <w:r>
        <w:rPr>
          <w:rFonts w:ascii="Arial" w:cs="Arial" w:eastAsia="Arial" w:hAnsi="Arial"/>
          <w:sz w:val="16"/>
          <w:szCs w:val="16"/>
          <w:color w:val="auto"/>
        </w:rPr>
        <w:t>. The Company shall not amend, modify, waive any provision of, or otherwise change the Warrant Agreement, Trust Agreement, Registration Rights Agreement, Private Placement Unit Purchase Agreement, the Services Agreement, or any Insider Letter without the prior written consent of the Representative which will not be unreasonably withheld. Furthermore, the Trust Agreement shall provide that the trustee is required to obtain a joint written instruction signed by both the Company and the Representative with respect to the transfer of the funds held in the Trust Account from the Trust Account, prior to commencing any liquidation of the assets of the Trust Account in connection with the consummation of any Business Combination, and such provision of the Trust Agreement shall not be permitted to be amended without the prior written consent of the Representative.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Nasdaq</w:t>
      </w:r>
      <w:r>
        <w:rPr>
          <w:rFonts w:ascii="Arial" w:cs="Arial" w:eastAsia="Arial" w:hAnsi="Arial"/>
          <w:sz w:val="18"/>
          <w:szCs w:val="18"/>
          <w:color w:val="auto"/>
        </w:rPr>
        <w:t>. Until the consummation of a Business Combination, the Company will use its best efforts to maintain the listing of the Public Securities on Nasdaq or a national securities exchange acceptable to the Representative.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Placement Warrants outstanding from time to time.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Underwriters in writing, prior to the Closing Date, of (i) any Disqualification Event relating to any Company Covered Person and (ii) any event that would, with the passage of time, become a Disqualification Event relating to any Company Covered Person.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Disqualification of S-1</w:t>
      </w:r>
      <w:r>
        <w:rPr>
          <w:rFonts w:ascii="Arial" w:cs="Arial" w:eastAsia="Arial" w:hAnsi="Arial"/>
          <w:sz w:val="18"/>
          <w:szCs w:val="18"/>
          <w:color w:val="auto"/>
        </w:rPr>
        <w:t>. Until the earlier of seven years from the date hereof or until the Warrants have either expired and are no longer exercisable or have all been exercised, the Company will not take any action or actions that prevent or disqualify the Company’s use of Form S-1 (or other appropriate form) for the registration of the Class A Shares issuable upon exercise of the Warrants under the Securities Act.</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Emerging Growth Company Status</w:t>
      </w:r>
      <w:r>
        <w:rPr>
          <w:rFonts w:ascii="Arial" w:cs="Arial" w:eastAsia="Arial" w:hAnsi="Arial"/>
          <w:sz w:val="17"/>
          <w:szCs w:val="17"/>
          <w:color w:val="auto"/>
        </w:rPr>
        <w:t>. The Company will promptly notify the Representative if the Company ceases to be an Emerging Growth Company at any time prior to the earlier of five years after the consummation of the Company’s initial Business Combination, or the liquidation of the Trust Account if a Business Combination is not consummated as required by its Charter Documents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 xml:space="preserve">3.33. </w:t>
      </w:r>
      <w:r>
        <w:rPr>
          <w:rFonts w:ascii="Arial" w:cs="Arial" w:eastAsia="Arial" w:hAnsi="Arial"/>
          <w:sz w:val="17"/>
          <w:szCs w:val="17"/>
          <w:u w:val="single" w:color="auto"/>
          <w:color w:val="auto"/>
        </w:rPr>
        <w:t>Review of Financial Statements</w:t>
      </w:r>
      <w:r>
        <w:rPr>
          <w:rFonts w:ascii="Arial" w:cs="Arial" w:eastAsia="Arial" w:hAnsi="Arial"/>
          <w:sz w:val="17"/>
          <w:szCs w:val="17"/>
          <w:color w:val="auto"/>
        </w:rPr>
        <w:t>. Until the earlier of five years from the Effective Date or until the liquidation of the Trust Account if a Business Combination is not consummated by the Termination Date, the Company, at its expense, shall cause its regularly engaged independent certified public accountants to review (but not audit) the Company’s financial statements for each of the first three fiscal quarters prior to the announcement of quarterly financial information and the filing of the Company’s quarterly report on Form 10-Q pursuant to the Exchange Act.</w:t>
      </w:r>
    </w:p>
    <w:p>
      <w:pPr>
        <w:spacing w:after="0" w:line="171" w:lineRule="exact"/>
        <w:rPr>
          <w:sz w:val="20"/>
          <w:szCs w:val="20"/>
          <w:color w:val="auto"/>
        </w:rPr>
      </w:pPr>
    </w:p>
    <w:p>
      <w:pPr>
        <w:jc w:val="both"/>
        <w:ind w:firstLine="8"/>
        <w:spacing w:after="0" w:line="259"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Underwriters to purchase and pay for the Units, as 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Effectiveness of Registration Statement</w:t>
      </w:r>
      <w:r>
        <w:rPr>
          <w:rFonts w:ascii="Arial" w:cs="Arial" w:eastAsia="Arial" w:hAnsi="Arial"/>
          <w:sz w:val="18"/>
          <w:szCs w:val="18"/>
          <w:color w:val="auto"/>
        </w:rPr>
        <w:t>. The Registration Statement shall have become effective not later than 5:00 p.m., New York City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 Clearance</w:t>
      </w:r>
      <w:r>
        <w:rPr>
          <w:rFonts w:ascii="Arial" w:cs="Arial" w:eastAsia="Arial" w:hAnsi="Arial"/>
          <w:sz w:val="18"/>
          <w:szCs w:val="18"/>
          <w:color w:val="auto"/>
        </w:rPr>
        <w:t>. By the Effective Date, the Underwriters shall have received a letter of no objection from FINRA as to the amount of compensation allowable or payable to the Underwriters as described in the Registration Statement.</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No Commission Stop Order</w:t>
      </w:r>
      <w:r>
        <w:rPr>
          <w:rFonts w:ascii="Arial" w:cs="Arial" w:eastAsia="Arial" w:hAnsi="Arial"/>
          <w:sz w:val="17"/>
          <w:szCs w:val="17"/>
          <w:color w:val="auto"/>
        </w:rPr>
        <w:t>. At the Closing Date and on each Option Closing Date, the Commission shall have not issued any order or threatened to issue any order preventing or suspending the use of any Preliminary Prospectus, the Prospectus or any part thereof, and has not instituted or, to the Company’s knowledge, after reasonable inquiry, threatened to institute any proceedings with respect to such an order.</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Nasdaq</w:t>
      </w:r>
      <w:r>
        <w:rPr>
          <w:rFonts w:ascii="Arial" w:cs="Arial" w:eastAsia="Arial" w:hAnsi="Arial"/>
          <w:sz w:val="18"/>
          <w:szCs w:val="18"/>
          <w:color w:val="auto"/>
        </w:rPr>
        <w:t>. The Securities shall have been approved for listing on Nasdaq, subject to official notice of issuance and evidence of satisfactory distribution, satisfactory evidence of which shall have been provided to the Representative.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Company Counsel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Closing Date and Option Closing Date Opinions of Counsel</w:t>
      </w:r>
      <w:r>
        <w:rPr>
          <w:rFonts w:ascii="Arial" w:cs="Arial" w:eastAsia="Arial" w:hAnsi="Arial"/>
          <w:sz w:val="18"/>
          <w:szCs w:val="18"/>
          <w:color w:val="auto"/>
        </w:rPr>
        <w:t>. On the Closing Date and the Option Closing Date, if any, the Representative shall have received the favorable opinions and negative assurance statements of Loeb &amp; Loeb LLP, dated the Closing Date and the Option Closing Date, if any, addressed to the Representative as representative for the several Underwriters and in form and substance satisfactory to the Representative and counsel to the Underwriters.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Reliance</w:t>
      </w:r>
      <w:r>
        <w:rPr>
          <w:rFonts w:ascii="Arial" w:cs="Arial" w:eastAsia="Arial" w:hAnsi="Arial"/>
          <w:sz w:val="18"/>
          <w:szCs w:val="18"/>
          <w:color w:val="auto"/>
        </w:rPr>
        <w:t>. In rendering such opinions, such counsel may rely as to matters of fact, to the extent they deem proper, on certificates or other written statements of officers of the Company and officers of departments of various jurisdictions having custody of documents respecting the corporate existence or good standing of the Company, provided that copies of any such statements or certificates shall be delivered to counsel to the Underwriters, if requested.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Comfort Letter</w:t>
      </w:r>
      <w:r>
        <w:rPr>
          <w:rFonts w:ascii="Arial" w:cs="Arial" w:eastAsia="Arial" w:hAnsi="Arial"/>
          <w:sz w:val="17"/>
          <w:szCs w:val="17"/>
          <w:color w:val="auto"/>
        </w:rPr>
        <w:t>. At the time this Agreement is executed, and at the Closing Date and Option Closing Date, if any, the Representative shall have received a letter, addressed to the Representative as representative for the several Underwriters and in form and substance satisfactory in all respects (including the non-material nature of the changes or decreases, if any, referred to in Section 4.3.3 below) to the Representative from Marcum dated, respectively, as of the date of this Agreement and as of the Closing Date and Option Closing Date, if any:</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4.3.1. Confirming that they are independent accountants with respect to the Company within the meaning of the Securities Act and the applicable Regulations and that they have not, during the periods covered by the financial statements included in the Registration Statement, Preliminary Prospectus, Statutory Prospectus and the Prospectus, provided to the Company any non-audit services, as such term is used in Section 10A(g) of the Exchange Act;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342" w:lineRule="auto"/>
        <w:rPr>
          <w:sz w:val="20"/>
          <w:szCs w:val="20"/>
          <w:color w:val="auto"/>
        </w:rPr>
      </w:pPr>
      <w:r>
        <w:rPr>
          <w:rFonts w:ascii="Arial" w:cs="Arial" w:eastAsia="Arial" w:hAnsi="Arial"/>
          <w:sz w:val="16"/>
          <w:szCs w:val="16"/>
          <w:color w:val="auto"/>
        </w:rPr>
        <w:t>4.3.2. Stating that, in their opinion, the financial statements of the Company included in the Registration Statement, the Statutory Prospectus and the Prospectus comply as to form in all material respects with the applicable accounting requirements of the Securities Act and the Regulations thereunder;</w:t>
      </w:r>
    </w:p>
    <w:p>
      <w:pPr>
        <w:spacing w:after="0" w:line="1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4.3.3. Stating that, on the basis of their review, which included a reading of the latest available unaudited interim financial statements of the Company (with an indication of the date of the latest available unaudited interim financial statements),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that would lead them to believe that (a) at a date immediately prior to the Effective Date, Closing Date or Option Closing Date, as the case may be, there was any change in the share capital or long-term debt of the Company, or any decrease in the stockholders’ equity of the Company as compared with amounts shown in the balance sheet of the Company as of September 30, 2021 included in the Registration Statement, the Statutory Prospectus and the Prospectus, other than as set forth in or contemplated by the Registration Statement, the Statutory Prospectus and the Prospectus or, if there was any decrease, setting forth the amount of such decrease and (b) during the period from September 30, 2021 to a specified date immediately prior to the Effective Date, Closing Date or Option Closing Date, as the case may be, there were any changes in revenues, net earnings (losses) or net earnings (losses) per Class A Share, in each case as compared with the Statement of Operations for the period from March 2, 2021 (inception) to September 30, 2021 included in the Registration Statement, the Statutory Prospectus and the Prospectus, or, if there was any such change, setting forth the amount of such change;</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4.3.4. Setting forth, at a date not later than five days prior to the Effective Date, the amount of liabilities of the Company (including a breakdown of commercial paper and notes payable to banks);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4.3.5. Stating that they have compared specific dollar amounts, numbers of shares, percentages of revenues and earnings, statements and other financial information pertaining to the Company set forth in the Registration Statement, the Statutory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generally accepted auditing standards) set forth in the letter and found them to be in agreement, and</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4.3.6. Statements as to such other matters incident to the transaction contemplated hereby as the Representative or counsel to the Underwriters may reasonably request, including that Marcum is registered with the PCAOB.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Officers’ Certificates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4.4.1.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At each of the Closing Date and the Option Closing Date, if any, the Representative shall have received a certificate of the Company signed by the Chairman of the Board or the Chief Executive Officer and the Secretary or Assistant Secretary of the Company (in their capacities as such),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Section 4 hereof have been satisfied as of such date and that, as of Closing Date and the Option Closing Date, as the case may be, the representations and warranties of the Company set forth in Section 2 hereof are true and correct. In addition, the Representative will have received such other and further certificates of officers of the Company (in their capacities as such) as the Representative may reasonably request.</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Secretary’s Certificate</w:t>
      </w:r>
      <w:r>
        <w:rPr>
          <w:rFonts w:ascii="Arial" w:cs="Arial" w:eastAsia="Arial" w:hAnsi="Arial"/>
          <w:sz w:val="17"/>
          <w:szCs w:val="17"/>
          <w:color w:val="auto"/>
        </w:rPr>
        <w:t>. At each of the Closing Date and the Option Closing Date, if any, the Representative shall have received a certificate of the Company signed by the Secretary or Assistant Secretary of the Company, dated the Closing Date or the Option Date, as the case may be, respectively, certifying (i) that the Charter Documents are true and complete, have not been modified and are in full force and effect, (ii) that the resolutions of the Company’s Board of Directors relating to the public offering contemplated by this Agreement are in full force and effect and have not been modified or rescinded, (iii) as to the accuracy and completeness of all correspondence between the Company or its counsel and the Commission, (iv) as to the accuracy and completeness of all correspondence between the Company or its counsel and Nasdaq and (v) as to the incumbency of the officers of the Company. The documents referred to in such certificate shall be attached to such certificate.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involving a prospective material adverse change in the condition (financial or otherwise), prospects or the business activities of the Company from the latest dates as of which such condition is set forth in the Registration Statement and the Prospectus, (ii) no action suit or proceeding, at law or in equity, shall have been pending or threatened against the Company or any Insider before or by any court or federal, foreign or state commission, board or other administrative agency wherein an unfavorable decision, ruling or finding may materially adversely affect the business, operations, or financial condition or income of the Company, except as set forth in the Registration Statement and the Prospectus, (iii) no stop order shall have been issued under the Securities Act and no proceedings therefor shall have been initiated or, to the Company’s knowledge, after reasonable inquiry, threatened, by the Commission, and (iv) the Registration Statement, the Statutory Prospectus and the Prospectus and any amendments or supplements thereto shall contain all material statements which are required to be stated therein in accordance with the Securities Act and the Regulations and shall conform in all material respects to the requirements of the Securities Act and the Regulations, and neither the Registration Statement, the Statutory Prospectus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Delivery of Agreements</w:t>
      </w:r>
      <w:r>
        <w:rPr>
          <w:rFonts w:ascii="Arial" w:cs="Arial" w:eastAsia="Arial" w:hAnsi="Arial"/>
          <w:sz w:val="18"/>
          <w:szCs w:val="18"/>
          <w:color w:val="auto"/>
        </w:rPr>
        <w:t>. On the Effective Date, the Company shall have delivered to the Representative executed copies of the Transaction Documents.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Placement Units</w:t>
      </w:r>
      <w:r>
        <w:rPr>
          <w:rFonts w:ascii="Arial" w:cs="Arial" w:eastAsia="Arial" w:hAnsi="Arial"/>
          <w:sz w:val="18"/>
          <w:szCs w:val="18"/>
          <w:color w:val="auto"/>
        </w:rPr>
        <w:t>. On the Closing Date and the Option Closing Date, as applicable, the Placement Units have been purchased as provided for in the Private Placement Unit Purchase Agreement and the requisite portion of the purchase price for such securities specified herein and therein shall be deposited into the Trust Account.</w:t>
      </w:r>
    </w:p>
    <w:p>
      <w:pPr>
        <w:spacing w:after="0" w:line="184"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Indemnification of the Underwriters</w:t>
      </w:r>
      <w:r>
        <w:rPr>
          <w:rFonts w:ascii="Arial" w:cs="Arial" w:eastAsia="Arial" w:hAnsi="Arial"/>
          <w:sz w:val="18"/>
          <w:szCs w:val="18"/>
          <w:color w:val="auto"/>
        </w:rPr>
        <w:t>. The Company agrees to indemnify and hold harmless each Underwriter, its affiliates and their respective partners, members, directors, officers, employees and agents, and each person, if any, who controls each Underwriter or any affiliate within the meaning of Section 15 of the Securities Act or Section 20 of the Exchange Act as follows:</w:t>
      </w:r>
    </w:p>
    <w:p>
      <w:pPr>
        <w:spacing w:after="0" w:line="184" w:lineRule="exact"/>
        <w:rPr>
          <w:sz w:val="20"/>
          <w:szCs w:val="20"/>
          <w:color w:val="auto"/>
        </w:rPr>
      </w:pPr>
    </w:p>
    <w:p>
      <w:pPr>
        <w:jc w:val="both"/>
        <w:ind w:firstLine="656"/>
        <w:spacing w:after="0" w:line="273" w:lineRule="auto"/>
        <w:tabs>
          <w:tab w:leader="none" w:pos="898" w:val="left"/>
        </w:tabs>
        <w:numPr>
          <w:ilvl w:val="0"/>
          <w:numId w:val="15"/>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Statutory Prospectus, any Testing-the-Waters Communication or the Prospectus (or any amendment or supplement to the foregoing), or the omission or alleged omission therefrom of a material fact necessary in order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jc w:val="both"/>
        <w:ind w:firstLine="656"/>
        <w:spacing w:after="0" w:line="301" w:lineRule="auto"/>
        <w:tabs>
          <w:tab w:leader="none" w:pos="9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provided that (subject to Section 5.1(d)) any such settlement is effected with the written consent of the Company, which consent shall not unreasonably be delayed, conditioned or withheld; and</w:t>
      </w:r>
    </w:p>
    <w:p>
      <w:pPr>
        <w:spacing w:after="0" w:line="157" w:lineRule="exact"/>
        <w:rPr>
          <w:rFonts w:ascii="Arial" w:cs="Arial" w:eastAsia="Arial" w:hAnsi="Arial"/>
          <w:sz w:val="16"/>
          <w:szCs w:val="16"/>
          <w:color w:val="auto"/>
        </w:rPr>
      </w:pPr>
    </w:p>
    <w:p>
      <w:pPr>
        <w:jc w:val="both"/>
        <w:ind w:firstLine="656"/>
        <w:spacing w:after="0" w:line="255" w:lineRule="auto"/>
        <w:tabs>
          <w:tab w:leader="none" w:pos="9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solely in reliance upon and in conformity with the Underwriters’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93"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Each Underwriter agrees, severally and not jointly, to indemnify and hold harmless the Company, and its directors,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Section 5.1.1, as incurred, but only with respect to untrue statements or omissions, or alleged untrue statements or omissions, made in the Registration Statement, any preliminary prospectus, the Statutory Prospectus, any Testing-the-Waters Communication or the Prospectus (or any amendment or supplement to the foregoing), solely in reliance upon and in conformity with the Underwriters’ Information.</w:t>
      </w:r>
    </w:p>
    <w:p>
      <w:pPr>
        <w:spacing w:after="0" w:line="16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Any party that proposes to assert the right to be indemnified under this Section 5.1 will, promptly after receipt of notice of commencement of any action against such party in respect of which a claim is to be made against an indemnifying party or parties under this Section 5.1,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5.1 and (ii) any liability that it may have to any indemnified party under the foregoing provision of this Section 5.1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(A) the employment of counsel by the indemnified party has been authorized in writing by the indemnifying party, (B) the indemnified party has reasonably concluded (based on advice of counsel) that there may be legal defenses available to it or other indemnified parties that are different from or in addition to those available to the indemnifying party, (C)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(D)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(plus local counsel)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5 (whether or not any indemnified party is a party thereto), unless such settlement, compromise or consent (x) includes an express and unconditional release of each indemnified party, in form and substance reasonably satisfactory to such indemnified party, from all liability arising out of such litigation, investigation, proceeding or claim and (y)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Settlement Without Consent if Failure to Reimburse</w:t>
      </w:r>
      <w:r>
        <w:rPr>
          <w:rFonts w:ascii="Arial" w:cs="Arial" w:eastAsia="Arial" w:hAnsi="Arial"/>
          <w:sz w:val="18"/>
          <w:szCs w:val="18"/>
          <w:color w:val="auto"/>
        </w:rPr>
        <w:t>. If an indemnified party shall have requested an indemnifying party to reimburse the indemnified party for reasonable fees and expenses of counsel, such indemnifying party agrees that it shall be liable for any settlement of the nature contemplated by Section 5.1.1(b)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indemnification provided for in the foregoing paragraphs of Section 5.1 is applicable in accordance with its terms but for any reason is held to be unavailable or insufficient from the Company or the Underwriters, the Company and the Underwriters will contribute to the total losses, claims, liabilities, expenses and damages (including any investigative, legal and other expenses reasonably incurred in connection with, and any amount paid in settlement of, any action, suit or proceeding or any claim asserted) to which any indemnified party may be subject in such proportion as shall be appropriate to reflect the relative benefits received by the Company on the one hand and the Underwriters on the other hand. The relative benefits received by the Company on the one hand and the Underwriters on the other hand shall be deemed to be in the same proportion as the total net proceeds from the sale of the Units (before deducting expenses) received by the Company bear to the total compensation received by the Underwriters (before deducting expenses) from the sale of Units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Underwriters,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5.2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5.2 shall be deemed to include, for the purpose of this Section 5.2, any legal or other expenses reasonably incurred by such indemnified party in connection with investigating or defending any such action or claim to the extent consistent with Section 5.1.3. Notwithstanding the foregoing provisions of Section 5.1 and this Section 5.2, the Underwriters shall not be required to contribute any amount in excess of the commissions actually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5.2, any person who controls a party to this Agreement within the meaning of the Securities Act, any affiliates of the respective Underwriters and any officers, directors, partners, employees or agents of the Underwriters or their respective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5.2, will notify any such party or parties from whom contribution may be sought, but the omission to so notify will not relieve that party or parties from whom contribution may be sought from any other obligation it or they may have under this Section 5.2 except to the extent that the failure to so notify such other party materially prejudiced the substantive rights or defenses of the party from whom contribution is sought. Except for a settlement entered into pursuant to the last sentence of Section 5.1.3, no party will be liable for contribution with respect to any action or claim settled without its written consent if such consent is required pursuant to Section 5.1.3.</w:t>
      </w:r>
    </w:p>
    <w:p>
      <w:pPr>
        <w:spacing w:after="0" w:line="200" w:lineRule="exact"/>
        <w:rPr>
          <w:sz w:val="20"/>
          <w:szCs w:val="20"/>
          <w:color w:val="auto"/>
        </w:rPr>
      </w:pPr>
    </w:p>
    <w:p>
      <w:pPr>
        <w:spacing w:after="0" w:line="203"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w:t>
      </w:r>
      <w:r>
        <w:rPr>
          <w:rFonts w:ascii="Arial" w:cs="Arial" w:eastAsia="Arial" w:hAnsi="Arial"/>
          <w:sz w:val="18"/>
          <w:szCs w:val="18"/>
          <w:color w:val="auto"/>
        </w:rPr>
        <w:t>. If any Underwriter or Underwriters shall default in its or their obligations to purchase the Firm Units and if the number of the Firm Units with respect to which such default relates does not exceed in the aggregate 10% of the number of Firm Units that all Underwriters have agreed to purchase hereunder, then such Firm Units to which the default relates shall be purchased by the non-defaulting Underwriters in proportion to their respective commitments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w:t>
      </w:r>
      <w:r>
        <w:rPr>
          <w:rFonts w:ascii="Arial" w:cs="Arial" w:eastAsia="Arial" w:hAnsi="Arial"/>
          <w:sz w:val="17"/>
          <w:szCs w:val="17"/>
          <w:color w:val="auto"/>
        </w:rPr>
        <w:t>. In the event that the default addressed in Section 6.1 above relates to more than 10% of the Firm Units, the Representative may, in its discretion, arrange for it or for another party or parties to purchase such Firm Units to which such default relates on the terms contained herein. If within one (1) Business Day after such default relating to more than 10% of the Firm Units the Representative do not arrange for the purchase of such Firm Units, then the Company shall be entitled to a further period of one (1) Business Day within which to procure another party or parties satisfactory to the Representative to purchase said Firm Units on such terms. In the event that neither the Representative nor the Company arrange for the purchase of the Firm Units to which a default relates as provided in this Section 6, this Agreement may be terminated by the Representative or the Company without liability on the part of the Company (except as provided in Sections 3.10, 5, and 9.3 hereof) or the several Underwriters (except as provided in Section 5 hereof); provided that nothing herein shall relieve a defaulting Underwriter of its liability, if any, to the other several Underwriters and to the Company for damages occasioned by its default hereunder.</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Postponement of Closing Date</w:t>
      </w:r>
      <w:r>
        <w:rPr>
          <w:rFonts w:ascii="Arial" w:cs="Arial" w:eastAsia="Arial" w:hAnsi="Arial"/>
          <w:sz w:val="17"/>
          <w:szCs w:val="17"/>
          <w:color w:val="auto"/>
        </w:rPr>
        <w:t>. In the event that the Firm Units to which the default relates are to be purchased by the non-defaulting Underwriters, or are to be purchased by another party or parties as aforesaid, the Representative or the Company shall have the right to postpone the Closing Date for a reasonable period, but not in any event exceeding five (5) Business Days, in order to effect whatever changes may thereby be made necessary in the Registration Statement and/or the Prospectus, as the case may be, or in any other documents and arrangements, and the Company agrees to file promptly any amendment to, or to supplement, the Registration Statement and/or the Prospectus, as the case may be, that in the reasonable opinion of counsel for the Underwriters may thereby be made necessary. The term “Underwriter” as used in this Agreement shall include any party substituted under this Section 6 with like effect as if it had originally been a party to this Agreement with respect to such securities.</w:t>
      </w:r>
    </w:p>
    <w:p>
      <w:pPr>
        <w:spacing w:after="0" w:line="17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consummation of a Business Combination, it shall not issue shares of any class of its common stock Shares or any options or other securities convertible into shares of any class of such common stock, or any shares of its preferred stock or other securities of the Company which participate in any manner in the Trust Account or which vote as a class with the Class A Shares on a Business Combination.</w:t>
      </w:r>
    </w:p>
    <w:p>
      <w:pPr>
        <w:spacing w:after="0" w:line="1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Trust Account Waiver Acknowledgments</w:t>
      </w:r>
      <w:r>
        <w:rPr>
          <w:rFonts w:ascii="Arial" w:cs="Arial" w:eastAsia="Arial" w:hAnsi="Arial"/>
          <w:sz w:val="16"/>
          <w:szCs w:val="16"/>
          <w:color w:val="auto"/>
        </w:rPr>
        <w:t>. The Company hereby agrees that it will use its reasonable best efforts prior to commencing its due diligence investigation of any prospective Target Business or obtaining the services of any vendor to have such Target Business and/or vendor acknowledge in writing whether through a letter of intent, memorandum of understanding or other similar document (and subsequently acknowledges the same in any definitive document replacing any of the foregoing), that (a) it has read the Prospectus and understands that the Company has established the Trust Account, initially in an amount of $253,750,000 (without giving effect to any exercise of the Over-Allotment Option) for the benefit of the Public Stockholders and that, except for a portion of the interest earned on the amounts held in the Trust Account, the Company may disburse monies from the Trust Account only (i) to the Public Stockholders in the event they elect to redeem Class A Shares contained in the Public Securities in connection with the consummation of a Business Combination, (ii) to the Public Stockholders if the Company fails to consummate a Business Combination within the time period set forth in the Charter Documents, or (iii) to the Company after or concurrently with the consummation of a Business Combination and (b) for and in consideration of the Company (i) agreeing to evaluate such Target Business for purposes of consummating a Business Combination with it or</w:t>
      </w:r>
    </w:p>
    <w:p>
      <w:pPr>
        <w:spacing w:after="0" w:line="5" w:lineRule="exact"/>
        <w:rPr>
          <w:sz w:val="20"/>
          <w:szCs w:val="20"/>
          <w:color w:val="auto"/>
        </w:rPr>
      </w:pPr>
    </w:p>
    <w:p>
      <w:pPr>
        <w:jc w:val="both"/>
        <w:ind w:firstLine="8"/>
        <w:spacing w:after="0" w:line="292" w:lineRule="auto"/>
        <w:tabs>
          <w:tab w:leader="none" w:pos="2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agreeing to engage the services of the vendor, as the case may be, such Target Business or vendor agrees that it does not have any right, title, interest or claim of any kind in or to any monies in the Trust Account (“</w:t>
      </w:r>
      <w:r>
        <w:rPr>
          <w:rFonts w:ascii="Arial" w:cs="Arial" w:eastAsia="Arial" w:hAnsi="Arial"/>
          <w:sz w:val="16"/>
          <w:szCs w:val="16"/>
          <w:u w:val="single" w:color="auto"/>
          <w:color w:val="auto"/>
        </w:rPr>
        <w:t>Claim</w:t>
      </w:r>
      <w:r>
        <w:rPr>
          <w:rFonts w:ascii="Arial" w:cs="Arial" w:eastAsia="Arial" w:hAnsi="Arial"/>
          <w:sz w:val="16"/>
          <w:szCs w:val="16"/>
          <w:color w:val="auto"/>
        </w:rPr>
        <w:t>”)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Exhibits A and B, respectively. The Company may forego obtaining such waivers only if the Company shall have received the approval of its Chief Executive Officer and the approving vote of at least a majority of its Board of Directors.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Insider Letters</w:t>
      </w:r>
      <w:r>
        <w:rPr>
          <w:rFonts w:ascii="Arial" w:cs="Arial" w:eastAsia="Arial" w:hAnsi="Arial"/>
          <w:sz w:val="18"/>
          <w:szCs w:val="18"/>
          <w:color w:val="auto"/>
        </w:rPr>
        <w:t>. The Company shall not take any action or omit to take any action which would cause a breach of any of the Insider Letters and will not allow any amendments to, or waivers of, such Insider Letters without the prior written consent of the Representative, which consent shall not be unreasonably withheld.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Rule 419</w:t>
      </w:r>
      <w:r>
        <w:rPr>
          <w:rFonts w:ascii="Arial" w:cs="Arial" w:eastAsia="Arial" w:hAnsi="Arial"/>
          <w:sz w:val="18"/>
          <w:szCs w:val="18"/>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Tender Offer Documents, Proxy Materials and Other Information</w:t>
      </w:r>
      <w:r>
        <w:rPr>
          <w:rFonts w:ascii="Arial" w:cs="Arial" w:eastAsia="Arial" w:hAnsi="Arial"/>
          <w:sz w:val="17"/>
          <w:szCs w:val="17"/>
          <w:color w:val="auto"/>
        </w:rPr>
        <w:t>. The Company shall provide to the Representative or counsel to the Underwriters (if so instructed by the Representative) with 10 copies of all tender offer documents or proxy information and all related material filed with the Commission in connection with a Business Combination concurrently with such filing with the Commission. Documents filed with the Commission pursuant to its EDGAR system shall be deemed to have been provided to the Representative pursuant to this Section. In addition, the Company shall furnish any other state in which its initial public offering was registered, such information as may be requested by such state.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The Company shall promptly notify the Representative if the Company ceases to be an Emerging Growth Company at any time prior to the completion of the distribution of the Securities within the meaning of the Securities Act.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Target Fair Market Value</w:t>
      </w:r>
      <w:r>
        <w:rPr>
          <w:rFonts w:ascii="Arial" w:cs="Arial" w:eastAsia="Arial" w:hAnsi="Arial"/>
          <w:sz w:val="17"/>
          <w:szCs w:val="17"/>
          <w:color w:val="auto"/>
        </w:rPr>
        <w:t>. The Company agrees that the Target Business that it acquires must have a fair market value equal to at least 80% of the balance in the Trust Account at the time of signing the definitive agreement for the Business Combination with such Target Business (excluding taxes payable and the Deferred Underwriting Commissions). The fair market value of such business must be determined by the Board of Directors of the Company based upon standards generally accepted by the financial community, such as actual and potential sales, earnings, cash flow and book value. If the Board of Directors of the Company is not able to independently determine that the target business meets such fair market value requirement, the Company will obtain an opinion from an independent investment banking firm or another independent entity that commonly renders valuation opinions with respect to the satisfaction of such criteria. The Company is not required to obtain an opinion as to the fair market value if the Company’s Board of Directors independently determines that the Target Business does have sufficient fair market value.</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The Representative shall have an irrevocable right of first refusal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for a period of fifteen (15) months from the closing of a Business Combination, to act as sole investment banker, sole book-runner, and/or sole placement agent, at the Representative’s sole discretion, for each and every future public and private equity and debt offering, including all equity linked financings (each, a “</w:t>
      </w:r>
      <w:r>
        <w:rPr>
          <w:rFonts w:ascii="Arial" w:cs="Arial" w:eastAsia="Arial" w:hAnsi="Arial"/>
          <w:sz w:val="16"/>
          <w:szCs w:val="16"/>
          <w:u w:val="single" w:color="auto"/>
          <w:color w:val="auto"/>
        </w:rPr>
        <w:t>Subject Transaction</w:t>
      </w:r>
      <w:r>
        <w:rPr>
          <w:rFonts w:ascii="Arial" w:cs="Arial" w:eastAsia="Arial" w:hAnsi="Arial"/>
          <w:sz w:val="16"/>
          <w:szCs w:val="16"/>
          <w:color w:val="auto"/>
        </w:rPr>
        <w:t xml:space="preserve">”), during such fifteen (15) month period, of the Company, or any successor to or subsidiary of the Company, on terms and conditions customary for the Representative for such Subject Transactions. The Representative shall have the sole right to determine whether any other broker dealer shall participate in the Subject Transactions and the economic terms of such participation. For the avoidance of any doubt, the Company shall not retain, engage or solicit any additional investment banker, book-runner, financial advisor, underwriter and/or placement agent in a Subject Transaction during the fifteen (15) month period referred to above without the express written consent of the Representative. The Right of First Refusal shall also encompass the time period leading up to the closing of the Business Combination while the Company is still a special purpose acquisition company. The Company shall notify the Representative of its intention to pursue a Subject Transaction, including the material terms thereof, by providing written notice thereof by registered mail or overnight courier service addressed to the Representative. If the Representative fails to exercise its Right of First Refusal with respect to any Subject Transaction within ten (10) Business Days after the mailing of such written notice, then the Representative shall have no further claim or right with respect to the Subject Transaction. The Representative may elect, in its sole and absolute discretion, not to exercise its Right of First Refusal with respect to any Subject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election by the Representative shall not adversely affect the Representative’s Right of First Refusal with respect to any other Subject Transaction during the fifteen (15) month period agreed to above. The terms and conditions of any such engagements shall be set forth in separate agreements and may be subject to, among other things, satisfactory completion of due diligence by the Representative, market conditions, the absence of a material adverse change to the Company’s business, financial condition and prospects, approval of the Representative’s internal committee and any other conditions that the Representative may deem appropriate for transactions of such nature.</w:t>
      </w:r>
    </w:p>
    <w:p>
      <w:pPr>
        <w:spacing w:after="0" w:line="171" w:lineRule="exact"/>
        <w:rPr>
          <w:sz w:val="20"/>
          <w:szCs w:val="20"/>
          <w:color w:val="auto"/>
        </w:rPr>
      </w:pPr>
    </w:p>
    <w:p>
      <w:pPr>
        <w:jc w:val="both"/>
        <w:ind w:firstLine="8"/>
        <w:spacing w:after="0" w:line="272"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Representations and Agreements to Survive Delivery</w:t>
      </w:r>
      <w:r>
        <w:rPr>
          <w:rFonts w:ascii="Arial" w:cs="Arial" w:eastAsia="Arial" w:hAnsi="Arial"/>
          <w:sz w:val="17"/>
          <w:szCs w:val="17"/>
          <w:color w:val="auto"/>
        </w:rPr>
        <w:t>. Except as the context otherwise requires, all representations, warranties and agreements contained in this Agreement shall be deemed to be representations, warranties and agreements as of the Closing Date or the Option Closing Date, if any, and such representations, warranties and agreements of the Underwriters and the Company, including the indemnity agreements contained in Section 5 hereof, shall remain operative and in full force and effect regardless of any investigation made by or on behalf of the Underwriters, the Company or any Controlling Person, and shall survive termination of this Agreement or the issuance and delivery of the Public Securities to the Underwriters until the earlier of the expiration of any applicable statute of limitations and the seventh (7th) anniversary of the later of the Closing Date or the Option Closing Date, if any, at which time the representations, warranties and agreements shall terminate and be of no further force and effect.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Effective Date of This Agreement and Termination Thereof</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on the Effective Date at the time the Registration Statement is declared effective by the Commission.</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Termination</w:t>
      </w:r>
      <w:r>
        <w:rPr>
          <w:rFonts w:ascii="Arial" w:cs="Arial" w:eastAsia="Arial" w:hAnsi="Arial"/>
          <w:sz w:val="16"/>
          <w:szCs w:val="16"/>
          <w:color w:val="auto"/>
        </w:rPr>
        <w:t>. The Representative shall have the right to terminate this Agreement at any time prior to the Closing Date, (i) if any 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Global Select Market, the Nasdaq Global Market, or the Nasdaq Capital Market or quoted on the OTCBB shall have been suspended, or minimum or maximum prices for trading shall have been fixed, or maximum ranges for prices for securities shall have been fixed, or maximum ranges for prices for securities shall have been required by FINRA or by order of the Commission or any other government authority having jurisdiction, or (iii) if the United States shall have become involved in a new war or an increase in existing major hostilities, or (iv) if a banking moratorium has been declared by a New York State or Federal authority, or (v) if a moratorium on foreign exchange trading has been declared which materially adversely impacts the United States securities market, or</w:t>
      </w:r>
    </w:p>
    <w:p>
      <w:pPr>
        <w:spacing w:after="0" w:line="1" w:lineRule="exact"/>
        <w:rPr>
          <w:sz w:val="20"/>
          <w:szCs w:val="20"/>
          <w:color w:val="auto"/>
        </w:rPr>
      </w:pPr>
    </w:p>
    <w:p>
      <w:pPr>
        <w:jc w:val="both"/>
        <w:ind w:firstLine="8"/>
        <w:spacing w:after="0" w:line="252" w:lineRule="auto"/>
        <w:tabs>
          <w:tab w:leader="none" w:pos="3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Company shall have sustained a material loss by fire, flood, accident, hurricane, earthquake, theft, sabotage or other calamity or malicious act which, whether or not such loss shall have been insured, will, in the Representative’s sole opinion, make it inadvisable to proceed with the delivery of the Units, or (vii) if the Company is in material breach of any of its representations, warranties or covenants hereunder, or (viii) if the Representative shall have become aware after the date hereof of such a material adverse change in the conditions of the Company, or such adverse material change in general market conditions, including without limitation as a result of terrorist activities after the date hereof, as in the Representative’s sole judgment would make it impracticable to proceed with the offering, sale and/or delivery of the Units or to enforce contracts made by the Underwriters for the sale of the Public Securities.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In the event that this Agreement shall not be carried out for any reason whatsoever, within the time specified herein or any extensions thereof pursuant to the terms herein, (i) the obligations of the Company to pay the out-of-pocket expenses related to the transactions contemplated herein shall be governed by Section 3.10 hereof and (ii) the Company shall reimburse the Representative for any costs and expenses incurred in connection with enforcing any provisions of this Agreement.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 Agreement, and whether or not this Agreement is otherwise carried out, the provisions of Section 5 shall not be in any way affected by such election or termination or failure to carry out the terms of this Agreement or any part hereof.</w:t>
      </w:r>
    </w:p>
    <w:p>
      <w:pPr>
        <w:spacing w:after="0" w:line="184"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and shall be deemed given when so mailed, delivered or faxed or if mailed, two days after such mailing.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Benchmark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Joseph T. Rallo,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jrallo@efhuttongroup.com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Lucosky Brookman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Wood Avenue South,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Woodbridge, NJ 08830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Joseph M. Lucosky,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(732) 395-4400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jlucosky@lucbro.com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1300 Pennsylvania Avenue,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Roman Livson,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roman@burkhan.world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Alex Weniger-Araujo,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 (212) 658-9332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aweniger@loeb.com</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only by a written instrument executed by each of the parties hereto.</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Transaction Documents and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inure solely to the benefit of and shall be binding upon the Representative, the Underwriters, the Company and the controlling persons, directors, agents, partners, members, employees and officers referred to in Section 5 hereof, and their respective successors, legal representatives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the Underwriters.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Waiver of Immunity</w:t>
      </w:r>
      <w:r>
        <w:rPr>
          <w:rFonts w:ascii="Arial" w:cs="Arial" w:eastAsia="Arial" w:hAnsi="Arial"/>
          <w:sz w:val="17"/>
          <w:szCs w:val="17"/>
          <w:color w:val="auto"/>
        </w:rPr>
        <w:t>. To the extent that the Company may be entitled in any jurisdiction in which judicial proceedings may at any time be commenced hereunder, to claim for itself or its revenues or assets any immunity, including sovereign immunity, from suit, jurisdiction, attachment in aid of execution of a judgment or prior to a judgment, execution of a judgment or any other legal process with respect to its obligations hereunder and to the extent that in any such jurisdiction there may be attributed to the Company such an immunity (whether or not claimed), the Company hereby irrevocably agrees not to claim and irrevocably waives such immunity to the maximum extent permitted by law.</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Company and the Representative irrevocably submit to the nonexclusive jurisdiction of the Supreme Court of the State of New York sitting in the City and County of New York and of the United States District Court for the Southern District of New York, over any suit, action or proceeding arising out of or relating to this Agreement, the Registration Statement, the Statutory Prospectus and the Prospectus or the offering of the Securities. Each of the Company and the Representative irrevocably waives, to the fullest extent permitted by law, any objection that they may now or hereafter have to the laying of venue of any such suit, action or proceeding brought in such a court and any claim that any such suit, action or proceeding brought in such a court has been brought in an inconvenient forum. Any such process or summons to be served upon the Company or the Representative may be served by transmitting a copy thereof by registered or certified mail, return receipt requested, postage prepaid, addressed to it at the address set forth in Section 10.1 hereof. Such mailing shall be deemed personal service and shall be legal and binding upon the Company or the Representative in any action, proceeding or claim. Each of the Company and the Representative waives, to the fullest extent permitted by law, any other requirements of or objections to personal jurisdiction with respect thereto. Notwithstanding the foregoing, any action based on this Agreement may be instituted by the Underwriters in any competent court. The Company agrees that the Underwriters shall be entitled to recover all of their reasonable attorneys’ fees and expenses relating to any action or proceeding and/or incurred in connection with the preparation therefor if any of them are the prevailing party in such action or proceeding.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Delivery of a signed counterpart of this Agreement by facsimile or e-mail/pdf transmission shall constitute valid and sufficient delivery thereof.</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Waiver</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affect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No Fiduciary Relationship</w:t>
      </w:r>
      <w:r>
        <w:rPr>
          <w:rFonts w:ascii="Arial" w:cs="Arial" w:eastAsia="Arial" w:hAnsi="Arial"/>
          <w:sz w:val="17"/>
          <w:szCs w:val="17"/>
          <w:color w:val="auto"/>
        </w:rPr>
        <w:t>. The Company acknowledges and agrees that (i) the purchase and sale of the Units pursuant to this Agreement is an arm’s-length commercial transaction pursuant to a contractual relationship between the Company and the Underwriters, (ii) in connection therewith and with the process leading to such transaction, each Underwriter is acting solely as a principal and not the agent or fiduciary of the Company, (iii) the Underwriters have not assumed an advisory or fiduciary responsibility in favor of the Company with respect to the offering contemplated hereby or the process leading thereto (irrespective of whether the Underwriters have advised or are currently advising the Company on other matters) or any other obligation to the Company except the obligations expressly set forth in this Agreement, (iv) in no event do the parties intend that the Underwriters act or be responsible as a fiduciary to the Company, its management, stockholders, creditors or any other person in connection with any activity that the Underwriters may undertake or have undertaken in furtherance of this offering of the Company’s securities, either before or after the date hereof and (v) the Company has consulted its own legal and financial advisors to the extent it deemed appropriate.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agrees that it will not claim that the Underwriters have rendered advisory services of any nature or respect or owe a fiduciary or similar duty to the Company, in connection with such transaction or the process leading thereto. The Company and the Underwriters agree that they are each responsible for making their own independent judgment with respect to any such transactions, and that any opinions or views expressed by the Underwriters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Underwriters and the Company, please so indicate in the space provided below for that purpose, whereupon this letter shall constitute a binding agreement between us.</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BURTECH ACQUISITION CORP.</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 HUTTON, division of Benchmark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Sam Fleishman</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Sam Fleishman</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Supervisory Principal</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Underwriting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line="200" w:lineRule="exact"/>
        <w:rPr>
          <w:sz w:val="20"/>
          <w:szCs w:val="20"/>
          <w:color w:val="auto"/>
        </w:rPr>
      </w:pPr>
    </w:p>
    <w:p>
      <w:pPr>
        <w:spacing w:after="0" w:line="232"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25,000,000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EF Hutton, division of Benchmark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Tiger Brokers (NZ)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U.S. Tiger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Amerivet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Ingalls &amp; Snyder,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Gunnar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7"/>
          <w:szCs w:val="17"/>
          <w:b w:val="1"/>
          <w:bCs w:val="1"/>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Firm Units to</w:t>
      </w:r>
    </w:p>
    <w:p>
      <w:pPr>
        <w:spacing w:after="0" w:line="3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be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Purchased</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4,900,000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7,700,000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4,400,000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2,900,000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2,500,000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1,800,000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800,000</w:t>
      </w:r>
    </w:p>
    <w:p>
      <w:pPr>
        <w:spacing w:after="0" w:line="23" w:lineRule="exact"/>
        <w:rPr>
          <w:sz w:val="20"/>
          <w:szCs w:val="20"/>
          <w:color w:val="auto"/>
        </w:rPr>
      </w:pPr>
    </w:p>
    <w:p>
      <w:pPr>
        <w:sectPr>
          <w:pgSz w:w="11900" w:h="16838" w:orient="portrait"/>
          <w:cols w:equalWidth="0" w:num="2">
            <w:col w:w="9280" w:space="720"/>
            <w:col w:w="1240"/>
          </w:cols>
          <w:pgMar w:left="320" w:top="904" w:right="339" w:bottom="1440" w:gutter="0" w:footer="0" w:header="0"/>
        </w:sectPr>
      </w:pPr>
    </w:p>
    <w:tbl>
      <w:tblPr>
        <w:tblLayout w:type="fixed"/>
        <w:tblInd w:w="180" w:type="dxa"/>
        <w:tblCellMar>
          <w:top w:w="0" w:type="dxa"/>
          <w:left w:w="0" w:type="dxa"/>
          <w:bottom w:w="0" w:type="dxa"/>
          <w:right w:w="0" w:type="dxa"/>
        </w:tblCellMar>
      </w:tblPr>
      <w:tr>
        <w:trPr>
          <w:trHeight w:val="250"/>
        </w:trPr>
        <w:tc>
          <w:tcPr>
            <w:tcW w:w="9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25,000,000</w:t>
            </w:r>
          </w:p>
        </w:tc>
      </w:tr>
      <w:tr>
        <w:trPr>
          <w:trHeight w:val="20"/>
        </w:trPr>
        <w:tc>
          <w:tcPr>
            <w:tcW w:w="9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10, 2021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BurTech Acquisition Corp.,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jc w:val="both"/>
        <w:ind w:firstLine="656"/>
        <w:spacing w:after="0" w:line="263"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of the Corporation is “</w:t>
      </w:r>
      <w:r>
        <w:rPr>
          <w:rFonts w:ascii="Arial" w:cs="Arial" w:eastAsia="Arial" w:hAnsi="Arial"/>
          <w:sz w:val="18"/>
          <w:szCs w:val="18"/>
          <w:b w:val="1"/>
          <w:bCs w:val="1"/>
          <w:i w:val="1"/>
          <w:iCs w:val="1"/>
          <w:color w:val="auto"/>
        </w:rPr>
        <w:t>BurTech Acquisition Corp</w:t>
      </w:r>
      <w:r>
        <w:rPr>
          <w:rFonts w:ascii="Arial" w:cs="Arial" w:eastAsia="Arial" w:hAnsi="Arial"/>
          <w:sz w:val="18"/>
          <w:szCs w:val="18"/>
          <w:color w:val="auto"/>
        </w:rPr>
        <w:t>”. The original certificate of incorporation of the Corporation was filed with the Secretary of State of the State of Delaware March 2, 2021, as amended by the amended and restated certificate of incorporation of the Corporation filed with the Secretary of State of the State of Delaware on May 19, 2021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w:t>
      </w:r>
      <w:r>
        <w:rPr>
          <w:rFonts w:ascii="Arial" w:cs="Arial" w:eastAsia="Arial" w:hAnsi="Arial"/>
          <w:sz w:val="18"/>
          <w:szCs w:val="18"/>
          <w:b w:val="1"/>
          <w:bCs w:val="1"/>
          <w:i w:val="1"/>
          <w:iCs w:val="1"/>
          <w:color w:val="auto"/>
        </w:rPr>
        <w:t>Second Amended and Restated Certificate</w:t>
      </w:r>
      <w:r>
        <w:rPr>
          <w:rFonts w:ascii="Arial" w:cs="Arial" w:eastAsia="Arial" w:hAnsi="Arial"/>
          <w:sz w:val="18"/>
          <w:szCs w:val="18"/>
          <w:color w:val="auto"/>
        </w:rPr>
        <w:t>”), which both restates and amends the provisions of the Certificate, was duly adopted in accordance with Sections 228, 242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Second Amended and Restated Certificate shall become effective on the date of filing with Secretary of State of Delaware.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text of the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BurTech Acquisition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Wilmington, New Castle County, Delaware 19801, and the name of the Corporation’s registered agent at such address is The Corporation Trust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The total number of shares of all classes of capital stock, each with a par value of $0.0001 per share, which the Corporation is authorized to issue is 301,000,000 shares, consisting of (a) 300,000,000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including</w:t>
      </w:r>
    </w:p>
    <w:p>
      <w:pPr>
        <w:ind w:firstLine="8"/>
        <w:spacing w:after="0" w:line="260" w:lineRule="auto"/>
        <w:tabs>
          <w:tab w:leader="none" w:pos="2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280,000,000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20,000,000 shares of Class B common stock (the “</w:t>
      </w:r>
      <w:r>
        <w:rPr>
          <w:rFonts w:ascii="Arial" w:cs="Arial" w:eastAsia="Arial" w:hAnsi="Arial"/>
          <w:sz w:val="18"/>
          <w:szCs w:val="18"/>
          <w:b w:val="1"/>
          <w:bCs w:val="1"/>
          <w:i w:val="1"/>
          <w:i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of this Second Amended and Restated Certificate,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7"/>
          <w:szCs w:val="17"/>
          <w:b w:val="1"/>
          <w:bCs w:val="1"/>
          <w:i w:val="1"/>
          <w:iCs w:val="1"/>
          <w:color w:val="auto"/>
        </w:rPr>
        <w:t>Preferred Stock Designation</w:t>
      </w:r>
      <w:r>
        <w:rPr>
          <w:rFonts w:ascii="Arial" w:cs="Arial" w:eastAsia="Arial" w:hAnsi="Arial"/>
          <w:sz w:val="17"/>
          <w:szCs w:val="17"/>
          <w:color w:val="auto"/>
        </w:rPr>
        <w:t>”) filed pursuant to the DGCL, and the Board is hereby expressly vested with the authority to the full extent provided by law, now or hereafter, to adopt any such resolution or resolutions.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firstLine="656"/>
        <w:spacing w:after="0" w:line="277" w:lineRule="auto"/>
        <w:tabs>
          <w:tab w:leader="none" w:pos="8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otherwise required by law or this Second Amended and Restated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otherwise required by law or this Second Amended and Restated Certificate (including any Preferred Stock Designation), the holders of shares of Common Stock shall be entitled to one vote for each such share on each matter properly submitted to the stockholders of the Corporation on which the holders of the Common Stock are entitled to vote.</w:t>
      </w:r>
    </w:p>
    <w:p>
      <w:pPr>
        <w:spacing w:after="0" w:line="183" w:lineRule="exact"/>
        <w:rPr>
          <w:rFonts w:ascii="Arial" w:cs="Arial" w:eastAsia="Arial" w:hAnsi="Arial"/>
          <w:sz w:val="18"/>
          <w:szCs w:val="18"/>
          <w:color w:val="auto"/>
        </w:rPr>
      </w:pPr>
    </w:p>
    <w:p>
      <w:pPr>
        <w:jc w:val="both"/>
        <w:ind w:firstLine="656"/>
        <w:spacing w:after="0" w:line="270" w:lineRule="auto"/>
        <w:tabs>
          <w:tab w:leader="none" w:pos="9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Except as otherwise required by law or this Second Amended and Restated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Second Amended and Restated Certificate (including any Preferred Stock Designation), holders of shares of any series of Common Stock shall not be entitled to vote on any amendment to this Second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Second Amended and Restated Certificate (including any Preferred Stock Designation) or the DGCL.</w:t>
      </w:r>
    </w:p>
    <w:p>
      <w:pPr>
        <w:spacing w:after="0" w:line="181" w:lineRule="exact"/>
        <w:rPr>
          <w:sz w:val="20"/>
          <w:szCs w:val="20"/>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Class B Common Stock.</w:t>
      </w:r>
    </w:p>
    <w:p>
      <w:pPr>
        <w:spacing w:after="0" w:line="225" w:lineRule="exact"/>
        <w:rPr>
          <w:sz w:val="20"/>
          <w:szCs w:val="20"/>
          <w:color w:val="auto"/>
        </w:rPr>
      </w:pPr>
    </w:p>
    <w:p>
      <w:pPr>
        <w:ind w:firstLine="656"/>
        <w:spacing w:after="0" w:line="277" w:lineRule="auto"/>
        <w:tabs>
          <w:tab w:leader="none" w:pos="8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b w:val="1"/>
          <w:bCs w:val="1"/>
          <w:i w:val="1"/>
          <w:iCs w:val="1"/>
          <w:color w:val="auto"/>
        </w:rPr>
        <w:t>Initial Conversion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Ratio</w:t>
      </w:r>
      <w:r>
        <w:rPr>
          <w:rFonts w:ascii="Arial" w:cs="Arial" w:eastAsia="Arial" w:hAnsi="Arial"/>
          <w:sz w:val="18"/>
          <w:szCs w:val="18"/>
          <w:color w:val="auto"/>
        </w:rPr>
        <w:t>”) automatically on the closing of the Business Combination.</w:t>
      </w:r>
    </w:p>
    <w:p>
      <w:pPr>
        <w:spacing w:after="0" w:line="170" w:lineRule="exact"/>
        <w:rPr>
          <w:rFonts w:ascii="Arial" w:cs="Arial" w:eastAsia="Arial" w:hAnsi="Arial"/>
          <w:sz w:val="18"/>
          <w:szCs w:val="18"/>
          <w:color w:val="auto"/>
        </w:rPr>
      </w:pPr>
    </w:p>
    <w:p>
      <w:pPr>
        <w:jc w:val="both"/>
        <w:ind w:firstLine="656"/>
        <w:spacing w:after="0" w:line="279" w:lineRule="auto"/>
        <w:tabs>
          <w:tab w:leader="none" w:pos="932"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Notwithstanding the Initial Conversion Ratio, in the case that additional shares of Class A Common Stock, or Equity-linked Securities (as defined below), are issued or deemed issued in excess of the amounts sold in the Corporation’s initial public offering of securities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and in connection with the closing of the Company’s initial Business Combination, all issued and outstanding shares of Class B Common Stock shall automatically convert into shares of Class A Common Stock at the time of the closing of the initial Business Combination at a ratio for which:</w:t>
      </w:r>
    </w:p>
    <w:p>
      <w:pPr>
        <w:spacing w:after="0" w:line="171" w:lineRule="exact"/>
        <w:rPr>
          <w:rFonts w:ascii="Arial" w:cs="Arial" w:eastAsia="Arial" w:hAnsi="Arial"/>
          <w:sz w:val="17"/>
          <w:szCs w:val="17"/>
          <w:color w:val="auto"/>
        </w:rPr>
      </w:pPr>
    </w:p>
    <w:p>
      <w:pPr>
        <w:jc w:val="both"/>
        <w:ind w:left="1300" w:hanging="320"/>
        <w:spacing w:after="0" w:line="255"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numerator shall be equal to the sum of (A) 25% of all shares of Class A Common Stock issued or issuable (upon the conversion or exercise of any Equity-linked Securities or otherwise) in each case by the Corporation related to or in connection with the consummation of the initial Business Combination (excluding any securities issued or issuable to any seller in the initial Business Combination and any private placement units (or underlying securities) issued to BurTech LP,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or its affiliates upon conversion of loans made to the Corporation) plus (B) the number of shares of Class B Common Stock issued and outstanding prior to the closing of the initial Business Combination; and</w:t>
      </w:r>
    </w:p>
    <w:p>
      <w:pPr>
        <w:spacing w:after="0" w:line="19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denominator shall be the number of shares of Class B Common Stock issued and outstanding prior to the closing of the initial Business Combination.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used herein, the term “Equity-linked Securities” means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48"/>
        <w:spacing w:after="0" w:line="301" w:lineRule="auto"/>
        <w:rPr>
          <w:sz w:val="20"/>
          <w:szCs w:val="20"/>
          <w:color w:val="auto"/>
        </w:rPr>
      </w:pPr>
      <w:r>
        <w:rPr>
          <w:rFonts w:ascii="Arial" w:cs="Arial" w:eastAsia="Arial" w:hAnsi="Arial"/>
          <w:sz w:val="16"/>
          <w:szCs w:val="16"/>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6"/>
          <w:szCs w:val="16"/>
          <w:u w:val="single" w:color="auto"/>
          <w:color w:val="auto"/>
        </w:rPr>
        <w:t>Section 4.3(b)(iii)</w:t>
      </w:r>
      <w:r>
        <w:rPr>
          <w:rFonts w:ascii="Arial" w:cs="Arial" w:eastAsia="Arial" w:hAnsi="Arial"/>
          <w:sz w:val="16"/>
          <w:szCs w:val="16"/>
          <w:color w:val="auto"/>
        </w:rPr>
        <w:t>, and (ii) in no event shall the Class B Common Stock convert into Class A Common Stock at a ratio that is less than one-for-one.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Second Amended and Restated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92" w:lineRule="exact"/>
        <w:rPr>
          <w:sz w:val="20"/>
          <w:szCs w:val="20"/>
          <w:color w:val="auto"/>
        </w:rPr>
      </w:pPr>
    </w:p>
    <w:p>
      <w:pPr>
        <w:jc w:val="both"/>
        <w:ind w:firstLine="656"/>
        <w:spacing w:after="0" w:line="268" w:lineRule="auto"/>
        <w:tabs>
          <w:tab w:leader="none" w:pos="963"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Except as otherwise required by law or this Second Amended and Restated Certificate (including any Preferred Stock Designation),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Second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82" w:lineRule="exact"/>
        <w:rPr>
          <w:sz w:val="20"/>
          <w:szCs w:val="20"/>
          <w:color w:val="auto"/>
        </w:rPr>
      </w:pPr>
    </w:p>
    <w:p>
      <w:pPr>
        <w:jc w:val="both"/>
        <w:ind w:firstLine="656"/>
        <w:spacing w:after="0" w:line="259" w:lineRule="auto"/>
        <w:tabs>
          <w:tab w:leader="none" w:pos="90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and the provisions of</w:t>
      </w:r>
      <w:r>
        <w:rPr>
          <w:rFonts w:ascii="Arial" w:cs="Arial" w:eastAsia="Arial" w:hAnsi="Arial"/>
          <w:sz w:val="18"/>
          <w:szCs w:val="18"/>
          <w:i w:val="1"/>
          <w:iCs w:val="1"/>
          <w:color w:val="auto"/>
        </w:rPr>
        <w:t xml:space="preserve"> Article IX </w:t>
      </w:r>
      <w:r>
        <w:rPr>
          <w:rFonts w:ascii="Arial" w:cs="Arial" w:eastAsia="Arial" w:hAnsi="Arial"/>
          <w:sz w:val="18"/>
          <w:szCs w:val="18"/>
          <w:color w:val="auto"/>
        </w:rPr>
        <w:t>hereof, the holders of shares of Common Stock shall be entitled to receive such dividends and other distributions (payable in cash,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or Winding Up of the Corporation. </w:t>
      </w:r>
      <w:r>
        <w:rPr>
          <w:rFonts w:ascii="Arial" w:cs="Arial" w:eastAsia="Arial" w:hAnsi="Arial"/>
          <w:sz w:val="17"/>
          <w:szCs w:val="17"/>
          <w:color w:val="auto"/>
        </w:rPr>
        <w:t>Subject to applicable law, the rights, if any, of the holders of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series of the Preferred Stock and the provisions of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Board Powers</w:t>
      </w:r>
      <w:r>
        <w:rPr>
          <w:rFonts w:ascii="Arial" w:cs="Arial" w:eastAsia="Arial" w:hAnsi="Arial"/>
          <w:sz w:val="18"/>
          <w:szCs w:val="18"/>
          <w:color w:val="auto"/>
        </w:rPr>
        <w:t>. The business and affairs of the Corporation shall be managed by, or under the direction of, the Board. In addition to the powers and authority expressly conferred upon the Board by statute, this Second Amended and Restated Certificate or the By-Laws of the Corporation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the Board is hereby empowered to exercise all such powers and do all such acts and things as may be exercised or done by the Corporation, subject, nevertheless, to the provisions of the DGCL, this Second Amended and Restated Certificate, and any By-Laws adopted by the stockholders of the Corporation; provided, however, that no By-Laws hereafter adopted by the stockholders of the Corporation shall invalidate any prior act of the Board that would have been valid if such By-Laws had not been adopted.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Number, Election and Term</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342" w:lineRule="auto"/>
        <w:tabs>
          <w:tab w:leader="none" w:pos="89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23" w:lineRule="exact"/>
        <w:rPr>
          <w:rFonts w:ascii="Arial" w:cs="Arial" w:eastAsia="Arial" w:hAnsi="Arial"/>
          <w:sz w:val="16"/>
          <w:szCs w:val="16"/>
          <w:color w:val="auto"/>
        </w:rPr>
      </w:pPr>
    </w:p>
    <w:p>
      <w:pPr>
        <w:jc w:val="both"/>
        <w:ind w:firstLine="656"/>
        <w:spacing w:after="0" w:line="286" w:lineRule="auto"/>
        <w:tabs>
          <w:tab w:leader="none" w:pos="912"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the Board shall be divided into three classes, as nearly equal in number as possible and designated Class I and Class II. The Board is authorized to assign members of the Board already in office to Class I or Class II. The term of the initial Class I Directors shall expire at the first annual meeting of the stockholders of the Corporation following the effectiveness of this Second Amended and Restated Certificate and the term of the initial Class II Directors shall expire at the second annual meeting of the stockholders of the Corporation following the effectiveness of this Second Amended and Restated Certificate. At each succeeding annual meeting of the stockholders of the Corporation, beginning with the first annual meeting of the stockholders of the Corporation following the effectiveness of this Second Amended and Restated Certificate,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if the number of directors that constitute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Second Amended and Restated Certificate (and therefore such classification) becomes effective in accordance with the DGCL.</w:t>
      </w:r>
    </w:p>
    <w:p>
      <w:pPr>
        <w:spacing w:after="0" w:line="167" w:lineRule="exact"/>
        <w:rPr>
          <w:rFonts w:ascii="Arial" w:cs="Arial" w:eastAsia="Arial" w:hAnsi="Arial"/>
          <w:sz w:val="16"/>
          <w:szCs w:val="16"/>
          <w:color w:val="auto"/>
        </w:rPr>
      </w:pPr>
    </w:p>
    <w:p>
      <w:pPr>
        <w:ind w:firstLine="656"/>
        <w:spacing w:after="0" w:line="342" w:lineRule="auto"/>
        <w:tabs>
          <w:tab w:leader="none" w:pos="897"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23" w:lineRule="exact"/>
        <w:rPr>
          <w:rFonts w:ascii="Arial" w:cs="Arial" w:eastAsia="Arial" w:hAnsi="Arial"/>
          <w:sz w:val="16"/>
          <w:szCs w:val="16"/>
          <w:color w:val="auto"/>
        </w:rPr>
      </w:pPr>
    </w:p>
    <w:p>
      <w:pPr>
        <w:ind w:right="20" w:firstLine="656"/>
        <w:spacing w:after="0" w:line="277" w:lineRule="auto"/>
        <w:tabs>
          <w:tab w:leader="none" w:pos="9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 The holders of shares of Common Stock shall not have cumulative voting rights with regard to election of directors.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Preferred Stock - Directors</w:t>
      </w:r>
      <w:r>
        <w:rPr>
          <w:rFonts w:ascii="Arial" w:cs="Arial" w:eastAsia="Arial" w:hAnsi="Arial"/>
          <w:sz w:val="17"/>
          <w:szCs w:val="17"/>
          <w:color w:val="auto"/>
        </w:rPr>
        <w:t xml:space="preserve">. Notwithstanding any other provision of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 and such directors shall not be included in any of the classes created pursuant to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unless expressly provided by such terms.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provided, however, that in addition to any vote of the holders of any class or series of capital stock of the Corporation required by law or by this Second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provided further, however, that no By-Laws hereafter adopted by the stockholders shall invalidate any prior act of the Board that would have been valid if such By-Laws had not been adopted.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MEETINGS OF STOCKHOLDERS; ACTION BY WRITTEN CONSENT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the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Except as may be otherwise provided for or fixed pursuant to this Second Amended and Restated Certificate (including any Preferred Stock Designation) relating to the rights of the holders of any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other than with respect to our Class B Common Stock with respect to which action may be taken by written consent.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they violated their duty of loyalty to the Corporation or its stockholders, acted in bad faith, knowingly or intentionally violated the law, authorized unlawful payments of dividends, unlawful stock purchases or unlawful redemptions, or derived improper personal benefit from their actions as directors.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5" w:lineRule="auto"/>
        <w:tabs>
          <w:tab w:leader="none" w:pos="9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73" w:lineRule="exact"/>
        <w:rPr>
          <w:rFonts w:ascii="Arial" w:cs="Arial" w:eastAsia="Arial" w:hAnsi="Arial"/>
          <w:sz w:val="16"/>
          <w:szCs w:val="16"/>
          <w:color w:val="auto"/>
        </w:rPr>
      </w:pPr>
    </w:p>
    <w:p>
      <w:pPr>
        <w:jc w:val="both"/>
        <w:ind w:firstLine="656"/>
        <w:spacing w:after="0" w:line="263"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Second Amended and Restated Certificate, the By-Laws, an agreement, vote of stockholders or disinterested directors, or otherwise.</w:t>
      </w:r>
    </w:p>
    <w:p>
      <w:pPr>
        <w:spacing w:after="0" w:line="183" w:lineRule="exact"/>
        <w:rPr>
          <w:rFonts w:ascii="Arial" w:cs="Arial" w:eastAsia="Arial" w:hAnsi="Arial"/>
          <w:sz w:val="18"/>
          <w:szCs w:val="18"/>
          <w:color w:val="auto"/>
        </w:rPr>
      </w:pPr>
    </w:p>
    <w:p>
      <w:pPr>
        <w:jc w:val="both"/>
        <w:ind w:firstLine="656"/>
        <w:spacing w:after="0" w:line="293" w:lineRule="auto"/>
        <w:tabs>
          <w:tab w:leader="none" w:pos="91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the stockholders of the Corporation or by changes in law, or the adoption of any other provision of this Second Amended and Restated Certificate inconsistent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64" w:lineRule="exact"/>
        <w:rPr>
          <w:rFonts w:ascii="Arial" w:cs="Arial" w:eastAsia="Arial" w:hAnsi="Arial"/>
          <w:sz w:val="16"/>
          <w:szCs w:val="16"/>
          <w:color w:val="auto"/>
        </w:rPr>
      </w:pPr>
    </w:p>
    <w:p>
      <w:pPr>
        <w:ind w:firstLine="65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REQUIREMENTS; EXISTENCE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9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apply during the period commencing upon the effectiveness of this Second Amended and Restated Certificate and terminating upon the consummation of the Corporation’s initial Business Combination and no amendment to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be effective prior to the consummation of the initial Business Combination unless approved by the affirmative vote of the holders of at least sixty-five percent (65%) of all then outstanding shares of the Common Stock.</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56"/>
        <w:spacing w:after="0" w:line="285" w:lineRule="auto"/>
        <w:tabs>
          <w:tab w:leader="none" w:pos="93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 August 19, 2021, as amended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shall be deposited in a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established for the benefit of the Public Stockholders (as defined below) pursuant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trust agreement described in the Registration Statement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xml:space="preserve">”).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15 months from the closing of the Offering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w:t>
      </w:r>
      <w:r>
        <w:rPr>
          <w:rFonts w:ascii="Arial" w:cs="Arial" w:eastAsia="Arial" w:hAnsi="Arial"/>
          <w:sz w:val="16"/>
          <w:szCs w:val="16"/>
          <w:u w:val="single" w:color="auto"/>
          <w:color w:val="auto"/>
        </w:rPr>
        <w:t>Section 9.1 (c)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Deadline Date</w:t>
      </w:r>
      <w:r>
        <w:rPr>
          <w:rFonts w:ascii="Arial" w:cs="Arial" w:eastAsia="Arial" w:hAnsi="Arial"/>
          <w:sz w:val="16"/>
          <w:szCs w:val="16"/>
          <w:color w:val="auto"/>
        </w:rPr>
        <w:t xml:space="preserve">”) and (iii) the redemption of shares in connection with a stockholder vote to amend any provisions of this Second Amended and Restated Certificate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 (b) with respect to any other provision relating to stockholders’ rights or pre-initial Business Combination activity (as described in </w:t>
      </w:r>
      <w:r>
        <w:rPr>
          <w:rFonts w:ascii="Arial" w:cs="Arial" w:eastAsia="Arial" w:hAnsi="Arial"/>
          <w:sz w:val="16"/>
          <w:szCs w:val="16"/>
          <w:u w:val="single" w:color="auto"/>
          <w:color w:val="auto"/>
        </w:rPr>
        <w:t>Section 9.7</w:t>
      </w:r>
      <w:r>
        <w:rPr>
          <w:rFonts w:ascii="Arial" w:cs="Arial" w:eastAsia="Arial" w:hAnsi="Arial"/>
          <w:sz w:val="16"/>
          <w:szCs w:val="16"/>
          <w:color w:val="auto"/>
        </w:rPr>
        <w:t>). Holders of shares of Common Stock included as part of the units sold in the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Arial" w:cs="Arial" w:eastAsia="Arial" w:hAnsi="Arial"/>
          <w:sz w:val="16"/>
          <w:szCs w:val="16"/>
          <w:b w:val="1"/>
          <w:bCs w:val="1"/>
          <w:i w:val="1"/>
          <w:iCs w:val="1"/>
          <w:color w:val="auto"/>
        </w:rPr>
        <w:t>Public Stockholders.</w:t>
      </w:r>
      <w:r>
        <w:rPr>
          <w:rFonts w:ascii="Arial" w:cs="Arial" w:eastAsia="Arial" w:hAnsi="Arial"/>
          <w:sz w:val="16"/>
          <w:szCs w:val="16"/>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Redemption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9" w:lineRule="auto"/>
        <w:tabs>
          <w:tab w:leader="none" w:pos="933"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7"/>
          <w:szCs w:val="17"/>
          <w:u w:val="single" w:color="auto"/>
          <w:color w:val="auto"/>
        </w:rPr>
        <w:t>Sections 9.2(b)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9.2(c)</w:t>
      </w:r>
      <w:r>
        <w:rPr>
          <w:rFonts w:ascii="Arial" w:cs="Arial" w:eastAsia="Arial" w:hAnsi="Arial"/>
          <w:sz w:val="17"/>
          <w:szCs w:val="17"/>
          <w:color w:val="auto"/>
        </w:rPr>
        <w:t xml:space="preserve"> (such rights of such holders to have their Offering Shares redeemed pursuant to such Sections, the “</w:t>
      </w:r>
      <w:r>
        <w:rPr>
          <w:rFonts w:ascii="Arial" w:cs="Arial" w:eastAsia="Arial" w:hAnsi="Arial"/>
          <w:sz w:val="17"/>
          <w:szCs w:val="17"/>
          <w:b w:val="1"/>
          <w:bCs w:val="1"/>
          <w:i w:val="1"/>
          <w:iCs w:val="1"/>
          <w:color w:val="auto"/>
        </w:rPr>
        <w:t>Redemption Rights</w:t>
      </w:r>
      <w:r>
        <w:rPr>
          <w:rFonts w:ascii="Arial" w:cs="Arial" w:eastAsia="Arial" w:hAnsi="Arial"/>
          <w:sz w:val="17"/>
          <w:szCs w:val="17"/>
          <w:color w:val="auto"/>
        </w:rPr>
        <w:t xml:space="preserve">”) hereof for cash equal to the applicable redemption price per share determined in accordance with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hereof (the “</w:t>
      </w:r>
      <w:r>
        <w:rPr>
          <w:rFonts w:ascii="Arial" w:cs="Arial" w:eastAsia="Arial" w:hAnsi="Arial"/>
          <w:sz w:val="17"/>
          <w:szCs w:val="17"/>
          <w:b w:val="1"/>
          <w:bCs w:val="1"/>
          <w:i w:val="1"/>
          <w:iCs w:val="1"/>
          <w:color w:val="auto"/>
        </w:rPr>
        <w:t>Redemption Price</w:t>
      </w:r>
      <w:r>
        <w:rPr>
          <w:rFonts w:ascii="Arial" w:cs="Arial" w:eastAsia="Arial" w:hAnsi="Arial"/>
          <w:sz w:val="17"/>
          <w:szCs w:val="17"/>
          <w:color w:val="auto"/>
        </w:rPr>
        <w:t>”); provided, however, that the Corporation will only redeem Offering Shares so long as (after such redemption), the Corporation’s net tangible assets (as determined in accordance with Rule 3a51-1(g)(1)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(or any successor rule)), or of any entity that succeeds the Corporation as a public company, will be at least $5,000,001 or any greater net tangible asset or cash requirement which may be contained in the agreement relating to the initial Business Combination either immediately prior to or upon consummation of the initial Business Combination and after payment of underwriters’ fees and commissions (such limitation hereinafter called the “</w:t>
      </w:r>
      <w:r>
        <w:rPr>
          <w:rFonts w:ascii="Arial" w:cs="Arial" w:eastAsia="Arial" w:hAnsi="Arial"/>
          <w:sz w:val="17"/>
          <w:szCs w:val="17"/>
          <w:b w:val="1"/>
          <w:bCs w:val="1"/>
          <w:i w:val="1"/>
          <w:iCs w:val="1"/>
          <w:color w:val="auto"/>
        </w:rPr>
        <w:t>Redemption Limitation</w:t>
      </w:r>
      <w:r>
        <w:rPr>
          <w:rFonts w:ascii="Arial" w:cs="Arial" w:eastAsia="Arial" w:hAnsi="Arial"/>
          <w:sz w:val="17"/>
          <w:szCs w:val="17"/>
          <w:color w:val="auto"/>
        </w:rPr>
        <w:t>”). Notwithstanding anything to the contrary contained in this Second Amended and Restated Certificate, there shall be no Redemption Rights or liquidating distributions with respect to any warrant issued pursuant to the Offering.</w:t>
      </w:r>
    </w:p>
    <w:p>
      <w:pPr>
        <w:spacing w:after="0" w:line="181" w:lineRule="exact"/>
        <w:rPr>
          <w:rFonts w:ascii="Arial" w:cs="Arial" w:eastAsia="Arial" w:hAnsi="Arial"/>
          <w:sz w:val="17"/>
          <w:szCs w:val="17"/>
          <w:color w:val="auto"/>
        </w:rPr>
      </w:pPr>
    </w:p>
    <w:p>
      <w:pPr>
        <w:jc w:val="both"/>
        <w:ind w:firstLine="656"/>
        <w:spacing w:after="0" w:line="284" w:lineRule="auto"/>
        <w:tabs>
          <w:tab w:leader="none" w:pos="9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If the Corporation offers to redeem the Offering Shares other than in conjunction with a stockholder vote on an initial Business Combination with a proxy solicitation pursuant to Regulation 14A of the Exchange Act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pursuant to a tender offer in accordance with Rule 13e-4 and Regulation 14E of the Exchange Act (or any successor rule or regulation) (such rules and regulations hereinafter called the “</w:t>
      </w:r>
      <w:r>
        <w:rPr>
          <w:rFonts w:ascii="Arial" w:cs="Arial" w:eastAsia="Arial" w:hAnsi="Arial"/>
          <w:sz w:val="16"/>
          <w:szCs w:val="16"/>
          <w:b w:val="1"/>
          <w:bCs w:val="1"/>
          <w:i w:val="1"/>
          <w:iCs w:val="1"/>
          <w:color w:val="auto"/>
        </w:rPr>
        <w:t>Tender Offer Rules</w:t>
      </w:r>
      <w:r>
        <w:rPr>
          <w:rFonts w:ascii="Arial" w:cs="Arial" w:eastAsia="Arial" w:hAnsi="Arial"/>
          <w:sz w:val="16"/>
          <w:szCs w:val="16"/>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of the Exchange Act (or any successor rule or regulation) (such rules and regulations hereinafter called the “</w:t>
      </w:r>
      <w:r>
        <w:rPr>
          <w:rFonts w:ascii="Arial" w:cs="Arial" w:eastAsia="Arial" w:hAnsi="Arial"/>
          <w:sz w:val="16"/>
          <w:szCs w:val="16"/>
          <w:b w:val="1"/>
          <w:bCs w:val="1"/>
          <w:i w:val="1"/>
          <w:iCs w:val="1"/>
          <w:color w:val="auto"/>
        </w:rPr>
        <w:t>Proxy Solicitation Rules</w:t>
      </w:r>
      <w:r>
        <w:rPr>
          <w:rFonts w:ascii="Arial" w:cs="Arial" w:eastAsia="Arial" w:hAnsi="Arial"/>
          <w:sz w:val="16"/>
          <w:szCs w:val="16"/>
          <w:color w:val="auto"/>
        </w:rPr>
        <w:t xml:space="preserve">”), even if such information is not required under the Tender Offer Rules; provided, however,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Arial" w:cs="Arial" w:eastAsia="Arial" w:hAnsi="Arial"/>
          <w:sz w:val="16"/>
          <w:szCs w:val="16"/>
          <w:u w:val="single" w:color="auto"/>
          <w:color w:val="auto"/>
        </w:rPr>
        <w:t>Section 9.2(b)</w:t>
      </w:r>
      <w:r>
        <w:rPr>
          <w:rFonts w:ascii="Arial" w:cs="Arial" w:eastAsia="Arial" w:hAnsi="Arial"/>
          <w:sz w:val="16"/>
          <w:szCs w:val="16"/>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its taxes, by (ii) the total number of then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(a) the aggregate amount on deposit in the Trust Account as of two business days prior to the consummation of the initial Business Combination, including interest not previously released to the Corporation to pay its taxes, by (b) the total number of then outstanding Offering Shares.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56"/>
        <w:spacing w:after="0" w:line="259" w:lineRule="auto"/>
        <w:tabs>
          <w:tab w:leader="none" w:pos="8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(as defined under Section 13(d)(3) of the Exchange Act), shall be restricted from seeking Redemption Rights with respect to more than an aggregate of 15% of the Offering Shares without the prior consent of the Corporation.</w:t>
      </w:r>
    </w:p>
    <w:p>
      <w:pPr>
        <w:spacing w:after="0" w:line="186" w:lineRule="exact"/>
        <w:rPr>
          <w:rFonts w:ascii="Arial" w:cs="Arial" w:eastAsia="Arial" w:hAnsi="Arial"/>
          <w:sz w:val="18"/>
          <w:szCs w:val="18"/>
          <w:color w:val="auto"/>
        </w:rPr>
      </w:pPr>
    </w:p>
    <w:p>
      <w:pPr>
        <w:jc w:val="both"/>
        <w:ind w:firstLine="656"/>
        <w:spacing w:after="0" w:line="270" w:lineRule="auto"/>
        <w:tabs>
          <w:tab w:leader="none" w:pos="912"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event that the Corporation has not consummated an initial Business Combination by the Deadline Date, the Corporation shall (i) cease all operations except for the purpose of winding up, (ii) as promptly as reasonably possible but not more than ten business days thereafter subject to lawfully available funds therefor, redeem 100% of the Offering Shares in consideration of a per-share price, payable in cash, equal to the quotient obtained by dividing (A) the aggregate amount then on deposit in the Trust Account, including interest not previously released to the Corporation to pay its taxes (less up to $100,000 of such net interest to pay dissolution expenses), by (B) the total number of then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the case of clauses (ii) and (iii) to the Corporation’s obligations under the DGCL to provide for claims of creditors and other requirements of applicable law.</w:t>
      </w:r>
    </w:p>
    <w:p>
      <w:pPr>
        <w:spacing w:after="0" w:line="180" w:lineRule="exact"/>
        <w:rPr>
          <w:rFonts w:ascii="Arial" w:cs="Arial" w:eastAsia="Arial" w:hAnsi="Arial"/>
          <w:sz w:val="17"/>
          <w:szCs w:val="17"/>
          <w:color w:val="auto"/>
        </w:rPr>
      </w:pPr>
    </w:p>
    <w:p>
      <w:pPr>
        <w:jc w:val="both"/>
        <w:ind w:firstLine="656"/>
        <w:spacing w:after="0" w:line="259" w:lineRule="auto"/>
        <w:tabs>
          <w:tab w:leader="none" w:pos="9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and (ii) the Redemption Limitation is not exceeded.</w:t>
      </w:r>
    </w:p>
    <w:p>
      <w:pPr>
        <w:spacing w:after="0" w:line="186" w:lineRule="exact"/>
        <w:rPr>
          <w:rFonts w:ascii="Arial" w:cs="Arial" w:eastAsia="Arial" w:hAnsi="Arial"/>
          <w:sz w:val="18"/>
          <w:szCs w:val="18"/>
          <w:color w:val="auto"/>
        </w:rPr>
      </w:pPr>
    </w:p>
    <w:p>
      <w:pPr>
        <w:ind w:right="20" w:firstLine="656"/>
        <w:spacing w:after="0" w:line="277" w:lineRule="auto"/>
        <w:tabs>
          <w:tab w:leader="none" w:pos="9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Corporation conducts a tender offer pursuant to Section 9.2(b), the Corporation shall consummate the proposed initial Business Combination only if the Redemption Limitation is not exceeded.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Distributions from the Trust Account</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8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Public Stockholder shall be entitled to receive funds from the Trust Account only as provided in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w:t>
      </w:r>
      <w:r>
        <w:rPr>
          <w:rFonts w:ascii="Arial" w:cs="Arial" w:eastAsia="Arial" w:hAnsi="Arial"/>
          <w:sz w:val="18"/>
          <w:szCs w:val="18"/>
          <w:u w:val="single" w:color="auto"/>
          <w:color w:val="auto"/>
        </w:rPr>
        <w:t>9.2(d)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9.7</w:t>
      </w:r>
      <w:r>
        <w:rPr>
          <w:rFonts w:ascii="Arial" w:cs="Arial" w:eastAsia="Arial" w:hAnsi="Arial"/>
          <w:sz w:val="18"/>
          <w:szCs w:val="18"/>
          <w:color w:val="auto"/>
        </w:rPr>
        <w:t xml:space="preserve">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exercise by a Public Stockholder of the Redemption Rights shall be conditioned on such Public Stockholder following the specific procedures for redemptions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Share Issuances</w:t>
      </w:r>
      <w:r>
        <w:rPr>
          <w:rFonts w:ascii="Arial" w:cs="Arial" w:eastAsia="Arial" w:hAnsi="Arial"/>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on any initial Business Combination, on any pre-Business Combination activity or on any amendment to this </w:t>
      </w:r>
      <w:r>
        <w:rPr>
          <w:rFonts w:ascii="Arial" w:cs="Arial" w:eastAsia="Arial" w:hAnsi="Arial"/>
          <w:sz w:val="18"/>
          <w:szCs w:val="18"/>
          <w:i w:val="1"/>
          <w:iCs w:val="1"/>
          <w:color w:val="auto"/>
        </w:rPr>
        <w:t>Article IX</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In the event the Corporation enters into an initial Business Combination with a target business that is affiliated with the Sponsor, or the directors or officers of the Corporation, the Corporation, or a committee of the independent directors of the Corporation, shall obtain an opinion from an independent investment banking firm or another independent entity that commonly renders valuation opinions that such Business Combination is fair to the Corporation from a financial point of view.</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 Transactions with Other Blank Check Companies</w:t>
      </w:r>
      <w:r>
        <w:rPr>
          <w:rFonts w:ascii="Arial" w:cs="Arial" w:eastAsia="Arial" w:hAnsi="Arial"/>
          <w:sz w:val="18"/>
          <w:szCs w:val="18"/>
          <w:color w:val="auto"/>
        </w:rPr>
        <w:t>. The Corporation shall not enter into an initial Business Combination with another blank check company or a similar company with nominal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Additional Redemption Rights</w:t>
      </w:r>
      <w:r>
        <w:rPr>
          <w:rFonts w:ascii="Arial" w:cs="Arial" w:eastAsia="Arial" w:hAnsi="Arial"/>
          <w:sz w:val="17"/>
          <w:szCs w:val="17"/>
          <w:color w:val="auto"/>
        </w:rPr>
        <w:t xml:space="preserve">. If, in accordance with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any amendment is made to Section 9.2(d) to modify (i) the substance or timing of the ability of Public Stockholders to seek redemption in connection with an initial Business Combination or amendments to this Second Amended and Restated Certificate prior thereto or the Corporation’s obligation to redeem 100% of the Offering Shares if the Corporation has not consummated an initial Business Combination by the Deadline Date or (ii) with respect to any other provisions of this Second Amended and Restated Certificate relating to stockholders’ rights or pre-initial Business Combination activity, the Public Stockholders shall be provided with the opportunity to redeem their Offering Shares upon the approval of any such amendment, at a per-share price, payable in cash, equal to the aggregate amount then on deposit in the Trust Account, including interest not previously released to the Corporation to pay its taxes, divided by the number of then outstanding Offering Shares; provided, however, that any such amendment will be voided, and this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will remain unchanged, if any stockholders who wish to redeem are unable to redeem due to the Redemption Limitation.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Minimum Value of Target</w:t>
      </w:r>
      <w:r>
        <w:rPr>
          <w:rFonts w:ascii="Arial" w:cs="Arial" w:eastAsia="Arial" w:hAnsi="Arial"/>
          <w:sz w:val="17"/>
          <w:szCs w:val="17"/>
          <w:color w:val="auto"/>
        </w:rPr>
        <w:t>. So long as the Corporation is listed on a national securities exchange, the Corporation’s initial Business Combination must occur with one or more target businesses that together have an aggregate fair market value of at least 80% of the assets held in the Trust Account (excluding the amount of any deferred underwriting discount held in, and taxes payable on the income earned on, the Trust Account) at the time of the Corporation signing a definitive agreement in connection with the initial Business Combination.</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Second Amended and Restated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SECOND AMENDED AND RESTATED CERTIFICATE OF INCORPORATION</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Corporation reserves the right at any time and from time to time to amend, alter, change or repeal any provision contained in this Second Amended and Restated Certificate (including any Preferred Stock Designation), and other provisions authorized by the laws of the State of Delaware at the time in force that may be added or inserted, in the manner now or hereafter prescribed by this Second Amended and Restated Certificate and the DGCL; and, except as set forth in </w:t>
      </w:r>
      <w:r>
        <w:rPr>
          <w:rFonts w:ascii="Arial" w:cs="Arial" w:eastAsia="Arial" w:hAnsi="Arial"/>
          <w:sz w:val="16"/>
          <w:szCs w:val="16"/>
          <w:i w:val="1"/>
          <w:iCs w:val="1"/>
          <w:color w:val="auto"/>
        </w:rPr>
        <w:t>Article VIII</w:t>
      </w:r>
      <w:r>
        <w:rPr>
          <w:rFonts w:ascii="Arial" w:cs="Arial" w:eastAsia="Arial" w:hAnsi="Arial"/>
          <w:sz w:val="16"/>
          <w:szCs w:val="16"/>
          <w:color w:val="auto"/>
        </w:rPr>
        <w:t xml:space="preserve">, all rights, preferences and privileges of whatever nature herein conferred upon stockholders, directors or any other persons by and pursuant to this Second Amended and Restated Certificate in its present form or as hereafter amended are granted subject to the right reserved in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XI;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i w:val="1"/>
          <w:iCs w:val="1"/>
          <w:color w:val="auto"/>
        </w:rPr>
        <w:t>Article IX</w:t>
      </w:r>
      <w:r>
        <w:rPr>
          <w:rFonts w:ascii="Arial" w:cs="Arial" w:eastAsia="Arial" w:hAnsi="Arial"/>
          <w:sz w:val="16"/>
          <w:szCs w:val="16"/>
          <w:color w:val="auto"/>
        </w:rPr>
        <w:t xml:space="preserve"> of this Second Amended and Restated Certificate may be amended only as provided therein.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 FOR CERTAIN LAWSUITS; CONSENT TO JURISDICTION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Forum.</w:t>
      </w:r>
      <w:r>
        <w:rPr>
          <w:rFonts w:ascii="Arial" w:cs="Arial" w:eastAsia="Arial" w:hAnsi="Arial"/>
          <w:sz w:val="16"/>
          <w:szCs w:val="16"/>
          <w:color w:val="auto"/>
        </w:rPr>
        <w:t xml:space="preserve"> Subject to the last sentence in this Section 12.1,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Section 12.1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6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If any action the subject matter of which is within the scope of Section 12.1 immediately above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in the name of any stockholder, such stockholder shall be deemed to have consented to (i) the personal jurisdiction of the state and federal courts located within the State of Delaware in connection with any action brought in any such court to enforce Section 12.1 immediately above (an “</w:t>
      </w:r>
      <w:r>
        <w:rPr>
          <w:rFonts w:ascii="Arial" w:cs="Arial" w:eastAsia="Arial" w:hAnsi="Arial"/>
          <w:sz w:val="16"/>
          <w:szCs w:val="16"/>
          <w:b w:val="1"/>
          <w:bCs w:val="1"/>
          <w:i w:val="1"/>
          <w:iCs w:val="1"/>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(including, without limitation, each portion of any sentence of this </w:t>
      </w:r>
      <w:r>
        <w:rPr>
          <w:rFonts w:ascii="Arial" w:cs="Arial" w:eastAsia="Arial" w:hAnsi="Arial"/>
          <w:sz w:val="18"/>
          <w:szCs w:val="18"/>
          <w:i w:val="1"/>
          <w:iCs w:val="1"/>
          <w:color w:val="auto"/>
        </w:rPr>
        <w:t xml:space="preserve">Article XII </w:t>
      </w:r>
      <w:r>
        <w:rPr>
          <w:rFonts w:ascii="Arial" w:cs="Arial" w:eastAsia="Arial" w:hAnsi="Arial"/>
          <w:sz w:val="18"/>
          <w:szCs w:val="18"/>
          <w:color w:val="auto"/>
        </w:rPr>
        <w:t>containing any such provision held to be invalid, illegal or unenforceable that is not itself held to be invalid, illegal or unenforceable)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IN WITNESS WHEREOF, BurTech Acquisition Corp. has caused this Second Amended and Restated Certificate to be duly executed and acknowledged in its name and on its behalf by an authorized officer as of the date first set forth above.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Amended and Restated Certificate of Incorporation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agreement (“Agreement”) is made as of December 10, 2021 between Burtech Acquisition Corp., a Delaware corporation, with offices 1300 Pennsylvania Ave NW, Suite 700, Washington, DC 20004 (“Company”), and Continental Stock Transfer &amp; Trust Company, a limited purpose trust company, with offices at 1 State Street, 30th Floor, New York, New York 10004, as warrant agent (the “Warrant Agent”, also referred to herein as the “Transfer Agent”).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WHEREAS, the Company is engaged in a public offering (“Public Offering”) of up to 28,750,000 units (including up to 3,750,000 units subject to the Over-allotment Option (as defined below)) (“PublicUnits”), each Public Unit comprised of one share of Class A common stock of the Company, par value $0.0001 per share (“Common Stock”), and one half of one redeembable warrant, where each warrant entitles the holder to purchase one share of Common Stock at a price of $11.50 per share, subject to adjustment as described herein, and, in connection therewith, will issue and deliver up to 28,750,000 warrants (including up to 3,750,000 warrants subject to the Over-allotment Option) (the “Public Warrants”) to the public investors in connection with the Public Offering; and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the Company has filed with the Securities and Exchange Commission (the “SEC”) a Registration Statement on Form S-1, File No. 333-258914 (“Registration Statement”), and a prospectus (the “Prospectus”) for the registration, under the Securities Act of 1933, as amended (“Act”), of the Public Units, the Public Warrants and the Common Stock included in the Public Units; and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WHEREAS, the Company has received binding commitments from Burtech LP, LLC (the “Sponsor”) to purchase up to an aggregate of 898,250 Units (including up to 93,750 units subject to the Over-allotment Option) (“Private Units”) which will include up to an aggregate of 898,250 warrants (including up to 93,750 warrants subject to the Over-allotment Option) (the “Private Warrants”) bearing the legend set forth in Exhibit B hereto, in a private placement transaction to occur simultaneously with the consummation of the Public Offering; and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WHEREAS, the Company may issue up to an additional 150,000 units (“Working Capital Units” and together with the Public Units and the Private Units, the “Units”) which will include up to an additional 150,000 warrants (“Working Capital Warrants”) in satisfaction of certain working capital loans the Sponsor or the Company’s officers, directors, initial stockholders (as defined in the Prospectus) or their affiliates may, but are not obligated to, make to the Company; and</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WHEREAS, following consummation of the Public Offering, the Company may issue additional warrants (“Post IPO Warrants” and together with the Public Warrants, Private Warrants and the Working Capital Warrants, the “Warrants”) in connection with, or following the consummation by the Company of, a Business Combination (defined below);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20" w:firstLine="8"/>
        <w:spacing w:after="0" w:line="342" w:lineRule="auto"/>
        <w:tabs>
          <w:tab w:leader="none" w:pos="3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Appointment of Warrant Agent.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Form of Warrant</w:t>
      </w:r>
      <w:r>
        <w:rPr>
          <w:rFonts w:ascii="Arial" w:cs="Arial" w:eastAsia="Arial" w:hAnsi="Arial"/>
          <w:sz w:val="16"/>
          <w:szCs w:val="16"/>
          <w:color w:val="auto"/>
        </w:rPr>
        <w:t>. Each Warrant shall be issued in registered form only, shall be in substantially the form of Exhibit A hereto, the provisions of which are incorporated herein and shall be signed by, or bear the facsimile signature of, the Chairman of the Board of Directors or Chief Executive Officer and the Chief Financial Officer, Treasurer, Secretary or Assistant Secretary of the Company and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Uncertificated Warrants</w:t>
      </w:r>
      <w:r>
        <w:rPr>
          <w:rFonts w:ascii="Arial" w:cs="Arial" w:eastAsia="Arial" w:hAnsi="Arial"/>
          <w:sz w:val="18"/>
          <w:szCs w:val="18"/>
          <w:color w:val="auto"/>
        </w:rPr>
        <w:t>. Notwithstanding anything herein to the contrary, any Warrant, or portion thereof, may be issued as part of, and be represented by, a Unit, and any Warrant may be issued in uncertificated or book-entry form through the Warrant Agent and/or the facilities of The Depository Trust Company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Except with respect to uncertificated Warrants as described above, unless and until countersigned by the Warrant Agent pursuant to this Agreement, a Warrant shall be invalid and of no effect and may not be exercised by the holder thereof.</w:t>
      </w:r>
    </w:p>
    <w:p>
      <w:pPr>
        <w:spacing w:after="0" w:line="17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u w:val="single" w:color="auto"/>
          <w:color w:val="auto"/>
        </w:rPr>
        <w:t>Warrant Register</w:t>
      </w:r>
      <w:r>
        <w:rPr>
          <w:rFonts w:ascii="Arial" w:cs="Arial" w:eastAsia="Arial" w:hAnsi="Arial"/>
          <w:sz w:val="17"/>
          <w:szCs w:val="17"/>
          <w:color w:val="auto"/>
        </w:rPr>
        <w:t>. The Warrant Agent shall maintain books (“Warrant Register”)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then registered in the Warrant Register (“registered holder”)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securities comprising the Public Units will not be separately transferable until the 52nd day following the date of the Prospectus or, if such 52nd day is not on a day, other than Saturday, Sunday or federal holiday, on which banks in New York City are generally open for normal business (a “Business Day”), then on the immediately succeeding Business Day following such date, or earlier with the consent of EF Hutton, division of Benchmark Investments, LLC (the “Representative”), but in no event will the Representative allow separate trading of the securities comprising the Public Units until (i) the Company has filed a Current Report on Form 8-K which includes an audited balance sheet reflecting the receipt by the Company of the gross proceeds of the Public Offering including the proceeds received by the Company from the exercise of the underwriters’ over-allotment option in the Public Offering (the “Over-allotment Option”), if the Over-allotment Option is exercised prior to the filing of the Form 8-K, and</w:t>
      </w:r>
    </w:p>
    <w:p>
      <w:pPr>
        <w:spacing w:after="0" w:line="2" w:lineRule="exact"/>
        <w:rPr>
          <w:sz w:val="20"/>
          <w:szCs w:val="20"/>
          <w:color w:val="auto"/>
        </w:rPr>
      </w:pPr>
    </w:p>
    <w:p>
      <w:pPr>
        <w:ind w:firstLine="8"/>
        <w:spacing w:after="0" w:line="260" w:lineRule="auto"/>
        <w:tabs>
          <w:tab w:leader="none" w:pos="24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issued a press release announcing when such separate trading shall begin (the “Detachment Date”); provided that no fractional Warrants will be issued upon separation of the Units and only whole Warrants will trade.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Private Warrant and Working Capital Warrant Attributes</w:t>
      </w:r>
      <w:r>
        <w:rPr>
          <w:rFonts w:ascii="Arial" w:cs="Arial" w:eastAsia="Arial" w:hAnsi="Arial"/>
          <w:sz w:val="18"/>
          <w:szCs w:val="18"/>
          <w:color w:val="auto"/>
        </w:rPr>
        <w:t>. The Private Warrants and Working Capital Warrants will be issued in the same form as the Public Warrants.</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Post IPO Warrants</w:t>
      </w:r>
      <w:r>
        <w:rPr>
          <w:rFonts w:ascii="Arial" w:cs="Arial" w:eastAsia="Arial" w:hAnsi="Arial"/>
          <w:sz w:val="18"/>
          <w:szCs w:val="18"/>
          <w:color w:val="auto"/>
        </w:rPr>
        <w:t>. The Post IPO Warrants, when and if issued, shall have the same terms and be in the same form as the Public Warrants except as may be agreed upon by the Company.</w:t>
      </w:r>
    </w:p>
    <w:p>
      <w:pPr>
        <w:spacing w:after="0" w:line="170"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 Price</w:t>
      </w:r>
      <w:r>
        <w:rPr>
          <w:rFonts w:ascii="Arial" w:cs="Arial" w:eastAsia="Arial" w:hAnsi="Arial"/>
          <w:sz w:val="16"/>
          <w:szCs w:val="16"/>
          <w:color w:val="auto"/>
        </w:rPr>
        <w:t>. Each whole Warrant shall, when countersigned by the Warrant Agent (except with respect to uncertificated Warrants), entitle the registered holder thereof, subject to the provisions of such Warrant and of this Agreement, to purchase from the Company the number of shares of Common Stock stated therein, at the price of $11.50 per share, subject to the adjustments provided in Section 4 hereof and in the last sentence of this Section 3.1. The term “Warrant Price” as used in this Agreement refers to the price per share at which the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commencing on the later of 30 days after the consummation by the Company of a merger, share exchange, asset acquisition, stock purchase, recapitalization, reorganization or other similar business combination with one or more businesses or entities (“Business Combination”) (as described more fully in the Registration Statement) or 12 months from the closing of the Public Offering, and terminating at 5:00 p.m., New York City time on the earlier to occur of (i) five years from the consummation of a Business Combination,</w:t>
      </w:r>
    </w:p>
    <w:p>
      <w:pPr>
        <w:spacing w:after="0" w:line="1" w:lineRule="exact"/>
        <w:rPr>
          <w:sz w:val="20"/>
          <w:szCs w:val="20"/>
          <w:color w:val="auto"/>
        </w:rPr>
      </w:pPr>
    </w:p>
    <w:p>
      <w:pPr>
        <w:jc w:val="both"/>
        <w:ind w:firstLine="8"/>
        <w:spacing w:after="0" w:line="269" w:lineRule="auto"/>
        <w:tabs>
          <w:tab w:leader="none" w:pos="24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Redemption Date as provided in Section 6.2 of this Agreement and (iii) the liquidation of the Company (“Expiration Date”).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provided, however, that the Company will provide at least twenty (20) days’ prior written notice of any such extension to registered holders and, provided further that any such extension shall be applied consistently to all of the Warrants.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Payment</w:t>
      </w:r>
      <w:r>
        <w:rPr>
          <w:rFonts w:ascii="Arial" w:cs="Arial" w:eastAsia="Arial" w:hAnsi="Arial"/>
          <w:sz w:val="16"/>
          <w:szCs w:val="16"/>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full share of Common Stock as to which the Warrant is exercised and any and all applicable taxes due in connection with the exercise of the Warrant, the exchange of the Warrant for the shares of Common Stock and the issuance of such shares of Common Stock, as follows:</w:t>
      </w:r>
    </w:p>
    <w:p>
      <w:pPr>
        <w:spacing w:after="0" w:line="161"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lawful money of the United States, by good certified check or wire payable to the Warrant Agent; or</w:t>
      </w:r>
    </w:p>
    <w:p>
      <w:pPr>
        <w:spacing w:after="0" w:line="225" w:lineRule="exact"/>
        <w:rPr>
          <w:rFonts w:ascii="Arial" w:cs="Arial" w:eastAsia="Arial" w:hAnsi="Arial"/>
          <w:sz w:val="18"/>
          <w:szCs w:val="18"/>
          <w:color w:val="auto"/>
        </w:rPr>
      </w:pPr>
    </w:p>
    <w:p>
      <w:pPr>
        <w:jc w:val="both"/>
        <w:ind w:firstLine="8"/>
        <w:spacing w:after="0" w:line="291" w:lineRule="auto"/>
        <w:tabs>
          <w:tab w:leader="none" w:pos="2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event of redemption pursuant to Section 6 hereof in which the Company’s management has elected to force all holders of Warrants to exercise such Warrants on a “cashless basis,” by surrendering the Warrants for that number of shares of Common Stock equal to the quotient obtained by dividing</w:t>
      </w:r>
    </w:p>
    <w:p>
      <w:pPr>
        <w:jc w:val="both"/>
        <w:ind w:firstLine="8"/>
        <w:spacing w:after="0" w:line="253" w:lineRule="auto"/>
        <w:tabs>
          <w:tab w:leader="none" w:pos="2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product of the number of shares of Common Stock underlying the Warrants, multiplied by the difference between the Warrant Price and the “Fair Market Value” (defined below) by (y) the Fair Market Value. Solely for purposes of this Section 3.3.1(b), the “Fair Market Value” shall mean the average reported last sale price of the Common Stock for the five (5) trading days ending on the third trading day prior to the date on which the notice of redemption is sent to holders of the Warrants pursuant to Section 6 hereof; or</w:t>
      </w:r>
    </w:p>
    <w:p>
      <w:pPr>
        <w:spacing w:after="0" w:line="192" w:lineRule="exact"/>
        <w:rPr>
          <w:rFonts w:ascii="Arial" w:cs="Arial" w:eastAsia="Arial" w:hAnsi="Arial"/>
          <w:sz w:val="18"/>
          <w:szCs w:val="18"/>
          <w:color w:val="auto"/>
        </w:rPr>
      </w:pPr>
    </w:p>
    <w:p>
      <w:pPr>
        <w:jc w:val="both"/>
        <w:ind w:firstLine="8"/>
        <w:spacing w:after="0" w:line="287" w:lineRule="auto"/>
        <w:tabs>
          <w:tab w:leader="none" w:pos="2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event the registration statement required by Section 7.4 hereof is not effective and current within sixty (60) Business Days after the closing of a Business Combination, by surrendering such Warrants for that number of shares of Common Stock equal to the quotient obtained by dividing (x) the product of the number of shares of Common Stock underlying the Warrants, multiplied by the difference between the exercise price of the Warrants and the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Market Value” by (y) the Fair Market Value; provided, however, that no cashless exercise shall be permitted unless the Fair Market Value is equal to or higher than the exercise price. Solely for purposes of this Section 3.3.1(c), the “Fair Market Value” shall mean the average reported last sale price of the Common Stock for the five (5) trading days ending on the trading day prior to the date of exercise.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spacing w:after="0" w:line="287"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Shares of Common Stock</w:t>
      </w:r>
      <w:r>
        <w:rPr>
          <w:rFonts w:ascii="Arial" w:cs="Arial" w:eastAsia="Arial" w:hAnsi="Arial"/>
          <w:sz w:val="16"/>
          <w:szCs w:val="16"/>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of Common Stock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in which case the purchaser of a Unit containing such Public Warrants shall have paid the full purchase price for the Unit solely for the shares of Common Stock underlying such Unit. Warrants may not be exercised by, or securities issued to, any registered holder in any state in which such exercise would be unlawful.</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book entry position or certificate for shares of Common Stock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“Maximum Percentage”)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“Exchange Act”).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Transfer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Stock Dividends; Split Ups</w:t>
      </w:r>
      <w:r>
        <w:rPr>
          <w:rFonts w:ascii="Arial" w:cs="Arial" w:eastAsia="Arial" w:hAnsi="Arial"/>
          <w:sz w:val="18"/>
          <w:szCs w:val="18"/>
          <w:color w:val="auto"/>
        </w:rPr>
        <w:t>. If after the date hereof, and subject to the provisions of Section 4.6 below, the number of outstanding shares of Common Stock is increased by a stock dividend payable in shares of Common Stock, or by a split up of shares of Common Stock, or other similar event, then, on the effective date of such stock dividend, split up or similar event, the number of shares of Common Stock issuable on exercise of each Warrant shall be increased in proportion to such increase in outstanding shares of Common Stock.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If the Company, at any time while the Warrants are outstanding and unexpired, shall pay a dividend or make a distribution in cash, securities or other assets to the holders of the shares of Common Stock or other shares of the Company’s capital stock into which the Warrants are convertible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(b) any cash dividends or cash distributions which, when combined on a per share basis with all other cash dividends and cash distributions paid on the Common Stock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but only with respect to the amount of the aggregate cash dividends or cash distributions equal to or less than $0.50, (c) any payment to satisfy the conversion rights of the holders of the shares of Common Stock in connection with a proposed initial Business Combination or certain amendments to the Company’s Amended and Restated Certificate of Incorporation (as described in the Registration Statement) or</w:t>
      </w:r>
    </w:p>
    <w:p>
      <w:pPr>
        <w:spacing w:after="0" w:line="1" w:lineRule="exact"/>
        <w:rPr>
          <w:sz w:val="20"/>
          <w:szCs w:val="20"/>
          <w:color w:val="auto"/>
        </w:rPr>
      </w:pPr>
    </w:p>
    <w:p>
      <w:pPr>
        <w:jc w:val="both"/>
        <w:ind w:firstLine="8"/>
        <w:spacing w:after="0" w:line="286" w:lineRule="auto"/>
        <w:tabs>
          <w:tab w:leader="none" w:pos="2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payment in connection with the Company’s liquidation and the distribution of its assets upon its failure to consummate a Business Combination. Solely for purposes of illustration, if the Company, at a time while the Warrants are outstanding and unexpired, pays a cash dividend of $0.35 and previously paid an aggregate of $0.40 of cash dividends and cash distributions on the Common Stock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of the Company’s initial Business Combination,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In case of any reclassification or reorganization of the outstanding shares of Common Stock (other than a change covered by Section 4.1, 4.2 or 4.3 hereof or that solely affects the par value of the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Common Stock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spacing w:after="0" w:line="28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Issuance in connection with a Business Combination</w:t>
      </w:r>
      <w:r>
        <w:rPr>
          <w:rFonts w:ascii="Arial" w:cs="Arial" w:eastAsia="Arial" w:hAnsi="Arial"/>
          <w:sz w:val="16"/>
          <w:szCs w:val="16"/>
          <w:color w:val="auto"/>
        </w:rPr>
        <w:t>. If, in connection with a Business Combination, the Company (a) issues additional shares of Common Stock or equity-linked securities at an issue price or effective issue price of less than $9.20 per share (with such issue price or effective issue price as determined by the Company’s Board of Directors, in good faith, and in the case of any such issuance to the Sponsor, the initial stockholders or their affiliates, without taking into account any shares of the Company’s Class B common stock, par value $0.0001 per share (the “Class B Common Stock”), issued prior to the Public Offering and held by the initial stockholders or their affiliates, as applicable, prior to such issuance) (the “Newly Issued Price”),</w:t>
      </w:r>
    </w:p>
    <w:p>
      <w:pPr>
        <w:spacing w:after="0" w:line="2" w:lineRule="exact"/>
        <w:rPr>
          <w:sz w:val="20"/>
          <w:szCs w:val="20"/>
          <w:color w:val="auto"/>
        </w:rPr>
      </w:pPr>
    </w:p>
    <w:p>
      <w:pPr>
        <w:jc w:val="both"/>
        <w:ind w:firstLine="8"/>
        <w:spacing w:after="0" w:line="252" w:lineRule="auto"/>
        <w:tabs>
          <w:tab w:leader="none" w:pos="2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gross proceeds from such issuances represent more than 60% of the total equity proceeds, and interest thereon, available for the funding of the Business Combination on the date of the consummation of such Business Combination (net of redemptions), and (c) the Market Value (as defined below) is below $9.20 per share, then the exercise price of the warrants will be adjusted (to the nearest cent) to be equal to 115% of the greater of (i) the Market Value or (ii) Newly Issued Price, and the Redemption Trigger Price (as defined below) will be adjusted (to the nearest cent) to be equal to 180% of the greater of (i) the Market Value or (ii) the Newly Issued Price. Solely for purposes of this Section 4.6, the “Market Value” shall mean the volume weighted average trading price of the Common Stock during the twenty (20) trading day period starting on the trading day prior to the date of the consummation of the Business Combination.</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4.4, 4.5, or 4.6,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 Fractional Warrants or Shares</w:t>
      </w:r>
      <w:r>
        <w:rPr>
          <w:rFonts w:ascii="Arial" w:cs="Arial" w:eastAsia="Arial" w:hAnsi="Arial"/>
          <w:sz w:val="18"/>
          <w:szCs w:val="18"/>
          <w:color w:val="auto"/>
        </w:rPr>
        <w:t>. Notwithstanding any provision contained in this Agreement to the contrary, the Company shall not issue fractional shares upon exercise of Warrants. If, by reason of any adjustment made pursuant to this Section 4, the holder of any Warrant would be entitled, upon the exercise of such Warrant, to receive a fractional interest in a share, the Company shall, upon such exercise, round up to the nearest whole number of shares of Common Stock to be issued to the Warrant 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Other Events</w:t>
      </w:r>
      <w:r>
        <w:rPr>
          <w:rFonts w:ascii="Arial" w:cs="Arial" w:eastAsia="Arial" w:hAnsi="Arial"/>
          <w:sz w:val="16"/>
          <w:szCs w:val="16"/>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w:t>
      </w:r>
    </w:p>
    <w:p>
      <w:pPr>
        <w:jc w:val="both"/>
        <w:ind w:firstLine="8"/>
        <w:spacing w:after="0" w:line="253" w:lineRule="auto"/>
        <w:tabs>
          <w:tab w:leader="none" w:pos="2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No Adjustment</w:t>
      </w:r>
      <w:r>
        <w:rPr>
          <w:rFonts w:ascii="Arial" w:cs="Arial" w:eastAsia="Arial" w:hAnsi="Arial"/>
          <w:sz w:val="16"/>
          <w:szCs w:val="16"/>
          <w:color w:val="auto"/>
        </w:rPr>
        <w:t>. For the avoidance of doubt, no adjustment shall be made to the terms of the Warrants solely as a result of an adjustment to the conversion ratio of the Class B Common Stock into shares of Common Stock or the conversion of the shares of Class B Common Stock into shares of Common Stock, in each case, pursuant to the Company’s Amended and Restated Certificate of Incorporation, as further amended from time to time.</w:t>
      </w:r>
    </w:p>
    <w:p>
      <w:pPr>
        <w:spacing w:after="0" w:line="149"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upon the Warrant Register, upon surrender of such Warrant for transfer, properly endorsed with signatures, in the case of certificated Warrants,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 for Surrender of Warrants</w:t>
      </w:r>
      <w:r>
        <w:rPr>
          <w:rFonts w:ascii="Arial" w:cs="Arial" w:eastAsia="Arial" w:hAnsi="Arial"/>
          <w:sz w:val="17"/>
          <w:szCs w:val="17"/>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right="2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or book-entry position for a fraction of a warrant, except as part of the Units.</w:t>
      </w:r>
    </w:p>
    <w:p>
      <w:pPr>
        <w:spacing w:after="0" w:line="17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Warrant Execution and Countersignature</w:t>
      </w:r>
      <w:r>
        <w:rPr>
          <w:rFonts w:ascii="Arial" w:cs="Arial" w:eastAsia="Arial" w:hAnsi="Arial"/>
          <w:sz w:val="18"/>
          <w:szCs w:val="18"/>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Private Warrants and Working Capital Warrants</w:t>
      </w:r>
      <w:r>
        <w:rPr>
          <w:rFonts w:ascii="Arial" w:cs="Arial" w:eastAsia="Arial" w:hAnsi="Arial"/>
          <w:sz w:val="17"/>
          <w:szCs w:val="17"/>
          <w:color w:val="auto"/>
        </w:rPr>
        <w:t>. The Warrant Agent shall not register any transfer of Private Warrants or Working Capital Warrants until after the consummation by the Company of an initial Business Combination, except for transfers (i) among the initial stockholders or to the Company’s or the initial stockholders’ members, officers, directors, consultants or their affiliates, (ii) to a holder’s stockholders or members upon the holder’s liquidation, in each case if the holder is an entity, (iii) by bona fide gift to a member of the holder’s immediate family or to a trust, the beneficiary of which is the holder or a member of the holder’s immediate family, in each case for estate planning purposes, (iv) by virtue of the laws of descent and distribution upon death, (v) pursuant to a qualified domestic relations order, (vi) to the Company for no value for cancellation in connection with the consummation of a Business Combination, (vii) in connection with the consummation of a Business Combination at prices no greater than the price at which the Warrants were originally purchased, (viii) in the event of the Company’s liquidation prior to its consummation of an initial Business Combination or (ix) in the event that, subsequent to the consummation of an initial Business Combination, the Company completes a liquidation, merger, capital stock exchange or other similar transaction which results in all of the Company’s stockholders having the right to exchange their Common Stock for cash, securities or other property, in each case (except for clauses (vi), (viii) or (ix) or with the Company’s prior written consent) on the condition that prior to such registration for transfer, the Warrant Agent shall be presented with written documentation pursuant to which each transferee (each, a “Permitted Transferee”) or the trustee or legal guardian for such Permitted Transferee agrees to be bound by the transfer restrictions contained in this Agreement and any other applicable agreement the transferor is bound by.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Transfers prior to Detachment</w:t>
      </w:r>
      <w:r>
        <w:rPr>
          <w:rFonts w:ascii="Arial" w:cs="Arial" w:eastAsia="Arial" w:hAnsi="Arial"/>
          <w:sz w:val="17"/>
          <w:szCs w:val="17"/>
          <w:color w:val="auto"/>
        </w:rPr>
        <w:t>.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Section 5.7 shall have no effect on any transfer of Warrants on or after the Detachment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Not less than all of the outstanding Warrants may be redeemed, at the option of the Company, at any time during the Exercise Period, at the office of the Warrant Agent, upon the notice referred to in Section 6.2, at the price of $0.01 per Warrant (“Redemption Price”), provided that the last sales price of the Common Stock equals or exceeds $18.00 per share (subject to adjustment in accordance with Section 4 hereof) (the “Redemption Trigger Price”),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shares of Common Stock issuable upon exercise of the Warrants, and a current prospectus relating thereto, available throughout the 30-day redemption or the Company has elected to require the exercise of the Warrants on a “cashless basis” pursuant to subsection 3.3.1(b); provided, however, that if and when the Public Warrants become redeemable by the Company, the Company may not exercise such redemption right if the issuance of shares of Common Stock upon exercise of the Public Warrants is not exempt from registration or qualification under applicable state blue sky laws or the Company is unable to effect such registration or qualification.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that are subject to redemption, the Company shall fix a date for the redemption (the “Redemption Date”).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Public Warrants may be exercised, for cash (or on a “cashless basis” in accordance with Section 3 of this Agreement) at any time after notice of redemption shall have been given by the Company pursuant to Section 6.2 hereof and prior to the Redemption Date. In the event the Company determines to require all holders of Public Warrants to exercise their Warrants on a “cashless basis” pursuant to Section 3.3.1(b), the notice of redemption will contain the information necessary to calculate the number of shares of Common Stock to be received upon exercise of the Warrants, including the “Fair Market Value” in such case. On and after the Redemption Date, the record holder of the Warrants shall have no further rights except to receive, upon surrender of the Warrants, the Redemption Price.</w:t>
      </w:r>
    </w:p>
    <w:p>
      <w:pPr>
        <w:spacing w:after="0" w:line="178"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Shares of Common Stock.</w:t>
      </w:r>
      <w:r>
        <w:rPr>
          <w:rFonts w:ascii="Arial" w:cs="Arial" w:eastAsia="Arial" w:hAnsi="Arial"/>
          <w:sz w:val="17"/>
          <w:szCs w:val="17"/>
          <w:color w:val="auto"/>
        </w:rPr>
        <w:t xml:space="preserve"> The Company shall at all times reserve and keep available a number of its authorized but unissued shares of Common Stock that will be sufficient to permit the exercise in full of all outstanding Warrants issued pursuant to this Agreement.</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that as soon as practicable after the closing of its initial Business Combination, it shall use its best efforts to file with the SEC a registration statement for the registration, under the Act, of the shares of Common Stock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Common Stock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SEC, and during any other period when the Company shall fail to have maintained an effective registration statement covering the shares of Common Stock issuable upon exercise of the Warrants, to exercise such Warrants on a “cashless basis” as determined in accordance with Section 3.3.1(c). The Company shall provide the Warrant Agent with an opinion of counsel for the Company (which shall be an outside law firm with securities law experience) stating that (i) the exercise of the Warrants on a cashless basis in accordance with this Section 7.4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For the avoidance of any doubt, unless and until all of the Warrants have been exercised on a cashless basis, the Company shall continue to be obligated to comply with its registration obligations under the first three sentences of this Section 7.4. The provisions of this Section 7.4 may not be modified, amended, or deleted without the prior written consent of the Representative.</w:t>
      </w:r>
    </w:p>
    <w:p>
      <w:pPr>
        <w:spacing w:after="0" w:line="174"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spacing w:after="0" w:line="308" w:lineRule="auto"/>
        <w:rPr>
          <w:sz w:val="20"/>
          <w:szCs w:val="20"/>
          <w:color w:val="auto"/>
        </w:rPr>
      </w:pPr>
      <w:r>
        <w:rPr>
          <w:rFonts w:ascii="Arial" w:cs="Arial" w:eastAsia="Arial" w:hAnsi="Arial"/>
          <w:sz w:val="17"/>
          <w:szCs w:val="17"/>
          <w:color w:val="auto"/>
        </w:rPr>
        <w:t xml:space="preserve">8.2.2. </w:t>
      </w:r>
      <w:r>
        <w:rPr>
          <w:rFonts w:ascii="Arial" w:cs="Arial" w:eastAsia="Arial" w:hAnsi="Arial"/>
          <w:sz w:val="17"/>
          <w:szCs w:val="17"/>
          <w:u w:val="single" w:color="auto"/>
          <w:color w:val="auto"/>
        </w:rPr>
        <w:t>Notice of Successor Warrant Agent</w:t>
      </w:r>
      <w:r>
        <w:rPr>
          <w:rFonts w:ascii="Arial" w:cs="Arial" w:eastAsia="Arial" w:hAnsi="Arial"/>
          <w:sz w:val="17"/>
          <w:szCs w:val="17"/>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Fees and Expenses of Warrant Agent</w:t>
      </w:r>
      <w:r>
        <w:rPr>
          <w:rFonts w:ascii="Arial" w:cs="Arial" w:eastAsia="Arial" w:hAnsi="Arial"/>
          <w:sz w:val="15"/>
          <w:szCs w:val="15"/>
          <w:color w:val="auto"/>
        </w:rPr>
        <w: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8.3.1. </w:t>
      </w:r>
      <w:r>
        <w:rPr>
          <w:rFonts w:ascii="Arial" w:cs="Arial" w:eastAsia="Arial" w:hAnsi="Arial"/>
          <w:sz w:val="16"/>
          <w:szCs w:val="16"/>
          <w:u w:val="single" w:color="auto"/>
          <w:color w:val="auto"/>
        </w:rPr>
        <w:t>Remuneration</w:t>
      </w:r>
      <w:r>
        <w:rPr>
          <w:rFonts w:ascii="Arial" w:cs="Arial" w:eastAsia="Arial" w:hAnsi="Arial"/>
          <w:sz w:val="16"/>
          <w:szCs w:val="16"/>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u w:val="single" w:color="auto"/>
          <w:color w:val="auto"/>
        </w:rPr>
        <w:t>Reliance on Company Statement</w:t>
      </w:r>
      <w:r>
        <w:rPr>
          <w:rFonts w:ascii="Arial" w:cs="Arial" w:eastAsia="Arial" w:hAnsi="Arial"/>
          <w:sz w:val="18"/>
          <w:szCs w:val="18"/>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Chief Operating Officer, President, Secretary or Chairman of the Board of Directors of the Company and delivered to the Warrant Agent. The Warrant Agent may rely upon such statement for any action taken or suffered in good faith by it pursuant to the provisions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fraud,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fraud, gross negligence, willful misconduct, or bad faith.</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Warrants.</w:t>
      </w:r>
    </w:p>
    <w:p>
      <w:pPr>
        <w:spacing w:after="0" w:line="187"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 Shahal Kahn, Chief Executive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spacing w:after="0" w:line="31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in each case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 Alex Weniger-Araujo,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Lucosky Brookman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 Wood Avenue South; 5th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Woodbridge, New Jersey 08830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Joseph M. Lucosky, Esq.</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Applicable Law and Exclusive Forum</w:t>
      </w:r>
      <w:r>
        <w:rPr>
          <w:rFonts w:ascii="Arial" w:cs="Arial" w:eastAsia="Arial" w:hAnsi="Arial"/>
          <w:sz w:val="17"/>
          <w:szCs w:val="17"/>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Subject to applicable law, the Company hereby agrees that any action, proceeding or claim against it arising out of or relating in any way to this Agreement, including under the Act,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spacing w:after="0" w:line="272" w:lineRule="auto"/>
        <w:rPr>
          <w:sz w:val="20"/>
          <w:szCs w:val="20"/>
          <w:color w:val="auto"/>
        </w:rPr>
      </w:pPr>
      <w:r>
        <w:rPr>
          <w:rFonts w:ascii="Arial" w:cs="Arial" w:eastAsia="Arial" w:hAnsi="Arial"/>
          <w:sz w:val="17"/>
          <w:szCs w:val="17"/>
          <w:color w:val="auto"/>
        </w:rPr>
        <w:t>Any person or entity purchasing or otherwise acquiring any interest in the Warrants shall be deemed to have notice of and to have consented to the forum provisions in this Section 9.3. If any action, the subject matter of which is within the scope the forum provisions above, is filed in a court other than a court located within the State of New York or the United States District Court for the Southern District of New York (a “foreign action”)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Agreement</w:t>
      </w:r>
      <w:r>
        <w:rPr>
          <w:rFonts w:ascii="Arial" w:cs="Arial" w:eastAsia="Arial" w:hAnsi="Arial"/>
          <w:sz w:val="16"/>
          <w:szCs w:val="16"/>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 Representatives with respect to Sections 7.4, 9.4, 9.8 hereof) and their successors and assigns and of the registered holders of the Warrants.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Warrant for inspection by it.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curing, correcting or supplementing any defective provision contained herein, or (ii)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at least 50% of the then outstanding Public Warrants. Notwithstanding the foregoing, the Company may lower the Warrant Price or extend the duration of the Exercise Period pursuant to Sections 3.1 and 3.2, respectively, without the consent of the registered holders. The provisions of this Section 9.8 may not be modified, amended or deleted without the prior written consent of the Representatives.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Warrant Agent acknowledges and agrees that it shall not make any claims or proceed against the trust account established by the Company in connection with the Public Offering (as more fully described in the Registration Statement) (“Trust Account”), including by way of set-off, and shall not be entitled to any funds in the Trust Account under any circumstance. In the event that the Warrant Agent has a claim against the Company under this Agreement, the Warrant Agent will pursue such claim solely against the Company and not against the property held in the Trust Account.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Warrant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 Legend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IN WITNESS WHEREOF, this Agreement has been duly executed by the parties hereto as of the day and year first above written.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ind w:left="5960"/>
        <w:spacing w:after="0"/>
        <w:tabs>
          <w:tab w:leader="none" w:pos="6400" w:val="left"/>
        </w:tabs>
        <w:rPr>
          <w:sz w:val="20"/>
          <w:szCs w:val="20"/>
          <w:color w:val="auto"/>
        </w:rPr>
      </w:pPr>
      <w:r>
        <w:rPr>
          <w:rFonts w:ascii="Arial" w:cs="Arial" w:eastAsia="Arial" w:hAnsi="Arial"/>
          <w:sz w:val="18"/>
          <w:szCs w:val="18"/>
          <w:color w:val="auto"/>
        </w:rPr>
        <w:t>By:</w:t>
        <w:tab/>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right="4519"/>
        <w:spacing w:after="0" w:line="277" w:lineRule="auto"/>
        <w:rPr>
          <w:sz w:val="20"/>
          <w:szCs w:val="20"/>
          <w:color w:val="auto"/>
        </w:rPr>
      </w:pPr>
      <w:r>
        <w:rPr>
          <w:rFonts w:ascii="Arial" w:cs="Arial" w:eastAsia="Arial" w:hAnsi="Arial"/>
          <w:sz w:val="18"/>
          <w:szCs w:val="18"/>
          <w:color w:val="auto"/>
        </w:rPr>
        <w:t>CONTINENTAL STOCK TRANSFER &amp; TRUST COMPANY, as Warrant Agent</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Ana Gois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Ana Gois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 Page to Warrant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WARRANT CERTIFICATE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attached]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December 10, 2021, is made and entered into by and among BurTech Acquisition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BurTech LP,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xml:space="preserve">”), (and together with any other parties listed on the signature pages hereto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Agreement, being referred to herein as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Sponsor have entered into that certain Securities Subscription Agreement, dated as of May 21, 2021,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the Sponsor purchased an aggregate of 8,625,000 shares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of the Company’s Class B common stock, par value $0.0001 per share;</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on September 24, 2021, the Company issued an additional 862,500 shares of Class B common stock to the Sponsor in connection with a 1.1 stock split, resulting in an aggregate of 9,487,500 Founder Shares, up to 1,237,500 of which will be forfeited to the Company for no consideration depending on the extent to which the underwriters of the Company’s initial public offering exercise their over-allotment option;</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Founder Shares are convertible into shares of the Company’s Class A common stock, par value $0.0001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on the terms and conditions provided in the Company’s amended and restated certificate of incorporation;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agreed to issue to EF Hutton, Division of Benchmark Investments, LLC.,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375,000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of the Company (the “</w:t>
      </w:r>
      <w:r>
        <w:rPr>
          <w:rFonts w:ascii="Arial" w:cs="Arial" w:eastAsia="Arial" w:hAnsi="Arial"/>
          <w:sz w:val="18"/>
          <w:szCs w:val="18"/>
          <w:b w:val="1"/>
          <w:bCs w:val="1"/>
          <w:i w:val="1"/>
          <w:iCs w:val="1"/>
          <w:color w:val="auto"/>
        </w:rPr>
        <w:t>Representative Shares</w:t>
      </w:r>
      <w:r>
        <w:rPr>
          <w:rFonts w:ascii="Arial" w:cs="Arial" w:eastAsia="Arial" w:hAnsi="Arial"/>
          <w:sz w:val="18"/>
          <w:szCs w:val="18"/>
          <w:color w:val="auto"/>
        </w:rPr>
        <w:t>”) and the Company also agreed to issue an additional of up to 56,250 Representative Shares upon exercise of the underwriters' over-allotment option;</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December 10 2021, the Company and the Sponsor entered into that certain Placement Unit Subscription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Sponsor Unit Subscription Agreement</w:t>
      </w:r>
      <w:r>
        <w:rPr>
          <w:rFonts w:ascii="Arial" w:cs="Arial" w:eastAsia="Arial" w:hAnsi="Arial"/>
          <w:sz w:val="18"/>
          <w:szCs w:val="18"/>
          <w:color w:val="auto"/>
        </w:rPr>
        <w:t>”), pursuant to which the Sponsor agreed to purchase 804,500 units (or up to 898,250 units to the extent the over-allotment option in connection with the Company’s initial public offering is exercised in full) (the “</w:t>
      </w:r>
      <w:r>
        <w:rPr>
          <w:rFonts w:ascii="Arial" w:cs="Arial" w:eastAsia="Arial" w:hAnsi="Arial"/>
          <w:sz w:val="18"/>
          <w:szCs w:val="18"/>
          <w:b w:val="1"/>
          <w:bCs w:val="1"/>
          <w:i w:val="1"/>
          <w:iCs w:val="1"/>
          <w:color w:val="auto"/>
        </w:rPr>
        <w:t>Sponsor Private Placement Units</w:t>
      </w:r>
      <w:r>
        <w:rPr>
          <w:rFonts w:ascii="Arial" w:cs="Arial" w:eastAsia="Arial" w:hAnsi="Arial"/>
          <w:sz w:val="18"/>
          <w:szCs w:val="18"/>
          <w:color w:val="auto"/>
        </w:rPr>
        <w:t>”), each unit consisting of one share of Common Stock and one warrant to purchase one share of Common Stock, in a private placement transaction occurring simultaneously with the closing of the Company’s initial public offering;</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finance the Company’s transaction costs in connection with an intended initial Business Combination (as defined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the Sponsor or an affiliate of the Sponsor or certain of the Company’s officers and directors may loan to the Company funds as the Company may require, of which up to $1,500,000 of such loans may be convertible into units, each unit consisting of one share of Common Stock and one-half of one warrant to purchase one share of Common Stock (“</w:t>
      </w:r>
      <w:r>
        <w:rPr>
          <w:rFonts w:ascii="Arial" w:cs="Arial" w:eastAsia="Arial" w:hAnsi="Arial"/>
          <w:sz w:val="17"/>
          <w:szCs w:val="17"/>
          <w:b w:val="1"/>
          <w:bCs w:val="1"/>
          <w:i w:val="1"/>
          <w:iCs w:val="1"/>
          <w:color w:val="auto"/>
        </w:rPr>
        <w:t>Working Capital Units</w:t>
      </w:r>
      <w:r>
        <w:rPr>
          <w:rFonts w:ascii="Arial" w:cs="Arial" w:eastAsia="Arial" w:hAnsi="Arial"/>
          <w:sz w:val="17"/>
          <w:szCs w:val="17"/>
          <w:color w:val="auto"/>
        </w:rPr>
        <w:t>”) at a price of $10.00 per unit; and</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The terms defined in this </w:t>
      </w:r>
      <w:r>
        <w:rPr>
          <w:rFonts w:ascii="Arial" w:cs="Arial" w:eastAsia="Arial" w:hAnsi="Arial"/>
          <w:sz w:val="17"/>
          <w:szCs w:val="17"/>
          <w:i w:val="1"/>
          <w:iCs w:val="1"/>
          <w:u w:val="single" w:color="auto"/>
          <w:color w:val="auto"/>
        </w:rPr>
        <w:t>Article I</w:t>
      </w:r>
      <w:r>
        <w:rPr>
          <w:rFonts w:ascii="Arial" w:cs="Arial" w:eastAsia="Arial" w:hAnsi="Arial"/>
          <w:sz w:val="17"/>
          <w:szCs w:val="17"/>
          <w:color w:val="auto"/>
        </w:rPr>
        <w:t xml:space="preserve"> shall, for all purposes of this Agreement, have the respective meanings set forth below:</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capital stock exchange, asset acquisition, stock purchase, reorganization or other similar business combination with one or more businesses, involving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 and shall be deemed to include the shares of Common Stock issuable upon conversion thereof.</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the period ending on the earlier of (A) six months after the completion of the Company’s initial Business Combination and (B) subsequent to the Business Combination, (x) if the reported last sale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December 10, 2021, by and among the Company, the Sponsor and each of the Company’s officers, directors, director nominees and advisors.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any person or entity to whom a Holder of Registrable Securities is permitted to transfer such Registrable Securities prior to the expiration of the Founder Shares Lock-up Period, under the Insider Letter, the Sponsor Subscription Agreement, this Agreement and any other applicable agreement between such Holder and the Company, and to any transferee thereafter.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xml:space="preserve">” shall mean (a) the Founder Shares and the shares of Common Stock issued or issuable upon the conversion of any Founder Shares, (b) the Representative Shares, (c) any outstanding share of the Common Stock or any other equity security (including the shares of Common Stock issued or issuable upon the exercise of any other equity security) of the Company held by a Holder as of the date of this Agreement, (d) any Working Capital Units (including the shares of Common Stock and warrants underlying the Working Capital Units, and the shares of Common Stock issued or issuable upon the exercise of the warrants underlying the Working Capital Units), and (e) any other equity security of the Company issued or issuable with respect to any such share of the Common Stock by way of a stock dividend or stock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firstLine="656"/>
        <w:spacing w:after="0" w:line="277" w:lineRule="auto"/>
        <w:tabs>
          <w:tab w:leader="none" w:pos="9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firstLine="656"/>
        <w:spacing w:after="0" w:line="277" w:lineRule="auto"/>
        <w:tabs>
          <w:tab w:leader="none" w:pos="933"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firstLine="656"/>
        <w:spacing w:after="0" w:line="277" w:lineRule="auto"/>
        <w:tabs>
          <w:tab w:leader="none" w:pos="9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firstLine="656"/>
        <w:spacing w:after="0" w:line="277" w:lineRule="auto"/>
        <w:tabs>
          <w:tab w:leader="none" w:pos="9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shall mean EF Hutton, a division of Benchmark Investments, LLC.</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 Shares</w:t>
      </w:r>
      <w:r>
        <w:rPr>
          <w:rFonts w:ascii="Arial" w:cs="Arial" w:eastAsia="Arial" w:hAnsi="Arial"/>
          <w:sz w:val="16"/>
          <w:szCs w:val="16"/>
          <w:color w:val="auto"/>
        </w:rPr>
        <w:t>” shall mean the 375,000 shares (or 431,250 shares upon full exercise of the underwriters' over-allotment option) of the Company’s Class A common stock issued to the Representative and its designees upon the consummation of the Company’s initial public offering.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Private Placement Units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Unit Subscription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Units</w:t>
      </w:r>
      <w:r>
        <w:rPr>
          <w:rFonts w:ascii="Arial" w:cs="Arial" w:eastAsia="Arial" w:hAnsi="Arial"/>
          <w:sz w:val="18"/>
          <w:szCs w:val="18"/>
          <w:color w:val="auto"/>
        </w:rPr>
        <w:t>” shall have the meaning given in the Recitals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Section 2.4 hereof, at any time and from time to time on or after the date the Company consummates the Business Combination, the Holders of at least a majority in interest of the then-outstanding number of Registrable Securities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972"/>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166"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b w:val="1"/>
          <w:bCs w:val="1"/>
          <w:i w:val="1"/>
          <w:iCs w:val="1"/>
          <w:color w:val="auto"/>
        </w:rPr>
        <w:t>Maximum Number of Securities</w:t>
      </w:r>
      <w:r>
        <w:rPr>
          <w:rFonts w:ascii="Arial" w:cs="Arial" w:eastAsia="Arial" w:hAnsi="Arial"/>
          <w:sz w:val="16"/>
          <w:szCs w:val="16"/>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6"/>
          <w:szCs w:val="16"/>
          <w:b w:val="1"/>
          <w:bCs w:val="1"/>
          <w:i w:val="1"/>
          <w:iCs w:val="1"/>
          <w:color w:val="auto"/>
        </w:rPr>
        <w:t>Pro Rata</w:t>
      </w:r>
      <w:r>
        <w:rPr>
          <w:rFonts w:ascii="Arial" w:cs="Arial" w:eastAsia="Arial" w:hAnsi="Arial"/>
          <w:sz w:val="16"/>
          <w:szCs w:val="16"/>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without exceeding the Maximum Number of Securities; and (iii) third, to the extent that the Maximum Number of Securities has not been reached under the foregoing clauses</w:t>
      </w:r>
    </w:p>
    <w:p>
      <w:pPr>
        <w:jc w:val="both"/>
        <w:ind w:firstLine="8"/>
        <w:spacing w:after="0" w:line="273" w:lineRule="auto"/>
        <w:tabs>
          <w:tab w:leader="none" w:pos="222"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972"/>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 (i) filed in connection with any employee stock option or other benefit plan, (ii) for an exchange offer or offering of securities solely to the Company’s existing stockholders,</w:t>
      </w:r>
    </w:p>
    <w:p>
      <w:pPr>
        <w:spacing w:after="0" w:line="2" w:lineRule="exact"/>
        <w:rPr>
          <w:sz w:val="20"/>
          <w:szCs w:val="20"/>
          <w:color w:val="auto"/>
        </w:rPr>
      </w:pPr>
    </w:p>
    <w:p>
      <w:pPr>
        <w:jc w:val="both"/>
        <w:ind w:firstLine="8"/>
        <w:spacing w:after="0" w:line="267" w:lineRule="auto"/>
        <w:tabs>
          <w:tab w:leader="none" w:pos="323"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shall enter into an underwriting agreement in customary form with the Underwriter(s) selected for such Underwritten Offering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972"/>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77" w:lineRule="exact"/>
        <w:rPr>
          <w:sz w:val="20"/>
          <w:szCs w:val="20"/>
          <w:color w:val="auto"/>
        </w:rPr>
      </w:pPr>
    </w:p>
    <w:p>
      <w:pPr>
        <w:jc w:val="both"/>
        <w:ind w:firstLine="1304"/>
        <w:spacing w:after="0" w:line="274" w:lineRule="auto"/>
        <w:tabs>
          <w:tab w:leader="none" w:pos="1572" w:val="left"/>
        </w:tabs>
        <w:numPr>
          <w:ilvl w:val="1"/>
          <w:numId w:val="58"/>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the Company shall include in any such Registration (A) first, the Common Stock or other equity securities that the Company desires to sell, which can be sold without exceeding the Maximum Number of Securities;</w:t>
      </w:r>
    </w:p>
    <w:p>
      <w:pPr>
        <w:jc w:val="both"/>
        <w:ind w:firstLine="8"/>
        <w:spacing w:after="0" w:line="281" w:lineRule="auto"/>
        <w:tabs>
          <w:tab w:leader="none" w:pos="31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which can be sold without exceeding the Maximum Number of Securities; and (C) third, to the extent that the Maximum Number of Securities has not been reached under the foregoing clauses</w:t>
      </w:r>
    </w:p>
    <w:p>
      <w:pPr>
        <w:spacing w:after="0" w:line="1" w:lineRule="exact"/>
        <w:rPr>
          <w:rFonts w:ascii="Arial" w:cs="Arial" w:eastAsia="Arial" w:hAnsi="Arial"/>
          <w:sz w:val="16"/>
          <w:szCs w:val="16"/>
          <w:color w:val="auto"/>
        </w:rPr>
      </w:pPr>
    </w:p>
    <w:p>
      <w:pPr>
        <w:ind w:firstLine="8"/>
        <w:spacing w:after="0" w:line="260" w:lineRule="auto"/>
        <w:tabs>
          <w:tab w:leader="none" w:pos="3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and (B), the Common Stock, if any, as to which Registration has been requested pursuant to written contractual piggy-back registration rights of other stockholders of the Company, which can be sold without exceeding the Maximum Number of Securities;</w:t>
      </w:r>
    </w:p>
    <w:p>
      <w:pPr>
        <w:spacing w:after="0" w:line="185" w:lineRule="exact"/>
        <w:rPr>
          <w:rFonts w:ascii="Arial" w:cs="Arial" w:eastAsia="Arial" w:hAnsi="Arial"/>
          <w:sz w:val="18"/>
          <w:szCs w:val="18"/>
          <w:color w:val="auto"/>
        </w:rPr>
      </w:pPr>
    </w:p>
    <w:p>
      <w:pPr>
        <w:jc w:val="both"/>
        <w:ind w:firstLine="1304"/>
        <w:spacing w:after="0" w:line="269" w:lineRule="auto"/>
        <w:tabs>
          <w:tab w:leader="none" w:pos="1561"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pro rata based on the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79"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16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Any Holder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Restrictions on Registration Rights</w:t>
      </w:r>
      <w:r>
        <w:rPr>
          <w:rFonts w:ascii="Arial" w:cs="Arial" w:eastAsia="Arial" w:hAnsi="Arial"/>
          <w:sz w:val="17"/>
          <w:szCs w:val="17"/>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defer its obligation in this manner more than once in any 12-month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4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requested by any Holder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8"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each Holder of Registrable Securities included in such Registration, and each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each Holder of Registrable Securities included in such Registration or the legal counsel for any such Holders may request in order to facilitate the disposition of the Registrable Securities owned by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972"/>
        <w:spacing w:after="0" w:line="253" w:lineRule="auto"/>
        <w:rPr>
          <w:sz w:val="20"/>
          <w:szCs w:val="20"/>
          <w:color w:val="auto"/>
        </w:rPr>
      </w:pPr>
      <w:r>
        <w:rPr>
          <w:rFonts w:ascii="Arial" w:cs="Arial" w:eastAsia="Arial" w:hAnsi="Arial"/>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any Holder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4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3.1.8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18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representatives or Underwriters enter into a confidentiality agreement, in form and substance reasonably satisfactory to the Company, prior to the release or disclosure of any such information;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972"/>
        <w:spacing w:after="0" w:line="311" w:lineRule="auto"/>
        <w:rPr>
          <w:sz w:val="20"/>
          <w:szCs w:val="20"/>
          <w:color w:val="auto"/>
        </w:rPr>
      </w:pPr>
      <w:r>
        <w:rPr>
          <w:rFonts w:ascii="Arial" w:cs="Arial" w:eastAsia="Arial" w:hAnsi="Arial"/>
          <w:sz w:val="16"/>
          <w:szCs w:val="16"/>
          <w:color w:val="auto"/>
        </w:rPr>
        <w:t>3.1.11 obtain a “cold comfort” letter from the Company’s independent registered public accountants in the event of an Underwritten Registration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4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w:t>
      </w:r>
    </w:p>
    <w:p>
      <w:pPr>
        <w:spacing w:after="0" w:line="46" w:lineRule="exact"/>
        <w:rPr>
          <w:sz w:val="20"/>
          <w:szCs w:val="20"/>
          <w:color w:val="auto"/>
        </w:rPr>
      </w:pPr>
    </w:p>
    <w:p>
      <w:pPr>
        <w:ind w:firstLine="8"/>
        <w:spacing w:after="0" w:line="323" w:lineRule="auto"/>
        <w:tabs>
          <w:tab w:leader="none" w:pos="3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months beginning with the first day of the Company’s first full calendar quarter after the effective date of the Registration Statement which satisfies the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Securities Act and Rule 158 thereunder (or any successor rule promulgated thereafter by the Commission);</w:t>
      </w:r>
    </w:p>
    <w:p>
      <w:pPr>
        <w:spacing w:after="0" w:line="138"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648"/>
        <w:spacing w:after="0" w:line="27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w:t>
      </w:r>
      <w:r>
        <w:rPr>
          <w:rFonts w:ascii="Arial" w:cs="Arial" w:eastAsia="Arial" w:hAnsi="Arial"/>
          <w:sz w:val="17"/>
          <w:szCs w:val="17"/>
          <w:u w:val="single" w:color="auto"/>
          <w:color w:val="auto"/>
        </w:rPr>
        <w:t>Sections 13(a)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15(d)</w:t>
      </w:r>
      <w:r>
        <w:rPr>
          <w:rFonts w:ascii="Arial" w:cs="Arial" w:eastAsia="Arial" w:hAnsi="Arial"/>
          <w:sz w:val="17"/>
          <w:szCs w:val="17"/>
          <w:color w:val="auto"/>
        </w:rPr>
        <w:t xml:space="preserve">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the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79"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972"/>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7"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777 SW 37th Avenue, Suite 510, Miami, FL 33135-3250,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5.2.2 Prior to the expiration of the Founder Shares Lock-up Period,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8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THE PARTIES AGREE THAT (I) THIS AGREEMENT SHALL BE GOVERNED BY AND CONSTRUED IN ACCORDANCE WITH THE LAW OF THE STATE OF NEW YORK AND (II) THE VENUE FOR ANY ACTION TAKEN WITH RESPECT TO THIS AGREEMENT SHALL BE ANY COURT OF THE STATE OF NEW YORK, SITTING IN THE CITY AND COUNTY OF NEW YORK OR THE UNITED STATES DISTRICT COURT FOR THE SOUTHERN DISTRICT OF NEW YORK.</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48"/>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the earlier of (i) the tenth anniversary of the date of this Agreement or (ii) the date as of which</w:t>
      </w:r>
    </w:p>
    <w:p>
      <w:pPr>
        <w:spacing w:after="0" w:line="46" w:lineRule="exact"/>
        <w:rPr>
          <w:sz w:val="20"/>
          <w:szCs w:val="20"/>
          <w:color w:val="auto"/>
        </w:rPr>
      </w:pPr>
    </w:p>
    <w:p>
      <w:pPr>
        <w:jc w:val="both"/>
        <w:ind w:firstLine="8"/>
        <w:spacing w:after="0" w:line="253" w:lineRule="auto"/>
        <w:tabs>
          <w:tab w:leader="none" w:pos="319"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under without registration pursuant to Rule 144 (or any similar provision) under the Securities Act without limitation on the amount of securities sold or the manner of sale.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Article IV</w:t>
      </w:r>
      <w:r>
        <w:rPr>
          <w:rFonts w:ascii="Arial" w:cs="Arial" w:eastAsia="Arial" w:hAnsi="Arial"/>
          <w:sz w:val="18"/>
          <w:szCs w:val="18"/>
          <w:color w:val="auto"/>
        </w:rPr>
        <w:t xml:space="preserve"> shall survive any termination.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Follows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 xml:space="preserve">BURTECH ACQUISITION CORP. </w:t>
      </w:r>
      <w:r>
        <w:rPr>
          <w:rFonts w:ascii="Arial" w:cs="Arial" w:eastAsia="Arial" w:hAnsi="Arial"/>
          <w:sz w:val="18"/>
          <w:szCs w:val="18"/>
          <w:color w:val="auto"/>
        </w:rPr>
        <w:t>a Delaware corporation</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14605</wp:posOffset>
            </wp:positionV>
            <wp:extent cx="32746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740"/>
        <w:spacing w:after="0"/>
        <w:tabs>
          <w:tab w:leader="none" w:pos="634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 xml:space="preserve">BURTECH LP, LLC, </w:t>
      </w:r>
      <w:r>
        <w:rPr>
          <w:rFonts w:ascii="Arial" w:cs="Arial" w:eastAsia="Arial" w:hAnsi="Arial"/>
          <w:sz w:val="18"/>
          <w:szCs w:val="18"/>
          <w:color w:val="auto"/>
        </w:rPr>
        <w:t>a Delaware limited liability company</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14605</wp:posOffset>
            </wp:positionV>
            <wp:extent cx="32746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EF HUTTON, DIVISION OF BENCHMARK INVESTMENTS, LLC.</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Sam Fleischman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14605</wp:posOffset>
            </wp:positionV>
            <wp:extent cx="32746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Sam Fleischman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Supervisory Principal</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443230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00"/>
          </w:cols>
          <w:pgMar w:left="660" w:top="904" w:right="4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10,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Pennsylvania Ave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letter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is being delivered to you in accordance with the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entered into by and among BurTech Acquisition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EF Hutton, division of Benchmark Investments, LLC., as representative (the “</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of the several underwriters (each, an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relating to an underwritten initial public offering (the “</w:t>
      </w:r>
      <w:r>
        <w:rPr>
          <w:rFonts w:ascii="Arial" w:cs="Arial" w:eastAsia="Arial" w:hAnsi="Arial"/>
          <w:sz w:val="16"/>
          <w:szCs w:val="16"/>
          <w:b w:val="1"/>
          <w:bCs w:val="1"/>
          <w:i w:val="1"/>
          <w:iCs w:val="1"/>
          <w:color w:val="auto"/>
        </w:rPr>
        <w:t>Public Offering</w:t>
      </w:r>
      <w:r>
        <w:rPr>
          <w:rFonts w:ascii="Arial" w:cs="Arial" w:eastAsia="Arial" w:hAnsi="Arial"/>
          <w:sz w:val="16"/>
          <w:szCs w:val="16"/>
          <w:color w:val="auto"/>
        </w:rPr>
        <w:t>”), of 25,000,000 of the Company’s units (including up to 3,750,000 units that may be purchased to cover over-allotments, if any)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each comprised of one share of the Company’s Class A common stock,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one redeemable warrant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Each Warrant entitles the holder thereof to purchase one share of Common Stock at a price of $11.50 per share, subject to adjustment. The Units will be sold in the Public Offering pursuant to a registration statement on Form S-1 (File No. 333-258914) and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filed by the Company with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and the Company has applied to have the Units listed on The Nasdaq Global Market. Certain capitalized terms used herein are defined in paragraph 11 hereof.</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Public Offering and for other good and valuable consideration, the receipt and sufficiency of which are hereby acknowledged, each of BurTech LP,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and the undersigned individuals, each of whom is a member of the Company’s board of directors and/or management team or an advisor of the Company (each, an “</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hereby agrees with the Company as follows:</w:t>
      </w:r>
    </w:p>
    <w:p>
      <w:pPr>
        <w:spacing w:after="0" w:line="187" w:lineRule="exact"/>
        <w:rPr>
          <w:sz w:val="20"/>
          <w:szCs w:val="20"/>
          <w:color w:val="auto"/>
        </w:rPr>
      </w:pPr>
    </w:p>
    <w:p>
      <w:pPr>
        <w:jc w:val="both"/>
        <w:ind w:firstLine="656"/>
        <w:spacing w:after="0" w:line="255" w:lineRule="auto"/>
        <w:tabs>
          <w:tab w:leader="none" w:pos="8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Sponsor, each Insider and the Representative (solely with respect to item (ii) of this paragraph 1) agrees that if the Company seeks stockholder approval of a proposed Business Combination, then in connection with such proposed Business Combination, it, he or she shall (i) vote any shares of Capital Stock owned by it, him or her in favor of any proposed Business Combination and (ii) not redeem any shares of Common Stock owned by it, him or her in connection with such stockholder approval. If the Company engages in a tender offer in connection with any proposed Business Combination, the Sponsor and each Insider agrees that it, he or she will not seek to sell or tender any shares of Capital Stock owned by it, him or her to the Company in connection with such tender offer.</w:t>
      </w:r>
    </w:p>
    <w:p>
      <w:pPr>
        <w:spacing w:after="0" w:line="192" w:lineRule="exact"/>
        <w:rPr>
          <w:rFonts w:ascii="Arial" w:cs="Arial" w:eastAsia="Arial" w:hAnsi="Arial"/>
          <w:sz w:val="18"/>
          <w:szCs w:val="18"/>
          <w:color w:val="auto"/>
        </w:rPr>
      </w:pPr>
    </w:p>
    <w:p>
      <w:pPr>
        <w:jc w:val="both"/>
        <w:ind w:firstLine="656"/>
        <w:spacing w:after="0" w:line="285" w:lineRule="auto"/>
        <w:tabs>
          <w:tab w:leader="none" w:pos="83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Sponsor and each Insider hereby agrees that in the event that the Company fails to consummate a Business Combination 12 months from the closing of the Public Offering, or by such later date as may be extended in accordance with the Company’s amended and restated certificate of incorporation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by a deposit of proceeds of additional loans by the Sponsor into the Trust Account or such later period approved by the Company’s stockholders in accordance with the Charter, the Sponsor and each Insider shall take all reasonable steps to cause the Company to (i) cease all operations except for the purpose of winding up, (ii) as promptly as reasonably possible but not more than 10 business days thereafter, subject to lawfully available funds therefor, redeem 100% of the shares of Common Stock sold as part of the Units in the Public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 at a per-share price, payable in cash, equal to the aggregate amount then on deposit in the Trust Account (as defined below), including interest earned on the funds held in the Trust Account and not previously released to the Company to pay its taxes (less up to $100,000 of interest to pay dissolution expenses), divided by the number of then outstanding Offering Shares, which redemption will completely extinguish the rights of all holders of Offering Shares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to the Company’s obligations under Delaware law to provide for claims of creditors and the requirements of other applicable law. The Sponsor and each Insider agrees not to propose any amendment to the Charter to modify (i) the substance or timing of the ability of holders of Offering Shares to seek redemption in connection with the Company’s initial Business Combination or amendments to the Charter prior thereto or (ii) (A) the Company’s obligation to redeem 100% of the Offering Shares if the Company does not complete its initial Business Combination within such time set forth in the Charter or (B) with respect to any other provision relating to stockholders' rights or pre-initial Business Combination activity, unless the Company provides the holders of the Offering Shares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Offering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both"/>
        <w:ind w:firstLine="648"/>
        <w:spacing w:after="0" w:line="284" w:lineRule="auto"/>
        <w:rPr>
          <w:sz w:val="20"/>
          <w:szCs w:val="20"/>
          <w:color w:val="auto"/>
        </w:rPr>
      </w:pPr>
      <w:r>
        <w:rPr>
          <w:rFonts w:ascii="Arial" w:cs="Arial" w:eastAsia="Arial" w:hAnsi="Arial"/>
          <w:sz w:val="16"/>
          <w:szCs w:val="16"/>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or Private Placement Shares held by it, him or her. The Sponsor and each Insider hereby further waives, with respect to any shares of Common Stock held by it, him or her, if any, whether acquired now or hereafter, any redemption rights it, he or she may have in connection with the consummation of a Business Combination or amendments to the Charter prior thereto, including, without limitation, any such rights available in the context of a stockholder vote to approve such Business Combination or a stockholder vote to approve an amendment to the Charter to modify (i) (A) the substance or timing of the Company’s obligation to redeem 100% of the Offering Shares if the Company has not consummated a Business Combination within the time period set forth in the Charter or</w:t>
      </w:r>
    </w:p>
    <w:p>
      <w:pPr>
        <w:spacing w:after="0" w:line="2" w:lineRule="exact"/>
        <w:rPr>
          <w:sz w:val="20"/>
          <w:szCs w:val="20"/>
          <w:color w:val="auto"/>
        </w:rPr>
      </w:pPr>
    </w:p>
    <w:p>
      <w:pPr>
        <w:jc w:val="both"/>
        <w:ind w:firstLine="8"/>
        <w:spacing w:after="0" w:line="253" w:lineRule="auto"/>
        <w:tabs>
          <w:tab w:leader="none" w:pos="30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provisions relating to stockholders’ rights or pre-initial Business Combination activity or (ii) in the context of a tender offer made by the Company to purchase shares of Common Stock (although the Sponsor, the Insiders and their respective affiliates shall be entitled to redemption and liquidation rights with respect to any Offering Shares it or they hold if the Company fails to consummate a Business Combination within the time period set forth in the Charter).</w:t>
      </w:r>
    </w:p>
    <w:p>
      <w:pPr>
        <w:spacing w:after="0" w:line="192" w:lineRule="exact"/>
        <w:rPr>
          <w:rFonts w:ascii="Arial" w:cs="Arial" w:eastAsia="Arial" w:hAnsi="Arial"/>
          <w:sz w:val="18"/>
          <w:szCs w:val="18"/>
          <w:color w:val="auto"/>
        </w:rPr>
      </w:pPr>
    </w:p>
    <w:p>
      <w:pPr>
        <w:jc w:val="both"/>
        <w:ind w:firstLine="656"/>
        <w:spacing w:after="0" w:line="268" w:lineRule="auto"/>
        <w:tabs>
          <w:tab w:leader="none" w:pos="831" w:val="left"/>
        </w:tabs>
        <w:numPr>
          <w:ilvl w:val="1"/>
          <w:numId w:val="64"/>
        </w:numPr>
        <w:rPr>
          <w:rFonts w:ascii="Arial" w:cs="Arial" w:eastAsia="Arial" w:hAnsi="Arial"/>
          <w:sz w:val="17"/>
          <w:szCs w:val="17"/>
          <w:color w:val="auto"/>
        </w:rPr>
      </w:pPr>
      <w:r>
        <w:rPr>
          <w:rFonts w:ascii="Arial" w:cs="Arial" w:eastAsia="Arial" w:hAnsi="Arial"/>
          <w:sz w:val="17"/>
          <w:szCs w:val="17"/>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the rules and regulations of the Commission promulgated thereunder, with respect to any Units, shares of Capital Stock, Warrants or any securities convertible into, or exercisable, or exchangeable for, shares of Capital Stock owned by it, him or her, (ii) enter into any swap or other arrangement that transfers to another, in whole or in part, any of the economic consequences of ownership of any Units, shares of Capital Stock, Warrants or any securities convertible into, or exercisable, or exchangeable for, shares of Capital Stock owned by it, him or her, whether any such transaction is to be settled by delivery of such securities, in cash or otherwise, or (iii) publicly announce any intention to effect any transaction specified in clause (i) or (ii). Each of the Insiders and the Sponsor acknowledges and agrees that, prior to the effective date of any release or waiver, of the restrictions set forth in this paragraph 3 or paragraph 7 below, the Company shall announce the impending release or waiver by press release through a major news service at least two business days before the effective date of the release or waiver. Any release or waiver granted shall only be effective two business days after the publication date of such press release. The provisions of this paragraph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181" w:lineRule="exact"/>
        <w:rPr>
          <w:rFonts w:ascii="Arial" w:cs="Arial" w:eastAsia="Arial" w:hAnsi="Arial"/>
          <w:sz w:val="17"/>
          <w:szCs w:val="17"/>
          <w:color w:val="auto"/>
        </w:rPr>
      </w:pPr>
    </w:p>
    <w:p>
      <w:pPr>
        <w:jc w:val="both"/>
        <w:ind w:firstLine="656"/>
        <w:spacing w:after="0" w:line="286" w:lineRule="auto"/>
        <w:tabs>
          <w:tab w:leader="none" w:pos="831"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 the event of the liquidation of the Trust Account upon the failure of the Company to consummate its initial Business Combination within the time period set forth in the Charter, the Sponsor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or (ii) any prospective target business with which the Company has entered into a written letter of intent, confidentiality or other similar agreement or Business Combination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 provided, however, that such indemnification of the Company by the Indemnitor shall (x) apply only to the extent necessary to ensure that such claims by a third party or a Target do not reduce the amount of funds in the Trust Account to below the lesser of (i) $10.15 per Offering Share and (ii) the actual amount per Offering Share held in the Trust Account as of the date of the liquidation of the Trust Account, if less than $10.15 per Offering Share is then held in the Trust Account due to reductions in the value of the trust assets, less interest earned on the Trust Account which may be withdrawn to pay taxes, (y) not apply to any claims by a third party or a Target which executed a waiver of any and all rights to the monies held in the Trust Account (whether or not such waiver is enforceable) and (z) not apply to any claims under the Company’s indemnity of the 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656"/>
        <w:spacing w:after="0" w:line="272" w:lineRule="auto"/>
        <w:tabs>
          <w:tab w:leader="none" w:pos="83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the extent that the Underwriters do not exercise their over-allotment option to purchase up to an additional 3,750,000 Units in full within 45 days from the date of the Prospectus (and as further described in the Prospectus), the Sponsor agrees to forfeit, at no cost, a number of Founder Shares in the aggregate equal to 1,237,500 shares of Class B common stock multiplied by a fraction, (i) the numerator of which is 3,750,000 minus the number of Units purchased by the Underwriters upon the exercise of their over-allotment option, and (ii) the denominator of which is 3,750,000. The forfeiture will be adjusted to the extent that the over-allotment option is not exercised in full by the Underwriters so that the Sponsor will be required to forfeit only that number of Founder Shares as is necessary so that the Initial Stockholders will own an aggregate of 25.0% of the Company’s issued and outstanding shares of Capital Stock after the Public Offering (not including the Private Placement Shares).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8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Sponsor and each Insider hereby agrees and acknowledges that: (i) the Underwriters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86" w:lineRule="exact"/>
        <w:rPr>
          <w:rFonts w:ascii="Arial" w:cs="Arial" w:eastAsia="Arial" w:hAnsi="Arial"/>
          <w:sz w:val="18"/>
          <w:szCs w:val="18"/>
          <w:color w:val="auto"/>
        </w:rPr>
      </w:pPr>
    </w:p>
    <w:p>
      <w:pPr>
        <w:jc w:val="both"/>
        <w:ind w:firstLine="656"/>
        <w:spacing w:after="0" w:line="272" w:lineRule="auto"/>
        <w:tabs>
          <w:tab w:leader="none" w:pos="846"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The Sponsor and each Insider agree that it, he or she shall not Transfer any Founder Shares (or shares of Common Stock issuable upon conversion thereof) until the earlier to occur of (A) six months after the completion of the Company’s initial Business Combination and (B) subsequent to the Company’s initial Business Combination, (x) if the reported last sale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 (the “</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w:t>
      </w:r>
    </w:p>
    <w:p>
      <w:pPr>
        <w:spacing w:after="0" w:line="177" w:lineRule="exact"/>
        <w:rPr>
          <w:sz w:val="20"/>
          <w:szCs w:val="20"/>
          <w:color w:val="auto"/>
        </w:rPr>
      </w:pPr>
    </w:p>
    <w:p>
      <w:pPr>
        <w:jc w:val="both"/>
        <w:ind w:firstLine="656"/>
        <w:spacing w:after="0" w:line="259" w:lineRule="auto"/>
        <w:tabs>
          <w:tab w:leader="none" w:pos="901"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Sponsor and each Insider agrees that it, he or she shall not Transfer any Private Placement Units, the Private Placement Shares, the Private Placement Warrants or shares of Common Stock issued or issuable upon the exercise of the Private Placement Warrants, until 30 days after the completion of the initial Business Combination (the “</w:t>
      </w:r>
      <w:r>
        <w:rPr>
          <w:rFonts w:ascii="Arial" w:cs="Arial" w:eastAsia="Arial" w:hAnsi="Arial"/>
          <w:sz w:val="18"/>
          <w:szCs w:val="18"/>
          <w:b w:val="1"/>
          <w:bCs w:val="1"/>
          <w:i w:val="1"/>
          <w:iCs w:val="1"/>
          <w:color w:val="auto"/>
        </w:rPr>
        <w:t>Private Placement Units Lock-up Period</w:t>
      </w:r>
      <w:r>
        <w:rPr>
          <w:rFonts w:ascii="Arial" w:cs="Arial" w:eastAsia="Arial" w:hAnsi="Arial"/>
          <w:sz w:val="18"/>
          <w:szCs w:val="18"/>
          <w:color w:val="auto"/>
        </w:rPr>
        <w:t>”, together with the Founder Shares Lock-up Period, the “</w:t>
      </w:r>
      <w:r>
        <w:rPr>
          <w:rFonts w:ascii="Arial" w:cs="Arial" w:eastAsia="Arial" w:hAnsi="Arial"/>
          <w:sz w:val="18"/>
          <w:szCs w:val="18"/>
          <w:b w:val="1"/>
          <w:bCs w:val="1"/>
          <w:i w:val="1"/>
          <w:iCs w:val="1"/>
          <w:color w:val="auto"/>
        </w:rPr>
        <w:t>Lock-up Periods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3" w:lineRule="auto"/>
        <w:tabs>
          <w:tab w:leader="none" w:pos="925"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Notwithstanding the provisions set forth in paragraphs 7(a) and 7(b), Transfers of the Founder Shares, Private Placement Units, Private Placement Shares, Private Placement Warrants and shares of Common Stock issued or issuable upon the exercise or conversion of the Private Placement Warrants or the Founder Shares that are held by the Sponsor, any Insider or any of their permitted transferees (that have complied with this paragraph 7(c)), are permitted (i) to the Company’s officers or directors, any affiliate or family member of any of the Company’s officers or directors or any members of the Sponsor or any affiliates of the Sponsor;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such individual; (d) in the case of an individual, pursuant to a qualified domestic relations order; (e) by private sales or transfers made in connection with the consummation of an initial Business Combination at prices no greater than the price at which the securities were originally purchased; (f) in the event of the Company’s liquidation prior to the completion of an initial Business Combination; (g) by virtue of the laws of the State of Delaware or the Sponsor’s limited liability company agreement upon dissolution of the Sponsor; or</w:t>
      </w:r>
    </w:p>
    <w:p>
      <w:pPr>
        <w:spacing w:after="0" w:line="4" w:lineRule="exact"/>
        <w:rPr>
          <w:rFonts w:ascii="Arial" w:cs="Arial" w:eastAsia="Arial" w:hAnsi="Arial"/>
          <w:sz w:val="16"/>
          <w:szCs w:val="16"/>
          <w:color w:val="auto"/>
        </w:rPr>
      </w:pPr>
    </w:p>
    <w:p>
      <w:pPr>
        <w:jc w:val="both"/>
        <w:ind w:firstLine="8"/>
        <w:spacing w:after="0" w:line="253" w:lineRule="auto"/>
        <w:tabs>
          <w:tab w:leader="none" w:pos="286"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in the event of the Company’s liquidation, merger, capital stock exchange, reorganization or other similar transaction which results in all of the Company’s stockholders having the right to exchange their shares of Common Stock for cash, securities or other property subsequent to the Company’s completion of an initial Business Combination;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clauses (a) through (e) or (g),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56"/>
        <w:spacing w:after="0" w:line="284" w:lineRule="auto"/>
        <w:tabs>
          <w:tab w:leader="none" w:pos="834"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Sponsor and each Insider represent and warrant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Each Insider’s questionnaire furnished to the Company is true and accurate in all respects.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pertaining to any dealings in any securities and it, he or she is not currently a defendant in any such criminal proceeding.</w:t>
      </w:r>
    </w:p>
    <w:p>
      <w:pPr>
        <w:spacing w:after="0" w:line="210" w:lineRule="exact"/>
        <w:rPr>
          <w:rFonts w:ascii="Arial" w:cs="Arial" w:eastAsia="Arial" w:hAnsi="Arial"/>
          <w:sz w:val="18"/>
          <w:szCs w:val="18"/>
          <w:color w:val="auto"/>
        </w:rPr>
      </w:pPr>
    </w:p>
    <w:p>
      <w:pPr>
        <w:jc w:val="both"/>
        <w:ind w:firstLine="656"/>
        <w:spacing w:after="0" w:line="269" w:lineRule="auto"/>
        <w:tabs>
          <w:tab w:leader="none" w:pos="837" w:val="left"/>
        </w:tabs>
        <w:numPr>
          <w:ilvl w:val="1"/>
          <w:numId w:val="69"/>
        </w:numPr>
        <w:rPr>
          <w:rFonts w:ascii="Arial" w:cs="Arial" w:eastAsia="Arial" w:hAnsi="Arial"/>
          <w:sz w:val="17"/>
          <w:szCs w:val="17"/>
          <w:color w:val="auto"/>
        </w:rPr>
      </w:pPr>
      <w:r>
        <w:rPr>
          <w:rFonts w:ascii="Arial" w:cs="Arial" w:eastAsia="Arial" w:hAnsi="Arial"/>
          <w:sz w:val="17"/>
          <w:szCs w:val="17"/>
          <w:color w:val="auto"/>
        </w:rPr>
        <w:t>Except as disclosed in the Prospectus, neither the Sponsor nor any officer or director of the Company nor any affiliate of the Sponsor nor any affiliate of any officer or director of the Company, shall receive from the Company any finder’s fee, reimbursement, consulting fee,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up to an aggregate of $300,000 in loans made to the Company by the Sponsor to cover offering-related and organizational expenses; reimbursement for any reasonable out-of-pocket expenses related to identifying, investigating and completing an initial Business Combination; and repayment of non-interest bearing loans which may be made by the Sponsor or an affiliate of the Sponsor or certain of the Company’s officers and directors to finance transaction costs in connection with an intended initial Business Combination, the terms of which (other than as described above) have not been determined nor have any written agreements been executed with respect thereto. Up to $1,500,000 of such loans may be convertible into units, at a price of $10.00 per unit at the option of the lender, upon consummation of the initial Business Combination. The units would be identical to the Private Placement Units.</w:t>
      </w:r>
    </w:p>
    <w:p>
      <w:pPr>
        <w:spacing w:after="0" w:line="181" w:lineRule="exact"/>
        <w:rPr>
          <w:rFonts w:ascii="Arial" w:cs="Arial" w:eastAsia="Arial" w:hAnsi="Arial"/>
          <w:sz w:val="17"/>
          <w:szCs w:val="17"/>
          <w:color w:val="auto"/>
        </w:rPr>
      </w:pPr>
    </w:p>
    <w:p>
      <w:pPr>
        <w:jc w:val="both"/>
        <w:ind w:firstLine="656"/>
        <w:spacing w:after="0" w:line="259" w:lineRule="auto"/>
        <w:tabs>
          <w:tab w:leader="none" w:pos="91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 and/or director of the Company.</w:t>
      </w:r>
    </w:p>
    <w:p>
      <w:pPr>
        <w:spacing w:after="0" w:line="186" w:lineRule="exact"/>
        <w:rPr>
          <w:rFonts w:ascii="Arial" w:cs="Arial" w:eastAsia="Arial" w:hAnsi="Arial"/>
          <w:sz w:val="18"/>
          <w:szCs w:val="18"/>
          <w:color w:val="auto"/>
        </w:rPr>
      </w:pPr>
    </w:p>
    <w:p>
      <w:pPr>
        <w:jc w:val="both"/>
        <w:ind w:firstLine="656"/>
        <w:spacing w:after="0" w:line="287" w:lineRule="auto"/>
        <w:tabs>
          <w:tab w:leader="none" w:pos="919" w:val="left"/>
        </w:tabs>
        <w:numPr>
          <w:ilvl w:val="1"/>
          <w:numId w:val="69"/>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capital stock exchange, asset acquisition, stock purchase, reorganization or similar business combination, involving the Company and one or more businesses; (ii) “</w:t>
      </w:r>
      <w:r>
        <w:rPr>
          <w:rFonts w:ascii="Arial" w:cs="Arial" w:eastAsia="Arial" w:hAnsi="Arial"/>
          <w:sz w:val="16"/>
          <w:szCs w:val="16"/>
          <w:b w:val="1"/>
          <w:bCs w:val="1"/>
          <w:i w:val="1"/>
          <w:iCs w:val="1"/>
          <w:color w:val="auto"/>
        </w:rPr>
        <w:t>Capital Stock</w:t>
      </w:r>
      <w:r>
        <w:rPr>
          <w:rFonts w:ascii="Arial" w:cs="Arial" w:eastAsia="Arial" w:hAnsi="Arial"/>
          <w:sz w:val="16"/>
          <w:szCs w:val="16"/>
          <w:color w:val="auto"/>
        </w:rPr>
        <w:t>” shall mean, collectively, the Common Stock and the Founder Shares; (iii)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(a) the 9,487,500 shares of the Company’s Class B common stock, par value $0.0001 per share, issued</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 Initial Stockholders (up to 1,237,500 Shares of which are subject to complete or partial forfeiture by the Sponsor if the over-allotment option is not exercised by the Underwriters) for an aggregate purchase price of $25,000, or $0.003 per share, prior to the consummation of the Public Offering; (iv) “</w:t>
      </w:r>
      <w:r>
        <w:rPr>
          <w:rFonts w:ascii="Arial" w:cs="Arial" w:eastAsia="Arial" w:hAnsi="Arial"/>
          <w:sz w:val="17"/>
          <w:szCs w:val="17"/>
          <w:b w:val="1"/>
          <w:bCs w:val="1"/>
          <w:i w:val="1"/>
          <w:iCs w:val="1"/>
          <w:color w:val="auto"/>
        </w:rPr>
        <w:t>Initial Stockholders</w:t>
      </w:r>
      <w:r>
        <w:rPr>
          <w:rFonts w:ascii="Arial" w:cs="Arial" w:eastAsia="Arial" w:hAnsi="Arial"/>
          <w:sz w:val="17"/>
          <w:szCs w:val="17"/>
          <w:color w:val="auto"/>
        </w:rPr>
        <w:t>” shall mean the Sponsor, the holders of Representative Shares and any Insider that holds Founder Shares;</w:t>
      </w:r>
    </w:p>
    <w:p>
      <w:pPr>
        <w:jc w:val="both"/>
        <w:ind w:firstLine="8"/>
        <w:spacing w:after="0" w:line="266" w:lineRule="auto"/>
        <w:tabs>
          <w:tab w:leader="none" w:pos="268"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Private Placement Shares</w:t>
      </w:r>
      <w:r>
        <w:rPr>
          <w:rFonts w:ascii="Arial" w:cs="Arial" w:eastAsia="Arial" w:hAnsi="Arial"/>
          <w:sz w:val="17"/>
          <w:szCs w:val="17"/>
          <w:color w:val="auto"/>
        </w:rPr>
        <w:t>” shall mean the 804,500 shares of Common Stock comprising the Private Placement Units (or up to 898,250 shares of Common Stock if the over-allotment option is exercised in full); (vi) “</w:t>
      </w:r>
      <w:r>
        <w:rPr>
          <w:rFonts w:ascii="Arial" w:cs="Arial" w:eastAsia="Arial" w:hAnsi="Arial"/>
          <w:sz w:val="17"/>
          <w:szCs w:val="17"/>
          <w:b w:val="1"/>
          <w:bCs w:val="1"/>
          <w:i w:val="1"/>
          <w:iCs w:val="1"/>
          <w:color w:val="auto"/>
        </w:rPr>
        <w:t>Private Placement Units</w:t>
      </w:r>
      <w:r>
        <w:rPr>
          <w:rFonts w:ascii="Arial" w:cs="Arial" w:eastAsia="Arial" w:hAnsi="Arial"/>
          <w:sz w:val="17"/>
          <w:szCs w:val="17"/>
          <w:color w:val="auto"/>
        </w:rPr>
        <w:t>” shall mean the 804,500 units to be purchased by the Sponsor, or up to 898,250 units if the over-allotment option is exercised in full, each comprised of one share of Common Stock and one warrant to purchase one share of Common Stock that the Sponsor has agreed to purchase for an aggregate purchase price of $8,045,000 (or up to $8,982,500 if the over-allotment option is exercised in full), or purchase price of $10.00 per Private Placement Unit, in a private placement that shall occur simultaneously with the consummation of the Public Offering; (vii) “</w:t>
      </w:r>
      <w:r>
        <w:rPr>
          <w:rFonts w:ascii="Arial" w:cs="Arial" w:eastAsia="Arial" w:hAnsi="Arial"/>
          <w:sz w:val="17"/>
          <w:szCs w:val="17"/>
          <w:b w:val="1"/>
          <w:bCs w:val="1"/>
          <w:i w:val="1"/>
          <w:iCs w:val="1"/>
          <w:color w:val="auto"/>
        </w:rPr>
        <w:t>Private Placement Warrants</w:t>
      </w:r>
      <w:r>
        <w:rPr>
          <w:rFonts w:ascii="Arial" w:cs="Arial" w:eastAsia="Arial" w:hAnsi="Arial"/>
          <w:sz w:val="17"/>
          <w:szCs w:val="17"/>
          <w:color w:val="auto"/>
        </w:rPr>
        <w:t>” shall mean the Warrants to purchase up to 804,500 shares of Common Stock (or up to 898,250 shares of Common Stock if the over-allotment option is exercised in full) comprising the Private Placement Units; (viii)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shall mean the 375,000 shares of Class A common stock (or up to 431,250 Representative Shares upon exercise of the underwriters' over-allotment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of Common Stock issued to the Representative; (ix) “</w:t>
      </w:r>
      <w:r>
        <w:rPr>
          <w:rFonts w:ascii="Arial" w:cs="Arial" w:eastAsia="Arial" w:hAnsi="Arial"/>
          <w:sz w:val="17"/>
          <w:szCs w:val="17"/>
          <w:b w:val="1"/>
          <w:bCs w:val="1"/>
          <w:i w:val="1"/>
          <w:iCs w:val="1"/>
          <w:color w:val="auto"/>
        </w:rPr>
        <w:t>Public Stockholders</w:t>
      </w:r>
      <w:r>
        <w:rPr>
          <w:rFonts w:ascii="Arial" w:cs="Arial" w:eastAsia="Arial" w:hAnsi="Arial"/>
          <w:sz w:val="17"/>
          <w:szCs w:val="17"/>
          <w:color w:val="auto"/>
        </w:rPr>
        <w:t>” shall mean the holders of securities issued in the Public Offering, including initial stockholders and members of management to the extent they purchase shares in the Public Offering; (x)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shall mean the trust fund into which a portion of the net proceeds of the Public Offering shall be deposited; and (xi)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56"/>
        <w:spacing w:after="0" w:line="263" w:lineRule="auto"/>
        <w:tabs>
          <w:tab w:leader="none" w:pos="93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will maintain an insurance policy or policies providing directors’ and officers’ liability insurance, and each Director shall be covered by such policy or policies, in accordance with its or their terms, to the maximum extent of the coverage available for any of the Company’s directors or officers.</w:t>
      </w:r>
    </w:p>
    <w:p>
      <w:pPr>
        <w:spacing w:after="0" w:line="183" w:lineRule="exact"/>
        <w:rPr>
          <w:rFonts w:ascii="Arial" w:cs="Arial" w:eastAsia="Arial" w:hAnsi="Arial"/>
          <w:sz w:val="18"/>
          <w:szCs w:val="18"/>
          <w:color w:val="auto"/>
        </w:rPr>
      </w:pPr>
    </w:p>
    <w:p>
      <w:pPr>
        <w:jc w:val="both"/>
        <w:ind w:firstLine="656"/>
        <w:spacing w:after="0" w:line="279" w:lineRule="auto"/>
        <w:tabs>
          <w:tab w:leader="none" w:pos="938"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71" w:lineRule="exact"/>
        <w:rPr>
          <w:rFonts w:ascii="Arial" w:cs="Arial" w:eastAsia="Arial" w:hAnsi="Arial"/>
          <w:sz w:val="17"/>
          <w:szCs w:val="17"/>
          <w:color w:val="auto"/>
        </w:rPr>
      </w:pPr>
    </w:p>
    <w:p>
      <w:pPr>
        <w:jc w:val="both"/>
        <w:ind w:firstLine="656"/>
        <w:spacing w:after="0" w:line="259" w:lineRule="auto"/>
        <w:tabs>
          <w:tab w:leader="none" w:pos="942"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186" w:lineRule="exact"/>
        <w:rPr>
          <w:rFonts w:ascii="Arial" w:cs="Arial" w:eastAsia="Arial" w:hAnsi="Arial"/>
          <w:sz w:val="18"/>
          <w:szCs w:val="18"/>
          <w:color w:val="auto"/>
        </w:rPr>
      </w:pPr>
    </w:p>
    <w:p>
      <w:pPr>
        <w:ind w:firstLine="656"/>
        <w:spacing w:after="0" w:line="277" w:lineRule="auto"/>
        <w:tabs>
          <w:tab w:leader="none" w:pos="9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Letter Agreement shall be governed by and construed in accordance with the law of the State of New York. The parties hereto (i) all agree that any action, proceeding, claim or dispute arising out of, or relating in any way to, this Letter Agreement shall be brought and enforced in the courts of the State of New York, sitting in the County and City of New York City or in the United States District Court for the Southern District of New York, and irrevocably submit to such jurisdiction and venue, which jurisdiction and venue shall be exclusive and (ii) waive any objection to such exclusive jurisdiction and venue or that such courts represent an inconvenient forum.</w:t>
      </w:r>
    </w:p>
    <w:p>
      <w:pPr>
        <w:spacing w:after="0" w:line="187" w:lineRule="exact"/>
        <w:rPr>
          <w:rFonts w:ascii="Arial" w:cs="Arial" w:eastAsia="Arial" w:hAnsi="Arial"/>
          <w:sz w:val="18"/>
          <w:szCs w:val="18"/>
          <w:color w:val="auto"/>
        </w:rPr>
      </w:pPr>
    </w:p>
    <w:p>
      <w:pPr>
        <w:ind w:firstLine="656"/>
        <w:spacing w:after="0" w:line="342" w:lineRule="auto"/>
        <w:tabs>
          <w:tab w:leader="none" w:pos="926"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56"/>
        <w:spacing w:after="0" w:line="263" w:lineRule="auto"/>
        <w:tabs>
          <w:tab w:leader="none" w:pos="9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Letter Agreement shall terminate on the earlier of (i) the expiration of the Lock-up Periods or (ii) the liquidation of the Company; provided, however, that this Letter Agreement shall earlier terminate in the event that the Public Offering is not consummated and closed by December 31, 2021; provided further that paragraph 4 of this Letter Agreement shall survive such liquidation.</w:t>
      </w:r>
    </w:p>
    <w:p>
      <w:pPr>
        <w:spacing w:after="0" w:line="183" w:lineRule="exact"/>
        <w:rPr>
          <w:rFonts w:ascii="Arial" w:cs="Arial" w:eastAsia="Arial" w:hAnsi="Arial"/>
          <w:sz w:val="18"/>
          <w:szCs w:val="18"/>
          <w:color w:val="auto"/>
        </w:rPr>
      </w:pPr>
    </w:p>
    <w:p>
      <w:pPr>
        <w:ind w:firstLine="656"/>
        <w:spacing w:after="0" w:line="277" w:lineRule="auto"/>
        <w:tabs>
          <w:tab w:leader="none" w:pos="9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the Sponsor and each Insider hereby acknowledges and agrees that the Representative on behalf of the Underwriters is a third party beneficiary of this Letter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694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LP,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Shahal Khan</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Roman Livson</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Leon Golden</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Joseph Porrello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Joseph Porrello</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Young</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Payel Farasat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Payel Farasat</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Isaac Chetrit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Isaac Chetrit</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Schroeder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Name: Christopher Schroeder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 HUTTON, DIVISION OF BENCHMARK INVESTMENTS,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Sam Fleischman</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Sam Fleischman</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Supervisory Principal</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Acknowledged and Agreed:</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BURTECH ACQUISITION CORP.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Shahal Khan</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Shahal Kahn</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20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Investment Management Trust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effective as of December 10, 2021, by and between BurTech Acquisition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a New York corporation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WHEREAS, the Company’s registration statement on Form S-1, File No. 333-258914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and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for the initial public offering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of which consists of one share of the Company’s Class A common stock,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 redeemable warrant, each warrant entitling the holder thereof to purchase one share of Common Stock upon the consummation of the Company’s initial business combination (such initial public offering hereinafter referred to as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has been declared effective as of the date hereof by the U.S. Securities and Exchange Commission; and</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EF Hutton, division of Benchmark Investments, LLC.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of the several underwriters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named therein; and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if a Business Combination (as defined herein) is not consummated within the fifteen (15) months following the closing of the Offering, subject to the Company’s sponsor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or its affiliates or permitted designees depositing $253,750,000 (or $291,812,500 if the Underwriters’ over-allotment option is exercised in full) into the Trust Account no later than the 15 month anniversary of the Offering (, an “</w:t>
      </w:r>
      <w:r>
        <w:rPr>
          <w:rFonts w:ascii="Arial" w:cs="Arial" w:eastAsia="Arial" w:hAnsi="Arial"/>
          <w:sz w:val="18"/>
          <w:szCs w:val="18"/>
          <w:b w:val="1"/>
          <w:bCs w:val="1"/>
          <w:i w:val="1"/>
          <w:iCs w:val="1"/>
          <w:color w:val="auto"/>
        </w:rPr>
        <w:t>Applicable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Deadline</w:t>
      </w:r>
      <w:r>
        <w:rPr>
          <w:rFonts w:ascii="Arial" w:cs="Arial" w:eastAsia="Arial" w:hAnsi="Arial"/>
          <w:sz w:val="18"/>
          <w:szCs w:val="18"/>
          <w:color w:val="auto"/>
        </w:rPr>
        <w:t>”) for each three month extension (each, an “</w:t>
      </w:r>
      <w:r>
        <w:rPr>
          <w:rFonts w:ascii="Arial" w:cs="Arial" w:eastAsia="Arial" w:hAnsi="Arial"/>
          <w:sz w:val="18"/>
          <w:szCs w:val="18"/>
          <w:b w:val="1"/>
          <w:bCs w:val="1"/>
          <w:i w:val="1"/>
          <w:iCs w:val="1"/>
          <w:color w:val="auto"/>
        </w:rPr>
        <w:t>Extension</w:t>
      </w:r>
      <w:r>
        <w:rPr>
          <w:rFonts w:ascii="Arial" w:cs="Arial" w:eastAsia="Arial" w:hAnsi="Arial"/>
          <w:sz w:val="18"/>
          <w:szCs w:val="18"/>
          <w:color w:val="auto"/>
        </w:rPr>
        <w:t>”), in exchange for which the Sponsor will receive a non-interest bearing,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promissory note for each Extension payable upon consummation of a Business Combination; and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WHEREAS, as described in the Prospectus, $253,750,000 of the gross proceeds of the Offering and sale of the Private Placement Units (as defined in the Underwriting Agreement) (or $291,812,500 if the Underwriters’ over-allotment option is exercised in full) and the proceeds from any loans in connection with an Extension, if any, will be delivered to the Trustee to be deposited and held in a segregated trust account located at all times in the United States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for the benefit of the Company and the holders of the Common Stock included in the Units issued in the Offering as hereinafter provided (the amount to be delivered to the Trustee (and any interest subsequently earned thereon) is referred to herein as the “</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the stockholders for whose benefit the Trustee shall hold the Property will be referred to as the “</w:t>
      </w:r>
      <w:r>
        <w:rPr>
          <w:rFonts w:ascii="Arial" w:cs="Arial" w:eastAsia="Arial" w:hAnsi="Arial"/>
          <w:sz w:val="17"/>
          <w:szCs w:val="17"/>
          <w:b w:val="1"/>
          <w:bCs w:val="1"/>
          <w:i w:val="1"/>
          <w:iCs w:val="1"/>
          <w:color w:val="auto"/>
        </w:rPr>
        <w:t>Public Stockholders,</w:t>
      </w:r>
      <w:r>
        <w:rPr>
          <w:rFonts w:ascii="Arial" w:cs="Arial" w:eastAsia="Arial" w:hAnsi="Arial"/>
          <w:sz w:val="17"/>
          <w:szCs w:val="17"/>
          <w:color w:val="auto"/>
        </w:rPr>
        <w:t>” and the Public Stockholders and the Company will be referred to together as the “</w:t>
      </w:r>
      <w:r>
        <w:rPr>
          <w:rFonts w:ascii="Arial" w:cs="Arial" w:eastAsia="Arial" w:hAnsi="Arial"/>
          <w:sz w:val="17"/>
          <w:szCs w:val="17"/>
          <w:b w:val="1"/>
          <w:bCs w:val="1"/>
          <w:i w:val="1"/>
          <w:iCs w:val="1"/>
          <w:color w:val="auto"/>
        </w:rPr>
        <w:t>Beneficiaries</w:t>
      </w:r>
      <w:r>
        <w:rPr>
          <w:rFonts w:ascii="Arial" w:cs="Arial" w:eastAsia="Arial" w:hAnsi="Arial"/>
          <w:sz w:val="17"/>
          <w:szCs w:val="17"/>
          <w:color w:val="auto"/>
        </w:rPr>
        <w:t>”);</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pursuant to the Underwriting Agreement, a portion of the Property equal to $8,750,000, or $10,062,500 if the Underwriters’ over-allotment option is exercised in full, is attributable to deferred underwriting discounts and commissions that will be payable by the Company to the Underwriters upon and concurrently with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 and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840" w:hanging="184"/>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980"/>
        <w:spacing w:after="0" w:line="286" w:lineRule="auto"/>
        <w:tabs>
          <w:tab w:leader="none" w:pos="1231" w:val="left"/>
        </w:tabs>
        <w:numPr>
          <w:ilvl w:val="1"/>
          <w:numId w:val="73"/>
        </w:numPr>
        <w:rPr>
          <w:rFonts w:ascii="Arial" w:cs="Arial" w:eastAsia="Arial" w:hAnsi="Arial"/>
          <w:sz w:val="17"/>
          <w:szCs w:val="17"/>
          <w:color w:val="auto"/>
        </w:rPr>
      </w:pPr>
      <w:r>
        <w:rPr>
          <w:rFonts w:ascii="Arial" w:cs="Arial" w:eastAsia="Arial" w:hAnsi="Arial"/>
          <w:sz w:val="17"/>
          <w:szCs w:val="17"/>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and at a brokerage institution selected by the Trustee that is reasonably satisfactory to the Company;</w:t>
      </w:r>
    </w:p>
    <w:p>
      <w:pPr>
        <w:spacing w:after="0" w:line="165" w:lineRule="exact"/>
        <w:rPr>
          <w:rFonts w:ascii="Arial" w:cs="Arial" w:eastAsia="Arial" w:hAnsi="Arial"/>
          <w:sz w:val="17"/>
          <w:szCs w:val="17"/>
          <w:color w:val="auto"/>
        </w:rPr>
      </w:pPr>
    </w:p>
    <w:p>
      <w:pPr>
        <w:ind w:left="1240" w:hanging="260"/>
        <w:spacing w:after="0"/>
        <w:tabs>
          <w:tab w:leader="none" w:pos="12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both"/>
        <w:ind w:left="-980" w:firstLine="980"/>
        <w:spacing w:after="0" w:line="255" w:lineRule="auto"/>
        <w:tabs>
          <w:tab w:leader="none" w:pos="257"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 timely manner, upon the written instruction of the Company, invest and reinvest the Property solely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it being understood that the Trust Account will earn no interest while account funds are uninvested awaiting the Company’s instructions hereunder and the Trustee may earn bank credits or other consideration;</w:t>
      </w:r>
    </w:p>
    <w:p>
      <w:pPr>
        <w:spacing w:after="0" w:line="192" w:lineRule="exact"/>
        <w:rPr>
          <w:rFonts w:ascii="Arial" w:cs="Arial" w:eastAsia="Arial" w:hAnsi="Arial"/>
          <w:sz w:val="18"/>
          <w:szCs w:val="18"/>
          <w:color w:val="auto"/>
        </w:rPr>
      </w:pPr>
    </w:p>
    <w:p>
      <w:pPr>
        <w:ind w:left="-980" w:right="200" w:firstLine="980"/>
        <w:spacing w:after="0" w:line="277" w:lineRule="auto"/>
        <w:tabs>
          <w:tab w:leader="none" w:pos="2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Collect and receive, when due, all interest or other income arising from the Property, which shall become part of the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as such term is used herein;</w:t>
      </w:r>
    </w:p>
    <w:p>
      <w:pPr>
        <w:spacing w:after="0" w:line="170" w:lineRule="exact"/>
        <w:rPr>
          <w:rFonts w:ascii="Arial" w:cs="Arial" w:eastAsia="Arial" w:hAnsi="Arial"/>
          <w:sz w:val="18"/>
          <w:szCs w:val="18"/>
          <w:color w:val="auto"/>
        </w:rPr>
      </w:pPr>
    </w:p>
    <w:p>
      <w:pPr>
        <w:ind w:left="-980" w:firstLine="980"/>
        <w:spacing w:after="0" w:line="277" w:lineRule="auto"/>
        <w:tabs>
          <w:tab w:leader="none" w:pos="237"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Promptly notify the Company and the Representative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left="-980" w:firstLine="980"/>
        <w:spacing w:after="0" w:line="277" w:lineRule="auto"/>
        <w:tabs>
          <w:tab w:leader="none" w:pos="2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left="-980" w:right="20" w:firstLine="980"/>
        <w:spacing w:after="0" w:line="277" w:lineRule="auto"/>
        <w:tabs>
          <w:tab w:leader="none" w:pos="254"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left="-980" w:right="20" w:firstLine="980"/>
        <w:spacing w:after="0" w:line="277" w:lineRule="auto"/>
        <w:tabs>
          <w:tab w:leader="none" w:pos="2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jc w:val="both"/>
        <w:ind w:left="-980" w:firstLine="980"/>
        <w:spacing w:after="0" w:line="286" w:lineRule="auto"/>
        <w:tabs>
          <w:tab w:leader="none" w:pos="213"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(x) receipt of, and only in accordance with, the terms of a letter from the Company (“</w:t>
      </w:r>
      <w:r>
        <w:rPr>
          <w:rFonts w:ascii="Arial" w:cs="Arial" w:eastAsia="Arial" w:hAnsi="Arial"/>
          <w:sz w:val="16"/>
          <w:szCs w:val="16"/>
          <w:b w:val="1"/>
          <w:bCs w:val="1"/>
          <w:i w:val="1"/>
          <w:iCs w:val="1"/>
          <w:color w:val="auto"/>
        </w:rPr>
        <w:t>Termination Letter</w:t>
      </w:r>
      <w:r>
        <w:rPr>
          <w:rFonts w:ascii="Arial" w:cs="Arial" w:eastAsia="Arial" w:hAnsi="Arial"/>
          <w:sz w:val="16"/>
          <w:szCs w:val="16"/>
          <w:color w:val="auto"/>
        </w:rPr>
        <w:t xml:space="preserve">”) in a form substantially similar to that attached hereto as either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as applicable, signed on behalf of the Company by at least two of its Chief Executive Officer, Chief Financial Officer, President, Executive Vice President, Vice President, Secretary or Chairman of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xml:space="preserve">”) or other authorized officer of the Company, and, in the case of a Termination Letter in a form substantially similar to the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acknowledged and agreed to by the Representative, and complete the liquidation of the Trust Account and distribute the Property in the Trust Account, including interest not previously released to the Company to pay its taxes (less up to $100,000 of interest that may be released to the Company to pay dissolution expenses), only as directed in the Termination Letter and the other documents referred to therein, or (y) upon the date which is the latest of (1) 12 months after the closing of the Offering, (2) such later date upon one or more Extensions effectuated pursuant to the terms hereof and (3) such later date as may be approved by the Company’s stockholders in accordance with the Company’s amended and restated certificate of incorporation, as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xml:space="preserve">”),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Property in the Trust Account, including interest not previously released to the Company to pay its taxes (less up to $100,000 of interest that may be released to the Company to pay dissolution expenses) shall be distributed to the Public Stockholders of record as of such date;</w:t>
      </w:r>
    </w:p>
    <w:p>
      <w:pPr>
        <w:spacing w:after="0" w:line="173" w:lineRule="exact"/>
        <w:rPr>
          <w:rFonts w:ascii="Arial" w:cs="Arial" w:eastAsia="Arial" w:hAnsi="Arial"/>
          <w:sz w:val="16"/>
          <w:szCs w:val="16"/>
          <w:color w:val="auto"/>
        </w:rPr>
      </w:pPr>
    </w:p>
    <w:p>
      <w:pPr>
        <w:jc w:val="both"/>
        <w:ind w:left="-980" w:firstLine="980"/>
        <w:spacing w:after="0" w:line="269" w:lineRule="auto"/>
        <w:tabs>
          <w:tab w:leader="none" w:pos="226"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there is not sufficient cash in the Trust Account to pay such tax obligation, the Trustee shall liquidate such assets held in the Trust Account as shall be designated by the Company in writing to make such distribution, so long as there is no reduction in the principal amount per share initially deposited in the Trust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tax to be paid is a franchise tax, the written request by the Company to make such distribution shall be accompanied by a copy of the franchise tax bill from the State of Delaware for the Company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415925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90" w:name="page91"/>
    <w:bookmarkEnd w:id="90"/>
    <w:p>
      <w:pPr>
        <w:jc w:val="both"/>
        <w:ind w:left="-332" w:firstLine="980"/>
        <w:spacing w:after="0" w:line="290" w:lineRule="auto"/>
        <w:tabs>
          <w:tab w:leader="none" w:pos="912"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the Trustee shall distribute on behalf of the Company the amount requested by the Company to be used to redeem shares of Common Stock from Public Stockholders properly submitted in connection with a stockholder vote to approve an amendment to the Charter to modify the substance or timing of the ability of Public Stockholders to seek redemption in connection with an initial Business Combination or amendments to the Charter prior thereto or the Company’s obligation to redeem 100% of its shares of Common Stock included in the Units sold in the offering (the “</w:t>
      </w:r>
      <w:r>
        <w:rPr>
          <w:rFonts w:ascii="Arial" w:cs="Arial" w:eastAsia="Arial" w:hAnsi="Arial"/>
          <w:sz w:val="16"/>
          <w:szCs w:val="16"/>
          <w:b w:val="1"/>
          <w:bCs w:val="1"/>
          <w:i w:val="1"/>
          <w:iCs w:val="1"/>
          <w:color w:val="auto"/>
        </w:rPr>
        <w:t>public shares</w:t>
      </w:r>
      <w:r>
        <w:rPr>
          <w:rFonts w:ascii="Arial" w:cs="Arial" w:eastAsia="Arial" w:hAnsi="Arial"/>
          <w:sz w:val="16"/>
          <w:szCs w:val="16"/>
          <w:color w:val="auto"/>
        </w:rPr>
        <w:t>”) if the Company has not consummated an initial Business Combination within such time as is described in the Charter or with respect to any other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65" w:lineRule="exact"/>
        <w:rPr>
          <w:rFonts w:ascii="Arial" w:cs="Arial" w:eastAsia="Arial" w:hAnsi="Arial"/>
          <w:sz w:val="16"/>
          <w:szCs w:val="16"/>
          <w:color w:val="auto"/>
        </w:rPr>
      </w:pPr>
    </w:p>
    <w:p>
      <w:pPr>
        <w:ind w:left="868" w:hanging="220"/>
        <w:spacing w:after="0"/>
        <w:tabs>
          <w:tab w:leader="none" w:pos="868"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(k) above.</w:t>
      </w:r>
    </w:p>
    <w:p>
      <w:pPr>
        <w:spacing w:after="0" w:line="225" w:lineRule="exact"/>
        <w:rPr>
          <w:rFonts w:ascii="Arial" w:cs="Arial" w:eastAsia="Arial" w:hAnsi="Arial"/>
          <w:sz w:val="18"/>
          <w:szCs w:val="18"/>
          <w:color w:val="auto"/>
        </w:rPr>
      </w:pPr>
    </w:p>
    <w:p>
      <w:pPr>
        <w:jc w:val="both"/>
        <w:ind w:left="-332" w:firstLine="980"/>
        <w:spacing w:after="0" w:line="263" w:lineRule="auto"/>
        <w:tabs>
          <w:tab w:leader="none" w:pos="958" w:val="left"/>
        </w:tabs>
        <w:numPr>
          <w:ilvl w:val="1"/>
          <w:numId w:val="75"/>
        </w:numPr>
        <w:rPr>
          <w:rFonts w:ascii="Arial" w:cs="Arial" w:eastAsia="Arial" w:hAnsi="Arial"/>
          <w:sz w:val="18"/>
          <w:szCs w:val="18"/>
          <w:color w:val="auto"/>
        </w:rPr>
      </w:pPr>
      <w:r>
        <w:rPr>
          <w:rFonts w:ascii="Arial" w:cs="Arial" w:eastAsia="Arial" w:hAnsi="Arial"/>
          <w:sz w:val="18"/>
          <w:szCs w:val="18"/>
          <w:color w:val="auto"/>
        </w:rPr>
        <w:t>Upon receipt of an extension letter (“</w:t>
      </w:r>
      <w:r>
        <w:rPr>
          <w:rFonts w:ascii="Arial" w:cs="Arial" w:eastAsia="Arial" w:hAnsi="Arial"/>
          <w:sz w:val="18"/>
          <w:szCs w:val="18"/>
          <w:b w:val="1"/>
          <w:bCs w:val="1"/>
          <w:i w:val="1"/>
          <w:iCs w:val="1"/>
          <w:color w:val="auto"/>
        </w:rPr>
        <w:t>Extension Letter</w:t>
      </w:r>
      <w:r>
        <w:rPr>
          <w:rFonts w:ascii="Arial" w:cs="Arial" w:eastAsia="Arial" w:hAnsi="Arial"/>
          <w:sz w:val="18"/>
          <w:szCs w:val="18"/>
          <w:color w:val="auto"/>
        </w:rPr>
        <w:t xml:space="preserve">”) substantially similar to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at least ten business days prior to the Applicable Deadline, signed on behalf of the Company by an executive officer, and receipt of the dollar amount specified in the Extension Letter on or prior to the Applicable Deadline, follow the instructions set forth in the Extension Letter.</w:t>
      </w:r>
    </w:p>
    <w:p>
      <w:pPr>
        <w:spacing w:after="0" w:line="183" w:lineRule="exact"/>
        <w:rPr>
          <w:rFonts w:ascii="Arial" w:cs="Arial" w:eastAsia="Arial" w:hAnsi="Arial"/>
          <w:sz w:val="18"/>
          <w:szCs w:val="18"/>
          <w:color w:val="auto"/>
        </w:rPr>
      </w:pPr>
    </w:p>
    <w:p>
      <w:pPr>
        <w:ind w:left="188" w:hanging="188"/>
        <w:spacing w:after="0"/>
        <w:tabs>
          <w:tab w:leader="none" w:pos="18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left="-332" w:firstLine="980"/>
        <w:spacing w:after="0" w:line="257" w:lineRule="auto"/>
        <w:tabs>
          <w:tab w:leader="none" w:pos="888"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at least two of the Company’s Chairman of the Board, Chief Executive Officer, Chief Financial Officer, President, Executive Vice President, Vice President or Secretary.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7" w:lineRule="exact"/>
        <w:rPr>
          <w:rFonts w:ascii="Arial" w:cs="Arial" w:eastAsia="Arial" w:hAnsi="Arial"/>
          <w:sz w:val="18"/>
          <w:szCs w:val="18"/>
          <w:color w:val="auto"/>
        </w:rPr>
      </w:pPr>
    </w:p>
    <w:p>
      <w:pPr>
        <w:jc w:val="both"/>
        <w:ind w:left="-332" w:firstLine="980"/>
        <w:spacing w:after="0" w:line="288" w:lineRule="auto"/>
        <w:tabs>
          <w:tab w:leader="none" w:pos="922"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i w:val="1"/>
          <w:iCs w:val="1"/>
          <w:color w:val="auto"/>
        </w:rPr>
        <w:t>Indemnified Claim</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left="-332" w:firstLine="980"/>
        <w:spacing w:after="0" w:line="254" w:lineRule="auto"/>
        <w:tabs>
          <w:tab w:leader="none" w:pos="9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Pay the Trustee the fees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Section 1(i) upon consummation of a Business Combination (defined below). The Company shall pay the Trustee the initial acceptance fee and the first annual administration fee at the consummation of the Offering. The Trustee shall refund to the Company the annual administration fee (on a pro rata basis) with respect to any period after the liquidation of the Trust Account. The Company shall not be responsible for any other fees or charges of the Trustee except as set forth in this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and as may be provided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424180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91" w:name="page92"/>
    <w:bookmarkEnd w:id="91"/>
    <w:p>
      <w:pPr>
        <w:jc w:val="both"/>
        <w:ind w:left="-656" w:firstLine="980"/>
        <w:spacing w:after="0" w:line="259" w:lineRule="auto"/>
        <w:tabs>
          <w:tab w:leader="none" w:pos="57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merger, capital stock exchange, asset acquisition, stock purchase, reorganization or similar business combination involving the Company and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provide to the Trustee an affidavit or certificate of the inspector of elections for the stockholder meeting verifying the vote of such stockholders regarding such Business Combination;</w:t>
      </w:r>
    </w:p>
    <w:p>
      <w:pPr>
        <w:spacing w:after="0" w:line="186" w:lineRule="exact"/>
        <w:rPr>
          <w:rFonts w:ascii="Arial" w:cs="Arial" w:eastAsia="Arial" w:hAnsi="Arial"/>
          <w:sz w:val="18"/>
          <w:szCs w:val="18"/>
          <w:color w:val="auto"/>
        </w:rPr>
      </w:pPr>
    </w:p>
    <w:p>
      <w:pPr>
        <w:ind w:left="-656" w:firstLine="980"/>
        <w:spacing w:after="0" w:line="277" w:lineRule="auto"/>
        <w:tabs>
          <w:tab w:leader="none" w:pos="584"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jc w:val="both"/>
        <w:ind w:left="-656" w:firstLine="980"/>
        <w:spacing w:after="0" w:line="259" w:lineRule="auto"/>
        <w:tabs>
          <w:tab w:leader="none" w:pos="574"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Unless otherwise agreed between the Company and the Representative, ensure that any Instruction Letter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delivered in connection with a Termination Letter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expressly provides that the Deferred Discount is paid directly to the account or accounts directed by the Representative on behalf of the Underwriters prior to any transfer of the funds held in the Trust Account to the Company or any other person;</w:t>
      </w:r>
    </w:p>
    <w:p>
      <w:pPr>
        <w:spacing w:after="0" w:line="186" w:lineRule="exact"/>
        <w:rPr>
          <w:rFonts w:ascii="Arial" w:cs="Arial" w:eastAsia="Arial" w:hAnsi="Arial"/>
          <w:sz w:val="18"/>
          <w:szCs w:val="18"/>
          <w:color w:val="auto"/>
        </w:rPr>
      </w:pPr>
    </w:p>
    <w:p>
      <w:pPr>
        <w:ind w:left="-656" w:firstLine="980"/>
        <w:spacing w:after="0" w:line="277" w:lineRule="auto"/>
        <w:tabs>
          <w:tab w:leader="none" w:pos="58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70" w:lineRule="exact"/>
        <w:rPr>
          <w:rFonts w:ascii="Arial" w:cs="Arial" w:eastAsia="Arial" w:hAnsi="Arial"/>
          <w:sz w:val="18"/>
          <w:szCs w:val="18"/>
          <w:color w:val="auto"/>
        </w:rPr>
      </w:pPr>
    </w:p>
    <w:p>
      <w:pPr>
        <w:jc w:val="both"/>
        <w:ind w:left="-656" w:firstLine="980"/>
        <w:spacing w:after="0" w:line="263" w:lineRule="auto"/>
        <w:tabs>
          <w:tab w:leader="none" w:pos="5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Within four (4) business days after the Underwriters exercise the over-allotment option (or any unexercised portion thereof) or such over-allotment option expires, provide the Trustee with a notice in writing of the total amount of the Deferred Discount, which shall in no event be less than $8,750,000 or $10,062,500 if the over-allotment is exercised in full.</w:t>
      </w:r>
    </w:p>
    <w:p>
      <w:pPr>
        <w:spacing w:after="0" w:line="184" w:lineRule="exact"/>
        <w:rPr>
          <w:sz w:val="20"/>
          <w:szCs w:val="20"/>
          <w:color w:val="auto"/>
        </w:rPr>
      </w:pPr>
    </w:p>
    <w:p>
      <w:pPr>
        <w:jc w:val="both"/>
        <w:ind w:left="-656" w:firstLine="980"/>
        <w:spacing w:after="0" w:line="263" w:lineRule="auto"/>
        <w:tabs>
          <w:tab w:leader="none" w:pos="595"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applicable, issue a press release at least three days prior to the Applicable Deadline announcing that, at least ten days prior to the Applicable Deadline, the Company received notice from the Sponsor that the Sponsor intends to deposit funds into the Trust Account for extending the Applicable Deadline and the Board has approved such Extension.</w:t>
      </w:r>
    </w:p>
    <w:p>
      <w:pPr>
        <w:spacing w:after="0" w:line="183" w:lineRule="exact"/>
        <w:rPr>
          <w:rFonts w:ascii="Arial" w:cs="Arial" w:eastAsia="Arial" w:hAnsi="Arial"/>
          <w:sz w:val="18"/>
          <w:szCs w:val="18"/>
          <w:color w:val="auto"/>
        </w:rPr>
      </w:pPr>
    </w:p>
    <w:p>
      <w:pPr>
        <w:ind w:left="-656" w:firstLine="980"/>
        <w:spacing w:after="0" w:line="277" w:lineRule="auto"/>
        <w:tabs>
          <w:tab w:leader="none" w:pos="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Promptly following the Applicable Deadline, disclose whether or not the deadline for the Company to consummate a Business Combination has been extended.</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left="-656" w:right="20" w:firstLine="980"/>
        <w:spacing w:after="0" w:line="277" w:lineRule="auto"/>
        <w:tabs>
          <w:tab w:leader="none" w:pos="596" w:val="left"/>
        </w:tabs>
        <w:numPr>
          <w:ilvl w:val="1"/>
          <w:numId w:val="79"/>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left="-656" w:firstLine="980"/>
        <w:spacing w:after="0" w:line="277" w:lineRule="auto"/>
        <w:tabs>
          <w:tab w:leader="none" w:pos="572"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the Trustee shall have no liability to any third party except for liability arising out of the Trustee’s gross negligence, fraud or willful misconduct;</w:t>
      </w:r>
    </w:p>
    <w:p>
      <w:pPr>
        <w:spacing w:after="0" w:line="170" w:lineRule="exact"/>
        <w:rPr>
          <w:rFonts w:ascii="Arial" w:cs="Arial" w:eastAsia="Arial" w:hAnsi="Arial"/>
          <w:sz w:val="18"/>
          <w:szCs w:val="18"/>
          <w:color w:val="auto"/>
        </w:rPr>
      </w:pPr>
    </w:p>
    <w:p>
      <w:pPr>
        <w:jc w:val="both"/>
        <w:ind w:left="-656" w:firstLine="980"/>
        <w:spacing w:after="0" w:line="263" w:lineRule="auto"/>
        <w:tabs>
          <w:tab w:leader="none" w:pos="561"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584" w:hanging="260"/>
        <w:spacing w:after="0"/>
        <w:tabs>
          <w:tab w:leader="none" w:pos="584"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left="-656" w:firstLine="980"/>
        <w:spacing w:after="0" w:line="308" w:lineRule="auto"/>
        <w:tabs>
          <w:tab w:leader="none" w:pos="553" w:val="left"/>
        </w:tabs>
        <w:numPr>
          <w:ilvl w:val="1"/>
          <w:numId w:val="79"/>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393700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2" w:name="page93"/>
    <w:bookmarkEnd w:id="92"/>
    <w:p>
      <w:pPr>
        <w:jc w:val="both"/>
        <w:ind w:firstLine="980"/>
        <w:spacing w:after="0" w:line="290" w:lineRule="auto"/>
        <w:tabs>
          <w:tab w:leader="none" w:pos="119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65" w:lineRule="exact"/>
        <w:rPr>
          <w:rFonts w:ascii="Arial" w:cs="Arial" w:eastAsia="Arial" w:hAnsi="Arial"/>
          <w:sz w:val="16"/>
          <w:szCs w:val="16"/>
          <w:color w:val="auto"/>
        </w:rPr>
      </w:pPr>
    </w:p>
    <w:p>
      <w:pPr>
        <w:ind w:left="1240" w:hanging="260"/>
        <w:spacing w:after="0"/>
        <w:tabs>
          <w:tab w:leader="none" w:pos="1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firstLine="980"/>
        <w:spacing w:after="0" w:line="277" w:lineRule="auto"/>
        <w:tabs>
          <w:tab w:leader="none" w:pos="12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firstLine="980"/>
        <w:spacing w:after="0" w:line="308" w:lineRule="auto"/>
        <w:tabs>
          <w:tab w:leader="none" w:pos="121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46" w:lineRule="exact"/>
        <w:rPr>
          <w:rFonts w:ascii="Arial" w:cs="Arial" w:eastAsia="Arial" w:hAnsi="Arial"/>
          <w:sz w:val="17"/>
          <w:szCs w:val="17"/>
          <w:color w:val="auto"/>
        </w:rPr>
      </w:pPr>
    </w:p>
    <w:p>
      <w:pPr>
        <w:jc w:val="both"/>
        <w:ind w:firstLine="980"/>
        <w:spacing w:after="0" w:line="263" w:lineRule="auto"/>
        <w:tabs>
          <w:tab w:leader="none" w:pos="1191"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franchise and income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4"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 xml:space="preserve">(k) Verify calculations, qualify or otherwise approve the Company’s written requests for distributions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56"/>
        <w:spacing w:after="0" w:line="257" w:lineRule="auto"/>
        <w:tabs>
          <w:tab w:leader="none" w:pos="82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firstLine="980"/>
        <w:spacing w:after="0" w:line="271" w:lineRule="auto"/>
        <w:tabs>
          <w:tab w:leader="none" w:pos="1232"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firstLine="980"/>
        <w:spacing w:after="0" w:line="263" w:lineRule="auto"/>
        <w:tabs>
          <w:tab w:leader="none" w:pos="1235"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(which section may not be amended under any circumstances)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left="840" w:hanging="184"/>
        <w:spacing w:after="0"/>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72" w:lineRule="auto"/>
        <w:tabs>
          <w:tab w:leader="none" w:pos="1217"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77" w:lineRule="exact"/>
        <w:rPr>
          <w:rFonts w:ascii="Arial" w:cs="Arial" w:eastAsia="Arial" w:hAnsi="Arial"/>
          <w:sz w:val="17"/>
          <w:szCs w:val="17"/>
          <w:color w:val="auto"/>
        </w:rPr>
      </w:pPr>
    </w:p>
    <w:p>
      <w:pPr>
        <w:jc w:val="both"/>
        <w:ind w:firstLine="980"/>
        <w:spacing w:after="0" w:line="286" w:lineRule="auto"/>
        <w:tabs>
          <w:tab w:leader="none" w:pos="1234"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jc w:val="both"/>
        <w:ind w:firstLine="980"/>
        <w:spacing w:after="0" w:line="259" w:lineRule="auto"/>
        <w:tabs>
          <w:tab w:leader="none" w:pos="1238"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This Agreement contains the entire agreement and understanding of the parties hereto with respect to the subject matter hereof. This Agreement or any provision hereof may only be changed, amended or modified (other than to correct a typographical error) by a writing signed by each of the parties hereto; provided, however, that no such change, amendment or modification to Section 1(i), 2(f) or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may be made without the prior written consent of the Representative.</w:t>
      </w:r>
    </w:p>
    <w:p>
      <w:pPr>
        <w:spacing w:after="0" w:line="186" w:lineRule="exact"/>
        <w:rPr>
          <w:rFonts w:ascii="Arial" w:cs="Arial" w:eastAsia="Arial" w:hAnsi="Arial"/>
          <w:sz w:val="18"/>
          <w:szCs w:val="18"/>
          <w:color w:val="auto"/>
        </w:rPr>
      </w:pPr>
    </w:p>
    <w:p>
      <w:pPr>
        <w:jc w:val="both"/>
        <w:ind w:firstLine="980"/>
        <w:spacing w:after="0" w:line="287" w:lineRule="auto"/>
        <w:tabs>
          <w:tab w:leader="none" w:pos="1231"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This Agreement or any provision hereof may only be changed, amended or modified pursuant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with the Consent of the Stockholders. For purposes of this </w:t>
      </w:r>
      <w:r>
        <w:rPr>
          <w:rFonts w:ascii="Arial" w:cs="Arial" w:eastAsia="Arial" w:hAnsi="Arial"/>
          <w:sz w:val="16"/>
          <w:szCs w:val="16"/>
          <w:u w:val="single" w:color="auto"/>
          <w:color w:val="auto"/>
        </w:rPr>
        <w:t>Section 6(d)</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Consent of the Stockholders</w:t>
      </w:r>
      <w:r>
        <w:rPr>
          <w:rFonts w:ascii="Arial" w:cs="Arial" w:eastAsia="Arial" w:hAnsi="Arial"/>
          <w:sz w:val="16"/>
          <w:szCs w:val="16"/>
          <w:color w:val="auto"/>
        </w:rPr>
        <w:t>” means receipt by the Trustee of a certificate from the inspector of elections of the stockholder meeting certifying that the Company’s stockholders of record as of a record date established in accordance with Section 213(a) of the Delaware General Corporation Law, as amended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(or any successor rule), who hold sixty-five percent (65%) or more of all then outstanding shares of the Common Stock and Class B common stock, par value $0.0001 per share, of the Company voting together as a single class, have voted in favor of such change, amendment or modification. No such amendment will affect any Public Stockholder who has otherwise indicated his election to redeem his shares of Common Stock in connection with a stockholder vote sought to amend this Agreement to modify the substance or timing of the Company’s obligation to allow redemption in connection with the Company’s initial business combination or certain amendments to its charter prior thereto or to redeem 100% of the Common Stock if the Company does not complete its initial Business Combination within the time frame specified in the Charter or with respect to any other provision relating to stockholders’ rights or pre-initial business combination activity. Except for any liability arising out of the Trustee’s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167" w:lineRule="exact"/>
        <w:rPr>
          <w:rFonts w:ascii="Arial" w:cs="Arial" w:eastAsia="Arial" w:hAnsi="Arial"/>
          <w:sz w:val="16"/>
          <w:szCs w:val="16"/>
          <w:color w:val="auto"/>
        </w:rPr>
      </w:pPr>
    </w:p>
    <w:p>
      <w:pPr>
        <w:jc w:val="both"/>
        <w:ind w:firstLine="980"/>
        <w:spacing w:after="0" w:line="263"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83" w:lineRule="exact"/>
        <w:rPr>
          <w:rFonts w:ascii="Arial" w:cs="Arial" w:eastAsia="Arial" w:hAnsi="Arial"/>
          <w:sz w:val="18"/>
          <w:szCs w:val="18"/>
          <w:color w:val="auto"/>
        </w:rPr>
      </w:pPr>
    </w:p>
    <w:p>
      <w:pPr>
        <w:ind w:firstLine="980"/>
        <w:spacing w:after="0" w:line="308" w:lineRule="auto"/>
        <w:tabs>
          <w:tab w:leader="none" w:pos="1188"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fwolf@continentalstock.com</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cgonzalez@continentalstock.com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Shahal Khan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Pennsylvania Ave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 600-5757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Lucosky Brookman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Wood Avenue South;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Woodbridge, New Jersey 08830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(732) 395-4402 Attn: Joseph Lucosky,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jlucosky@lucbro.com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 Hutton, division of Benchmark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Battery Place, Unit 625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Attn: </w:t>
      </w:r>
      <w:r>
        <w:rPr>
          <w:rFonts w:ascii="Arial" w:cs="Arial" w:eastAsia="Arial" w:hAnsi="Arial"/>
          <w:sz w:val="18"/>
          <w:szCs w:val="18"/>
          <w:u w:val="single" w:color="auto"/>
          <w:color w:val="auto"/>
        </w:rPr>
        <w:t>Joseph</w:t>
      </w:r>
      <w:r>
        <w:rPr>
          <w:rFonts w:ascii="Arial" w:cs="Arial" w:eastAsia="Arial" w:hAnsi="Arial"/>
          <w:sz w:val="18"/>
          <w:szCs w:val="18"/>
          <w:color w:val="auto"/>
        </w:rPr>
        <w:t xml:space="preserve"> Erbe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jerb@efhuttongroup.com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Alex Weniger-Araujo,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aweniger@loeb.com</w:t>
      </w:r>
    </w:p>
    <w:p>
      <w:pPr>
        <w:spacing w:after="0" w:line="211" w:lineRule="exact"/>
        <w:rPr>
          <w:sz w:val="20"/>
          <w:szCs w:val="20"/>
          <w:color w:val="auto"/>
        </w:rPr>
      </w:pPr>
    </w:p>
    <w:p>
      <w:pPr>
        <w:jc w:val="both"/>
        <w:ind w:firstLine="980"/>
        <w:spacing w:after="0" w:line="311" w:lineRule="auto"/>
        <w:tabs>
          <w:tab w:leader="none" w:pos="1231"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48" w:lineRule="exact"/>
        <w:rPr>
          <w:rFonts w:ascii="Arial" w:cs="Arial" w:eastAsia="Arial" w:hAnsi="Arial"/>
          <w:sz w:val="16"/>
          <w:szCs w:val="16"/>
          <w:color w:val="auto"/>
        </w:rPr>
      </w:pPr>
    </w:p>
    <w:p>
      <w:pPr>
        <w:ind w:firstLine="980"/>
        <w:spacing w:after="0" w:line="277" w:lineRule="auto"/>
        <w:tabs>
          <w:tab w:leader="none" w:pos="12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jc w:val="both"/>
        <w:ind w:firstLine="980"/>
        <w:spacing w:after="0" w:line="263" w:lineRule="auto"/>
        <w:tabs>
          <w:tab w:leader="none" w:pos="11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3" w:lineRule="exact"/>
        <w:rPr>
          <w:rFonts w:ascii="Arial" w:cs="Arial" w:eastAsia="Arial" w:hAnsi="Arial"/>
          <w:sz w:val="18"/>
          <w:szCs w:val="18"/>
          <w:color w:val="auto"/>
        </w:rPr>
      </w:pPr>
    </w:p>
    <w:p>
      <w:pPr>
        <w:ind w:firstLine="980"/>
        <w:spacing w:after="0" w:line="277" w:lineRule="auto"/>
        <w:tabs>
          <w:tab w:leader="none" w:pos="12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acknowledges and agrees that the Representative on behalf of the Underwriters is a third party beneficiary of this Agreement.</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 person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executed this Investment Management Trust Agreement as of the date first written above.</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CONTINENTAL STOCK TRANSFER &amp; TRUST COMPANY, as</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Francis Wolf</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Roman Livson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Investment Management Trust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980" w:top="904" w:right="7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7"/>
          </w:tcPr>
          <w:p>
            <w:pPr>
              <w:ind w:left="1300"/>
              <w:spacing w:after="0"/>
              <w:rPr>
                <w:sz w:val="20"/>
                <w:szCs w:val="20"/>
                <w:color w:val="auto"/>
              </w:rPr>
            </w:pPr>
            <w:r>
              <w:rPr>
                <w:rFonts w:ascii="Arial" w:cs="Arial" w:eastAsia="Arial" w:hAnsi="Arial"/>
                <w:sz w:val="18"/>
                <w:szCs w:val="18"/>
                <w:b w:val="1"/>
                <w:bCs w:val="1"/>
                <w:color w:val="auto"/>
              </w:rPr>
              <w:t>SCHEDULE 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740" w:type="dxa"/>
            <w:vAlign w:val="bottom"/>
            <w:gridSpan w:val="10"/>
          </w:tcPr>
          <w:p>
            <w:pPr>
              <w:spacing w:after="0"/>
              <w:rPr>
                <w:sz w:val="20"/>
                <w:szCs w:val="20"/>
                <w:color w:val="auto"/>
              </w:rPr>
            </w:pPr>
            <w:r>
              <w:rPr>
                <w:rFonts w:ascii="Arial" w:cs="Arial" w:eastAsia="Arial" w:hAnsi="Arial"/>
                <w:sz w:val="18"/>
                <w:szCs w:val="18"/>
                <w:b w:val="1"/>
                <w:bCs w:val="1"/>
                <w:color w:val="auto"/>
              </w:rPr>
              <w:t>Fee Item</w:t>
            </w:r>
          </w:p>
        </w:tc>
        <w:tc>
          <w:tcPr>
            <w:tcW w:w="5940" w:type="dxa"/>
            <w:vAlign w:val="bottom"/>
            <w:gridSpan w:val="7"/>
          </w:tcPr>
          <w:p>
            <w:pPr>
              <w:ind w:left="1840"/>
              <w:spacing w:after="0"/>
              <w:rPr>
                <w:sz w:val="20"/>
                <w:szCs w:val="20"/>
                <w:color w:val="auto"/>
              </w:rPr>
            </w:pPr>
            <w:r>
              <w:rPr>
                <w:rFonts w:ascii="Arial" w:cs="Arial" w:eastAsia="Arial" w:hAnsi="Arial"/>
                <w:sz w:val="18"/>
                <w:szCs w:val="18"/>
                <w:b w:val="1"/>
                <w:bCs w:val="1"/>
                <w:color w:val="auto"/>
              </w:rPr>
              <w:t>Time and method of payment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r>
      <w:tr>
        <w:trPr>
          <w:trHeight w:val="210"/>
        </w:trPr>
        <w:tc>
          <w:tcPr>
            <w:tcW w:w="3620" w:type="dxa"/>
            <w:vAlign w:val="bottom"/>
            <w:tcBorders>
              <w:top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Initial set-up fee</w:t>
            </w:r>
          </w:p>
        </w:tc>
        <w:tc>
          <w:tcPr>
            <w:tcW w:w="12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Initial closing of Offering by wire transfer.</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740" w:type="dxa"/>
            <w:vAlign w:val="bottom"/>
            <w:gridSpan w:val="10"/>
          </w:tcPr>
          <w:p>
            <w:pPr>
              <w:spacing w:after="0" w:line="201" w:lineRule="exact"/>
              <w:rPr>
                <w:sz w:val="20"/>
                <w:szCs w:val="20"/>
                <w:color w:val="auto"/>
              </w:rPr>
            </w:pPr>
            <w:r>
              <w:rPr>
                <w:rFonts w:ascii="Arial" w:cs="Arial" w:eastAsia="Arial" w:hAnsi="Arial"/>
                <w:sz w:val="18"/>
                <w:szCs w:val="18"/>
                <w:color w:val="auto"/>
              </w:rPr>
              <w:t>Trustee administration fee</w:t>
            </w:r>
          </w:p>
        </w:tc>
        <w:tc>
          <w:tcPr>
            <w:tcW w:w="5940" w:type="dxa"/>
            <w:vAlign w:val="bottom"/>
            <w:gridSpan w:val="7"/>
          </w:tcPr>
          <w:p>
            <w:pPr>
              <w:spacing w:after="0" w:line="201" w:lineRule="exact"/>
              <w:rPr>
                <w:sz w:val="20"/>
                <w:szCs w:val="20"/>
                <w:color w:val="auto"/>
              </w:rPr>
            </w:pPr>
            <w:r>
              <w:rPr>
                <w:rFonts w:ascii="Arial" w:cs="Arial" w:eastAsia="Arial" w:hAnsi="Arial"/>
                <w:sz w:val="18"/>
                <w:szCs w:val="18"/>
                <w:color w:val="auto"/>
                <w:w w:val="98"/>
              </w:rPr>
              <w:t>Payable annually. First year fee payable, at initial closing of Offering by wire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10,000</w:t>
            </w:r>
          </w:p>
        </w:tc>
      </w:tr>
      <w:tr>
        <w:trPr>
          <w:trHeight w:val="230"/>
        </w:trPr>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7"/>
          </w:tcPr>
          <w:p>
            <w:pPr>
              <w:spacing w:after="0"/>
              <w:rPr>
                <w:sz w:val="20"/>
                <w:szCs w:val="20"/>
                <w:color w:val="auto"/>
              </w:rPr>
            </w:pPr>
            <w:r>
              <w:rPr>
                <w:rFonts w:ascii="Arial" w:cs="Arial" w:eastAsia="Arial" w:hAnsi="Arial"/>
                <w:sz w:val="18"/>
                <w:szCs w:val="18"/>
                <w:color w:val="auto"/>
              </w:rPr>
              <w:t>transfer, thereafter by wire transfer or check.</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37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auto"/>
                <w:w w:val="96"/>
              </w:rPr>
              <w:t>Transaction processing fee for disbursements to</w:t>
            </w:r>
          </w:p>
        </w:tc>
        <w:tc>
          <w:tcPr>
            <w:tcW w:w="594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w w:val="95"/>
              </w:rPr>
              <w:t>Billed to Company following disbursement made to Company under Section 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250</w:t>
            </w:r>
          </w:p>
        </w:tc>
      </w:tr>
      <w:tr>
        <w:trPr>
          <w:trHeight w:val="196"/>
        </w:trPr>
        <w:tc>
          <w:tcPr>
            <w:tcW w:w="3740" w:type="dxa"/>
            <w:vAlign w:val="bottom"/>
            <w:tcBorders>
              <w:top w:val="single" w:sz="8" w:color="CCEEFF"/>
            </w:tcBorders>
            <w:gridSpan w:val="10"/>
            <w:shd w:val="clear" w:color="auto" w:fill="CCEEFF"/>
          </w:tcPr>
          <w:p>
            <w:pPr>
              <w:spacing w:after="0" w:line="196" w:lineRule="exact"/>
              <w:rPr>
                <w:sz w:val="20"/>
                <w:szCs w:val="20"/>
                <w:color w:val="auto"/>
              </w:rPr>
            </w:pPr>
            <w:r>
              <w:rPr>
                <w:rFonts w:ascii="Arial" w:cs="Arial" w:eastAsia="Arial" w:hAnsi="Arial"/>
                <w:sz w:val="18"/>
                <w:szCs w:val="18"/>
                <w:color w:val="auto"/>
              </w:rPr>
              <w:t>Company under Sections 1(i) and (j)</w:t>
            </w:r>
          </w:p>
        </w:tc>
        <w:tc>
          <w:tcPr>
            <w:tcW w:w="40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740" w:type="dxa"/>
            <w:vAlign w:val="bottom"/>
            <w:gridSpan w:val="10"/>
          </w:tcPr>
          <w:p>
            <w:pPr>
              <w:spacing w:after="0" w:line="176" w:lineRule="exact"/>
              <w:rPr>
                <w:sz w:val="20"/>
                <w:szCs w:val="20"/>
                <w:color w:val="auto"/>
              </w:rPr>
            </w:pPr>
            <w:r>
              <w:rPr>
                <w:rFonts w:ascii="Arial" w:cs="Arial" w:eastAsia="Arial" w:hAnsi="Arial"/>
                <w:sz w:val="18"/>
                <w:szCs w:val="18"/>
                <w:color w:val="auto"/>
              </w:rPr>
              <w:t>Paying Agent services as required pursuant</w:t>
            </w:r>
          </w:p>
        </w:tc>
        <w:tc>
          <w:tcPr>
            <w:tcW w:w="5940" w:type="dxa"/>
            <w:vAlign w:val="bottom"/>
            <w:gridSpan w:val="7"/>
          </w:tcPr>
          <w:p>
            <w:pPr>
              <w:spacing w:after="0" w:line="176" w:lineRule="exact"/>
              <w:rPr>
                <w:sz w:val="20"/>
                <w:szCs w:val="20"/>
                <w:color w:val="auto"/>
              </w:rPr>
            </w:pPr>
            <w:r>
              <w:rPr>
                <w:rFonts w:ascii="Arial" w:cs="Arial" w:eastAsia="Arial" w:hAnsi="Arial"/>
                <w:sz w:val="18"/>
                <w:szCs w:val="18"/>
                <w:color w:val="auto"/>
                <w:w w:val="98"/>
              </w:rPr>
              <w:t>Billed to Company upon delivery of service pursuant to Section 1(i) and 1(k)</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8"/>
              </w:rPr>
              <w:t>Prevailing rates</w:t>
            </w:r>
          </w:p>
        </w:tc>
      </w:tr>
      <w:tr>
        <w:trPr>
          <w:trHeight w:val="196"/>
        </w:trPr>
        <w:tc>
          <w:tcPr>
            <w:tcW w:w="3740" w:type="dxa"/>
            <w:vAlign w:val="bottom"/>
            <w:gridSpan w:val="10"/>
          </w:tcPr>
          <w:p>
            <w:pPr>
              <w:spacing w:after="0" w:line="196" w:lineRule="exact"/>
              <w:rPr>
                <w:sz w:val="20"/>
                <w:szCs w:val="20"/>
                <w:color w:val="auto"/>
              </w:rPr>
            </w:pPr>
            <w:r>
              <w:rPr>
                <w:rFonts w:ascii="Arial" w:cs="Arial" w:eastAsia="Arial" w:hAnsi="Arial"/>
                <w:sz w:val="18"/>
                <w:szCs w:val="18"/>
                <w:color w:val="auto"/>
              </w:rPr>
              <w:t>to Sections 1(i) and 1(k)</w:t>
            </w:r>
          </w:p>
        </w:tc>
        <w:tc>
          <w:tcPr>
            <w:tcW w:w="40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20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Section 1(i) of the Investment Management Trust Agreement between BurTech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 has entered into</w:t>
      </w:r>
    </w:p>
    <w:p>
      <w:pPr>
        <w:jc w:val="both"/>
        <w:spacing w:after="0" w:line="253" w:lineRule="auto"/>
        <w:rPr>
          <w:sz w:val="20"/>
          <w:szCs w:val="20"/>
          <w:color w:val="auto"/>
        </w:rPr>
      </w:pPr>
      <w:r>
        <w:rPr>
          <w:rFonts w:ascii="Arial" w:cs="Arial" w:eastAsia="Arial" w:hAnsi="Arial"/>
          <w:sz w:val="18"/>
          <w:szCs w:val="18"/>
          <w:color w:val="auto"/>
        </w:rPr>
        <w:t>an agreement with (the “</w:t>
      </w:r>
      <w:r>
        <w:rPr>
          <w:rFonts w:ascii="Arial" w:cs="Arial" w:eastAsia="Arial" w:hAnsi="Arial"/>
          <w:sz w:val="18"/>
          <w:szCs w:val="18"/>
          <w:b w:val="1"/>
          <w:bCs w:val="1"/>
          <w:i w:val="1"/>
          <w:iCs w:val="1"/>
          <w:color w:val="auto"/>
        </w:rPr>
        <w:t>Target Business</w:t>
      </w:r>
      <w:r>
        <w:rPr>
          <w:rFonts w:ascii="Arial" w:cs="Arial" w:eastAsia="Arial" w:hAnsi="Arial"/>
          <w:sz w:val="18"/>
          <w:szCs w:val="18"/>
          <w:color w:val="auto"/>
        </w:rPr>
        <w:t>”) to consummate a business combination with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on or about [insert date]. The Company shall notify you at least seventy-two (72) hours in advance of the actual date (or such shorter period as you may agree) of the consummation 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terms of the Trust Agreement, we hereby authorize you to commence to liquidate all of the assets of the Trust Account and to transfer the proceeds to a segregated account held by you on behalf of the Beneficiaries to the effect that, on the Consummation Date, all of the funds held in the Trust Account at J.P. Morgan Chase Bank, N.A. will be immediately available for transfer to the account or accounts that the Company shall direct on the Consummation Date (including as directed to it by the Representative on behalf of the Underwriters (with respect to the Deferred Discount)). It is acknowledged and agreed that while the funds are on deposit in the Trust Account at J.P. Morgan Chase Bank, N.A. awaiting distribution, the Company will not earn any interest or dividends.</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b w:val="1"/>
          <w:bCs w:val="1"/>
          <w:i w:val="1"/>
          <w:iCs w:val="1"/>
          <w:color w:val="auto"/>
        </w:rPr>
        <w:t>Notification</w:t>
      </w:r>
      <w:r>
        <w:rPr>
          <w:rFonts w:ascii="Arial" w:cs="Arial" w:eastAsia="Arial" w:hAnsi="Arial"/>
          <w:sz w:val="17"/>
          <w:szCs w:val="17"/>
          <w:color w:val="auto"/>
        </w:rPr>
        <w:t>”) and</w:t>
      </w:r>
    </w:p>
    <w:p>
      <w:pPr>
        <w:jc w:val="both"/>
        <w:ind w:firstLine="8"/>
        <w:spacing w:after="0" w:line="286" w:lineRule="auto"/>
        <w:tabs>
          <w:tab w:leader="none" w:pos="26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shall deliver to you (a) a certificate by the Chief Executive Officer, which verifies that the Business Combination has been approved by a vote of the Company’s stockholders, if a vote is held and (b) a joint written instruction signed by the Company and the Representative with respect to the transfer of the funds held in the Trust Account, including payment of amounts owed to public stockholders who have properly exercised their redemption rights and payment of the Deferred Discount to the Representative from the Trust Account (the “</w:t>
      </w:r>
      <w:r>
        <w:rPr>
          <w:rFonts w:ascii="Arial" w:cs="Arial" w:eastAsia="Arial" w:hAnsi="Arial"/>
          <w:sz w:val="16"/>
          <w:szCs w:val="16"/>
          <w:b w:val="1"/>
          <w:bCs w:val="1"/>
          <w:i w:val="1"/>
          <w:iCs w:val="1"/>
          <w:color w:val="auto"/>
        </w:rPr>
        <w:t>Instruction Letter</w:t>
      </w:r>
      <w:r>
        <w:rPr>
          <w:rFonts w:ascii="Arial" w:cs="Arial" w:eastAsia="Arial" w:hAnsi="Arial"/>
          <w:sz w:val="16"/>
          <w:szCs w:val="16"/>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972"/>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notice as soon thereafter as possible.</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&amp; Agreed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 Hutton, Division of Benchmark Investments,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Pursuant to Section 1(i) of the Investment Management Trust Agreement between BurTech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 has been</w:t>
      </w:r>
    </w:p>
    <w:p>
      <w:pPr>
        <w:jc w:val="both"/>
        <w:ind w:right="20"/>
        <w:spacing w:after="0" w:line="260" w:lineRule="auto"/>
        <w:rPr>
          <w:sz w:val="20"/>
          <w:szCs w:val="20"/>
          <w:color w:val="auto"/>
        </w:rPr>
      </w:pPr>
      <w:r>
        <w:rPr>
          <w:rFonts w:ascii="Arial" w:cs="Arial" w:eastAsia="Arial" w:hAnsi="Arial"/>
          <w:sz w:val="18"/>
          <w:szCs w:val="18"/>
          <w:color w:val="auto"/>
        </w:rPr>
        <w:t>unable to effect a business combination with a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within the time frame specified in the Charter. Capitalized terms used but not defined herein shall have the meanings set forth in the Trust Agreement.</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Account and to transfer the total proceeds into a segregated account held by you on behalf of the Beneficiaries to await distribution to the Public Stockholders. The Company has</w:t>
      </w:r>
    </w:p>
    <w:p>
      <w:pPr>
        <w:jc w:val="both"/>
        <w:spacing w:after="0" w:line="244" w:lineRule="auto"/>
        <w:rPr>
          <w:sz w:val="20"/>
          <w:szCs w:val="20"/>
          <w:color w:val="auto"/>
        </w:rPr>
      </w:pPr>
      <w:r>
        <w:rPr>
          <w:rFonts w:ascii="Arial" w:cs="Arial" w:eastAsia="Arial" w:hAnsi="Arial"/>
          <w:sz w:val="17"/>
          <w:szCs w:val="17"/>
          <w:color w:val="auto"/>
        </w:rPr>
        <w:t xml:space="preserve">selected </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as the effective date for the purpose of determining when the Public Stockholders will be entitled to receive their share of the liquidation proceeds. You agree to be the Paying Agent of record and, in your separate capacity as Paying Agent, agree to distribute said funds directly to the Company’s Public Stockholders in accordance with the terms of the Trust Agreement and the Charter.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7"/>
          <w:szCs w:val="17"/>
          <w:u w:val="single" w:color="auto"/>
          <w:color w:val="auto"/>
        </w:rPr>
        <w:t>Section 1(i)</w:t>
      </w:r>
      <w:r>
        <w:rPr>
          <w:rFonts w:ascii="Arial" w:cs="Arial" w:eastAsia="Arial" w:hAnsi="Arial"/>
          <w:sz w:val="17"/>
          <w:szCs w:val="17"/>
          <w:color w:val="auto"/>
        </w:rPr>
        <w:t xml:space="preserve"> of the Trust Agreement.</w:t>
      </w:r>
    </w:p>
    <w:p>
      <w:pPr>
        <w:spacing w:after="0" w:line="200" w:lineRule="exact"/>
        <w:rPr>
          <w:sz w:val="20"/>
          <w:szCs w:val="20"/>
          <w:color w:val="auto"/>
        </w:rPr>
      </w:pPr>
    </w:p>
    <w:p>
      <w:pPr>
        <w:ind w:left="680" w:right="100" w:hanging="627"/>
        <w:spacing w:after="0" w:line="277"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12 months from the closing of the Offering or such later date or such later date upon Extensions, if any, or as may be approved by the Company’s stockholders in accordance with the Charter.</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EF Hutton, Division of Benchmark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1(j)</w:t>
      </w:r>
      <w:r>
        <w:rPr>
          <w:rFonts w:ascii="Arial" w:cs="Arial" w:eastAsia="Arial" w:hAnsi="Arial"/>
          <w:sz w:val="16"/>
          <w:szCs w:val="16"/>
          <w:color w:val="auto"/>
        </w:rPr>
        <w:t xml:space="preserve"> of the Investment Management Trust Agreement between BurTech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 you deliver to the</w:t>
      </w:r>
    </w:p>
    <w:p>
      <w:pPr>
        <w:jc w:val="both"/>
        <w:spacing w:after="0" w:line="260" w:lineRule="auto"/>
        <w:rPr>
          <w:sz w:val="20"/>
          <w:szCs w:val="20"/>
          <w:color w:val="auto"/>
        </w:rPr>
      </w:pPr>
      <w:r>
        <w:rPr>
          <w:rFonts w:ascii="Arial" w:cs="Arial" w:eastAsia="Arial" w:hAnsi="Arial"/>
          <w:sz w:val="18"/>
          <w:szCs w:val="18"/>
          <w:color w:val="auto"/>
        </w:rPr>
        <w:t>Company $ of the interest income earned on the Property as of the date hereof. Capitalized terms used but not defined herein shall have the meanings set forth in the Trust Agreement.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EF Hutton, Division of Benchmark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 Stockholder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1(k)</w:t>
      </w:r>
      <w:r>
        <w:rPr>
          <w:rFonts w:ascii="Arial" w:cs="Arial" w:eastAsia="Arial" w:hAnsi="Arial"/>
          <w:sz w:val="16"/>
          <w:szCs w:val="16"/>
          <w:color w:val="auto"/>
        </w:rPr>
        <w:t xml:space="preserve"> of the Investment Management Trust Agreement between BurTech Acquisition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______,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 you deliver to the</w:t>
      </w:r>
    </w:p>
    <w:p>
      <w:pPr>
        <w:jc w:val="both"/>
        <w:spacing w:after="0" w:line="255" w:lineRule="auto"/>
        <w:rPr>
          <w:sz w:val="20"/>
          <w:szCs w:val="20"/>
          <w:color w:val="auto"/>
        </w:rPr>
      </w:pPr>
      <w:r>
        <w:rPr>
          <w:rFonts w:ascii="Arial" w:cs="Arial" w:eastAsia="Arial" w:hAnsi="Arial"/>
          <w:sz w:val="18"/>
          <w:szCs w:val="18"/>
          <w:color w:val="auto"/>
        </w:rPr>
        <w:t>redeeming Public Stockholders of the Company $ of the principal and interest income earned on the Property as of the date hereof to a segregated account held by you on behalf of the Beneficiaries for distribution to the Stockholders who have requested redemption of their Common Stock. Capitalized terms used but not defined herein shall have the meanings set forth in the Trust Agreement.</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needs such funds to pay its Public Stockholders who have properly elected to have their shares of Common Stock redeemed by the Company in connection with a stockholder vote to approve an amendment to the Charter to modify the substance or timing of the Company’s obligation to allow redemption in connection with the Company’s initial business combination or certain amendments to its charter prior thereto or to redeem 100% of public shares of Common Stock if the Company has not consummated an initial Business Combination within such time as is described in the Charter or with respect to any other provisions relating to stockholders’ rights or pre-initial Business Combination activity. As such, you are hereby directed and authorized to transfer (via wire transfer) such funds promptly upon your receipt of this letter to a segregated account held by you on behalf of the Beneficiaries.</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80" w:hanging="572"/>
        <w:spacing w:after="0"/>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EF Hutton, Division of Benchmark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11" w:lineRule="exact"/>
        <w:rPr>
          <w:sz w:val="20"/>
          <w:szCs w:val="20"/>
          <w:color w:val="auto"/>
        </w:rPr>
      </w:pPr>
    </w:p>
    <w:p>
      <w:pPr>
        <w:ind w:left="680"/>
        <w:spacing w:after="0"/>
        <w:tabs>
          <w:tab w:leader="none" w:pos="1340" w:val="left"/>
          <w:tab w:leader="none" w:pos="30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w:t>
      </w:r>
      <w:r>
        <w:rPr>
          <w:sz w:val="20"/>
          <w:szCs w:val="20"/>
          <w:color w:val="auto"/>
        </w:rPr>
        <w:tab/>
      </w:r>
      <w:r>
        <w:rPr>
          <w:rFonts w:ascii="Arial" w:cs="Arial" w:eastAsia="Arial" w:hAnsi="Arial"/>
          <w:sz w:val="16"/>
          <w:szCs w:val="16"/>
          <w:u w:val="single" w:color="auto"/>
          <w:color w:val="auto"/>
        </w:rPr>
        <w:t>] Extension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Pursuant to Section 1(m) of the Investment Management Trust Agreement between BurTech Acquisition Corp. (“</w:t>
      </w:r>
      <w:r>
        <w:rPr>
          <w:rFonts w:ascii="Arial" w:cs="Arial" w:eastAsia="Arial" w:hAnsi="Arial"/>
          <w:sz w:val="16"/>
          <w:szCs w:val="16"/>
          <w:b w:val="1"/>
          <w:bCs w:val="1"/>
          <w:color w:val="auto"/>
        </w:rPr>
        <w:t>Company</w:t>
      </w:r>
      <w:r>
        <w:rPr>
          <w:rFonts w:ascii="Arial" w:cs="Arial" w:eastAsia="Arial" w:hAnsi="Arial"/>
          <w:sz w:val="16"/>
          <w:szCs w:val="16"/>
          <w:color w:val="auto"/>
        </w:rPr>
        <w:t>”) and Continental Stock Transfer &amp; Trust Company, dated as of _____, 2021 (“</w:t>
      </w:r>
      <w:r>
        <w:rPr>
          <w:rFonts w:ascii="Arial" w:cs="Arial" w:eastAsia="Arial" w:hAnsi="Arial"/>
          <w:sz w:val="16"/>
          <w:szCs w:val="16"/>
          <w:b w:val="1"/>
          <w:bCs w:val="1"/>
          <w:color w:val="auto"/>
        </w:rPr>
        <w:t>Trust Agreement</w:t>
      </w:r>
      <w:r>
        <w:rPr>
          <w:rFonts w:ascii="Arial" w:cs="Arial" w:eastAsia="Arial" w:hAnsi="Arial"/>
          <w:sz w:val="16"/>
          <w:szCs w:val="16"/>
          <w:color w:val="auto"/>
        </w:rPr>
        <w:t>”), this is to advise you that the Company is extending the time available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consummate a Business Combination for an additional three (3) months, from _______ to _________ (the “</w:t>
      </w:r>
      <w:r>
        <w:rPr>
          <w:rFonts w:ascii="Arial" w:cs="Arial" w:eastAsia="Arial" w:hAnsi="Arial"/>
          <w:sz w:val="18"/>
          <w:szCs w:val="18"/>
          <w:b w:val="1"/>
          <w:bCs w:val="1"/>
          <w:color w:val="auto"/>
        </w:rPr>
        <w:t>Extension</w:t>
      </w:r>
      <w:r>
        <w:rPr>
          <w:rFonts w:ascii="Arial" w:cs="Arial" w:eastAsia="Arial" w:hAnsi="Arial"/>
          <w:sz w:val="18"/>
          <w:szCs w:val="18"/>
          <w:color w:val="auto"/>
        </w:rPr>
        <w: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Extension Letter shall serve as the notice required with respect to the Extension prior to the Applicable Deadline. Capitalized words used herein and not otherwise defined shall have the meanings ascribed to them in the Trust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the terms of the Trust Agreement, we hereby authorize you to deposit $253,750,000 [(or $291,812,500 if the underwriters’ over-allotment option was exercised in full)], which will be wired to you, into the Trust Account investments upon receipt.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the ____ of up to two Extension Letters.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color w:val="auto"/>
        </w:rPr>
        <w:t>EF Hutton, Division of Benchmark Investments,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LP,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1300 Pennsylvania Ave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Administrative Service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letter agreement by and between BurTech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BurTech LP, LLC., a Delaware corporation ( the “</w:t>
      </w:r>
      <w:r>
        <w:rPr>
          <w:rFonts w:ascii="Arial" w:cs="Arial" w:eastAsia="Arial" w:hAnsi="Arial"/>
          <w:sz w:val="18"/>
          <w:szCs w:val="18"/>
          <w:b w:val="1"/>
          <w:bCs w:val="1"/>
          <w:color w:val="auto"/>
        </w:rPr>
        <w:t>Sponsor.</w:t>
      </w:r>
      <w:r>
        <w:rPr>
          <w:rFonts w:ascii="Arial" w:cs="Arial" w:eastAsia="Arial" w:hAnsi="Arial"/>
          <w:sz w:val="18"/>
          <w:szCs w:val="18"/>
          <w:color w:val="auto"/>
        </w:rPr>
        <w:t>”) will confirm our agreement that, commencing on the date the securities of the Company are first listed on the Nasdaq Capital Market (the “</w:t>
      </w:r>
      <w:r>
        <w:rPr>
          <w:rFonts w:ascii="Arial" w:cs="Arial" w:eastAsia="Arial" w:hAnsi="Arial"/>
          <w:sz w:val="18"/>
          <w:szCs w:val="18"/>
          <w:b w:val="1"/>
          <w:bCs w:val="1"/>
          <w:color w:val="auto"/>
        </w:rPr>
        <w:t>Listing Date</w:t>
      </w:r>
      <w:r>
        <w:rPr>
          <w:rFonts w:ascii="Arial" w:cs="Arial" w:eastAsia="Arial" w:hAnsi="Arial"/>
          <w:sz w:val="18"/>
          <w:szCs w:val="18"/>
          <w:color w:val="auto"/>
        </w:rPr>
        <w:t>”), pursuant to a Registration Statement on Form S-1 (Registration No. 333-258914) and related prospectus filed with the U.S. Securities and Exchange Commission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continuing until the earlier of the consummation by the Company of an initial business combination (as defined in the Registration Statement) or the Company’s liquidation (in each case as described in the Registration Statement) (such earlier date hereinafter referred to as the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191" w:lineRule="exact"/>
        <w:rPr>
          <w:sz w:val="20"/>
          <w:szCs w:val="20"/>
          <w:color w:val="auto"/>
        </w:rPr>
      </w:pPr>
    </w:p>
    <w:p>
      <w:pPr>
        <w:jc w:val="both"/>
        <w:ind w:firstLine="656"/>
        <w:spacing w:after="0" w:line="259" w:lineRule="auto"/>
        <w:tabs>
          <w:tab w:leader="none" w:pos="884" w:val="left"/>
        </w:tabs>
        <w:numPr>
          <w:ilvl w:val="0"/>
          <w:numId w:val="88"/>
        </w:numPr>
        <w:rPr>
          <w:rFonts w:ascii="Arial" w:cs="Arial" w:eastAsia="Arial" w:hAnsi="Arial"/>
          <w:sz w:val="18"/>
          <w:szCs w:val="18"/>
          <w:color w:val="auto"/>
        </w:rPr>
      </w:pPr>
      <w:r>
        <w:rPr>
          <w:rFonts w:ascii="Arial" w:cs="Arial" w:eastAsia="Arial" w:hAnsi="Arial"/>
          <w:sz w:val="18"/>
          <w:szCs w:val="18"/>
          <w:color w:val="auto"/>
        </w:rPr>
        <w:t>Sponsor shall make available, or cause to be made available, to the Company, at 1300 Pennsylvania Ave NW, Suite 700, Washington, DC 20004 (or any successor location of the Sponsor), certain office space, utilities and secretarial and administrative support as may be reasonably required by the Company. In exchange therefor, the Company shall pay the Sponsor. the sum of $10,000 per month on the Listing Date and continuing monthly thereafter until the Termination Date; and</w:t>
      </w:r>
    </w:p>
    <w:p>
      <w:pPr>
        <w:spacing w:after="0" w:line="186" w:lineRule="exact"/>
        <w:rPr>
          <w:rFonts w:ascii="Arial" w:cs="Arial" w:eastAsia="Arial" w:hAnsi="Arial"/>
          <w:sz w:val="18"/>
          <w:szCs w:val="18"/>
          <w:color w:val="auto"/>
        </w:rPr>
      </w:pPr>
    </w:p>
    <w:p>
      <w:pPr>
        <w:jc w:val="both"/>
        <w:ind w:firstLine="656"/>
        <w:spacing w:after="0" w:line="293" w:lineRule="auto"/>
        <w:tabs>
          <w:tab w:leader="none" w:pos="91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Sponsor hereby irrevocably waives any and all right, title, interest, causes of action and claims of any kind as a result of, or arising out of, this letter agreement in or to, and any and all right to seek payment of any amounts due to it (each, a “</w:t>
      </w:r>
      <w:r>
        <w:rPr>
          <w:rFonts w:ascii="Arial" w:cs="Arial" w:eastAsia="Arial" w:hAnsi="Arial"/>
          <w:sz w:val="16"/>
          <w:szCs w:val="16"/>
          <w:b w:val="1"/>
          <w:bCs w:val="1"/>
          <w:color w:val="auto"/>
        </w:rPr>
        <w:t>Claim</w:t>
      </w:r>
      <w:r>
        <w:rPr>
          <w:rFonts w:ascii="Arial" w:cs="Arial" w:eastAsia="Arial" w:hAnsi="Arial"/>
          <w:sz w:val="16"/>
          <w:szCs w:val="16"/>
          <w:color w:val="auto"/>
        </w:rPr>
        <w:t>”) out of, the trust account established for the benefit of the public stockholders of the Company and into which substantially all of the proceeds of the Company’s initial public offering will be deposited (the “</w:t>
      </w:r>
      <w:r>
        <w:rPr>
          <w:rFonts w:ascii="Arial" w:cs="Arial" w:eastAsia="Arial" w:hAnsi="Arial"/>
          <w:sz w:val="16"/>
          <w:szCs w:val="16"/>
          <w:b w:val="1"/>
          <w:bCs w:val="1"/>
          <w:color w:val="auto"/>
        </w:rPr>
        <w:t>Trust Account</w:t>
      </w:r>
      <w:r>
        <w:rPr>
          <w:rFonts w:ascii="Arial" w:cs="Arial" w:eastAsia="Arial" w:hAnsi="Arial"/>
          <w:sz w:val="16"/>
          <w:szCs w:val="16"/>
          <w:color w:val="auto"/>
        </w:rPr>
        <w:t>”), and hereby irrevocably waives any Claim it may have in the future,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ind w:firstLine="648"/>
        <w:spacing w:after="0" w:line="263" w:lineRule="auto"/>
        <w:rPr>
          <w:sz w:val="20"/>
          <w:szCs w:val="20"/>
          <w:color w:val="auto"/>
        </w:rPr>
      </w:pPr>
      <w:r>
        <w:rPr>
          <w:rFonts w:ascii="Arial" w:cs="Arial" w:eastAsia="Arial" w:hAnsi="Arial"/>
          <w:sz w:val="18"/>
          <w:szCs w:val="18"/>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letter agreement may not be amended, modified or waived as to any particular provision, except by a written instrument executed by the parties 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party hereto may assign either this letter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letter agreement constitutes the entire relationship of the parties hereto, and any litigation between the parties (whether grounded in contract, tort, statute, law or equity) shall be governed by, construed in accordance with, and interpreted pursuant to the laws of the State of New York, without giving effect to its choice of law principles.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BURTECH LP,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Shahal Khan</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right"/>
        <w:ind w:right="1759"/>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Shahal Khan</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Administrative Services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 SUBSCRIPTION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UNIT SUBSCRIPTION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December 10, 2021, by and between BurTech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having its principal place of business at 1300 Pennsylvania Ave NW, Suite 700,Washington DC 20004, and BurTech LP, LLC, a Delaware limited liability company (the “</w:t>
      </w:r>
      <w:r>
        <w:rPr>
          <w:rFonts w:ascii="Arial" w:cs="Arial" w:eastAsia="Arial" w:hAnsi="Arial"/>
          <w:sz w:val="18"/>
          <w:szCs w:val="18"/>
          <w:b w:val="1"/>
          <w:bCs w:val="1"/>
          <w:color w:val="auto"/>
        </w:rPr>
        <w:t>Subscriber</w:t>
      </w:r>
      <w:r>
        <w:rPr>
          <w:rFonts w:ascii="Arial" w:cs="Arial" w:eastAsia="Arial" w:hAnsi="Arial"/>
          <w:sz w:val="18"/>
          <w:szCs w:val="18"/>
          <w:color w:val="auto"/>
        </w:rPr>
        <w:t>”), having its principal place of business at 1300 Pennsylvania Ave NW, Suite 700, Washington DC 20004.</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WHEREAS, the Company desires to sell to the Subscriber on a private placement basis (the “</w:t>
      </w:r>
      <w:r>
        <w:rPr>
          <w:rFonts w:ascii="Arial" w:cs="Arial" w:eastAsia="Arial" w:hAnsi="Arial"/>
          <w:sz w:val="16"/>
          <w:szCs w:val="16"/>
          <w:b w:val="1"/>
          <w:bCs w:val="1"/>
          <w:color w:val="auto"/>
        </w:rPr>
        <w:t>Placement</w:t>
      </w:r>
      <w:r>
        <w:rPr>
          <w:rFonts w:ascii="Arial" w:cs="Arial" w:eastAsia="Arial" w:hAnsi="Arial"/>
          <w:sz w:val="16"/>
          <w:szCs w:val="16"/>
          <w:color w:val="auto"/>
        </w:rPr>
        <w:t>”) an aggregate of 804,500 units (the “</w:t>
      </w:r>
      <w:r>
        <w:rPr>
          <w:rFonts w:ascii="Arial" w:cs="Arial" w:eastAsia="Arial" w:hAnsi="Arial"/>
          <w:sz w:val="16"/>
          <w:szCs w:val="16"/>
          <w:b w:val="1"/>
          <w:bCs w:val="1"/>
          <w:color w:val="auto"/>
        </w:rPr>
        <w:t>Initial Units</w:t>
      </w:r>
      <w:r>
        <w:rPr>
          <w:rFonts w:ascii="Arial" w:cs="Arial" w:eastAsia="Arial" w:hAnsi="Arial"/>
          <w:sz w:val="16"/>
          <w:szCs w:val="16"/>
          <w:color w:val="auto"/>
        </w:rPr>
        <w:t>”) of the Company, and up to an additional 93,750 units (the “</w:t>
      </w:r>
      <w:r>
        <w:rPr>
          <w:rFonts w:ascii="Arial" w:cs="Arial" w:eastAsia="Arial" w:hAnsi="Arial"/>
          <w:sz w:val="16"/>
          <w:szCs w:val="16"/>
          <w:b w:val="1"/>
          <w:bCs w:val="1"/>
          <w:color w:val="auto"/>
        </w:rPr>
        <w:t>Additional Units</w:t>
      </w:r>
      <w:r>
        <w:rPr>
          <w:rFonts w:ascii="Arial" w:cs="Arial" w:eastAsia="Arial" w:hAnsi="Arial"/>
          <w:sz w:val="16"/>
          <w:szCs w:val="16"/>
          <w:color w:val="auto"/>
        </w:rPr>
        <w:t>” and, together with the Initial Units, the “</w:t>
      </w:r>
      <w:r>
        <w:rPr>
          <w:rFonts w:ascii="Arial" w:cs="Arial" w:eastAsia="Arial" w:hAnsi="Arial"/>
          <w:sz w:val="16"/>
          <w:szCs w:val="16"/>
          <w:b w:val="1"/>
          <w:bCs w:val="1"/>
          <w:color w:val="auto"/>
        </w:rPr>
        <w:t>Units</w:t>
      </w:r>
      <w:r>
        <w:rPr>
          <w:rFonts w:ascii="Arial" w:cs="Arial" w:eastAsia="Arial" w:hAnsi="Arial"/>
          <w:sz w:val="16"/>
          <w:szCs w:val="16"/>
          <w:color w:val="auto"/>
        </w:rPr>
        <w:t>”) in the event that the underwriters’ 45-day over-allotment option (“</w:t>
      </w:r>
      <w:r>
        <w:rPr>
          <w:rFonts w:ascii="Arial" w:cs="Arial" w:eastAsia="Arial" w:hAnsi="Arial"/>
          <w:sz w:val="16"/>
          <w:szCs w:val="16"/>
          <w:b w:val="1"/>
          <w:bCs w:val="1"/>
          <w:color w:val="auto"/>
        </w:rPr>
        <w:t>Over-Allotment Option</w:t>
      </w:r>
      <w:r>
        <w:rPr>
          <w:rFonts w:ascii="Arial" w:cs="Arial" w:eastAsia="Arial" w:hAnsi="Arial"/>
          <w:sz w:val="16"/>
          <w:szCs w:val="16"/>
          <w:color w:val="auto"/>
        </w:rPr>
        <w:t>”) is exercised in full or part, each Unit comprised of one share of Class A common stock of the Company, par value $0.0001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one warrant, each warrant exercisable to purchase one share of Common Stock (“</w:t>
      </w:r>
      <w:r>
        <w:rPr>
          <w:rFonts w:ascii="Arial" w:cs="Arial" w:eastAsia="Arial" w:hAnsi="Arial"/>
          <w:sz w:val="16"/>
          <w:szCs w:val="16"/>
          <w:b w:val="1"/>
          <w:bCs w:val="1"/>
          <w:color w:val="auto"/>
        </w:rPr>
        <w:t>Warrant</w:t>
      </w:r>
      <w:r>
        <w:rPr>
          <w:rFonts w:ascii="Arial" w:cs="Arial" w:eastAsia="Arial" w:hAnsi="Arial"/>
          <w:sz w:val="16"/>
          <w:szCs w:val="16"/>
          <w:color w:val="auto"/>
        </w:rPr>
        <w:t>”), for a purchase price of $10.00 per Unit. The shares of Common Stock underlying the Warrants are hereinafter referred to as the “</w:t>
      </w:r>
      <w:r>
        <w:rPr>
          <w:rFonts w:ascii="Arial" w:cs="Arial" w:eastAsia="Arial" w:hAnsi="Arial"/>
          <w:sz w:val="16"/>
          <w:szCs w:val="16"/>
          <w:b w:val="1"/>
          <w:bCs w:val="1"/>
          <w:color w:val="auto"/>
        </w:rPr>
        <w:t>Warrant Shares</w:t>
      </w:r>
      <w:r>
        <w:rPr>
          <w:rFonts w:ascii="Arial" w:cs="Arial" w:eastAsia="Arial" w:hAnsi="Arial"/>
          <w:sz w:val="16"/>
          <w:szCs w:val="16"/>
          <w:color w:val="auto"/>
        </w:rPr>
        <w:t>”. The shares of Common Stock underlying the Units (excluding the Warrant Shares) are hereinafter referred to as the “</w:t>
      </w:r>
      <w:r>
        <w:rPr>
          <w:rFonts w:ascii="Arial" w:cs="Arial" w:eastAsia="Arial" w:hAnsi="Arial"/>
          <w:sz w:val="16"/>
          <w:szCs w:val="16"/>
          <w:b w:val="1"/>
          <w:bCs w:val="1"/>
          <w:color w:val="auto"/>
        </w:rPr>
        <w:t>Placement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The Warrants underlying the Units are hereinafter referred to as the “</w:t>
      </w:r>
      <w:r>
        <w:rPr>
          <w:rFonts w:ascii="Arial" w:cs="Arial" w:eastAsia="Arial" w:hAnsi="Arial"/>
          <w:sz w:val="16"/>
          <w:szCs w:val="16"/>
          <w:b w:val="1"/>
          <w:bCs w:val="1"/>
          <w:color w:val="auto"/>
        </w:rPr>
        <w:t>Placement Warrants</w:t>
      </w:r>
      <w:r>
        <w:rPr>
          <w:rFonts w:ascii="Arial" w:cs="Arial" w:eastAsia="Arial" w:hAnsi="Arial"/>
          <w:sz w:val="16"/>
          <w:szCs w:val="16"/>
          <w:color w:val="auto"/>
        </w:rPr>
        <w:t>.” The Units, Placement Shares, Placement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and Warrant Shares collectively, are hereinafter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Each Placement Warrant is exercisable to purchase one share of Common Stock at an exercise price of $11.50 during the period commencing on the later of (i) twelve (12) months from the date of the closing of the Company’s initial public offering of units (the “</w:t>
      </w:r>
      <w:r>
        <w:rPr>
          <w:rFonts w:ascii="Arial" w:cs="Arial" w:eastAsia="Arial" w:hAnsi="Arial"/>
          <w:sz w:val="16"/>
          <w:szCs w:val="16"/>
          <w:b w:val="1"/>
          <w:bCs w:val="1"/>
          <w:color w:val="auto"/>
        </w:rPr>
        <w:t>IPO</w:t>
      </w:r>
      <w:r>
        <w:rPr>
          <w:rFonts w:ascii="Arial" w:cs="Arial" w:eastAsia="Arial" w:hAnsi="Arial"/>
          <w:sz w:val="16"/>
          <w:szCs w:val="16"/>
          <w:color w:val="auto"/>
        </w:rPr>
        <w:t>”) and (ii) 30 days following the consummation of the Company’s initial business combination (the “</w:t>
      </w:r>
      <w:r>
        <w:rPr>
          <w:rFonts w:ascii="Arial" w:cs="Arial" w:eastAsia="Arial" w:hAnsi="Arial"/>
          <w:sz w:val="16"/>
          <w:szCs w:val="16"/>
          <w:b w:val="1"/>
          <w:bCs w:val="1"/>
          <w:color w:val="auto"/>
        </w:rPr>
        <w:t>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Combination</w:t>
      </w:r>
      <w:r>
        <w:rPr>
          <w:rFonts w:ascii="Arial" w:cs="Arial" w:eastAsia="Arial" w:hAnsi="Arial"/>
          <w:sz w:val="16"/>
          <w:szCs w:val="16"/>
          <w:color w:val="auto"/>
        </w:rPr>
        <w:t>”), as such term is defined in the registration statement in connection with the IPO, as amended at the time it becomes effective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expiring on the fifth anniversary of the consummation of the Business Combination; and</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Subscriber wishes to purchase the Initial Units and up to 93,750 Additional Units, and the Company wishes to accept such subscription from the Subscriber.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hereinafter set forth and other good and valuable consideration, the receipt and sufficiency of which are hereby acknowledged, the Company and the Subscriber hereby agree as follows:</w:t>
      </w:r>
    </w:p>
    <w:p>
      <w:pPr>
        <w:spacing w:after="0" w:line="170" w:lineRule="exact"/>
        <w:rPr>
          <w:sz w:val="20"/>
          <w:szCs w:val="20"/>
          <w:color w:val="auto"/>
        </w:rPr>
      </w:pPr>
    </w:p>
    <w:p>
      <w:pPr>
        <w:ind w:left="680" w:hanging="335"/>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Agreement to Subscribe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1.1. Purchase and Issuance of the Initial Units. Upon the terms and subject to the conditions of this Agreement, the Subscriber hereby agrees to purchase from the Company, and the Company hereby agrees to sell to the Subscriber, on the Initial Closing Date (as defined below) the Initial Units in consideration of the payment of the Purchase Price (as defined below). On the Initial Closing Date, the Company shall, at its option, deliver to the Subscriber the certificates representing the Securities purchased or effect such delivery in book-entry form.</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1.2. Purchase Price. The Subscriber shall pay $8,045,000 (the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by wire transfer of immediately available funds or by such other method as may be reasonably acceptable to the Company, to the trust account (the </w:t>
      </w:r>
      <w:r>
        <w:rPr>
          <w:rFonts w:ascii="Arial" w:cs="Arial" w:eastAsia="Arial" w:hAnsi="Arial"/>
          <w:sz w:val="18"/>
          <w:szCs w:val="18"/>
          <w:b w:val="1"/>
          <w:bCs w:val="1"/>
          <w:color w:val="auto"/>
        </w:rPr>
        <w:t>“Trust Account”</w:t>
      </w:r>
      <w:r>
        <w:rPr>
          <w:rFonts w:ascii="Arial" w:cs="Arial" w:eastAsia="Arial" w:hAnsi="Arial"/>
          <w:sz w:val="18"/>
          <w:szCs w:val="18"/>
          <w:color w:val="auto"/>
        </w:rPr>
        <w:t>) at a financial institution to be chosen by the Company, maintained by Continental Stock Transfer &amp; Trust Company, acting as trustee (“</w:t>
      </w:r>
      <w:r>
        <w:rPr>
          <w:rFonts w:ascii="Arial" w:cs="Arial" w:eastAsia="Arial" w:hAnsi="Arial"/>
          <w:sz w:val="18"/>
          <w:szCs w:val="18"/>
          <w:b w:val="1"/>
          <w:bCs w:val="1"/>
          <w:color w:val="auto"/>
        </w:rPr>
        <w:t>Continental</w:t>
      </w:r>
      <w:r>
        <w:rPr>
          <w:rFonts w:ascii="Arial" w:cs="Arial" w:eastAsia="Arial" w:hAnsi="Arial"/>
          <w:sz w:val="18"/>
          <w:szCs w:val="18"/>
          <w:color w:val="auto"/>
        </w:rPr>
        <w:t>”), one (1) business day prior to the date of effectiveness of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1.3. Initial Closing. The closing of the purchase and sale of 804,500 Initial Units shall take place simultaneously with the closing of the IPO (the “</w:t>
      </w:r>
      <w:r>
        <w:rPr>
          <w:rFonts w:ascii="Arial" w:cs="Arial" w:eastAsia="Arial" w:hAnsi="Arial"/>
          <w:sz w:val="18"/>
          <w:szCs w:val="18"/>
          <w:b w:val="1"/>
          <w:bCs w:val="1"/>
          <w:color w:val="auto"/>
        </w:rPr>
        <w:t>Initial Closing Date</w:t>
      </w:r>
      <w:r>
        <w:rPr>
          <w:rFonts w:ascii="Arial" w:cs="Arial" w:eastAsia="Arial" w:hAnsi="Arial"/>
          <w:sz w:val="18"/>
          <w:szCs w:val="18"/>
          <w:color w:val="auto"/>
        </w:rPr>
        <w:t>”). The closing of such Units shall take place at the offices of Lucosky Brookman LLP, 101 Wood Avenue South, 5th Floor, Woodbridge, New Jersey 08830, or such other place as may be agreed upon by the parties hereto.</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1.4. Purchase and Issuance of Additional Units. Upon the terms and subject to the conditions of this Agreement, the Subscriber hereby agrees to purchase from the Company, and the Company hereby agrees to sell to the Subscriber, on the Over-allotment Closing Date (as defined below) up to an aggregate of 93,750 Additional Units in consideration of the payment of $10.00 per Additional Unit for a purchase price of up to $937,500 and in the same proportion as the amount of the Over-Allotment Option is exercised. On the Over-Allotment Closing Date (as defined below), the Company shall, at its option, deliver to the Subscriber the certificates representing the Securities purchased or effect such delivery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both"/>
        <w:ind w:firstLine="648"/>
        <w:spacing w:after="0" w:line="275" w:lineRule="auto"/>
        <w:rPr>
          <w:sz w:val="20"/>
          <w:szCs w:val="20"/>
          <w:color w:val="auto"/>
        </w:rPr>
      </w:pPr>
      <w:r>
        <w:rPr>
          <w:rFonts w:ascii="Arial" w:cs="Arial" w:eastAsia="Arial" w:hAnsi="Arial"/>
          <w:sz w:val="17"/>
          <w:szCs w:val="17"/>
          <w:color w:val="auto"/>
        </w:rPr>
        <w:t>1.5. Purchase Price. As payment in full for the Additional Units being purchased under this Agreement, the Subscriber shall pay $10.00 per Additional Unit being purchased by wire transfer of immediately available funds or by such other method as may be reasonably acceptable to the Company, to the Trust Account on the date of the consummation of the closing of the over-allotment option, and concurrently with the consummation thereof, or on such earlier time and date as may be mutually agreed by the Company and the Subscriber (each such date, an “</w:t>
      </w:r>
      <w:r>
        <w:rPr>
          <w:rFonts w:ascii="Arial" w:cs="Arial" w:eastAsia="Arial" w:hAnsi="Arial"/>
          <w:sz w:val="17"/>
          <w:szCs w:val="17"/>
          <w:b w:val="1"/>
          <w:bCs w:val="1"/>
          <w:color w:val="auto"/>
        </w:rPr>
        <w:t>Over-Allotment Closing Date</w:t>
      </w:r>
      <w:r>
        <w:rPr>
          <w:rFonts w:ascii="Arial" w:cs="Arial" w:eastAsia="Arial" w:hAnsi="Arial"/>
          <w:sz w:val="17"/>
          <w:szCs w:val="17"/>
          <w:color w:val="auto"/>
        </w:rPr>
        <w:t>”; together with the Initial Closing Date, the “</w:t>
      </w:r>
      <w:r>
        <w:rPr>
          <w:rFonts w:ascii="Arial" w:cs="Arial" w:eastAsia="Arial" w:hAnsi="Arial"/>
          <w:sz w:val="17"/>
          <w:szCs w:val="17"/>
          <w:b w:val="1"/>
          <w:bCs w:val="1"/>
          <w:color w:val="auto"/>
        </w:rPr>
        <w:t>Closing Dates</w:t>
      </w:r>
      <w:r>
        <w:rPr>
          <w:rFonts w:ascii="Arial" w:cs="Arial" w:eastAsia="Arial" w:hAnsi="Arial"/>
          <w:sz w:val="17"/>
          <w:szCs w:val="17"/>
          <w:color w:val="auto"/>
        </w:rPr>
        <w:t>” and each, a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1.6. Over-Allotment Closing. The Over-Allotment Closing Date shall take place at the offices of of Lucosky Brookman LLP, 101 Wood Avenue South, 5th Floor, Woodbridge, New Jersey 08830, or such other place as may be agreed upon by the parties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1.7 Termination. This Agreement and each of the obligations of the undersigned shall be null and void and without effect if the Initial Closing Date does not occur prior to December 31, 2021.</w:t>
      </w:r>
    </w:p>
    <w:p>
      <w:pPr>
        <w:spacing w:after="0" w:line="170" w:lineRule="exact"/>
        <w:rPr>
          <w:sz w:val="20"/>
          <w:szCs w:val="20"/>
          <w:color w:val="auto"/>
        </w:rPr>
      </w:pPr>
    </w:p>
    <w:p>
      <w:pPr>
        <w:ind w:left="520" w:hanging="188"/>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Subscriber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Subscriber represents and warrants to the Company that: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 No Government Recommendation or Approval. The Subscriber understands that no federal or state agency has passed upon or made any recommendation or endorsement of the Company or the Placement of the Securities.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2.2. Accredited Investor. The Subscriber represents that it is an “accredited investor” as such term is defined in Rule 501(a) of Regulation D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acknowledges that the sale contemplated hereby is being made in reliance, among other things, on a private placement exemption to “accredited investors” under the Securities Act and similar exemptions under state law.</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2.3. Intent. The Subscriber is purchasing the Securities solely for investment purposes, for the Subscriber’s own account (and/or for the account or benefit of its members or affiliates, as permitted, pursuant to the terms of an agreement (the “</w:t>
      </w:r>
      <w:r>
        <w:rPr>
          <w:rFonts w:ascii="Arial" w:cs="Arial" w:eastAsia="Arial" w:hAnsi="Arial"/>
          <w:sz w:val="16"/>
          <w:szCs w:val="16"/>
          <w:b w:val="1"/>
          <w:bCs w:val="1"/>
          <w:color w:val="auto"/>
        </w:rPr>
        <w:t>Insider Letter</w:t>
      </w:r>
      <w:r>
        <w:rPr>
          <w:rFonts w:ascii="Arial" w:cs="Arial" w:eastAsia="Arial" w:hAnsi="Arial"/>
          <w:sz w:val="16"/>
          <w:szCs w:val="16"/>
          <w:color w:val="auto"/>
        </w:rPr>
        <w:t>”) to be entered into with respect to the Securities between, among others, the Subscriber and the Company, as described in the Registration Statement), and not with a view to the distribution thereof and the Subscriber has no present arrangement to sell the Securities to or through any person or entity except as may be permitted under the Insider Letter. The Subscriber shall not engage in hedging transactions with regard to the Securities unless in compliance with the Securities Act.</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2.4. Restrictions on Transfer. The Subscriber acknowledges and understands the Units are being offered in a transaction not involving a public offering in the United States within the meaning of the Securities Act. The Securities have not been registered under the Securities Act and, if in the future the Subscriber decides to offer, resell, pledge or otherwise transfer the Securities, such Securities may be offered, resold, pledged or otherwise transferred only (A) pursuant to an effective registration statement filed under the Securities Act, (B) pursuant to an exemption from registration under Rule 144 promulgated under the Securities Act, if available, or (C) pursuant to any other available exemption from the registration requirements of the Securities Act, and in each case in accordance with any applicable securities laws of any state or any other jurisdiction. Notwithstanding the foregoing, the Subscriber acknowledges and understands the Securities are subject to transfer restrictions as described in Section 8 hereof. The Subscriber agrees that if any transfer of its Securities or any interest therein is proposed to be made, as a condition precedent to any such transfer, the Subscriber may be required to deliver to the Company an opinion of counsel satisfactory to the Company with respect to such transfer. Absent registration or another available exemption from registration, the Subscriber agrees it will not resell the Securities (unless otherwise permitted pursuant to the Insider Letter, as described in the Registration Statement). The Subscriber further acknowledges that because the Company is a shell company, Rule 144 may not be available to the Subscriber for the resale of the Securities until the one year anniversary following consummation of the initial Business Combination of the Company, despite technical compliance with the requirements of Rule 144 and the release or waiver of any contractual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color w:val="auto"/>
        </w:rPr>
        <w:t>2.5. Sophisticated Investor.</w:t>
      </w:r>
    </w:p>
    <w:p>
      <w:pPr>
        <w:spacing w:after="0" w:line="225" w:lineRule="exact"/>
        <w:rPr>
          <w:sz w:val="20"/>
          <w:szCs w:val="20"/>
          <w:color w:val="auto"/>
        </w:rPr>
      </w:pPr>
    </w:p>
    <w:p>
      <w:pPr>
        <w:ind w:left="1240" w:hanging="260"/>
        <w:spacing w:after="0"/>
        <w:tabs>
          <w:tab w:leader="none" w:pos="12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Subscriber is sophisticated in financial matters and is able to evaluate the risks and benefits of the investment in the Securities.</w:t>
      </w:r>
    </w:p>
    <w:p>
      <w:pPr>
        <w:spacing w:after="0" w:line="236" w:lineRule="exact"/>
        <w:rPr>
          <w:rFonts w:ascii="Arial" w:cs="Arial" w:eastAsia="Arial" w:hAnsi="Arial"/>
          <w:sz w:val="17"/>
          <w:szCs w:val="17"/>
          <w:color w:val="auto"/>
        </w:rPr>
      </w:pPr>
    </w:p>
    <w:p>
      <w:pPr>
        <w:jc w:val="both"/>
        <w:ind w:firstLine="980"/>
        <w:spacing w:after="0" w:line="259" w:lineRule="auto"/>
        <w:tabs>
          <w:tab w:leader="none" w:pos="12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Subscriber is aware that an investment in the Securities is highly speculative and subject to substantial risks because, among other things, the Securities are subject to transfer restrictions and have not been registered under the Securities Act and therefore cannot be sold unless subsequently registered under the Securities Act or an exemption from such registration is available. The Subscriber is able to bear the economic risk of its investment in the Securities for an indefinite period of time.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2.6. Independent Investigation. The Subscriber, in making the decision to purchase the Units, has relied upon an independent investigation of the Company and has not relied upon any information or representations made by any third parties or upon any oral or written representations or assurances from the Company, its officers, directors or employees or any other representatives or agents of the Company, other than as set forth in this Agreement. The Subscriber is familiar with the business, operations and financial condition of the Company and has had an opportunity to ask questions of, and receive answers from the Company’s officers and directors concerning the Company and the terms and conditions of the offering of the Units and has had full access to such other information concerning the Company as the Subscriber has requested. The Subscriber confirms that all documents that it has requested have been made available and that the Subscriber has been supplied with all of the additional information concerning this investment which the Subscriber has requested.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2.7 Organization and Authority. The Subscriber is duly organized, validly existing and in good standing under the laws of the State of Delaware and it possesses all requisite power and authority necessary to carry out the transactions contemplated by this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2.8. Authority. This Agreement has been validly authorized, executed and delivered by the Subscriber and is a valid and binding agreement enforceable in accordance with its terms, subject to the general principles of equity and to bankruptcy or other laws affecting the enforcement of creditors’ rights generally.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2.9. No Conflicts. The execution, delivery and performance of this Agreement and the consummation by the Subscriber of the transactions contemplated hereby do not violate, conflict with or constitute a default under (i) the Subscriber's charter documents, (ii) any agreement or instrument to which the Subscriber is a party or (iii) any law, statute, rule or regulation to which the Subscriber is subject, or any agreement, order, judgment or decree to which the Subscriber is subject.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2.10. No Legal Advice from Company. The Subscriber acknowledges it has had the opportunity to review this Agreement and the transactions contemplated by this Agreement and the other agreements entered into between the parties hereto with the Subscriber’s own legal counsel and investment and tax advisors. Except for any statements or representations of the Company made in this Agreement and the other agreements entered into between the parties hereto, the Subscriber is relying solely on such counsel and advisors and not on any statements or representations of the Company or any of its representatives or agents for legal, tax or investment advice with respect to this investment, the transactions contemplated by this Agreement or the securities laws of any jurisdiction.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2.11. Reliance on Representations and Warranties. The Subscriber understands the Units are being offered and sold to the Subscriber in reliance on exemptions from the registration requirements under the Securities Act, and analogous provisions in the laws and regulations of various states, and that the Company is relying upon the truth and accuracy of the representations, warranties, agreements, acknowledgments and understandings of the Subscriber set forth in this Agreement in order to determine the applicability of such provisions.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2.12. No General Solicitation. The Subscriber is not subscribing for the Units as a result of or subsequent to any general solicitation or general advertising, including but not limited to any advertisement, article, notice or other communication published in any newspaper, magazine, or similar media or broadcast over television or radio, or presented at any seminar or meeting or in a registration statement with respect to the IPO filed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right="20" w:firstLine="648"/>
        <w:spacing w:after="0" w:line="277" w:lineRule="auto"/>
        <w:rPr>
          <w:sz w:val="20"/>
          <w:szCs w:val="20"/>
          <w:color w:val="auto"/>
        </w:rPr>
      </w:pPr>
      <w:r>
        <w:rPr>
          <w:rFonts w:ascii="Arial" w:cs="Arial" w:eastAsia="Arial" w:hAnsi="Arial"/>
          <w:sz w:val="18"/>
          <w:szCs w:val="18"/>
          <w:color w:val="auto"/>
        </w:rPr>
        <w:t>2.13. Legend. The Subscriber acknowledges and agrees the certificates (if any) evidencing each of the Securities shall bear a restrictive legend (the “</w:t>
      </w:r>
      <w:r>
        <w:rPr>
          <w:rFonts w:ascii="Arial" w:cs="Arial" w:eastAsia="Arial" w:hAnsi="Arial"/>
          <w:sz w:val="18"/>
          <w:szCs w:val="18"/>
          <w:b w:val="1"/>
          <w:bCs w:val="1"/>
          <w:color w:val="auto"/>
        </w:rPr>
        <w:t>Legend</w:t>
      </w:r>
      <w:r>
        <w:rPr>
          <w:rFonts w:ascii="Arial" w:cs="Arial" w:eastAsia="Arial" w:hAnsi="Arial"/>
          <w:sz w:val="18"/>
          <w:szCs w:val="18"/>
          <w:color w:val="auto"/>
        </w:rPr>
        <w:t>”), in form and substance substantially as set forth in Section 4 hereof.</w:t>
      </w:r>
    </w:p>
    <w:p>
      <w:pPr>
        <w:spacing w:after="0" w:line="170" w:lineRule="exact"/>
        <w:rPr>
          <w:sz w:val="20"/>
          <w:szCs w:val="20"/>
          <w:color w:val="auto"/>
        </w:rPr>
      </w:pPr>
    </w:p>
    <w:p>
      <w:pPr>
        <w:ind w:left="560" w:hanging="228"/>
        <w:spacing w:after="0"/>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Covenants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and agrees with, the Subscriber that: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3.1. Valid Issuance of Capital Stock. The total number of shares of all classes of capital stock which the Company has authority to issue is 280,000,000 shares of Class A Common Stock, 20,000,000 shares of Class B Common Stock, $0.0001 par value per share (the “</w:t>
      </w:r>
      <w:r>
        <w:rPr>
          <w:rFonts w:ascii="Arial" w:cs="Arial" w:eastAsia="Arial" w:hAnsi="Arial"/>
          <w:sz w:val="18"/>
          <w:szCs w:val="18"/>
          <w:b w:val="1"/>
          <w:bCs w:val="1"/>
          <w:color w:val="auto"/>
        </w:rPr>
        <w:t>Class B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and 1,000,000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As of the date hereof, the Company has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9,487,500 shares of Class B Common Stock (of which up to 1,237,500 shares are subject to forfeiture as described in the Registration Statement), no shares of Class A Common Stock and no shares of Preferred Stock. All of the issued shares of capital stock of the Company have been duly authorized, validly issued, and are fully paid and non-assessable.</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3.2. Title to Securities. Upon issuance in accordance with, and payment pursuant to, the terms hereof, that certain warrant agreement to be entered into between the Company and Continental, as warrant agent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each of the Units, Placement Shares, Placement Warrants, and Warrant Shares will be duly and validly issued, fully paid and non-assessable. On the date of issuance of the Units and the Warrant Shares shall have been reserved for issuance. Upon issuance in accordance with, and payment pursuant to, the terms hereof and the Warrant Agreement, the Subscriber will have or receive good title to the Units, Placement Shares and Placement Warrants, free and clear of all liens, claims and encumbrances of any kind, other than (i) transfer restrictions hereunder and pursuant to the Insider Letter and (ii) transfer restrictions under federal and state securities laws.</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3.3. Organization and Qualification. The Company is a corporation duly incorporated, validly existing and in good standing under the laws of the State of Delaware and has the requisite corporate power to own its properties and assets and to carry on its business as now being conducted.</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3.4. Authorization; Enforcement. (i) The Company has the requisite corporate power and authority to enter into and perform its obligations under this Agreement and to issue the Securities in accordance with the terms hereof, (ii) the execution, delivery and performance of this Agreement by the Company and the consummation by it of the transactions contemplated hereby have been duly authorized by all necessary corporate action, and no further consent or authorization of the Company or its Board of Directors or stockholders is required, and (iii) this Agreement constitutes valid and binding obligations of the Company enforceable against the Company in accordance with its terms, except as such enforceability may be limited by applicable bankruptcy, insolvency, fraudulent conveyance, moratorium, reorganization, or similar laws relating to, or affecting generally the enforcement of, creditors’ rights and remedies or by equitable principles of general application and except as enforcement of rights to indemnity and contribution may be limited by federal and state securities laws or principles of public policy.</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3.5. No Conflicts. The execution, delivery and performance of this Agreement and the consummation by the Company of the transactions contemplated hereby do not (i) result in a violation of the Company’s certificate of incorporation or by-laws, (ii) conflict with, or constitute a default under any agreement or instrument to which the Company is a party or (iii) any law statute, rule or regulation to which the Company is subject or any agreement, order, judgment or decree to which the Company is subject. Other than any SEC or state securities filings which may be required to be made by the Company subsequent to a Closing Date, and any registration statement which may be filed pursuant thereto, the Company is not required under federal, state or local law, rule or regulation to obtain any consent, authorization or order of, or make any filing or registration with, any court or governmental agency or self-regulatory entity in order for it to perform any of its obligations under this Agreement or issue the Units, Placement Shares, Placement Warrants or Warrant Shares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ind w:left="520" w:hanging="188"/>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Legends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4.1. Legend. The Company will issue the Units, Placement Shares, Placement Warrants and Placement Rights, and when issued, the Warrant Shares, purchased by the Subscriber in the name of the Subscriber. The certificates (if any) evidencing Securities will bear the following Legend and appropriate “stop transfer” instructions:</w:t>
      </w:r>
    </w:p>
    <w:p>
      <w:pPr>
        <w:spacing w:after="0" w:line="184"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“SECURITIES ACT”), OR ANY STATE SECURITIES LAWS AND NEITHER THE SECURITIES NOR ANY INTEREST THEREIN MAY BE OFFERED, SOLD, TRANSFERRED, PLEDGED OR OTHERWISE DISPOSED OF EXCEPT PURSUANT TO AN EFFECTIVE REGISTRATION STATEMENT UNDER THE SECURITIES ACT OR SUCH LAWS OR AN EXEMPTION FROM REGISTRATION UNDER THE SECURITIES ACT AND SUCH LAWS WHICH, IN THE OPINION OF COUNSEL FOR THIS CORPORATION, IS AVAILABLE.”</w:t>
      </w:r>
    </w:p>
    <w:p>
      <w:pPr>
        <w:spacing w:after="0" w:line="192"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“THE SECURITIES REPRESENTED BY THIS CERTIFICATE ARE SUBJECT TO LOCKUP PURSUANT TO AN INSIDER LETTER BETWEEN, AMONG OTHERS, BURTECH ACQUISITION CORP. AND BURTECH LP, LLC AND MAY ONLY BE OFFERED, SOLD, TRANSFERRED, PLEDGED OR OTHERWISE DISPOSED DURING THE TERM OF THE LOCKUP PURSUANT TO THE TERMS SET FORTH IN THE INSIDER LETTER.”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4.2. Subscriber’s Compliance. Nothing in this Section 4 shall affect in any way the Subscriber’s obligations and agreements to comply with all applicable securities laws upon resale of the Securities.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4.3. Company’s Refusal to Register Transfer of the Securities. The Company shall refuse to register any transfer of the Securities, if in the sole judgment of the Company such purported transfer would not be made (i) pursuant to an effective registration statement filed under the Securities Act, or pursuant to an available exemption from the registration requirements of the Securities Act and (ii) in compliance herewith and with the Insider Letter.</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4.4. Registration Rights. The Subscriber will be entitled to certain registration rights which will be governed by a registration rights agreement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to be entered into between, among others, the Subscriber and the Company, on or prior to the effective date of the Registration Statement.</w:t>
      </w:r>
    </w:p>
    <w:p>
      <w:pPr>
        <w:spacing w:after="0" w:line="184" w:lineRule="exact"/>
        <w:rPr>
          <w:sz w:val="20"/>
          <w:szCs w:val="20"/>
          <w:color w:val="auto"/>
        </w:rPr>
      </w:pPr>
    </w:p>
    <w:p>
      <w:pPr>
        <w:ind w:left="560" w:hanging="228"/>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Waiver of Liquidation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Securities purchased pursuant to this Agreement, the Subscriber hereby waives any and all right, title, interest or claim of any kind in or to any distributions of the amounts in the Trust Account with respect to the Securities, whether (i) in connection with the exercise of redemption rights if the Company consummates the Business Combination, (ii) in connection with any tender offer conducted by the Company prior to a Business Combination, (iii) upon the Company’s redemption of shares of Common Stock sold in the Company’s IPO upon the Company’s failure to timely complete the Business Combination or (iv) in connection with a stockholder vote to approve an amendment to the Company’s amended and restated certificate of incorporation (A) to modify the substance or timing of the Company’s obligation to redeem 100% of the Company’s public shares if the Company does not timely complete the Business Combination or (B) with respect to any other provision relating to stockholders’ rights or pre-Business Combination activity. In the event the Subscriber purchases shares of Common Stock in the IPO or in the aftermarket, any additional shares so purchased shall be eligible to receive the redemption value of such shares of Common Stock upon the same terms offered to all other purchasers of Common Stock in the IPO in the event the Company fails to consummate the Business Combination.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i w:val="1"/>
          <w:iCs w:val="1"/>
          <w:color w:val="auto"/>
        </w:rPr>
        <w:t>Terms of Placement Warrants</w:t>
      </w:r>
      <w:r>
        <w:rPr>
          <w:rFonts w:ascii="Arial" w:cs="Arial" w:eastAsia="Arial" w:hAnsi="Arial"/>
          <w:sz w:val="18"/>
          <w:szCs w:val="18"/>
          <w:color w:val="auto"/>
        </w:rPr>
        <w:t>. Each Placement Warrant shall have the terms set forth in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left="520" w:hanging="188"/>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Rescission Right Waiver and Indemnification.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7.1. The Subscriber understands and acknowledges an exemption from the registration requirements of the Securities Act requires there be no general solicitation of purchasers of the Units. In this regard, if the IPO were deemed to be a general solicitation with respect to the Units, the offer and sale of such Units may not be exempt from registration and, if not, the Subscriber may have a right to rescind its purchase of the Units. In order to facilitate the completion of the Placement and in order to protect the Company, its stockholders and the amounts in the Trust Account from claims that may adversely affect the Company or the interests of its stockholders, the Subscriber hereby agrees to waive, to the maximum extent permitted by applicable law, any claims, right to sue or rights in law or arbitration, as the case may be, to seek rescission of its purchase of the Units. The Subscriber acknowledges and agrees this waiver is being made in order to induce the Company to sell the Units to the Subscriber. The Subscriber agrees the foregoing waiver of rescission rights shall apply to any and all known or unknown actions, causes of action, suits, claims or proceedings (collectively, “</w:t>
      </w:r>
      <w:r>
        <w:rPr>
          <w:rFonts w:ascii="Arial" w:cs="Arial" w:eastAsia="Arial" w:hAnsi="Arial"/>
          <w:sz w:val="17"/>
          <w:szCs w:val="17"/>
          <w:b w:val="1"/>
          <w:bCs w:val="1"/>
          <w:color w:val="auto"/>
        </w:rPr>
        <w:t>Claims</w:t>
      </w:r>
      <w:r>
        <w:rPr>
          <w:rFonts w:ascii="Arial" w:cs="Arial" w:eastAsia="Arial" w:hAnsi="Arial"/>
          <w:sz w:val="17"/>
          <w:szCs w:val="17"/>
          <w:color w:val="auto"/>
        </w:rPr>
        <w:t>”) and related losses, costs, penalties, fees, liabilities and damages, whether compensatory, consequential or exemplary, and expenses in connection therewith, including reasonable attorneys’ and expert witness fees and disbursements and all other expenses reasonably incurred in investigating, preparing or defending against any Claims, whether pending or threatened, in connection with any present or future actual or asserted right to rescind the purchase of the Units hereunder or relating to the purchase of the Units and the transactions contemplated hereby.</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7.2. The Subscriber agrees not to seek recourse against the Trust Account for any reason whatsoever in connection with its purchase of the Units or any Claim that may arise now or in the future.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7.3. The Subscriber acknowledges and agrees that the stockholders of the Company are and shall be third-party beneficiaries of this Section 7.</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7.4. The Subscriber agrees that to the extent any waiver of rights under this Section 7 is ineffective as a matter of law, the Subscriber has offered such waiver for the benefit of the Company as an equitable right that shall survive any statutory disqualification or bar that applies to a legal right. The Subscriber acknowledges the receipt and sufficiency of consideration received from the Company hereunder in this regard.</w:t>
      </w:r>
    </w:p>
    <w:p>
      <w:pPr>
        <w:spacing w:after="0" w:line="165" w:lineRule="exact"/>
        <w:rPr>
          <w:sz w:val="20"/>
          <w:szCs w:val="20"/>
          <w:color w:val="auto"/>
        </w:rPr>
      </w:pPr>
    </w:p>
    <w:p>
      <w:pPr>
        <w:ind w:left="520" w:hanging="188"/>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Terms of the Units and Placement Warrants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8.1. The Units and their component parts are substantially identical to the units to be offered in the IPO except that: (i) the Units and component parts are subject to the transfer restrictions described in the Insider Letter, (ii) the Placement Warrants will be non-redeemable if called for redemption pursuant to Section 6.1 of the Warrant Agreement so long as they are held by the Subscriber (or any of its permitted transferees) and as otherwise provided in Section 5 herein, and may be exercisable on a “cashless” basis if held by the Subscriber or its permitted transferees, as further described in the Warrant Agreement and (iii) the Units and component parts are being purchased pursuant to an exemption from the registration requirements of the Securities Act and will become freely tradable only after the expiration of the lockup described above in clause (i) and they are registered pursuant to the Registration Rights Agreement to be signed on or before the date of the Prospectus or an exemption from registration is available.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8.2 The Subscriber agrees to vote the Placement Shares in accordance with the terms of the Insider Letter and as otherwise described in the Registration Statement.</w:t>
      </w:r>
    </w:p>
    <w:p>
      <w:pPr>
        <w:spacing w:after="0" w:line="170" w:lineRule="exact"/>
        <w:rPr>
          <w:sz w:val="20"/>
          <w:szCs w:val="20"/>
          <w:color w:val="auto"/>
        </w:rPr>
      </w:pPr>
    </w:p>
    <w:p>
      <w:pPr>
        <w:ind w:left="560" w:hanging="228"/>
        <w:spacing w:after="0"/>
        <w:tabs>
          <w:tab w:leader="none" w:pos="5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Governing Law; Jurisdiction</w:t>
      </w:r>
      <w:r>
        <w:rPr>
          <w:rFonts w:ascii="Arial" w:cs="Arial" w:eastAsia="Arial" w:hAnsi="Arial"/>
          <w:sz w:val="18"/>
          <w:szCs w:val="18"/>
          <w:color w:val="auto"/>
        </w:rPr>
        <w:t>;</w:t>
      </w:r>
      <w:r>
        <w:rPr>
          <w:rFonts w:ascii="Arial" w:cs="Arial" w:eastAsia="Arial" w:hAnsi="Arial"/>
          <w:sz w:val="18"/>
          <w:szCs w:val="18"/>
          <w:i w:val="1"/>
          <w:iCs w:val="1"/>
          <w:color w:val="auto"/>
        </w:rPr>
        <w:t xml:space="preserve"> Waiver of Jury Trial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This Agreement shall be governed by and construed in accordance with the laws of the State of New York for agreements made and to be wholly performed within such state. </w:t>
      </w:r>
      <w:r>
        <w:rPr>
          <w:rFonts w:ascii="Arial" w:cs="Arial" w:eastAsia="Arial" w:hAnsi="Arial"/>
          <w:sz w:val="18"/>
          <w:szCs w:val="18"/>
          <w:b w:val="1"/>
          <w:bCs w:val="1"/>
          <w:color w:val="auto"/>
        </w:rPr>
        <w:t>THE PARTIES HERETO HEREBY WAIVE ANY RIGHT TO A JURY TRIAL IN CONNECTION WITH ANY</w:t>
      </w:r>
      <w:r>
        <w:rPr>
          <w:rFonts w:ascii="Arial" w:cs="Arial" w:eastAsia="Arial" w:hAnsi="Arial"/>
          <w:sz w:val="18"/>
          <w:szCs w:val="18"/>
          <w:color w:val="auto"/>
        </w:rPr>
        <w:t xml:space="preserve"> </w:t>
      </w:r>
      <w:r>
        <w:rPr>
          <w:rFonts w:ascii="Arial" w:cs="Arial" w:eastAsia="Arial" w:hAnsi="Arial"/>
          <w:sz w:val="18"/>
          <w:szCs w:val="18"/>
          <w:b w:val="1"/>
          <w:bCs w:val="1"/>
          <w:color w:val="auto"/>
        </w:rPr>
        <w:t>LITIGATION PURSUANT TO THIS AGREEMENT AND THE TRANSACTIONS CONTEMPLATED HEREBY.</w:t>
      </w:r>
    </w:p>
    <w:p>
      <w:pPr>
        <w:spacing w:after="0" w:line="184" w:lineRule="exact"/>
        <w:rPr>
          <w:sz w:val="20"/>
          <w:szCs w:val="20"/>
          <w:color w:val="auto"/>
        </w:rPr>
      </w:pPr>
    </w:p>
    <w:p>
      <w:pPr>
        <w:ind w:left="640" w:hanging="308"/>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Assignment; Entire Agreement; Amendment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10.1. Assignment. Neither this Agreement nor any rights hereunder may be assigned by any party to any other person other than by the Subscriber to a person agreeing to be bound by the terms hereof, including the waiver contained in Section 7 hereof.</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10.2. Entire Agreement. This Agreement sets forth the entire agreement and understanding between the parties as to the subject matter thereof and merges and supersedes all prior discussions, agreements and understandings of any and every nature among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firstLine="648"/>
        <w:spacing w:after="0" w:line="277" w:lineRule="auto"/>
        <w:rPr>
          <w:sz w:val="20"/>
          <w:szCs w:val="20"/>
          <w:color w:val="auto"/>
        </w:rPr>
      </w:pPr>
      <w:r>
        <w:rPr>
          <w:rFonts w:ascii="Arial" w:cs="Arial" w:eastAsia="Arial" w:hAnsi="Arial"/>
          <w:sz w:val="18"/>
          <w:szCs w:val="18"/>
          <w:color w:val="auto"/>
        </w:rPr>
        <w:t>10.3. Amendment. Except as expressly provided in this Agreement, neither this Agreement nor any term hereof may be amended, waived, discharged or terminated other than by a written instrument signed by all of the parties hereto.</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10.4. Binding upon Successors. This Agreement shall be binding upon and inure to the benefit of the parties hereto and to their respective heirs, legal representatives, successors and permitted assigns.</w:t>
      </w:r>
    </w:p>
    <w:p>
      <w:pPr>
        <w:spacing w:after="0" w:line="170" w:lineRule="exact"/>
        <w:rPr>
          <w:sz w:val="20"/>
          <w:szCs w:val="20"/>
          <w:color w:val="auto"/>
        </w:rPr>
      </w:pPr>
    </w:p>
    <w:p>
      <w:pPr>
        <w:ind w:left="680" w:hanging="348"/>
        <w:spacing w:after="0"/>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Notices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11.1 Notices. Unless otherwise provided herein, any notice or other communication to a party hereunder shall be sufficiently given if in writing and personally delivered or sent by facsimile or other electronic transmission with copy sent in another manner herein provided or sent by courier (which for all purposes of this Agreement shall include Federal Express or other recognized overnight courier) or mailed to said party by certified mail, return receipt requested, at its address provided for herein or such other address as either may designate for itself in such notice to the other. Communications shall be deemed to have been received when delivered personally, on the scheduled arrival date when sent by next day or 2nd-day courier service, or if sent by facsimile upon receipt of confirmation of transmittal or, if sent by mail, then three days after deposit in the mail. If given by electronic transmission, such notice shall be deemed to be delivered (a) if by electronic mail, when directed to an electronic mail address at which the stockholder has consented to receive notice; (b) if by a posting on an electronic network together with separate notice to the stockholder of such specific posting, upon the later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 such posting and (2) the giving of such separate notice; and (c) if by any other form of electronic transmission, when directed to the stockholder.</w:t>
      </w:r>
    </w:p>
    <w:p>
      <w:pPr>
        <w:spacing w:after="0" w:line="222" w:lineRule="exact"/>
        <w:rPr>
          <w:sz w:val="20"/>
          <w:szCs w:val="20"/>
          <w:color w:val="auto"/>
        </w:rPr>
      </w:pPr>
    </w:p>
    <w:p>
      <w:pPr>
        <w:ind w:left="600" w:hanging="268"/>
        <w:spacing w:after="0"/>
        <w:tabs>
          <w:tab w:leader="none" w:pos="60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Counterparts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ind w:left="600" w:hanging="268"/>
        <w:spacing w:after="0"/>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Survival; Severability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13.1. Survival. The representations, warranties, covenants and agreements of the parties hereto shall survive the Closing Dates.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13.2. Severability.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184" w:lineRule="exact"/>
        <w:rPr>
          <w:sz w:val="20"/>
          <w:szCs w:val="20"/>
          <w:color w:val="auto"/>
        </w:rPr>
      </w:pPr>
    </w:p>
    <w:p>
      <w:pPr>
        <w:ind w:left="600" w:hanging="268"/>
        <w:spacing w:after="0"/>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Headings.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titles and subtitles used in this Agreement are used for convenience only and are not to be considered in construing or interpreting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IN WITNESS WHEREOF, the parties hereto have executed this Agreement to be effective as of the date first set forth above.</w:t>
      </w:r>
    </w:p>
    <w:p>
      <w:pPr>
        <w:spacing w:after="0" w:line="244"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4640"/>
        <w:spacing w:after="0"/>
        <w:tabs>
          <w:tab w:leader="none" w:pos="5060" w:val="left"/>
        </w:tabs>
        <w:rPr>
          <w:sz w:val="20"/>
          <w:szCs w:val="20"/>
          <w:color w:val="auto"/>
        </w:rPr>
      </w:pPr>
      <w:r>
        <w:rPr>
          <w:rFonts w:ascii="Arial" w:cs="Arial" w:eastAsia="Arial" w:hAnsi="Arial"/>
          <w:sz w:val="18"/>
          <w:szCs w:val="18"/>
          <w:color w:val="auto"/>
        </w:rPr>
        <w:t>By:</w:t>
        <w:tab/>
        <w:t>/s/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14605</wp:posOffset>
            </wp:positionV>
            <wp:extent cx="3488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Roman Livson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SUBSCRIBER:</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BurTech LP, LLC</w:t>
      </w:r>
    </w:p>
    <w:p>
      <w:pPr>
        <w:spacing w:after="0" w:line="229" w:lineRule="exact"/>
        <w:rPr>
          <w:sz w:val="20"/>
          <w:szCs w:val="20"/>
          <w:color w:val="auto"/>
        </w:rPr>
      </w:pPr>
    </w:p>
    <w:p>
      <w:pPr>
        <w:ind w:left="4640"/>
        <w:spacing w:after="0"/>
        <w:tabs>
          <w:tab w:leader="none" w:pos="5060" w:val="left"/>
        </w:tabs>
        <w:rPr>
          <w:sz w:val="20"/>
          <w:szCs w:val="20"/>
          <w:color w:val="auto"/>
        </w:rPr>
      </w:pPr>
      <w:r>
        <w:rPr>
          <w:rFonts w:ascii="Arial" w:cs="Arial" w:eastAsia="Arial" w:hAnsi="Arial"/>
          <w:sz w:val="18"/>
          <w:szCs w:val="18"/>
          <w:color w:val="auto"/>
        </w:rPr>
        <w:t>By:</w:t>
        <w:tab/>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14605</wp:posOffset>
            </wp:positionV>
            <wp:extent cx="3488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[Unit Subscription Agreement with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 Announces Pricing of $250,000,000 Initial Public Offering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New York, NY – December 10, 2021 </w:t>
      </w:r>
      <w:r>
        <w:rPr>
          <w:rFonts w:ascii="Arial" w:cs="Arial" w:eastAsia="Arial" w:hAnsi="Arial"/>
          <w:sz w:val="16"/>
          <w:szCs w:val="16"/>
          <w:color w:val="auto"/>
        </w:rPr>
        <w:t>– BurTech Acquisition Corp (the “Company”) announced today that it priced its initial public offering of 25,000,000</w:t>
      </w:r>
      <w:r>
        <w:rPr>
          <w:rFonts w:ascii="Arial" w:cs="Arial" w:eastAsia="Arial" w:hAnsi="Arial"/>
          <w:sz w:val="16"/>
          <w:szCs w:val="16"/>
          <w:b w:val="1"/>
          <w:bCs w:val="1"/>
          <w:color w:val="auto"/>
        </w:rPr>
        <w:t xml:space="preserve"> </w:t>
      </w:r>
      <w:r>
        <w:rPr>
          <w:rFonts w:ascii="Arial" w:cs="Arial" w:eastAsia="Arial" w:hAnsi="Arial"/>
          <w:sz w:val="16"/>
          <w:szCs w:val="16"/>
          <w:color w:val="auto"/>
        </w:rPr>
        <w:t>units at $10.00 per unit. The units will be listed on the Nasdaq Global Market (“Nasdaq”) and are expected to begin trading Monday, December 13, 2021, under the ticker symbol “BRKHU”. Each unit consists of one share of Class A common stock and one redeemable warrant, with each warrant entitling the holder thereof to purchase one share of Class A common stock at a price of $11.50 per share. Once the securities comprising the units begin separate trading, the shares of Class A common stock and warrants are expected to be listed on Nasdaq under the symbols “BRKH” and “BRKHW” respectively.</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blank check company whose business purpose is to effect a merger, capital stock exchange, asset acquisition, stock purchase, reorganization or similar business combination with one or more businesses or entities. The Company has not selected a business combination target and has not, nor has anyone on its behalf, initiated any substantive discussions, directly or indirectly, with any business combination target. The Company intends to focus its search for a target business in the retail, lifestyle, hospitality, technology, or real estate markets. The Company is led by its Chief Executive Officer, Shahal Khan.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 Hutton, division of Benchmark Investments, LLC is acting as sole book-running manager for the offering. The Company has granted the underwriters a 45-day option to purchase up to an additional 3,750,000 units at the initial public offering price to cover over-allotments, if any. The offering is expected to close on December 15, 2021, subject to customary closing conditions.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offering is being made only by means of a prospectus. Copies of the prospectus may be obtained, when available, from EF Hutton, division of Benchmark Investments, LLC, Attn: Syndicate Department, 590 Madison Ave., 39th Floor, New York, New York 10022, by telephone at (212) 404-7002, by fax at (646) 861-4697, or by email at syndicate@efhuttongroup.com.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registration statement on Form S-1 (File No. 333-258914) relating to these securities has been filed with the U.S. Securities and Exchange Commission (the “SEC”) and was declared effective by the SEC on December 10,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of the securities described herein, nor shall there be any sale of these securities in any state or jurisdiction in which such an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press release contains statements that constitute “forward-looking statements,” including with respect to the initial public offering and the anticipated use of the net proceeds. No assurance can be given that the offering discussed above will be completed on the terms described, or at all, or that the net proceeds of the offering will be used as indicated. Forward-looking statements are subject to numerous conditions, many of which are beyond the control of the Company, including those set forth in the Risk Factors section of the Company's registration statement and preliminary prospectus for the offering filed with the SEC. Copies are available on the SEC's website, www.sec.gov. The Company undertakes no obligation to update these statements for revisions or changes after the date of this release,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1300 Pennsylvania Avenue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Washington, DC 20004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333333"/>
        </w:rPr>
        <w:t>Camille Chetrit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investors@burtechacq.us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(908) 530-8928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 Announces Closing of Initial Public Offering and Exercise of Full Over-Allotment Option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New York, NY – December 15, 2021 </w:t>
      </w:r>
      <w:r>
        <w:rPr>
          <w:rFonts w:ascii="Arial" w:cs="Arial" w:eastAsia="Arial" w:hAnsi="Arial"/>
          <w:sz w:val="18"/>
          <w:szCs w:val="18"/>
          <w:color w:val="auto"/>
        </w:rPr>
        <w:t>– BurTech Acquisition Corp. (the “Company”) announced today the closing of its initial public offering of</w:t>
      </w:r>
      <w:r>
        <w:rPr>
          <w:rFonts w:ascii="Arial" w:cs="Arial" w:eastAsia="Arial" w:hAnsi="Arial"/>
          <w:sz w:val="18"/>
          <w:szCs w:val="18"/>
          <w:b w:val="1"/>
          <w:bCs w:val="1"/>
          <w:color w:val="auto"/>
        </w:rPr>
        <w:t xml:space="preserve"> </w:t>
      </w:r>
      <w:r>
        <w:rPr>
          <w:rFonts w:ascii="Arial" w:cs="Arial" w:eastAsia="Arial" w:hAnsi="Arial"/>
          <w:sz w:val="18"/>
          <w:szCs w:val="18"/>
          <w:color w:val="auto"/>
        </w:rPr>
        <w:t>25,000,000 units at $10.00 per unit (the “Offering”). Each unit consists of one share of Class A common stock and one redeemable warrant, with each warrant entitling the holder thereof to purchase one share of Class A common stock at a price of $11.50 per share. The underwriters exercised their over-allotment option in full for an additional 3,750,000 units on December 13, 2021, which closed at the time of the closing of the Offering. As a result, the aggregate gross proceeds of the Offering, including the over-allotment, are $287.5 million, prior to deducting underwriting discounts, commissions, and other Offering expenses.</w:t>
      </w:r>
    </w:p>
    <w:p>
      <w:pPr>
        <w:spacing w:after="0" w:line="19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units have been listed on the Nasdaq Global Market (“Nasdaq”) and began trading on December 13, 2021, under the ticker symbol “BRKHU”. Once the securities comprising the units begin separate trading, the shares of Class A common stock and warrants are expected to be listed on Nasdaq under the symbols “BRKH” and “BRKHW”, respectively.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blank check company formed for the purpose of effecting a merger, capital stock exchange, asset acquisition, stock purchase, reorganization or similar business combination with one or more businesses. The Company has not selected a business combination target and has not, nor has anyone on its behalf, initiated any substantive discussions, directly or indirectly, with any business combination target. The Company intends to focus its search for a target business in the retail, lifestyle, hospitality, technology, or real estate markets. The Company is led by its Chief Executive Officer, Mr. Shahal Khan.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EF Hutton, division of Benchmark Investments, LLC, served as sole book-running manager for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 served as legal counsel to the Company. Lucosky Brookman, LLP served as legal counsel to EF Hutton.</w:t>
      </w:r>
    </w:p>
    <w:p>
      <w:pPr>
        <w:spacing w:after="0" w:line="22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Offering was made only by means of a prospectus. Copies of the prospectus may be obtained from EF Hutton, division of Benchmark Investments, LLC, 590 Madison Ave., 39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10022, Attention: Syndicate Department, or via email at syndicate@efhuttongroup.com or telephone at (212) 404-7002.</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Securities and Exchange Commission (“SEC”) declared effective a registration statement on Form S-1 relating to these securities on December 10, 2021. A final prospectus relating to this Offering has been filed with the SEC. 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contains statements that constitute "forward-looking statements," including with respect to the Company's initial public offering and the anticipated use of the net proceeds thereof. Forward-looking statements are subject to numerous conditions, many of which are beyond the control of the Company, including those set forth in the Risk Factors section of the Company's registration statement and final prospectus for the Offering filed with the SEC. Copies are available on the SEC's website, www.sec.gov. The Company undertakes no obligation to update these statements for revisions or changes after the date of this release,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1300 Pennsylvania Avenue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Washington, DC 20004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333333"/>
        </w:rPr>
        <w:t>Camille Chetrit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investors@burtechacq.us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(908) 530-8928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1."/>
      <w:numFmt w:val="decimal"/>
      <w:start w:val="1"/>
    </w:lvl>
  </w:abstractNum>
  <w:abstractNum w:abstractNumId="4">
    <w:nsid w:val="520EEDD1"/>
    <w:multiLevelType w:val="hybridMultilevel"/>
    <w:lvl w:ilvl="0">
      <w:lvlJc w:val="left"/>
      <w:lvlText w:val="(%1)"/>
      <w:numFmt w:val="lowerRoman"/>
      <w:start w:val="1"/>
    </w:lvl>
  </w:abstractNum>
  <w:abstractNum w:abstractNumId="5">
    <w:nsid w:val="374A3FE6"/>
    <w:multiLevelType w:val="hybridMultilevel"/>
    <w:lvl w:ilvl="0">
      <w:lvlJc w:val="left"/>
      <w:lvlText w:val="(%1)"/>
      <w:numFmt w:val="decimal"/>
      <w:start w:val="2"/>
    </w:lvl>
  </w:abstractNum>
  <w:abstractNum w:abstractNumId="6">
    <w:nsid w:val="4F4EF005"/>
    <w:multiLevelType w:val="hybridMultilevel"/>
    <w:lvl w:ilvl="0">
      <w:lvlJc w:val="left"/>
      <w:lvlText w:val="%1."/>
      <w:numFmt w:val="decimal"/>
      <w:start w:val="2"/>
    </w:lvl>
  </w:abstractNum>
  <w:abstractNum w:abstractNumId="7">
    <w:nsid w:val="23F9C13C"/>
    <w:multiLevelType w:val="hybridMultilevel"/>
    <w:lvl w:ilvl="0">
      <w:lvlJc w:val="left"/>
      <w:lvlText w:val="2.%1."/>
      <w:numFmt w:val="decimal"/>
      <w:start w:val="1"/>
    </w:lvl>
  </w:abstractNum>
  <w:abstractNum w:abstractNumId="8">
    <w:nsid w:val="649BB77C"/>
    <w:multiLevelType w:val="hybridMultilevel"/>
    <w:lvl w:ilvl="0">
      <w:lvlJc w:val="left"/>
      <w:lvlText w:val="(%1)"/>
      <w:numFmt w:val="lowerRoman"/>
      <w:start w:val="1"/>
    </w:lvl>
  </w:abstractNum>
  <w:abstractNum w:abstractNumId="9">
    <w:nsid w:val="275AC794"/>
    <w:multiLevelType w:val="hybridMultilevel"/>
    <w:lvl w:ilvl="0">
      <w:lvlJc w:val="left"/>
      <w:lvlText w:val="(%1)"/>
      <w:numFmt w:val="lowerRoman"/>
      <w:start w:val="10"/>
    </w:lvl>
  </w:abstractNum>
  <w:abstractNum w:abstractNumId="10">
    <w:nsid w:val="39386575"/>
    <w:multiLevelType w:val="hybridMultilevel"/>
    <w:lvl w:ilvl="0">
      <w:lvlJc w:val="left"/>
      <w:lvlText w:val="(%1)"/>
      <w:numFmt w:val="lowerRoman"/>
      <w:start w:val="1"/>
    </w:lvl>
  </w:abstractNum>
  <w:abstractNum w:abstractNumId="11">
    <w:nsid w:val="1CF10FD8"/>
    <w:multiLevelType w:val="hybridMultilevel"/>
    <w:lvl w:ilvl="0">
      <w:lvlJc w:val="left"/>
      <w:lvlText w:val="%1."/>
      <w:numFmt w:val="decimal"/>
      <w:start w:val="4"/>
    </w:lvl>
  </w:abstractNum>
  <w:abstractNum w:abstractNumId="12">
    <w:nsid w:val="180115BE"/>
    <w:multiLevelType w:val="hybridMultilevel"/>
    <w:lvl w:ilvl="0">
      <w:lvlJc w:val="left"/>
      <w:lvlText w:val="%1."/>
      <w:numFmt w:val="decimal"/>
      <w:start w:val="5"/>
    </w:lvl>
  </w:abstractNum>
  <w:abstractNum w:abstractNumId="13">
    <w:nsid w:val="235BA861"/>
    <w:multiLevelType w:val="hybridMultilevel"/>
    <w:lvl w:ilvl="0">
      <w:lvlJc w:val="left"/>
      <w:lvlText w:val="5.%1."/>
      <w:numFmt w:val="decimal"/>
      <w:start w:val="1"/>
    </w:lvl>
  </w:abstractNum>
  <w:abstractNum w:abstractNumId="14">
    <w:nsid w:val="47398C89"/>
    <w:multiLevelType w:val="hybridMultilevel"/>
    <w:lvl w:ilvl="0">
      <w:lvlJc w:val="left"/>
      <w:lvlText w:val="(%1)"/>
      <w:numFmt w:val="lowerLetter"/>
      <w:start w:val="1"/>
    </w:lvl>
  </w:abstractNum>
  <w:abstractNum w:abstractNumId="15">
    <w:nsid w:val="354FE9F9"/>
    <w:multiLevelType w:val="hybridMultilevel"/>
    <w:lvl w:ilvl="0">
      <w:lvlJc w:val="left"/>
      <w:lvlText w:val="%1."/>
      <w:numFmt w:val="decimal"/>
      <w:start w:val="6"/>
    </w:lvl>
  </w:abstractNum>
  <w:abstractNum w:abstractNumId="16">
    <w:nsid w:val="15B5AF5C"/>
    <w:multiLevelType w:val="hybridMultilevel"/>
    <w:lvl w:ilvl="0">
      <w:lvlJc w:val="left"/>
      <w:lvlText w:val="%1."/>
      <w:numFmt w:val="decimal"/>
      <w:start w:val="7"/>
    </w:lvl>
  </w:abstractNum>
  <w:abstractNum w:abstractNumId="17">
    <w:nsid w:val="741226BB"/>
    <w:multiLevelType w:val="hybridMultilevel"/>
    <w:lvl w:ilvl="0">
      <w:lvlJc w:val="left"/>
      <w:lvlText w:val="(%1)"/>
      <w:numFmt w:val="lowerRoman"/>
      <w:start w:val="2"/>
    </w:lvl>
  </w:abstractNum>
  <w:abstractNum w:abstractNumId="18">
    <w:nsid w:val="D34B6A8"/>
    <w:multiLevelType w:val="hybridMultilevel"/>
    <w:lvl w:ilvl="0">
      <w:lvlJc w:val="left"/>
      <w:lvlText w:val="%1."/>
      <w:numFmt w:val="decimal"/>
      <w:start w:val="8"/>
    </w:lvl>
  </w:abstractNum>
  <w:abstractNum w:abstractNumId="19">
    <w:nsid w:val="10233C99"/>
    <w:multiLevelType w:val="hybridMultilevel"/>
    <w:lvl w:ilvl="0">
      <w:lvlJc w:val="left"/>
      <w:lvlText w:val="%1."/>
      <w:numFmt w:val="decimal"/>
      <w:start w:val="9"/>
    </w:lvl>
  </w:abstractNum>
  <w:abstractNum w:abstractNumId="20">
    <w:nsid w:val="3F6AB60F"/>
    <w:multiLevelType w:val="hybridMultilevel"/>
    <w:lvl w:ilvl="0">
      <w:lvlJc w:val="left"/>
      <w:lvlText w:val="(%1)"/>
      <w:numFmt w:val="lowerRoman"/>
      <w:start w:val="6"/>
    </w:lvl>
  </w:abstractNum>
  <w:abstractNum w:abstractNumId="21">
    <w:nsid w:val="61574095"/>
    <w:multiLevelType w:val="hybridMultilevel"/>
    <w:lvl w:ilvl="0">
      <w:lvlJc w:val="left"/>
      <w:lvlText w:val="%1."/>
      <w:numFmt w:val="decimal"/>
      <w:start w:val="10"/>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1)"/>
      <w:numFmt w:val="lowerRoman"/>
      <w:start w:val="1"/>
    </w:lvl>
  </w:abstractNum>
  <w:abstractNum w:abstractNumId="24">
    <w:nsid w:val="579BE4F1"/>
    <w:multiLevelType w:val="hybridMultilevel"/>
    <w:lvl w:ilvl="0">
      <w:lvlJc w:val="left"/>
      <w:lvlText w:val="(%1)"/>
      <w:numFmt w:val="lowerLetter"/>
      <w:start w:val="1"/>
    </w:lvl>
  </w:abstractNum>
  <w:abstractNum w:abstractNumId="25">
    <w:nsid w:val="310C50B3"/>
    <w:multiLevelType w:val="hybridMultilevel"/>
    <w:lvl w:ilvl="0">
      <w:lvlJc w:val="left"/>
      <w:lvlText w:val="(%1)"/>
      <w:numFmt w:val="lowerRoman"/>
      <w:start w:val="1"/>
    </w:lvl>
  </w:abstractNum>
  <w:abstractNum w:abstractNumId="26">
    <w:nsid w:val="5FF87E05"/>
    <w:multiLevelType w:val="hybridMultilevel"/>
    <w:lvl w:ilvl="0">
      <w:lvlJc w:val="left"/>
      <w:lvlText w:val="(%1)"/>
      <w:numFmt w:val="lowerLetter"/>
      <w:start w:val="2"/>
    </w:lvl>
  </w:abstractNum>
  <w:abstractNum w:abstractNumId="27">
    <w:nsid w:val="2F305DEF"/>
    <w:multiLevelType w:val="hybridMultilevel"/>
    <w:lvl w:ilvl="0">
      <w:lvlJc w:val="left"/>
      <w:lvlText w:val="(%1)"/>
      <w:numFmt w:val="lowerRoman"/>
      <w:start w:val="1"/>
    </w:lvl>
    <w:lvl w:ilvl="1">
      <w:lvlJc w:val="left"/>
      <w:lvlText w:val="●"/>
      <w:numFmt w:val="bullet"/>
      <w:start w:val="1"/>
    </w:lvl>
  </w:abstractNum>
  <w:abstractNum w:abstractNumId="28">
    <w:nsid w:val="25A70BF7"/>
    <w:multiLevelType w:val="hybridMultilevel"/>
    <w:lvl w:ilvl="0">
      <w:lvlJc w:val="left"/>
      <w:lvlText w:val="(%1)"/>
      <w:numFmt w:val="lowerRoman"/>
      <w:start w:val="3"/>
    </w:lvl>
  </w:abstractNum>
  <w:abstractNum w:abstractNumId="29">
    <w:nsid w:val="1DBABF00"/>
    <w:multiLevelType w:val="hybridMultilevel"/>
    <w:lvl w:ilvl="0">
      <w:lvlJc w:val="left"/>
      <w:lvlText w:val="(%1)"/>
      <w:numFmt w:val="lowerLetter"/>
      <w:start w:val="3"/>
    </w:lvl>
  </w:abstractNum>
  <w:abstractNum w:abstractNumId="30">
    <w:nsid w:val="4AD084E9"/>
    <w:multiLevelType w:val="hybridMultilevel"/>
    <w:lvl w:ilvl="0">
      <w:lvlJc w:val="left"/>
      <w:lvlText w:val="(%1)"/>
      <w:numFmt w:val="lowerLetter"/>
      <w:start w:val="1"/>
    </w:lvl>
  </w:abstractNum>
  <w:abstractNum w:abstractNumId="31">
    <w:nsid w:val="1F48EAA1"/>
    <w:multiLevelType w:val="hybridMultilevel"/>
    <w:lvl w:ilvl="0">
      <w:lvlJc w:val="left"/>
      <w:lvlText w:val="(%1)"/>
      <w:numFmt w:val="lowerLetter"/>
      <w:start w:val="1"/>
    </w:lvl>
  </w:abstractNum>
  <w:abstractNum w:abstractNumId="32">
    <w:nsid w:val="1381823A"/>
    <w:multiLevelType w:val="hybridMultilevel"/>
    <w:lvl w:ilvl="0">
      <w:lvlJc w:val="left"/>
      <w:lvlText w:val="(%1)"/>
      <w:numFmt w:val="lowerLetter"/>
      <w:start w:val="1"/>
    </w:lvl>
  </w:abstractNum>
  <w:abstractNum w:abstractNumId="33">
    <w:nsid w:val="5DB70AE5"/>
    <w:multiLevelType w:val="hybridMultilevel"/>
    <w:lvl w:ilvl="0">
      <w:lvlJc w:val="left"/>
      <w:lvlText w:val="(%1)"/>
      <w:numFmt w:val="lowerLetter"/>
      <w:start w:val="2"/>
    </w:lvl>
  </w:abstractNum>
  <w:abstractNum w:abstractNumId="34">
    <w:nsid w:val="100F8FCA"/>
    <w:multiLevelType w:val="hybridMultilevel"/>
    <w:lvl w:ilvl="0">
      <w:lvlJc w:val="left"/>
      <w:lvlText w:val="(%1)"/>
      <w:numFmt w:val="lowerLetter"/>
      <w:start w:val="1"/>
    </w:lvl>
  </w:abstractNum>
  <w:abstractNum w:abstractNumId="35">
    <w:nsid w:val="6590700B"/>
    <w:multiLevelType w:val="hybridMultilevel"/>
    <w:lvl w:ilvl="0">
      <w:lvlJc w:val="left"/>
      <w:lvlText w:val="(%1)"/>
      <w:numFmt w:val="lowerLetter"/>
      <w:start w:val="3"/>
    </w:lvl>
  </w:abstractNum>
  <w:abstractNum w:abstractNumId="36">
    <w:nsid w:val="15014ACB"/>
    <w:multiLevelType w:val="hybridMultilevel"/>
    <w:lvl w:ilvl="0">
      <w:lvlJc w:val="left"/>
      <w:lvlText w:val="(%1)"/>
      <w:numFmt w:val="lowerLetter"/>
      <w:start w:val="1"/>
    </w:lvl>
  </w:abstractNum>
  <w:abstractNum w:abstractNumId="37">
    <w:nsid w:val="5F5E7FD0"/>
    <w:multiLevelType w:val="hybridMultilevel"/>
    <w:lvl w:ilvl="0">
      <w:lvlJc w:val="left"/>
      <w:lvlText w:val="%1."/>
      <w:numFmt w:val="decimal"/>
      <w:start w:val="1"/>
    </w:lvl>
  </w:abstractNum>
  <w:abstractNum w:abstractNumId="38">
    <w:nsid w:val="98A3148"/>
    <w:multiLevelType w:val="hybridMultilevel"/>
    <w:lvl w:ilvl="0">
      <w:lvlJc w:val="left"/>
      <w:lvlText w:val="(%1)"/>
      <w:numFmt w:val="lowerRoman"/>
      <w:start w:val="2"/>
    </w:lvl>
  </w:abstractNum>
  <w:abstractNum w:abstractNumId="39">
    <w:nsid w:val="799D0247"/>
    <w:multiLevelType w:val="hybridMultilevel"/>
    <w:lvl w:ilvl="0">
      <w:lvlJc w:val="left"/>
      <w:lvlText w:val="%1."/>
      <w:numFmt w:val="decimal"/>
      <w:start w:val="3"/>
    </w:lvl>
  </w:abstractNum>
  <w:abstractNum w:abstractNumId="40">
    <w:nsid w:val="6B94764"/>
    <w:multiLevelType w:val="hybridMultilevel"/>
    <w:lvl w:ilvl="0">
      <w:lvlJc w:val="left"/>
      <w:lvlText w:val="(%1)"/>
      <w:numFmt w:val="lowerRoman"/>
      <w:start w:val="2"/>
    </w:lvl>
  </w:abstractNum>
  <w:abstractNum w:abstractNumId="41">
    <w:nsid w:val="42C296BD"/>
    <w:multiLevelType w:val="hybridMultilevel"/>
    <w:lvl w:ilvl="0">
      <w:lvlJc w:val="left"/>
      <w:lvlText w:val="(%1)"/>
      <w:numFmt w:val="lowerLetter"/>
      <w:start w:val="1"/>
    </w:lvl>
  </w:abstractNum>
  <w:abstractNum w:abstractNumId="42">
    <w:nsid w:val="168E121F"/>
    <w:multiLevelType w:val="hybridMultilevel"/>
    <w:lvl w:ilvl="0">
      <w:lvlJc w:val="left"/>
      <w:lvlText w:val="(%1)"/>
      <w:numFmt w:val="lowerLetter"/>
      <w:start w:val="24"/>
    </w:lvl>
  </w:abstractNum>
  <w:abstractNum w:abstractNumId="43">
    <w:nsid w:val="1EBA5D23"/>
    <w:multiLevelType w:val="hybridMultilevel"/>
    <w:lvl w:ilvl="0">
      <w:lvlJc w:val="left"/>
      <w:lvlText w:val="(%1)"/>
      <w:numFmt w:val="lowerLetter"/>
      <w:start w:val="3"/>
    </w:lvl>
  </w:abstractNum>
  <w:abstractNum w:abstractNumId="44">
    <w:nsid w:val="661E3F1E"/>
    <w:multiLevelType w:val="hybridMultilevel"/>
    <w:lvl w:ilvl="0">
      <w:lvlJc w:val="left"/>
      <w:lvlText w:val="%1."/>
      <w:numFmt w:val="decimal"/>
      <w:start w:val="4"/>
    </w:lvl>
  </w:abstractNum>
  <w:abstractNum w:abstractNumId="45">
    <w:nsid w:val="5DC79EA8"/>
    <w:multiLevelType w:val="hybridMultilevel"/>
    <w:lvl w:ilvl="0">
      <w:lvlJc w:val="left"/>
      <w:lvlText w:val="(%1)"/>
      <w:numFmt w:val="lowerLetter"/>
      <w:start w:val="4"/>
    </w:lvl>
  </w:abstractNum>
  <w:abstractNum w:abstractNumId="46">
    <w:nsid w:val="540A471C"/>
    <w:multiLevelType w:val="hybridMultilevel"/>
    <w:lvl w:ilvl="0">
      <w:lvlJc w:val="left"/>
      <w:lvlText w:val="(%1)"/>
      <w:numFmt w:val="lowerLetter"/>
      <w:start w:val="2"/>
    </w:lvl>
  </w:abstractNum>
  <w:abstractNum w:abstractNumId="47">
    <w:nsid w:val="7BD3EE7B"/>
    <w:multiLevelType w:val="hybridMultilevel"/>
    <w:lvl w:ilvl="0">
      <w:lvlJc w:val="left"/>
      <w:lvlText w:val="(%1)"/>
      <w:numFmt w:val="lowerRoman"/>
      <w:start w:val="2"/>
    </w:lvl>
  </w:abstractNum>
  <w:abstractNum w:abstractNumId="48">
    <w:nsid w:val="51D9C564"/>
    <w:multiLevelType w:val="hybridMultilevel"/>
    <w:lvl w:ilvl="0">
      <w:lvlJc w:val="left"/>
      <w:lvlText w:val="%1."/>
      <w:numFmt w:val="decimal"/>
      <w:start w:val="5"/>
    </w:lvl>
  </w:abstractNum>
  <w:abstractNum w:abstractNumId="49">
    <w:nsid w:val="613EFDC5"/>
    <w:multiLevelType w:val="hybridMultilevel"/>
    <w:lvl w:ilvl="0">
      <w:lvlJc w:val="left"/>
      <w:lvlText w:val="%1."/>
      <w:numFmt w:val="decimal"/>
      <w:start w:val="6"/>
    </w:lvl>
  </w:abstractNum>
  <w:abstractNum w:abstractNumId="50">
    <w:nsid w:val="BF72B14"/>
    <w:multiLevelType w:val="hybridMultilevel"/>
    <w:lvl w:ilvl="0">
      <w:lvlJc w:val="left"/>
      <w:lvlText w:val="%1."/>
      <w:numFmt w:val="decimal"/>
      <w:start w:val="7"/>
    </w:lvl>
  </w:abstractNum>
  <w:abstractNum w:abstractNumId="51">
    <w:nsid w:val="11447B73"/>
    <w:multiLevelType w:val="hybridMultilevel"/>
    <w:lvl w:ilvl="0">
      <w:lvlJc w:val="left"/>
      <w:lvlText w:val="%1."/>
      <w:numFmt w:val="decimal"/>
      <w:start w:val="8"/>
    </w:lvl>
  </w:abstractNum>
  <w:abstractNum w:abstractNumId="52">
    <w:nsid w:val="42963E5A"/>
    <w:multiLevelType w:val="hybridMultilevel"/>
    <w:lvl w:ilvl="0">
      <w:lvlJc w:val="left"/>
      <w:lvlText w:val="%1."/>
      <w:numFmt w:val="decimal"/>
      <w:start w:val="9"/>
    </w:lvl>
  </w:abstractNum>
  <w:abstractNum w:abstractNumId="53">
    <w:nsid w:val="A0382C5"/>
    <w:multiLevelType w:val="hybridMultilevel"/>
    <w:lvl w:ilvl="0">
      <w:lvlJc w:val="left"/>
      <w:lvlText w:val="(%1)"/>
      <w:numFmt w:val="upperLetter"/>
      <w:start w:val="1"/>
    </w:lvl>
  </w:abstractNum>
  <w:abstractNum w:abstractNumId="54">
    <w:nsid w:val="8F2B15E"/>
    <w:multiLevelType w:val="hybridMultilevel"/>
    <w:lvl w:ilvl="0">
      <w:lvlJc w:val="left"/>
      <w:lvlText w:val="(%1)"/>
      <w:numFmt w:val="upperLetter"/>
      <w:start w:val="5"/>
    </w:lvl>
  </w:abstractNum>
  <w:abstractNum w:abstractNumId="55">
    <w:nsid w:val="1A32234B"/>
    <w:multiLevelType w:val="hybridMultilevel"/>
    <w:lvl w:ilvl="0">
      <w:lvlJc w:val="left"/>
      <w:lvlText w:val="(%1)"/>
      <w:numFmt w:val="lowerRoman"/>
      <w:start w:val="1"/>
    </w:lvl>
  </w:abstractNum>
  <w:abstractNum w:abstractNumId="56">
    <w:nsid w:val="3B0FD379"/>
    <w:multiLevelType w:val="hybridMultilevel"/>
    <w:lvl w:ilvl="0">
      <w:lvlJc w:val="left"/>
      <w:lvlText w:val="(%1)"/>
      <w:numFmt w:val="lowerRoman"/>
      <w:start w:val="3"/>
    </w:lvl>
  </w:abstractNum>
  <w:abstractNum w:abstractNumId="57">
    <w:nsid w:val="68EB2F63"/>
    <w:multiLevelType w:val="hybridMultilevel"/>
    <w:lvl w:ilvl="0">
      <w:lvlJc w:val="left"/>
      <w:lvlText w:val="%1"/>
      <w:numFmt w:val="upperLetter"/>
      <w:start w:val="1"/>
    </w:lvl>
    <w:lvl w:ilvl="1">
      <w:lvlJc w:val="left"/>
      <w:lvlText w:val="(%2)"/>
      <w:numFmt w:val="lowerLetter"/>
      <w:start w:val="1"/>
    </w:lvl>
  </w:abstractNum>
  <w:abstractNum w:abstractNumId="58">
    <w:nsid w:val="4962813B"/>
    <w:multiLevelType w:val="hybridMultilevel"/>
    <w:lvl w:ilvl="0">
      <w:lvlJc w:val="left"/>
      <w:lvlText w:val="(%1)"/>
      <w:numFmt w:val="upperLetter"/>
      <w:start w:val="2"/>
    </w:lvl>
    <w:lvl w:ilvl="1">
      <w:lvlJc w:val="left"/>
      <w:lvlText w:val="%2"/>
      <w:numFmt w:val="lowerLetter"/>
      <w:start w:val="1"/>
    </w:lvl>
  </w:abstractNum>
  <w:abstractNum w:abstractNumId="59">
    <w:nsid w:val="60B6DF70"/>
    <w:multiLevelType w:val="hybridMultilevel"/>
    <w:lvl w:ilvl="0">
      <w:lvlJc w:val="left"/>
      <w:lvlText w:val="(%1)"/>
      <w:numFmt w:val="upperLetter"/>
      <w:start w:val="1"/>
    </w:lvl>
    <w:lvl w:ilvl="1">
      <w:lvlJc w:val="left"/>
      <w:lvlText w:val="(%2)"/>
      <w:numFmt w:val="lowerLetter"/>
      <w:start w:val="2"/>
    </w:lvl>
  </w:abstractNum>
  <w:abstractNum w:abstractNumId="60">
    <w:nsid w:val="6A5EE64"/>
    <w:multiLevelType w:val="hybridMultilevel"/>
    <w:lvl w:ilvl="0">
      <w:lvlJc w:val="left"/>
      <w:lvlText w:val="(%1)"/>
      <w:numFmt w:val="decimal"/>
      <w:start w:val="12"/>
    </w:lvl>
  </w:abstractNum>
  <w:abstractNum w:abstractNumId="61">
    <w:nsid w:val="14330624"/>
    <w:multiLevelType w:val="hybridMultilevel"/>
    <w:lvl w:ilvl="0">
      <w:lvlJc w:val="left"/>
      <w:lvlText w:val="(%1)"/>
      <w:numFmt w:val="upperLetter"/>
      <w:start w:val="1"/>
    </w:lvl>
  </w:abstractNum>
  <w:abstractNum w:abstractNumId="62">
    <w:nsid w:val="7FFFCA11"/>
    <w:multiLevelType w:val="hybridMultilevel"/>
    <w:lvl w:ilvl="0">
      <w:lvlJc w:val="left"/>
      <w:lvlText w:val="%1."/>
      <w:numFmt w:val="decimal"/>
      <w:start w:val="1"/>
    </w:lvl>
  </w:abstractNum>
  <w:abstractNum w:abstractNumId="63">
    <w:nsid w:val="1A27709E"/>
    <w:multiLevelType w:val="hybridMultilevel"/>
    <w:lvl w:ilvl="0">
      <w:lvlJc w:val="left"/>
      <w:lvlText w:val="(%1)"/>
      <w:numFmt w:val="upperLetter"/>
      <w:start w:val="2"/>
    </w:lvl>
    <w:lvl w:ilvl="1">
      <w:lvlJc w:val="left"/>
      <w:lvlText w:val="%2."/>
      <w:numFmt w:val="decimal"/>
      <w:start w:val="3"/>
    </w:lvl>
  </w:abstractNum>
  <w:abstractNum w:abstractNumId="64">
    <w:nsid w:val="71EA1109"/>
    <w:multiLevelType w:val="hybridMultilevel"/>
    <w:lvl w:ilvl="0">
      <w:lvlJc w:val="left"/>
      <w:lvlText w:val="%1."/>
      <w:numFmt w:val="decimal"/>
      <w:start w:val="5"/>
    </w:lvl>
  </w:abstractNum>
  <w:abstractNum w:abstractNumId="65">
    <w:nsid w:val="100F59DC"/>
    <w:multiLevelType w:val="hybridMultilevel"/>
    <w:lvl w:ilvl="0">
      <w:lvlJc w:val="left"/>
      <w:lvlText w:val="%1"/>
      <w:numFmt w:val="lowerLetter"/>
      <w:start w:val="1"/>
    </w:lvl>
    <w:lvl w:ilvl="1">
      <w:lvlJc w:val="left"/>
      <w:lvlText w:val="(%2)"/>
      <w:numFmt w:val="lowerLetter"/>
      <w:start w:val="2"/>
    </w:lvl>
  </w:abstractNum>
  <w:abstractNum w:abstractNumId="66">
    <w:nsid w:val="7FB7E0AA"/>
    <w:multiLevelType w:val="hybridMultilevel"/>
    <w:lvl w:ilvl="0">
      <w:lvlJc w:val="left"/>
      <w:lvlText w:val="(%1)"/>
      <w:numFmt w:val="lowerLetter"/>
      <w:start w:val="8"/>
    </w:lvl>
    <w:lvl w:ilvl="1">
      <w:lvlJc w:val="left"/>
      <w:lvlText w:val="%2"/>
      <w:numFmt w:val="lowerLetter"/>
      <w:start w:val="1"/>
    </w:lvl>
  </w:abstractNum>
  <w:abstractNum w:abstractNumId="67">
    <w:nsid w:val="6EB5BD4"/>
    <w:multiLevelType w:val="hybridMultilevel"/>
    <w:lvl w:ilvl="0">
      <w:lvlJc w:val="left"/>
      <w:lvlText w:val="%1"/>
      <w:numFmt w:val="lowerRoman"/>
      <w:start w:val="1"/>
    </w:lvl>
    <w:lvl w:ilvl="1">
      <w:lvlJc w:val="left"/>
      <w:lvlText w:val="%2."/>
      <w:numFmt w:val="decimal"/>
      <w:start w:val="8"/>
    </w:lvl>
  </w:abstractNum>
  <w:abstractNum w:abstractNumId="68">
    <w:nsid w:val="6F6DD9AC"/>
    <w:multiLevelType w:val="hybridMultilevel"/>
    <w:lvl w:ilvl="0">
      <w:lvlJc w:val="left"/>
      <w:lvlText w:val="(%1)"/>
      <w:numFmt w:val="lowerRoman"/>
      <w:start w:val="3"/>
    </w:lvl>
    <w:lvl w:ilvl="1">
      <w:lvlJc w:val="left"/>
      <w:lvlText w:val="%2."/>
      <w:numFmt w:val="decimal"/>
      <w:start w:val="9"/>
    </w:lvl>
  </w:abstractNum>
  <w:abstractNum w:abstractNumId="69">
    <w:nsid w:val="94211F2"/>
    <w:multiLevelType w:val="hybridMultilevel"/>
    <w:lvl w:ilvl="0">
      <w:lvlJc w:val="left"/>
      <w:lvlText w:val="(%1)"/>
      <w:numFmt w:val="lowerRoman"/>
      <w:start w:val="5"/>
    </w:lvl>
  </w:abstractNum>
  <w:abstractNum w:abstractNumId="70">
    <w:nsid w:val="885E1B"/>
    <w:multiLevelType w:val="hybridMultilevel"/>
    <w:lvl w:ilvl="0">
      <w:lvlJc w:val="left"/>
      <w:lvlText w:val="%1."/>
      <w:numFmt w:val="decimal"/>
      <w:start w:val="12"/>
    </w:lvl>
  </w:abstractNum>
  <w:abstractNum w:abstractNumId="71">
    <w:nsid w:val="76272110"/>
    <w:multiLevelType w:val="hybridMultilevel"/>
    <w:lvl w:ilvl="0">
      <w:lvlJc w:val="left"/>
      <w:lvlText w:val="%1."/>
      <w:numFmt w:val="decimal"/>
      <w:start w:val="20"/>
    </w:lvl>
  </w:abstractNum>
  <w:abstractNum w:abstractNumId="72">
    <w:nsid w:val="4C04A8AF"/>
    <w:multiLevelType w:val="hybridMultilevel"/>
    <w:lvl w:ilvl="0">
      <w:lvlJc w:val="left"/>
      <w:lvlText w:val="%1."/>
      <w:numFmt w:val="decimal"/>
      <w:start w:val="1"/>
    </w:lvl>
    <w:lvl w:ilvl="1">
      <w:lvlJc w:val="left"/>
      <w:lvlText w:val="(%2)"/>
      <w:numFmt w:val="lowerLetter"/>
      <w:start w:val="1"/>
    </w:lvl>
  </w:abstractNum>
  <w:abstractNum w:abstractNumId="73">
    <w:nsid w:val="1716703B"/>
    <w:multiLevelType w:val="hybridMultilevel"/>
    <w:lvl w:ilvl="0">
      <w:lvlJc w:val="left"/>
      <w:lvlText w:val="(%1)"/>
      <w:numFmt w:val="lowerLetter"/>
      <w:start w:val="3"/>
    </w:lvl>
  </w:abstractNum>
  <w:abstractNum w:abstractNumId="74">
    <w:nsid w:val="14E17E33"/>
    <w:multiLevelType w:val="hybridMultilevel"/>
    <w:lvl w:ilvl="0">
      <w:lvlJc w:val="left"/>
      <w:lvlText w:val="%1"/>
      <w:numFmt w:val="decimal"/>
      <w:start w:val="1"/>
    </w:lvl>
    <w:lvl w:ilvl="1">
      <w:lvlJc w:val="left"/>
      <w:lvlText w:val="(%2)"/>
      <w:numFmt w:val="lowerLetter"/>
      <w:start w:val="11"/>
    </w:lvl>
  </w:abstractNum>
  <w:abstractNum w:abstractNumId="75">
    <w:nsid w:val="3222E7CD"/>
    <w:multiLevelType w:val="hybridMultilevel"/>
    <w:lvl w:ilvl="0">
      <w:lvlJc w:val="left"/>
      <w:lvlText w:val="%1."/>
      <w:numFmt w:val="decimal"/>
      <w:start w:val="2"/>
    </w:lvl>
    <w:lvl w:ilvl="1">
      <w:lvlJc w:val="left"/>
      <w:lvlText w:val="(%2)"/>
      <w:numFmt w:val="lowerLetter"/>
      <w:start w:val="1"/>
    </w:lvl>
  </w:abstractNum>
  <w:abstractNum w:abstractNumId="76">
    <w:nsid w:val="74DE0EE3"/>
    <w:multiLevelType w:val="hybridMultilevel"/>
    <w:lvl w:ilvl="0">
      <w:lvlJc w:val="left"/>
      <w:lvlText w:val="(%1)"/>
      <w:numFmt w:val="lowerLetter"/>
      <w:start w:val="4"/>
    </w:lvl>
  </w:abstractNum>
  <w:abstractNum w:abstractNumId="77">
    <w:nsid w:val="68EBC550"/>
    <w:multiLevelType w:val="hybridMultilevel"/>
    <w:lvl w:ilvl="0">
      <w:lvlJc w:val="left"/>
      <w:lvlText w:val="%1"/>
      <w:numFmt w:val="decimal"/>
      <w:start w:val="1"/>
    </w:lvl>
    <w:lvl w:ilvl="1">
      <w:lvlJc w:val="left"/>
      <w:lvlText w:val="(%2)"/>
      <w:numFmt w:val="lowerLetter"/>
      <w:start w:val="7"/>
    </w:lvl>
  </w:abstractNum>
  <w:abstractNum w:abstractNumId="78">
    <w:nsid w:val="2DF6D648"/>
    <w:multiLevelType w:val="hybridMultilevel"/>
    <w:lvl w:ilvl="0">
      <w:lvlJc w:val="left"/>
      <w:lvlText w:val="%1."/>
      <w:numFmt w:val="decimal"/>
      <w:start w:val="3"/>
    </w:lvl>
    <w:lvl w:ilvl="1">
      <w:lvlJc w:val="left"/>
      <w:lvlText w:val="(%2)"/>
      <w:numFmt w:val="lowerLetter"/>
      <w:start w:val="1"/>
    </w:lvl>
  </w:abstractNum>
  <w:abstractNum w:abstractNumId="79">
    <w:nsid w:val="46B7D447"/>
    <w:multiLevelType w:val="hybridMultilevel"/>
    <w:lvl w:ilvl="0">
      <w:lvlJc w:val="left"/>
      <w:lvlText w:val="(%1)"/>
      <w:numFmt w:val="lowerLetter"/>
      <w:start w:val="6"/>
    </w:lvl>
  </w:abstractNum>
  <w:abstractNum w:abstractNumId="80">
    <w:nsid w:val="4A2AC315"/>
    <w:multiLevelType w:val="hybridMultilevel"/>
    <w:lvl w:ilvl="0">
      <w:lvlJc w:val="left"/>
      <w:lvlText w:val="%1."/>
      <w:numFmt w:val="decimal"/>
      <w:start w:val="4"/>
    </w:lvl>
    <w:lvl w:ilvl="1">
      <w:lvlJc w:val="left"/>
      <w:lvlText w:val="(%2)"/>
      <w:numFmt w:val="lowerLetter"/>
      <w:start w:val="1"/>
    </w:lvl>
  </w:abstractNum>
  <w:abstractNum w:abstractNumId="81">
    <w:nsid w:val="39EE015C"/>
    <w:multiLevelType w:val="hybridMultilevel"/>
    <w:lvl w:ilvl="0">
      <w:lvlJc w:val="left"/>
      <w:lvlText w:val="%1."/>
      <w:numFmt w:val="decimal"/>
      <w:start w:val="6"/>
    </w:lvl>
    <w:lvl w:ilvl="1">
      <w:lvlJc w:val="left"/>
      <w:lvlText w:val="(%2)"/>
      <w:numFmt w:val="lowerLetter"/>
      <w:start w:val="1"/>
    </w:lvl>
  </w:abstractNum>
  <w:abstractNum w:abstractNumId="82">
    <w:nsid w:val="57FC4FBB"/>
    <w:multiLevelType w:val="hybridMultilevel"/>
    <w:lvl w:ilvl="0">
      <w:lvlJc w:val="left"/>
      <w:lvlText w:val="(%1)"/>
      <w:numFmt w:val="lowerLetter"/>
      <w:start w:val="7"/>
    </w:lvl>
  </w:abstractNum>
  <w:abstractNum w:abstractNumId="83">
    <w:nsid w:val="CC1016F"/>
    <w:multiLevelType w:val="hybridMultilevel"/>
    <w:lvl w:ilvl="0">
      <w:lvlJc w:val="left"/>
      <w:lvlText w:val="(%1)"/>
      <w:numFmt w:val="lowerRoman"/>
      <w:start w:val="2"/>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1:"/>
      <w:numFmt w:val="lowerLetter"/>
      <w:start w:val="29"/>
    </w:lvl>
  </w:abstractNum>
  <w:abstractNum w:abstractNumId="86">
    <w:nsid w:val="26F324BA"/>
    <w:multiLevelType w:val="hybridMultilevel"/>
    <w:lvl w:ilvl="0">
      <w:lvlJc w:val="left"/>
      <w:lvlText w:val="%1:"/>
      <w:numFmt w:val="lowerLetter"/>
      <w:start w:val="29"/>
    </w:lvl>
  </w:abstractNum>
  <w:abstractNum w:abstractNumId="87">
    <w:nsid w:val="7F01579B"/>
    <w:multiLevelType w:val="hybridMultilevel"/>
    <w:lvl w:ilvl="0">
      <w:lvlJc w:val="left"/>
      <w:lvlText w:val="(%1)"/>
      <w:numFmt w:val="lowerRoman"/>
      <w:start w:val="1"/>
    </w:lvl>
  </w:abstractNum>
  <w:abstractNum w:abstractNumId="88">
    <w:nsid w:val="49DA307D"/>
    <w:multiLevelType w:val="hybridMultilevel"/>
    <w:lvl w:ilvl="0">
      <w:lvlJc w:val="left"/>
      <w:lvlText w:val="%1."/>
      <w:numFmt w:val="decimal"/>
      <w:start w:val="1"/>
    </w:lvl>
  </w:abstractNum>
  <w:abstractNum w:abstractNumId="89">
    <w:nsid w:val="7055A5F5"/>
    <w:multiLevelType w:val="hybridMultilevel"/>
    <w:lvl w:ilvl="0">
      <w:lvlJc w:val="left"/>
      <w:lvlText w:val="%1."/>
      <w:numFmt w:val="decimal"/>
      <w:start w:val="2"/>
    </w:lvl>
  </w:abstractNum>
  <w:abstractNum w:abstractNumId="90">
    <w:nsid w:val="5FB8370B"/>
    <w:multiLevelType w:val="hybridMultilevel"/>
    <w:lvl w:ilvl="0">
      <w:lvlJc w:val="left"/>
      <w:lvlText w:val="(%1)"/>
      <w:numFmt w:val="lowerRoman"/>
      <w:start w:val="1"/>
    </w:lvl>
  </w:abstractNum>
  <w:abstractNum w:abstractNumId="91">
    <w:nsid w:val="50801EE1"/>
    <w:multiLevelType w:val="hybridMultilevel"/>
    <w:lvl w:ilvl="0">
      <w:lvlJc w:val="left"/>
      <w:lvlText w:val="%1."/>
      <w:numFmt w:val="decimal"/>
      <w:start w:val="3"/>
    </w:lvl>
  </w:abstractNum>
  <w:abstractNum w:abstractNumId="92">
    <w:nsid w:val="488AC1A"/>
    <w:multiLevelType w:val="hybridMultilevel"/>
    <w:lvl w:ilvl="0">
      <w:lvlJc w:val="left"/>
      <w:lvlText w:val="%1."/>
      <w:numFmt w:val="decimal"/>
      <w:start w:val="4"/>
    </w:lvl>
  </w:abstractNum>
  <w:abstractNum w:abstractNumId="93">
    <w:nsid w:val="5FB8011C"/>
    <w:multiLevelType w:val="hybridMultilevel"/>
    <w:lvl w:ilvl="0">
      <w:lvlJc w:val="left"/>
      <w:lvlText w:val="%1."/>
      <w:numFmt w:val="decimal"/>
      <w:start w:val="5"/>
    </w:lvl>
  </w:abstractNum>
  <w:abstractNum w:abstractNumId="94">
    <w:nsid w:val="6AA78F7F"/>
    <w:multiLevelType w:val="hybridMultilevel"/>
    <w:lvl w:ilvl="0">
      <w:lvlJc w:val="left"/>
      <w:lvlText w:val="%1."/>
      <w:numFmt w:val="decimal"/>
      <w:start w:val="7"/>
    </w:lvl>
  </w:abstractNum>
  <w:abstractNum w:abstractNumId="95">
    <w:nsid w:val="7672BD23"/>
    <w:multiLevelType w:val="hybridMultilevel"/>
    <w:lvl w:ilvl="0">
      <w:lvlJc w:val="left"/>
      <w:lvlText w:val="%1."/>
      <w:numFmt w:val="decimal"/>
      <w:start w:val="8"/>
    </w:lvl>
  </w:abstractNum>
  <w:abstractNum w:abstractNumId="96">
    <w:nsid w:val="6FC75AF8"/>
    <w:multiLevelType w:val="hybridMultilevel"/>
    <w:lvl w:ilvl="0">
      <w:lvlJc w:val="left"/>
      <w:lvlText w:val="%1."/>
      <w:numFmt w:val="decimal"/>
      <w:start w:val="9"/>
    </w:lvl>
  </w:abstractNum>
  <w:abstractNum w:abstractNumId="97">
    <w:nsid w:val="6A5F7029"/>
    <w:multiLevelType w:val="hybridMultilevel"/>
    <w:lvl w:ilvl="0">
      <w:lvlJc w:val="left"/>
      <w:lvlText w:val="%1."/>
      <w:numFmt w:val="decimal"/>
      <w:start w:val="10"/>
    </w:lvl>
  </w:abstractNum>
  <w:abstractNum w:abstractNumId="98">
    <w:nsid w:val="7D5E18F8"/>
    <w:multiLevelType w:val="hybridMultilevel"/>
    <w:lvl w:ilvl="0">
      <w:lvlJc w:val="left"/>
      <w:lvlText w:val="%1."/>
      <w:numFmt w:val="decimal"/>
      <w:start w:val="11"/>
    </w:lvl>
  </w:abstractNum>
  <w:abstractNum w:abstractNumId="99">
    <w:nsid w:val="5F3534A4"/>
    <w:multiLevelType w:val="hybridMultilevel"/>
    <w:lvl w:ilvl="0">
      <w:lvlJc w:val="left"/>
      <w:lvlText w:val="%1."/>
      <w:numFmt w:val="decimal"/>
      <w:start w:val="12"/>
    </w:lvl>
  </w:abstractNum>
  <w:abstractNum w:abstractNumId="100">
    <w:nsid w:val="73A1821B"/>
    <w:multiLevelType w:val="hybridMultilevel"/>
    <w:lvl w:ilvl="0">
      <w:lvlJc w:val="left"/>
      <w:lvlText w:val="%1."/>
      <w:numFmt w:val="decimal"/>
      <w:start w:val="13"/>
    </w:lvl>
  </w:abstractNum>
  <w:abstractNum w:abstractNumId="101">
    <w:nsid w:val="7DE67713"/>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2021-12-16T16:04:49Z</dcterms:created>
  <dcterms:modified xsi:type="dcterms:W3CDTF">2021-12-16T16:04:49Z</dcterms:modified>
</cp:coreProperties>
</file>