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u w:val="single" w:color="auto"/>
          <w:color w:val="0000EE"/>
        </w:rPr>
      </w:pP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4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212725</wp:posOffset>
            </wp:positionV>
            <wp:extent cx="9906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10"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2"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jc w:val="center"/>
        <w:ind w:right="-779"/>
        <w:spacing w:after="0" w:line="234" w:lineRule="auto"/>
        <w:rPr>
          <w:sz w:val="20"/>
          <w:szCs w:val="20"/>
          <w:color w:val="auto"/>
        </w:rPr>
      </w:pPr>
      <w:r>
        <w:rPr>
          <w:rFonts w:ascii="Times New Roman" w:cs="Times New Roman" w:eastAsia="Times New Roman" w:hAnsi="Times New Roman"/>
          <w:sz w:val="16"/>
          <w:szCs w:val="16"/>
          <w:b w:val="1"/>
          <w:bCs w:val="1"/>
          <w:color w:val="auto"/>
        </w:rPr>
        <w:t>SCHEDULE 14A INFORMATION</w:t>
      </w:r>
    </w:p>
    <w:p>
      <w:pPr>
        <w:jc w:val="center"/>
        <w:ind w:right="-779"/>
        <w:spacing w:after="0" w:line="235" w:lineRule="auto"/>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jc w:val="center"/>
        <w:ind w:right="-759"/>
        <w:spacing w:after="0" w:line="235" w:lineRule="auto"/>
        <w:rPr>
          <w:sz w:val="20"/>
          <w:szCs w:val="20"/>
          <w:color w:val="auto"/>
        </w:rPr>
      </w:pPr>
      <w:r>
        <w:rPr>
          <w:rFonts w:ascii="Times New Roman" w:cs="Times New Roman" w:eastAsia="Times New Roman" w:hAnsi="Times New Roman"/>
          <w:sz w:val="16"/>
          <w:szCs w:val="16"/>
          <w:b w:val="1"/>
          <w:bCs w:val="1"/>
          <w:color w:val="auto"/>
        </w:rPr>
        <w:t>Securities Exchange Act of 1934</w:t>
      </w: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200025</wp:posOffset>
            </wp:positionV>
            <wp:extent cx="9906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0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72" w:lineRule="exact"/>
        <w:rPr>
          <w:sz w:val="24"/>
          <w:szCs w:val="24"/>
          <w:color w:val="auto"/>
        </w:rPr>
      </w:pPr>
    </w:p>
    <w:p>
      <w:pPr>
        <w:ind w:left="40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27"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Preliminary Proxy Statement</w:t>
      </w:r>
    </w:p>
    <w:p>
      <w:pPr>
        <w:spacing w:after="0" w:line="72"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03"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Definitive Proxy Statement</w:t>
      </w:r>
    </w:p>
    <w:p>
      <w:pPr>
        <w:spacing w:after="0" w:line="103"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Definitive Additional Materials</w:t>
      </w:r>
    </w:p>
    <w:p>
      <w:pPr>
        <w:spacing w:after="0" w:line="103"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Soliciting Material under §240.14a-12</w:t>
      </w:r>
    </w:p>
    <w:p>
      <w:pPr>
        <w:spacing w:after="0" w:line="212"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9"/>
          <w:szCs w:val="29"/>
          <w:b w:val="1"/>
          <w:bCs w:val="1"/>
          <w:color w:val="auto"/>
        </w:rPr>
        <w:t>Blaize Holdings, Inc.</w:t>
      </w:r>
    </w:p>
    <w:p>
      <w:pPr>
        <w:spacing w:after="0" w:line="210"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6"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75"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27"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 fee required</w:t>
      </w:r>
    </w:p>
    <w:p>
      <w:pPr>
        <w:spacing w:after="0" w:line="72"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Fee paid previously with preliminary materials</w:t>
      </w:r>
    </w:p>
    <w:p>
      <w:pPr>
        <w:spacing w:after="0" w:line="103" w:lineRule="exact"/>
        <w:rPr>
          <w:sz w:val="24"/>
          <w:szCs w:val="24"/>
          <w:color w:val="auto"/>
        </w:rPr>
      </w:pPr>
    </w:p>
    <w:p>
      <w:pPr>
        <w:ind w:left="400"/>
        <w:spacing w:after="0" w:line="161" w:lineRule="exact"/>
        <w:tabs>
          <w:tab w:leader="none" w:pos="820" w:val="left"/>
        </w:tabs>
        <w:rPr>
          <w:sz w:val="20"/>
          <w:szCs w:val="20"/>
          <w:color w:val="auto"/>
        </w:rPr>
      </w:pPr>
      <w:r>
        <w:rPr>
          <w:rFonts w:ascii="Arial" w:cs="Arial" w:eastAsia="Arial" w:hAnsi="Arial"/>
          <w:sz w:val="14"/>
          <w:szCs w:val="14"/>
          <w:color w:val="auto"/>
        </w:rPr>
        <w: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Fee computed on table in exhibit required by Item 25(b) per Exchange Act Rules 14a-6(i)(1) and 0-11</w:t>
      </w:r>
    </w:p>
    <w:p>
      <w:pPr>
        <w:sectPr>
          <w:pgSz w:w="11900" w:h="16840" w:orient="portrait"/>
          <w:cols w:equalWidth="0" w:num="1">
            <w:col w:w="9800"/>
          </w:cols>
          <w:pgMar w:left="660" w:top="555" w:right="1440" w:bottom="1440" w:gutter="0" w:footer="0" w:header="0"/>
        </w:sectPr>
      </w:pPr>
    </w:p>
    <w:bookmarkStart w:id="1" w:name="page2"/>
    <w:bookmarkEnd w:id="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174625</wp:posOffset>
            </wp:positionV>
            <wp:extent cx="1311275" cy="449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BLAIZE HOLDINGS, INC.</w:t>
      </w:r>
    </w:p>
    <w:p>
      <w:pPr>
        <w:spacing w:after="0" w:line="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w:t>
      </w: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El Dorado Hills, CA 95762</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 2025</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Our Stockholders:</w:t>
      </w:r>
    </w:p>
    <w:p>
      <w:pPr>
        <w:spacing w:after="0" w:line="152"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color w:val="auto"/>
        </w:rPr>
        <w:t>You are cordially invited to attend the 2025 Annual Meeting of Stockholders (the “Annual Meeting”) of Blaize Holdings, Inc. at 10:00 a.m. Eastern time, on Wednesday, December 3, 2025. The Annual Meeting will be a completely virtual meeting, which will be conducted via live webcast.</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Notice of Annual Meeting of Stockholders and proxy statement on the following pages describe the matters to be presented at the Annual Meeting.</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Please see the section entitled “</w:t>
      </w:r>
      <w:r>
        <w:rPr>
          <w:rFonts w:ascii="Times New Roman" w:cs="Times New Roman" w:eastAsia="Times New Roman" w:hAnsi="Times New Roman"/>
          <w:sz w:val="14"/>
          <w:szCs w:val="14"/>
          <w:i w:val="1"/>
          <w:iCs w:val="1"/>
          <w:color w:val="auto"/>
        </w:rPr>
        <w:t>Who can attend the Annual Meeting?</w:t>
      </w:r>
      <w:r>
        <w:rPr>
          <w:rFonts w:ascii="Times New Roman" w:cs="Times New Roman" w:eastAsia="Times New Roman" w:hAnsi="Times New Roman"/>
          <w:sz w:val="14"/>
          <w:szCs w:val="14"/>
          <w:color w:val="auto"/>
        </w:rPr>
        <w:t>” of the proxy statement for more information about how to attend the meeting online.</w:t>
      </w:r>
    </w:p>
    <w:p>
      <w:pPr>
        <w:spacing w:after="0" w:line="157"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Thank you for your support.</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5715</wp:posOffset>
            </wp:positionV>
            <wp:extent cx="2484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6"/>
          <w:szCs w:val="16"/>
          <w:color w:val="auto"/>
        </w:rPr>
        <w:t>Dinakar Munagala</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40" w:orient="portrait"/>
          <w:cols w:equalWidth="0" w:num="1">
            <w:col w:w="10160"/>
          </w:cols>
          <w:pgMar w:left="660" w:top="879" w:right="10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240" w:type="dxa"/>
            <w:vAlign w:val="bottom"/>
            <w:gridSpan w:val="17"/>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Table of Contents</w:t>
              </w:r>
            </w:hyperlink>
          </w:p>
        </w:tc>
        <w:tc>
          <w:tcPr>
            <w:tcW w:w="1900" w:type="dxa"/>
            <w:vAlign w:val="bottom"/>
          </w:tcPr>
          <w:p>
            <w:pPr>
              <w:spacing w:after="0"/>
              <w:rPr>
                <w:sz w:val="16"/>
                <w:szCs w:val="16"/>
                <w:color w:val="auto"/>
              </w:rPr>
            </w:pPr>
          </w:p>
        </w:tc>
      </w:tr>
      <w:tr>
        <w:trPr>
          <w:trHeight w:val="458"/>
        </w:trPr>
        <w:tc>
          <w:tcPr>
            <w:tcW w:w="4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900" w:type="dxa"/>
            <w:vAlign w:val="bottom"/>
          </w:tcPr>
          <w:p>
            <w:pPr>
              <w:spacing w:after="0"/>
              <w:rPr>
                <w:sz w:val="24"/>
                <w:szCs w:val="24"/>
                <w:color w:val="auto"/>
              </w:rPr>
            </w:pPr>
          </w:p>
        </w:tc>
      </w:tr>
      <w:tr>
        <w:trPr>
          <w:trHeight w:val="408"/>
        </w:trPr>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38"/>
        </w:trPr>
        <w:tc>
          <w:tcPr>
            <w:tcW w:w="400" w:type="dxa"/>
            <w:vAlign w:val="bottom"/>
          </w:tcPr>
          <w:p>
            <w:pPr>
              <w:spacing w:after="0"/>
              <w:rPr>
                <w:sz w:val="24"/>
                <w:szCs w:val="24"/>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NOTICE OF ANNUAL MEETING OF STOCKHOLDERS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6"/>
        </w:trPr>
        <w:tc>
          <w:tcPr>
            <w:tcW w:w="400" w:type="dxa"/>
            <w:vAlign w:val="bottom"/>
          </w:tcPr>
          <w:p>
            <w:pPr>
              <w:spacing w:after="0"/>
              <w:rPr>
                <w:sz w:val="22"/>
                <w:szCs w:val="22"/>
                <w:color w:val="auto"/>
              </w:rPr>
            </w:pPr>
          </w:p>
        </w:tc>
        <w:tc>
          <w:tcPr>
            <w:tcW w:w="374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PROXY STATEMENT</w:t>
              </w:r>
            </w:hyperlink>
          </w:p>
        </w:tc>
        <w:tc>
          <w:tcPr>
            <w:tcW w:w="4100" w:type="dxa"/>
            <w:vAlign w:val="bottom"/>
            <w:gridSpan w:val="7"/>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QUESTIONS AND ANSWERS ABOUT THE 2025 ANNUAL MEETING OF STOCKHOLDERS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6"/>
        </w:trPr>
        <w:tc>
          <w:tcPr>
            <w:tcW w:w="400" w:type="dxa"/>
            <w:vAlign w:val="bottom"/>
          </w:tcPr>
          <w:p>
            <w:pPr>
              <w:spacing w:after="0"/>
              <w:rPr>
                <w:sz w:val="22"/>
                <w:szCs w:val="22"/>
                <w:color w:val="auto"/>
              </w:rPr>
            </w:pPr>
          </w:p>
        </w:tc>
        <w:tc>
          <w:tcPr>
            <w:tcW w:w="6200" w:type="dxa"/>
            <w:vAlign w:val="bottom"/>
            <w:tcBorders>
              <w:top w:val="single" w:sz="8" w:color="0000EE"/>
            </w:tcBorders>
            <w:gridSpan w:val="14"/>
          </w:tcPr>
          <w:p>
            <w:pPr>
              <w:spacing w:after="0"/>
              <w:rPr>
                <w:rFonts w:ascii="Times New Roman" w:cs="Times New Roman" w:eastAsia="Times New Roman" w:hAnsi="Times New Roman"/>
                <w:sz w:val="16"/>
                <w:szCs w:val="16"/>
                <w:color w:val="0000EE"/>
              </w:rPr>
            </w:pPr>
            <w:hyperlink w:anchor="page11">
              <w:r>
                <w:rPr>
                  <w:rFonts w:ascii="Times New Roman" w:cs="Times New Roman" w:eastAsia="Times New Roman" w:hAnsi="Times New Roman"/>
                  <w:sz w:val="16"/>
                  <w:szCs w:val="16"/>
                  <w:color w:val="0000EE"/>
                </w:rPr>
                <w:t>PROPOSALS TO BE VOTED ON</w:t>
              </w:r>
            </w:hyperlink>
          </w:p>
        </w:tc>
        <w:tc>
          <w:tcPr>
            <w:tcW w:w="1640" w:type="dxa"/>
            <w:vAlign w:val="bottom"/>
            <w:gridSpan w:val="2"/>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16">
              <w:r>
                <w:rPr>
                  <w:rFonts w:ascii="Times New Roman" w:cs="Times New Roman" w:eastAsia="Times New Roman" w:hAnsi="Times New Roman"/>
                  <w:sz w:val="16"/>
                  <w:szCs w:val="16"/>
                  <w:color w:val="0000EE"/>
                </w:rPr>
                <w:t>REPORT OF THE AUDIT COMMITTEE OF THE BOARD</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INDEPENDENT REGISTERED PUBLIC ACCOUNTING FIRM FEES AND OTHER MATTERS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6"/>
        </w:trPr>
        <w:tc>
          <w:tcPr>
            <w:tcW w:w="400" w:type="dxa"/>
            <w:vAlign w:val="bottom"/>
          </w:tcPr>
          <w:p>
            <w:pPr>
              <w:spacing w:after="0"/>
              <w:rPr>
                <w:sz w:val="22"/>
                <w:szCs w:val="22"/>
                <w:color w:val="auto"/>
              </w:rPr>
            </w:pPr>
          </w:p>
        </w:tc>
        <w:tc>
          <w:tcPr>
            <w:tcW w:w="16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6"/>
              </w:rPr>
            </w:pPr>
            <w:hyperlink w:anchor="page19">
              <w:r>
                <w:rPr>
                  <w:rFonts w:ascii="Times New Roman" w:cs="Times New Roman" w:eastAsia="Times New Roman" w:hAnsi="Times New Roman"/>
                  <w:sz w:val="16"/>
                  <w:szCs w:val="16"/>
                  <w:color w:val="0000EE"/>
                  <w:w w:val="96"/>
                </w:rPr>
                <w:t>EXECUTIVE OFFICERS</w:t>
              </w:r>
            </w:hyperlink>
          </w:p>
        </w:tc>
        <w:tc>
          <w:tcPr>
            <w:tcW w:w="4580" w:type="dxa"/>
            <w:vAlign w:val="bottom"/>
            <w:tcBorders>
              <w:top w:val="single" w:sz="8" w:color="0000EE"/>
            </w:tcBorders>
            <w:gridSpan w:val="11"/>
          </w:tcPr>
          <w:p>
            <w:pPr>
              <w:spacing w:after="0"/>
              <w:rPr>
                <w:sz w:val="22"/>
                <w:szCs w:val="22"/>
                <w:color w:val="auto"/>
              </w:rPr>
            </w:pPr>
          </w:p>
        </w:tc>
        <w:tc>
          <w:tcPr>
            <w:tcW w:w="16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6"/>
        </w:trPr>
        <w:tc>
          <w:tcPr>
            <w:tcW w:w="400" w:type="dxa"/>
            <w:vAlign w:val="bottom"/>
          </w:tcPr>
          <w:p>
            <w:pPr>
              <w:spacing w:after="0"/>
              <w:rPr>
                <w:sz w:val="22"/>
                <w:szCs w:val="22"/>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20">
              <w:r>
                <w:rPr>
                  <w:rFonts w:ascii="Times New Roman" w:cs="Times New Roman" w:eastAsia="Times New Roman" w:hAnsi="Times New Roman"/>
                  <w:sz w:val="16"/>
                  <w:szCs w:val="16"/>
                  <w:color w:val="0000EE"/>
                </w:rPr>
                <w:t>CORPORATE GOVERNANCE</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COMMITTEES OF THE BOARD</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40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6"/>
              </w:rPr>
            </w:pPr>
            <w:hyperlink w:anchor="page26">
              <w:r>
                <w:rPr>
                  <w:rFonts w:ascii="Times New Roman" w:cs="Times New Roman" w:eastAsia="Times New Roman" w:hAnsi="Times New Roman"/>
                  <w:sz w:val="16"/>
                  <w:szCs w:val="16"/>
                  <w:color w:val="0000EE"/>
                  <w:w w:val="96"/>
                </w:rPr>
                <w:t>BLAIZE’S EXECUTIVE AND DIRECTOR COMPENSATION</w:t>
              </w:r>
            </w:hyperlink>
          </w:p>
        </w:tc>
        <w:tc>
          <w:tcPr>
            <w:tcW w:w="3780" w:type="dxa"/>
            <w:vAlign w:val="bottom"/>
            <w:gridSpan w:val="5"/>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6"/>
        </w:trPr>
        <w:tc>
          <w:tcPr>
            <w:tcW w:w="400" w:type="dxa"/>
            <w:vAlign w:val="bottom"/>
          </w:tcPr>
          <w:p>
            <w:pPr>
              <w:spacing w:after="0"/>
              <w:rPr>
                <w:sz w:val="22"/>
                <w:szCs w:val="22"/>
                <w:color w:val="auto"/>
              </w:rPr>
            </w:pPr>
          </w:p>
        </w:tc>
        <w:tc>
          <w:tcPr>
            <w:tcW w:w="7840" w:type="dxa"/>
            <w:vAlign w:val="bottom"/>
            <w:gridSpan w:val="16"/>
          </w:tcPr>
          <w:p>
            <w:pPr>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SECURITY OWNERSHIP OF CERTAIN BENEFICIAL OWNERS AND MANAGEMENT</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6"/>
        </w:trPr>
        <w:tc>
          <w:tcPr>
            <w:tcW w:w="400" w:type="dxa"/>
            <w:vAlign w:val="bottom"/>
          </w:tcPr>
          <w:p>
            <w:pPr>
              <w:spacing w:after="0"/>
              <w:rPr>
                <w:sz w:val="22"/>
                <w:szCs w:val="22"/>
                <w:color w:val="auto"/>
              </w:rPr>
            </w:pPr>
          </w:p>
        </w:tc>
        <w:tc>
          <w:tcPr>
            <w:tcW w:w="582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CERTAIN RELATIONSHIPS AND RELATED PERSON TRANSACTIONS</w:t>
              </w:r>
            </w:hyperlink>
          </w:p>
        </w:tc>
        <w:tc>
          <w:tcPr>
            <w:tcW w:w="2020" w:type="dxa"/>
            <w:vAlign w:val="bottom"/>
            <w:gridSpan w:val="3"/>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56"/>
        </w:trPr>
        <w:tc>
          <w:tcPr>
            <w:tcW w:w="400" w:type="dxa"/>
            <w:vAlign w:val="bottom"/>
          </w:tcPr>
          <w:p>
            <w:pPr>
              <w:spacing w:after="0"/>
              <w:rPr>
                <w:sz w:val="22"/>
                <w:szCs w:val="22"/>
                <w:color w:val="auto"/>
              </w:rPr>
            </w:pPr>
          </w:p>
        </w:tc>
        <w:tc>
          <w:tcPr>
            <w:tcW w:w="22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6"/>
                <w:szCs w:val="16"/>
                <w:color w:val="0000EE"/>
                <w:w w:val="96"/>
              </w:rPr>
            </w:pPr>
            <w:hyperlink w:anchor="page35">
              <w:r>
                <w:rPr>
                  <w:rFonts w:ascii="Times New Roman" w:cs="Times New Roman" w:eastAsia="Times New Roman" w:hAnsi="Times New Roman"/>
                  <w:sz w:val="16"/>
                  <w:szCs w:val="16"/>
                  <w:color w:val="0000EE"/>
                  <w:w w:val="96"/>
                </w:rPr>
                <w:t>STOCKHOLDERS’ PROPOSALS</w:t>
              </w:r>
            </w:hyperlink>
          </w:p>
        </w:tc>
        <w:tc>
          <w:tcPr>
            <w:tcW w:w="2680" w:type="dxa"/>
            <w:vAlign w:val="bottom"/>
            <w:tcBorders>
              <w:top w:val="single" w:sz="8" w:color="0000EE"/>
            </w:tcBorders>
            <w:gridSpan w:val="5"/>
          </w:tcPr>
          <w:p>
            <w:pPr>
              <w:spacing w:after="0"/>
              <w:rPr>
                <w:sz w:val="22"/>
                <w:szCs w:val="22"/>
                <w:color w:val="auto"/>
              </w:rPr>
            </w:pPr>
          </w:p>
        </w:tc>
        <w:tc>
          <w:tcPr>
            <w:tcW w:w="2960" w:type="dxa"/>
            <w:vAlign w:val="bottom"/>
            <w:gridSpan w:val="4"/>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6"/>
        </w:trPr>
        <w:tc>
          <w:tcPr>
            <w:tcW w:w="400" w:type="dxa"/>
            <w:vAlign w:val="bottom"/>
          </w:tcPr>
          <w:p>
            <w:pPr>
              <w:spacing w:after="0"/>
              <w:rPr>
                <w:sz w:val="22"/>
                <w:szCs w:val="22"/>
                <w:color w:val="auto"/>
              </w:rPr>
            </w:pPr>
          </w:p>
        </w:tc>
        <w:tc>
          <w:tcPr>
            <w:tcW w:w="12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5"/>
              </w:rPr>
            </w:pPr>
            <w:hyperlink w:anchor="page36">
              <w:r>
                <w:rPr>
                  <w:rFonts w:ascii="Times New Roman" w:cs="Times New Roman" w:eastAsia="Times New Roman" w:hAnsi="Times New Roman"/>
                  <w:sz w:val="16"/>
                  <w:szCs w:val="16"/>
                  <w:color w:val="0000EE"/>
                  <w:w w:val="95"/>
                </w:rPr>
                <w:t>OTHER MATTERS</w:t>
              </w:r>
            </w:hyperlink>
          </w:p>
        </w:tc>
        <w:tc>
          <w:tcPr>
            <w:tcW w:w="6560" w:type="dxa"/>
            <w:vAlign w:val="bottom"/>
            <w:gridSpan w:val="14"/>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6"/>
        </w:trPr>
        <w:tc>
          <w:tcPr>
            <w:tcW w:w="400" w:type="dxa"/>
            <w:vAlign w:val="bottom"/>
          </w:tcPr>
          <w:p>
            <w:pPr>
              <w:spacing w:after="0"/>
              <w:rPr>
                <w:sz w:val="22"/>
                <w:szCs w:val="22"/>
                <w:color w:val="auto"/>
              </w:rPr>
            </w:pPr>
          </w:p>
        </w:tc>
        <w:tc>
          <w:tcPr>
            <w:tcW w:w="282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6"/>
              </w:rPr>
            </w:pPr>
            <w:hyperlink w:anchor="page36">
              <w:r>
                <w:rPr>
                  <w:rFonts w:ascii="Times New Roman" w:cs="Times New Roman" w:eastAsia="Times New Roman" w:hAnsi="Times New Roman"/>
                  <w:sz w:val="16"/>
                  <w:szCs w:val="16"/>
                  <w:color w:val="0000EE"/>
                  <w:w w:val="96"/>
                </w:rPr>
                <w:t>DELINQUENT SECTION 16(A) REPORTS</w:t>
              </w:r>
            </w:hyperlink>
          </w:p>
        </w:tc>
        <w:tc>
          <w:tcPr>
            <w:tcW w:w="5020" w:type="dxa"/>
            <w:vAlign w:val="bottom"/>
            <w:gridSpan w:val="8"/>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6"/>
        </w:trPr>
        <w:tc>
          <w:tcPr>
            <w:tcW w:w="400" w:type="dxa"/>
            <w:vAlign w:val="bottom"/>
          </w:tcPr>
          <w:p>
            <w:pPr>
              <w:spacing w:after="0"/>
              <w:rPr>
                <w:sz w:val="22"/>
                <w:szCs w:val="22"/>
                <w:color w:val="auto"/>
              </w:rPr>
            </w:pPr>
          </w:p>
        </w:tc>
        <w:tc>
          <w:tcPr>
            <w:tcW w:w="202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5"/>
              </w:rPr>
            </w:pPr>
            <w:hyperlink w:anchor="page36">
              <w:r>
                <w:rPr>
                  <w:rFonts w:ascii="Times New Roman" w:cs="Times New Roman" w:eastAsia="Times New Roman" w:hAnsi="Times New Roman"/>
                  <w:sz w:val="16"/>
                  <w:szCs w:val="16"/>
                  <w:color w:val="0000EE"/>
                  <w:w w:val="95"/>
                </w:rPr>
                <w:t>SOLICITATION OF PROXIES</w:t>
              </w:r>
            </w:hyperlink>
          </w:p>
        </w:tc>
        <w:tc>
          <w:tcPr>
            <w:tcW w:w="5820" w:type="dxa"/>
            <w:vAlign w:val="bottom"/>
            <w:gridSpan w:val="11"/>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jc w:val="right"/>
        <w:spacing w:after="0"/>
        <w:rPr>
          <w:sz w:val="20"/>
          <w:szCs w:val="20"/>
          <w:color w:val="auto"/>
        </w:rPr>
        <w:sectPr>
          <w:pgSz w:w="11900" w:h="16840" w:orient="portrait"/>
          <w:cols w:equalWidth="0" w:num="1">
            <w:col w:w="10140"/>
          </w:cols>
          <w:pgMar w:left="660" w:top="866"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p>
    <w:bookmarkStart w:id="3" w:name="page4"/>
    <w:bookmarkEnd w:id="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174625</wp:posOffset>
            </wp:positionV>
            <wp:extent cx="1311275" cy="449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275"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BLAIZE HOLDINGS, INC.</w:t>
      </w:r>
    </w:p>
    <w:p>
      <w:pPr>
        <w:spacing w:after="0" w:line="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w:t>
      </w: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El Dorado Hills, CA 95762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146685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1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TO BE HELD WEDNESDAY, DECEMBER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90805</wp:posOffset>
            </wp:positionV>
            <wp:extent cx="62198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14"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4"/>
          <w:szCs w:val="14"/>
          <w:color w:val="auto"/>
        </w:rPr>
        <w:t>The 2025 Annual Meeting of Stockholders (the “Annual Meeting”) of Blaize Holdings, Inc., a Delaware corporation (the “Company”), will be held at 10:00 a.m. Eastern time on Wednesday, December 3, 2025. The Annual Meeting will be a completely virtual meeting, which will be conducted via live webcast. You will be able to attend the Annual Meeting online and submit your questions during the meeting by visiting www.virtualshareholdermeeting.com/BZAI2025 and entering your 16 -digit control number included in your Notice of Internet Availability of Proxy Materials, on your proxy card or on the instructions that accompanied your proxy materials. The Annual Meeting will be held for the following purposes:</w:t>
      </w:r>
    </w:p>
    <w:p>
      <w:pPr>
        <w:spacing w:after="0" w:line="128" w:lineRule="exact"/>
        <w:rPr>
          <w:sz w:val="20"/>
          <w:szCs w:val="20"/>
          <w:color w:val="auto"/>
        </w:rPr>
      </w:pPr>
    </w:p>
    <w:p>
      <w:pPr>
        <w:jc w:val="both"/>
        <w:ind w:left="1560" w:right="180" w:hanging="390"/>
        <w:spacing w:after="0" w:line="247" w:lineRule="auto"/>
        <w:tabs>
          <w:tab w:leader="none" w:pos="1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Lane M. Bess, Anthony Cannestra, Edward Frank, Yoshiaki Fujimori, Juergen Hambrecht, Dinakar Munagala and George de Urioste as Directors to serve until the 2026 Annual Meeting of Stockholders, and until their respective successors shall have been duly elected and qualified;</w:t>
      </w:r>
    </w:p>
    <w:p>
      <w:pPr>
        <w:spacing w:after="0" w:line="152" w:lineRule="exact"/>
        <w:rPr>
          <w:rFonts w:ascii="Times New Roman" w:cs="Times New Roman" w:eastAsia="Times New Roman" w:hAnsi="Times New Roman"/>
          <w:sz w:val="16"/>
          <w:szCs w:val="16"/>
          <w:color w:val="auto"/>
        </w:rPr>
      </w:pPr>
    </w:p>
    <w:p>
      <w:pPr>
        <w:ind w:left="1560" w:right="440" w:hanging="390"/>
        <w:spacing w:after="0" w:line="259" w:lineRule="auto"/>
        <w:tabs>
          <w:tab w:leader="none" w:pos="1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the Company’s Third Amended and Restated Certificate of Incorporation to provide that Directors may be removed in a manner consistent with Section 141(k) of the Delaware General Corporation Law (the “DGCL”);</w:t>
      </w:r>
    </w:p>
    <w:p>
      <w:pPr>
        <w:spacing w:after="0" w:line="143" w:lineRule="exact"/>
        <w:rPr>
          <w:rFonts w:ascii="Times New Roman" w:cs="Times New Roman" w:eastAsia="Times New Roman" w:hAnsi="Times New Roman"/>
          <w:sz w:val="16"/>
          <w:szCs w:val="16"/>
          <w:color w:val="auto"/>
        </w:rPr>
      </w:pPr>
    </w:p>
    <w:p>
      <w:pPr>
        <w:ind w:left="1560" w:right="280" w:hanging="390"/>
        <w:spacing w:after="0" w:line="259" w:lineRule="auto"/>
        <w:tabs>
          <w:tab w:leader="none" w:pos="1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UHY LLP as our independent registered public accounting firm for the fiscal year ending December 31, 2025; and</w:t>
      </w:r>
    </w:p>
    <w:p>
      <w:pPr>
        <w:spacing w:after="0" w:line="143" w:lineRule="exact"/>
        <w:rPr>
          <w:rFonts w:ascii="Times New Roman" w:cs="Times New Roman" w:eastAsia="Times New Roman" w:hAnsi="Times New Roman"/>
          <w:sz w:val="16"/>
          <w:szCs w:val="16"/>
          <w:color w:val="auto"/>
        </w:rPr>
      </w:pPr>
    </w:p>
    <w:p>
      <w:pPr>
        <w:ind w:left="1560" w:right="80" w:hanging="390"/>
        <w:spacing w:after="0" w:line="259" w:lineRule="auto"/>
        <w:tabs>
          <w:tab w:leader="none" w:pos="1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continuation, postponement, or adjournment of the Annual Meeting.</w:t>
      </w:r>
    </w:p>
    <w:p>
      <w:pPr>
        <w:spacing w:after="0" w:line="119"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Holders of record of our common stock as of the close of business on October 6, 2025,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during ordinary business hours at the Company’s principal executive offices. The Annual Meeting may be continued or adjourned from time to time without notice other than by announcement at the Annual Meeting.</w:t>
      </w:r>
    </w:p>
    <w:p>
      <w:pPr>
        <w:spacing w:after="0" w:line="131" w:lineRule="exact"/>
        <w:rPr>
          <w:sz w:val="20"/>
          <w:szCs w:val="20"/>
          <w:color w:val="auto"/>
        </w:rPr>
      </w:pPr>
    </w:p>
    <w:p>
      <w:pPr>
        <w:jc w:val="both"/>
        <w:ind w:left="400" w:right="40"/>
        <w:spacing w:after="0" w:line="284" w:lineRule="auto"/>
        <w:rPr>
          <w:sz w:val="20"/>
          <w:szCs w:val="20"/>
          <w:color w:val="auto"/>
        </w:rPr>
      </w:pPr>
      <w:r>
        <w:rPr>
          <w:rFonts w:ascii="Times New Roman" w:cs="Times New Roman" w:eastAsia="Times New Roman" w:hAnsi="Times New Roman"/>
          <w:sz w:val="14"/>
          <w:szCs w:val="14"/>
          <w:b w:val="1"/>
          <w:bCs w:val="1"/>
          <w:color w:val="auto"/>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 Dinakar Munagala</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-116205</wp:posOffset>
            </wp:positionV>
            <wp:extent cx="24847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Chief Executive Officer</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El Dorado Hills, California</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 2025</w:t>
      </w:r>
    </w:p>
    <w:p>
      <w:pPr>
        <w:spacing w:after="0" w:line="1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140"/>
          </w:cols>
          <w:pgMar w:left="660" w:top="879" w:right="1100" w:bottom="1440" w:gutter="0" w:footer="0" w:header="0"/>
        </w:sectPr>
      </w:pPr>
    </w:p>
    <w:bookmarkStart w:id="4" w:name="page5"/>
    <w:bookmarkEnd w:id="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174625</wp:posOffset>
            </wp:positionV>
            <wp:extent cx="1311275" cy="449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BLAIZE HOLDINGS, INC.</w:t>
      </w:r>
    </w:p>
    <w:p>
      <w:pPr>
        <w:spacing w:after="0" w:line="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w:t>
      </w: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El Dorado Hills, CA 95762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146685</wp:posOffset>
            </wp:positionV>
            <wp:extent cx="62198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128905</wp:posOffset>
            </wp:positionV>
            <wp:extent cx="62198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278"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This proxy statement (this “Proxy Statement”) is furnished in connection with the solicitation by the Board of Directors (the “Board”) of Blaize Holdings, Inc., a Delaware corporation (“Blaize,” the “Company,” “we,” “us,” or “our”; prior to the consummation of the business combination with BurTech Acquisition Corp. (the “Business Combination”) on January 13, 2025, “Legacy Blaize”) of proxies to be voted at our Annual Meeting of Stockholders to be held on Wednesday, December 3, 2025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www.virtualshareholdermeeting.com/BZAI2025 and entering your 16-digit control number included in your Notice of Internet Availability of Proxy Materials, on your proxy card or on the instructions that accompanied your proxy materials.</w:t>
      </w:r>
    </w:p>
    <w:p>
      <w:pPr>
        <w:spacing w:after="0" w:line="137" w:lineRule="exact"/>
        <w:rPr>
          <w:sz w:val="20"/>
          <w:szCs w:val="20"/>
          <w:color w:val="auto"/>
        </w:rPr>
      </w:pPr>
    </w:p>
    <w:p>
      <w:pPr>
        <w:ind w:left="400"/>
        <w:spacing w:after="0" w:line="243" w:lineRule="auto"/>
        <w:rPr>
          <w:sz w:val="20"/>
          <w:szCs w:val="20"/>
          <w:color w:val="auto"/>
        </w:rPr>
      </w:pPr>
      <w:r>
        <w:rPr>
          <w:rFonts w:ascii="Times New Roman" w:cs="Times New Roman" w:eastAsia="Times New Roman" w:hAnsi="Times New Roman"/>
          <w:sz w:val="16"/>
          <w:szCs w:val="16"/>
          <w:color w:val="auto"/>
        </w:rPr>
        <w:t>Holders of record of our common stock as of the close of business on October 6, 2025 (the “Record Date”), will be entitled to notice of and to vote at the Annual Meeting and any continuation, postponement, or adjournment of the Annual Meeting, and will vote together as a single class on all matters presented at the Annual Meeting. Each share of our common stock entitles its holders to one vote per share on all matters presented to our stockholders generally. As of the Record Date, there were 107,866,345 shares of common stock outstanding and entitled to vote at the Annual Meeting.</w:t>
      </w:r>
    </w:p>
    <w:p>
      <w:pPr>
        <w:spacing w:after="0" w:line="131" w:lineRule="exact"/>
        <w:rPr>
          <w:sz w:val="20"/>
          <w:szCs w:val="20"/>
          <w:color w:val="auto"/>
        </w:rPr>
      </w:pPr>
    </w:p>
    <w:p>
      <w:pPr>
        <w:ind w:left="400" w:right="540"/>
        <w:spacing w:after="0" w:line="258" w:lineRule="auto"/>
        <w:rPr>
          <w:sz w:val="20"/>
          <w:szCs w:val="20"/>
          <w:color w:val="auto"/>
        </w:rPr>
      </w:pPr>
      <w:r>
        <w:rPr>
          <w:rFonts w:ascii="Times New Roman" w:cs="Times New Roman" w:eastAsia="Times New Roman" w:hAnsi="Times New Roman"/>
          <w:sz w:val="16"/>
          <w:szCs w:val="16"/>
          <w:color w:val="auto"/>
        </w:rPr>
        <w:t xml:space="preserve">This Proxy Statement and the Company’s Annual Report to Stockholders for the year ended December 31, 2024 (the “2024 Annual Report”) will be released on or about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to our stockholders on the Record Date.</w:t>
      </w:r>
    </w:p>
    <w:p>
      <w:pPr>
        <w:spacing w:after="0" w:line="118" w:lineRule="exact"/>
        <w:rPr>
          <w:sz w:val="20"/>
          <w:szCs w:val="20"/>
          <w:color w:val="auto"/>
        </w:rPr>
      </w:pPr>
    </w:p>
    <w:p>
      <w:pPr>
        <w:jc w:val="center"/>
        <w:ind w:left="1040" w:right="240"/>
        <w:spacing w:after="0" w:line="262"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 MEETING TO BE HELD ON WEDNESDAY, DECEMBER 3, 2025</w:t>
      </w:r>
    </w:p>
    <w:p>
      <w:pPr>
        <w:spacing w:after="0" w:line="1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This Proxy Statement and our 2024 Annual Report to Stockholders are available at www.proxyvote.com.</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Proposals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At the Annual Meeting, our stockholders will be asked:</w:t>
      </w:r>
    </w:p>
    <w:p>
      <w:pPr>
        <w:spacing w:after="0" w:line="176" w:lineRule="exact"/>
        <w:rPr>
          <w:sz w:val="20"/>
          <w:szCs w:val="20"/>
          <w:color w:val="auto"/>
        </w:rPr>
      </w:pPr>
    </w:p>
    <w:p>
      <w:pPr>
        <w:jc w:val="both"/>
        <w:ind w:left="1560" w:right="240" w:hanging="390"/>
        <w:spacing w:after="0" w:line="247" w:lineRule="auto"/>
        <w:tabs>
          <w:tab w:leader="none" w:pos="1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Lane M. Bess, Anthony Cannestra, Edward Frank, Yoshiaki Fujimori, Juergen Hambrecht, Dinakar Munagala and George de Urioste as Directors to serve until the 2026 Annual Meeting of Stockholders, and until their respective successors shall have been duly elected and qualified;</w:t>
      </w:r>
    </w:p>
    <w:p>
      <w:pPr>
        <w:spacing w:after="0" w:line="152" w:lineRule="exact"/>
        <w:rPr>
          <w:rFonts w:ascii="Times New Roman" w:cs="Times New Roman" w:eastAsia="Times New Roman" w:hAnsi="Times New Roman"/>
          <w:sz w:val="16"/>
          <w:szCs w:val="16"/>
          <w:color w:val="auto"/>
        </w:rPr>
      </w:pPr>
    </w:p>
    <w:p>
      <w:pPr>
        <w:ind w:left="1560" w:right="240" w:hanging="390"/>
        <w:spacing w:after="0" w:line="259" w:lineRule="auto"/>
        <w:tabs>
          <w:tab w:leader="none" w:pos="1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the Company’s Third Amended and Restated Certificate of Incorporation to provide that Directors may be removed without cause;</w:t>
      </w:r>
    </w:p>
    <w:p>
      <w:pPr>
        <w:spacing w:after="0" w:line="143" w:lineRule="exact"/>
        <w:rPr>
          <w:rFonts w:ascii="Times New Roman" w:cs="Times New Roman" w:eastAsia="Times New Roman" w:hAnsi="Times New Roman"/>
          <w:sz w:val="16"/>
          <w:szCs w:val="16"/>
          <w:color w:val="auto"/>
        </w:rPr>
      </w:pPr>
    </w:p>
    <w:p>
      <w:pPr>
        <w:ind w:left="1560" w:right="340" w:hanging="390"/>
        <w:spacing w:after="0" w:line="259" w:lineRule="auto"/>
        <w:tabs>
          <w:tab w:leader="none" w:pos="1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UHY LLP as our independent registered public accounting firm for the fiscal year ending December 31, 2025; and</w:t>
      </w:r>
    </w:p>
    <w:p>
      <w:pPr>
        <w:spacing w:after="0" w:line="143" w:lineRule="exact"/>
        <w:rPr>
          <w:rFonts w:ascii="Times New Roman" w:cs="Times New Roman" w:eastAsia="Times New Roman" w:hAnsi="Times New Roman"/>
          <w:sz w:val="16"/>
          <w:szCs w:val="16"/>
          <w:color w:val="auto"/>
        </w:rPr>
      </w:pPr>
    </w:p>
    <w:p>
      <w:pPr>
        <w:ind w:left="1560" w:right="140" w:hanging="390"/>
        <w:spacing w:after="0" w:line="259" w:lineRule="auto"/>
        <w:tabs>
          <w:tab w:leader="none" w:pos="1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continuation, postponement, or adjournment of the Annual Meeting.</w:t>
      </w:r>
    </w:p>
    <w:p>
      <w:pPr>
        <w:spacing w:after="0" w:line="119" w:lineRule="exact"/>
        <w:rPr>
          <w:sz w:val="20"/>
          <w:szCs w:val="20"/>
          <w:color w:val="auto"/>
        </w:rPr>
      </w:pPr>
    </w:p>
    <w:p>
      <w:pPr>
        <w:ind w:left="400" w:right="340"/>
        <w:spacing w:after="0" w:line="331" w:lineRule="auto"/>
        <w:rPr>
          <w:sz w:val="20"/>
          <w:szCs w:val="20"/>
          <w:color w:val="auto"/>
        </w:rPr>
      </w:pPr>
      <w:r>
        <w:rPr>
          <w:rFonts w:ascii="Times New Roman" w:cs="Times New Roman" w:eastAsia="Times New Roman" w:hAnsi="Times New Roman"/>
          <w:sz w:val="14"/>
          <w:szCs w:val="14"/>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200"/>
          </w:cols>
          <w:pgMar w:left="660" w:top="879" w:right="1040"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Recommendations of the Board</w:t>
      </w:r>
    </w:p>
    <w:p>
      <w:pPr>
        <w:spacing w:after="0" w:line="154" w:lineRule="exact"/>
        <w:rPr>
          <w:sz w:val="20"/>
          <w:szCs w:val="20"/>
          <w:color w:val="auto"/>
        </w:rPr>
      </w:pPr>
    </w:p>
    <w:p>
      <w:pPr>
        <w:ind w:left="400" w:right="20"/>
        <w:spacing w:after="0" w:line="247" w:lineRule="auto"/>
        <w:rPr>
          <w:sz w:val="20"/>
          <w:szCs w:val="20"/>
          <w:color w:val="auto"/>
        </w:rPr>
      </w:pPr>
      <w:r>
        <w:rPr>
          <w:rFonts w:ascii="Times New Roman" w:cs="Times New Roman" w:eastAsia="Times New Roman" w:hAnsi="Times New Roman"/>
          <w:sz w:val="16"/>
          <w:szCs w:val="16"/>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152" w:lineRule="exact"/>
        <w:rPr>
          <w:sz w:val="20"/>
          <w:szCs w:val="20"/>
          <w:color w:val="auto"/>
        </w:rPr>
      </w:pPr>
    </w:p>
    <w:p>
      <w:pPr>
        <w:ind w:left="1560" w:right="160" w:hanging="390"/>
        <w:spacing w:after="0" w:line="259" w:lineRule="auto"/>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election of Lane M. Bess, Anthony Cannestra, Edward Frank, Yoshiaki Fujimori, Juergen Hambrecht, Dinakar Munagala and George de Urioste as Directors; and</w:t>
      </w:r>
    </w:p>
    <w:p>
      <w:pPr>
        <w:spacing w:after="0" w:line="143"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amendment to the Company’s Third Amended and Restated Certificate of Incorporation;</w:t>
      </w:r>
    </w:p>
    <w:p>
      <w:pPr>
        <w:spacing w:after="0" w:line="176" w:lineRule="exact"/>
        <w:rPr>
          <w:rFonts w:ascii="Times New Roman" w:cs="Times New Roman" w:eastAsia="Times New Roman" w:hAnsi="Times New Roman"/>
          <w:sz w:val="16"/>
          <w:szCs w:val="16"/>
          <w:color w:val="auto"/>
        </w:rPr>
      </w:pPr>
    </w:p>
    <w:p>
      <w:pPr>
        <w:ind w:left="1560" w:right="300" w:hanging="390"/>
        <w:spacing w:after="0" w:line="259" w:lineRule="auto"/>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ratification of the appointment of UHY LLP as our independent registered public accounting firm for the fiscal year ending December 31, 2025.</w:t>
      </w:r>
    </w:p>
    <w:p>
      <w:pPr>
        <w:spacing w:after="0" w:line="119"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color w:val="auto"/>
        </w:rPr>
        <w:t>If any other matter properly comes before the stockholders for a vote at the Annual Meeting, the proxy holders named on the Company’s proxy card will vote your shares in accordance with their best judgment.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Information About This Proxy Statement</w:t>
      </w:r>
    </w:p>
    <w:p>
      <w:pPr>
        <w:spacing w:after="0" w:line="152" w:lineRule="exact"/>
        <w:rPr>
          <w:sz w:val="20"/>
          <w:szCs w:val="20"/>
          <w:color w:val="auto"/>
        </w:rPr>
      </w:pPr>
    </w:p>
    <w:p>
      <w:pPr>
        <w:jc w:val="both"/>
        <w:ind w:left="400" w:right="8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Why you received this Proxy Statement. </w:t>
      </w:r>
      <w:r>
        <w:rPr>
          <w:rFonts w:ascii="Times New Roman" w:cs="Times New Roman" w:eastAsia="Times New Roman" w:hAnsi="Times New Roman"/>
          <w:sz w:val="16"/>
          <w:szCs w:val="16"/>
          <w:color w:val="auto"/>
        </w:rPr>
        <w:t>You are viewing or have received these proxy materials because Blaize’s Board is soliciting your proxy to vote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your shares at the Annual Meeting. This Proxy Statement includes information that we are required to provide to you under the rules of the U.S. Securities and Exchange Commission (the “SEC”) and that is designed to assist you in voting your shares.</w:t>
      </w:r>
    </w:p>
    <w:p>
      <w:pPr>
        <w:spacing w:after="0" w:line="126" w:lineRule="exact"/>
        <w:rPr>
          <w:sz w:val="20"/>
          <w:szCs w:val="20"/>
          <w:color w:val="auto"/>
        </w:rPr>
      </w:pPr>
    </w:p>
    <w:p>
      <w:pPr>
        <w:ind w:left="40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Notice of Internet Availability of Proxy Materials. </w:t>
      </w:r>
      <w:r>
        <w:rPr>
          <w:rFonts w:ascii="Times New Roman" w:cs="Times New Roman" w:eastAsia="Times New Roman" w:hAnsi="Times New Roman"/>
          <w:sz w:val="14"/>
          <w:szCs w:val="14"/>
          <w:color w:val="auto"/>
        </w:rPr>
        <w:t>As permitted by SEC rules, Blaize is making this Proxy Statement and its 2024 Annual Report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available to its stockholders electronically via the Internet. On or about October 20, 2025, we mailed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06" w:lineRule="exact"/>
        <w:rPr>
          <w:sz w:val="20"/>
          <w:szCs w:val="20"/>
          <w:color w:val="auto"/>
        </w:rPr>
      </w:pPr>
    </w:p>
    <w:p>
      <w:pPr>
        <w:ind w:left="4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Printed Copies of Our Proxy Materials. </w:t>
      </w:r>
      <w:r>
        <w:rPr>
          <w:rFonts w:ascii="Times New Roman" w:cs="Times New Roman" w:eastAsia="Times New Roman" w:hAnsi="Times New Roman"/>
          <w:sz w:val="16"/>
          <w:szCs w:val="16"/>
          <w:color w:val="auto"/>
        </w:rPr>
        <w:t>If you received printed copies of our proxy materials, then instructions regarding how you can vote are contained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proxy card included in the materials.</w:t>
      </w:r>
    </w:p>
    <w:p>
      <w:pPr>
        <w:spacing w:after="0" w:line="114" w:lineRule="exact"/>
        <w:rPr>
          <w:sz w:val="20"/>
          <w:szCs w:val="20"/>
          <w:color w:val="auto"/>
        </w:rPr>
      </w:pPr>
    </w:p>
    <w:p>
      <w:pPr>
        <w:ind w:left="400"/>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Householding. </w:t>
      </w:r>
      <w:r>
        <w:rPr>
          <w:rFonts w:ascii="Times New Roman" w:cs="Times New Roman" w:eastAsia="Times New Roman" w:hAnsi="Times New Roman"/>
          <w:sz w:val="14"/>
          <w:szCs w:val="14"/>
          <w:color w:val="auto"/>
        </w:rPr>
        <w:t>The SEC’s rules permit us to deliver a single set of proxy materials to one address shared by two or more of our stockholders. This delivery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07" w:lineRule="exact"/>
        <w:rPr>
          <w:sz w:val="20"/>
          <w:szCs w:val="20"/>
          <w:color w:val="auto"/>
        </w:rPr>
      </w:pPr>
    </w:p>
    <w:p>
      <w:pPr>
        <w:ind w:left="400" w:right="560"/>
        <w:spacing w:after="0" w:line="259" w:lineRule="auto"/>
        <w:rPr>
          <w:sz w:val="20"/>
          <w:szCs w:val="20"/>
          <w:color w:val="auto"/>
        </w:rPr>
      </w:pPr>
      <w:r>
        <w:rPr>
          <w:rFonts w:ascii="Times New Roman" w:cs="Times New Roman" w:eastAsia="Times New Roman" w:hAnsi="Times New Roman"/>
          <w:sz w:val="16"/>
          <w:szCs w:val="16"/>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120"/>
          </w:cols>
          <w:pgMar w:left="660" w:top="879" w:right="1120" w:bottom="1440" w:gutter="0" w:footer="0" w:header="0"/>
        </w:sectPr>
      </w:pPr>
    </w:p>
    <w:bookmarkStart w:id="6" w:name="page7"/>
    <w:bookmarkEnd w:id="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right="1680" w:firstLine="1644"/>
        <w:spacing w:after="0" w:line="439" w:lineRule="auto"/>
        <w:rPr>
          <w:sz w:val="20"/>
          <w:szCs w:val="20"/>
          <w:color w:val="auto"/>
        </w:rPr>
      </w:pPr>
      <w:r>
        <w:rPr>
          <w:rFonts w:ascii="Times New Roman" w:cs="Times New Roman" w:eastAsia="Times New Roman" w:hAnsi="Times New Roman"/>
          <w:sz w:val="16"/>
          <w:szCs w:val="16"/>
          <w:b w:val="1"/>
          <w:bCs w:val="1"/>
          <w:color w:val="auto"/>
        </w:rPr>
        <w:t>QUESTIONS AND ANSWERS ABOUT THE 2025 ANNUAL MEETING OF STOCKHOLDERS Who is entitled to vote at the Annual Meeting?</w:t>
      </w:r>
    </w:p>
    <w:p>
      <w:pPr>
        <w:spacing w:after="0" w:line="1" w:lineRule="exact"/>
        <w:rPr>
          <w:sz w:val="20"/>
          <w:szCs w:val="20"/>
          <w:color w:val="auto"/>
        </w:rPr>
      </w:pPr>
    </w:p>
    <w:p>
      <w:pPr>
        <w:jc w:val="both"/>
        <w:ind w:left="400" w:right="100"/>
        <w:spacing w:after="0" w:line="247" w:lineRule="auto"/>
        <w:rPr>
          <w:sz w:val="20"/>
          <w:szCs w:val="20"/>
          <w:color w:val="auto"/>
        </w:rPr>
      </w:pPr>
      <w:r>
        <w:rPr>
          <w:rFonts w:ascii="Times New Roman" w:cs="Times New Roman" w:eastAsia="Times New Roman" w:hAnsi="Times New Roman"/>
          <w:sz w:val="16"/>
          <w:szCs w:val="16"/>
          <w:color w:val="auto"/>
        </w:rPr>
        <w:t>The Record Date for the Annual Meeting is October 6, 2025. You are entitled to vote at the Annual Meeting only if you were a stockholder of record at the close of business on that date. Each outstanding share of our common stock is entitled to one vote for all matters before the Annual Meeting. At the close of business on the Record Date, there were 107,866,345 shares of common stock outstanding and entitled to vote at the Annual Meeting.</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is the difference between being a “record holder” and holding shares in “street name”?</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 record holder holds shares in his or her name. Shares held in “street name” means shares that are held in the name of a bank or broker on a person’s behalf.</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Am I entitled to vote if my shares are held in “street name”?</w:t>
      </w:r>
    </w:p>
    <w:p>
      <w:pPr>
        <w:spacing w:after="0" w:line="154" w:lineRule="exact"/>
        <w:rPr>
          <w:sz w:val="20"/>
          <w:szCs w:val="20"/>
          <w:color w:val="auto"/>
        </w:rPr>
      </w:pPr>
    </w:p>
    <w:p>
      <w:pPr>
        <w:ind w:left="400" w:right="80"/>
        <w:spacing w:after="0" w:line="241" w:lineRule="auto"/>
        <w:rPr>
          <w:sz w:val="20"/>
          <w:szCs w:val="20"/>
          <w:color w:val="auto"/>
        </w:rPr>
      </w:pPr>
      <w:r>
        <w:rPr>
          <w:rFonts w:ascii="Times New Roman" w:cs="Times New Roman" w:eastAsia="Times New Roman" w:hAnsi="Times New Roman"/>
          <w:sz w:val="16"/>
          <w:szCs w:val="16"/>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How many shares must be present to hold the Annual Meeting?</w:t>
      </w:r>
    </w:p>
    <w:p>
      <w:pPr>
        <w:spacing w:after="0" w:line="154" w:lineRule="exact"/>
        <w:rPr>
          <w:sz w:val="20"/>
          <w:szCs w:val="20"/>
          <w:color w:val="auto"/>
        </w:rPr>
      </w:pPr>
    </w:p>
    <w:p>
      <w:pPr>
        <w:ind w:left="400" w:right="180"/>
        <w:spacing w:after="0" w:line="259" w:lineRule="auto"/>
        <w:rPr>
          <w:sz w:val="20"/>
          <w:szCs w:val="20"/>
          <w:color w:val="auto"/>
        </w:rPr>
      </w:pPr>
      <w:r>
        <w:rPr>
          <w:rFonts w:ascii="Times New Roman" w:cs="Times New Roman" w:eastAsia="Times New Roman" w:hAnsi="Times New Roman"/>
          <w:sz w:val="16"/>
          <w:szCs w:val="16"/>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Who can attend the Annual Meeting?</w:t>
      </w:r>
    </w:p>
    <w:p>
      <w:pPr>
        <w:spacing w:after="0" w:line="154" w:lineRule="exact"/>
        <w:rPr>
          <w:sz w:val="20"/>
          <w:szCs w:val="20"/>
          <w:color w:val="auto"/>
        </w:rPr>
      </w:pPr>
    </w:p>
    <w:p>
      <w:pPr>
        <w:ind w:left="400" w:right="180"/>
        <w:spacing w:after="0" w:line="238" w:lineRule="auto"/>
        <w:rPr>
          <w:sz w:val="20"/>
          <w:szCs w:val="20"/>
          <w:color w:val="auto"/>
        </w:rPr>
      </w:pPr>
      <w:r>
        <w:rPr>
          <w:rFonts w:ascii="Times New Roman" w:cs="Times New Roman" w:eastAsia="Times New Roman" w:hAnsi="Times New Roman"/>
          <w:sz w:val="16"/>
          <w:szCs w:val="16"/>
          <w:color w:val="auto"/>
        </w:rPr>
        <w:t>You may attend the Annual Meeting online only if you are a Blaize stockholder who is entitled to vote at the Annual Meeting. You may attend and participate in the Annual Meeting by visiting the following website: www.virtualshareholdermeeting.com/BZAI2025.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16 -digit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thecheck-in procedures.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if a quorum is not present at the Annual Meeting?</w:t>
      </w:r>
    </w:p>
    <w:p>
      <w:pPr>
        <w:spacing w:after="0" w:line="154" w:lineRule="exact"/>
        <w:rPr>
          <w:sz w:val="20"/>
          <w:szCs w:val="20"/>
          <w:color w:val="auto"/>
        </w:rPr>
      </w:pPr>
    </w:p>
    <w:p>
      <w:pPr>
        <w:ind w:left="400" w:right="540"/>
        <w:spacing w:after="0" w:line="259" w:lineRule="auto"/>
        <w:rPr>
          <w:sz w:val="20"/>
          <w:szCs w:val="20"/>
          <w:color w:val="auto"/>
        </w:rPr>
      </w:pPr>
      <w:r>
        <w:rPr>
          <w:rFonts w:ascii="Times New Roman" w:cs="Times New Roman" w:eastAsia="Times New Roman" w:hAnsi="Times New Roman"/>
          <w:sz w:val="16"/>
          <w:szCs w:val="16"/>
          <w:color w:val="auto"/>
        </w:rPr>
        <w:t>If a quorum is not present at the scheduled time of the Annual Meeting, the Chair of the Annual Meeting is authorized by our Amended and Restated Bylaws to adjourn the meeting, without the vote of stockholders.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does it mean if I receive more than one Internet Notice or more than one set of proxy materials?</w:t>
      </w:r>
    </w:p>
    <w:p>
      <w:pPr>
        <w:spacing w:after="0" w:line="154" w:lineRule="exact"/>
        <w:rPr>
          <w:sz w:val="20"/>
          <w:szCs w:val="20"/>
          <w:color w:val="auto"/>
        </w:rPr>
      </w:pPr>
    </w:p>
    <w:p>
      <w:pPr>
        <w:ind w:left="400" w:right="120"/>
        <w:spacing w:after="0" w:line="247" w:lineRule="auto"/>
        <w:rPr>
          <w:sz w:val="20"/>
          <w:szCs w:val="20"/>
          <w:color w:val="auto"/>
        </w:rPr>
      </w:pPr>
      <w:r>
        <w:rPr>
          <w:rFonts w:ascii="Times New Roman" w:cs="Times New Roman" w:eastAsia="Times New Roman" w:hAnsi="Times New Roman"/>
          <w:sz w:val="16"/>
          <w:szCs w:val="16"/>
          <w:color w:val="auto"/>
        </w:rPr>
        <w:t>It means that your shares are held in more than one account at the transfer agent and/or with banks or brokers as applicable.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220"/>
          </w:cols>
          <w:pgMar w:left="660" w:top="879" w:right="1020"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Stockholders of Record</w:t>
      </w:r>
      <w:r>
        <w:rPr>
          <w:rFonts w:ascii="Times New Roman" w:cs="Times New Roman" w:eastAsia="Times New Roman" w:hAnsi="Times New Roman"/>
          <w:sz w:val="16"/>
          <w:szCs w:val="16"/>
          <w:color w:val="auto"/>
        </w:rPr>
        <w:t>. If you are a stockholder of record, you may vote:</w:t>
      </w:r>
    </w:p>
    <w:p>
      <w:pPr>
        <w:spacing w:after="0" w:line="176" w:lineRule="exact"/>
        <w:rPr>
          <w:sz w:val="20"/>
          <w:szCs w:val="20"/>
          <w:color w:val="auto"/>
        </w:rPr>
      </w:pPr>
    </w:p>
    <w:p>
      <w:pPr>
        <w:ind w:left="1560" w:hanging="390"/>
        <w:spacing w:after="0"/>
        <w:tabs>
          <w:tab w:leader="none" w:pos="1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Internet – You can vote over the Internet at</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by following the instructions on the Internet Notice or proxy card;</w:t>
      </w:r>
    </w:p>
    <w:p>
      <w:pPr>
        <w:spacing w:after="0" w:line="178"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Telephone – You can vote by telephone by calling 1-800-690-6903 and following the instructions on the proxy card;</w:t>
      </w:r>
    </w:p>
    <w:p>
      <w:pPr>
        <w:spacing w:after="0" w:line="176" w:lineRule="exact"/>
        <w:rPr>
          <w:rFonts w:ascii="Times New Roman" w:cs="Times New Roman" w:eastAsia="Times New Roman" w:hAnsi="Times New Roman"/>
          <w:sz w:val="16"/>
          <w:szCs w:val="16"/>
          <w:color w:val="auto"/>
        </w:rPr>
      </w:pPr>
    </w:p>
    <w:p>
      <w:pPr>
        <w:ind w:left="1560" w:right="60" w:hanging="390"/>
        <w:spacing w:after="0" w:line="331" w:lineRule="auto"/>
        <w:tabs>
          <w:tab w:leader="none" w:pos="1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Mail – You can vote by mail by signing, dating and mailing the proxy card, which you may have received by mail and return it in the postage-paid envelope, which was provided or return it to Vote Processing, c/o Broadridge, 51 Mercedes Way, Edgewood, NY 11717; or</w:t>
      </w:r>
    </w:p>
    <w:p>
      <w:pPr>
        <w:spacing w:after="0" w:line="96" w:lineRule="exact"/>
        <w:rPr>
          <w:rFonts w:ascii="Times New Roman" w:cs="Times New Roman" w:eastAsia="Times New Roman" w:hAnsi="Times New Roman"/>
          <w:sz w:val="14"/>
          <w:szCs w:val="14"/>
          <w:color w:val="auto"/>
        </w:rPr>
      </w:pPr>
    </w:p>
    <w:p>
      <w:pPr>
        <w:ind w:left="1560" w:right="400" w:hanging="390"/>
        <w:spacing w:after="0" w:line="331" w:lineRule="auto"/>
        <w:tabs>
          <w:tab w:leader="none" w:pos="1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Electronically at the Meeting – If you attend the meeting online, you will need the 16-digit control number included in your Internet Notice, on your proxy card or on the instructions that accompanied your proxy materials to vote electronically during the meeting.</w:t>
      </w:r>
    </w:p>
    <w:p>
      <w:pPr>
        <w:spacing w:after="0" w:line="72" w:lineRule="exact"/>
        <w:rPr>
          <w:sz w:val="20"/>
          <w:szCs w:val="20"/>
          <w:color w:val="auto"/>
        </w:rPr>
      </w:pPr>
    </w:p>
    <w:p>
      <w:pPr>
        <w:ind w:left="400"/>
        <w:spacing w:after="0" w:line="247" w:lineRule="auto"/>
        <w:rPr>
          <w:sz w:val="20"/>
          <w:szCs w:val="20"/>
          <w:color w:val="auto"/>
        </w:rPr>
      </w:pPr>
      <w:r>
        <w:rPr>
          <w:rFonts w:ascii="Times New Roman" w:cs="Times New Roman" w:eastAsia="Times New Roman" w:hAnsi="Times New Roman"/>
          <w:sz w:val="16"/>
          <w:szCs w:val="16"/>
          <w:color w:val="auto"/>
        </w:rPr>
        <w:t>Internet and telephone voting facilities for stockholders of record will be available 24 hours a day and will close at 11:59 p.m., Eastern time, on December 2, 2025. To participate in the Annual Meeting, including to vote via the Internet or telephone, you will need the 16-digit control number included on your Internet Notice, on your proxy card or on the instructions that accompanied your proxy materials.</w:t>
      </w:r>
    </w:p>
    <w:p>
      <w:pPr>
        <w:spacing w:after="0" w:line="128" w:lineRule="exact"/>
        <w:rPr>
          <w:sz w:val="20"/>
          <w:szCs w:val="20"/>
          <w:color w:val="auto"/>
        </w:rPr>
      </w:pPr>
    </w:p>
    <w:p>
      <w:pPr>
        <w:ind w:left="400" w:right="140"/>
        <w:spacing w:after="0" w:line="247" w:lineRule="auto"/>
        <w:rPr>
          <w:sz w:val="20"/>
          <w:szCs w:val="20"/>
          <w:color w:val="auto"/>
        </w:rPr>
      </w:pPr>
      <w:r>
        <w:rPr>
          <w:rFonts w:ascii="Times New Roman" w:cs="Times New Roman" w:eastAsia="Times New Roman" w:hAnsi="Times New Roman"/>
          <w:sz w:val="16"/>
          <w:szCs w:val="16"/>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126"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Beneficial Owners of Shares Held in “Street Name.” </w:t>
      </w:r>
      <w:r>
        <w:rPr>
          <w:rFonts w:ascii="Times New Roman" w:cs="Times New Roman" w:eastAsia="Times New Roman" w:hAnsi="Times New Roman"/>
          <w:sz w:val="16"/>
          <w:szCs w:val="16"/>
          <w:color w:val="auto"/>
        </w:rPr>
        <w:t>If your shares are held in “street name” through a bank or broker, you will receive instructions on how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Can I change or revoke my vote after I submit my proxy?</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Yes.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If you are a registered stockholder, you may revoke your proxy and change your vote:</w:t>
      </w:r>
    </w:p>
    <w:p>
      <w:pPr>
        <w:spacing w:after="0" w:line="176" w:lineRule="exact"/>
        <w:rPr>
          <w:sz w:val="20"/>
          <w:szCs w:val="20"/>
          <w:color w:val="auto"/>
        </w:rPr>
      </w:pPr>
    </w:p>
    <w:p>
      <w:pPr>
        <w:ind w:left="1560" w:hanging="390"/>
        <w:spacing w:after="0"/>
        <w:tabs>
          <w:tab w:leader="none" w:pos="1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submitting a duly executed proxy bearing a later date;</w:t>
      </w:r>
    </w:p>
    <w:p>
      <w:pPr>
        <w:spacing w:after="0" w:line="176"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granting a subsequent proxy through the Internet or telephone;</w:t>
      </w:r>
    </w:p>
    <w:p>
      <w:pPr>
        <w:spacing w:after="0" w:line="176"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giving written notice of revocation to the Corporate Secretary of Blaize at our corporate offices prior to or at the Annual Meeting; or</w:t>
      </w:r>
    </w:p>
    <w:p>
      <w:pPr>
        <w:spacing w:after="0" w:line="199" w:lineRule="exact"/>
        <w:rPr>
          <w:rFonts w:ascii="Times New Roman" w:cs="Times New Roman" w:eastAsia="Times New Roman" w:hAnsi="Times New Roman"/>
          <w:sz w:val="14"/>
          <w:szCs w:val="14"/>
          <w:color w:val="auto"/>
        </w:rPr>
      </w:pPr>
    </w:p>
    <w:p>
      <w:pPr>
        <w:ind w:left="1560" w:hanging="390"/>
        <w:spacing w:after="0"/>
        <w:tabs>
          <w:tab w:leader="none" w:pos="1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attending the Annual Meeting, revoking the prior proxy and voting again.</w:t>
      </w:r>
    </w:p>
    <w:p>
      <w:pPr>
        <w:spacing w:after="0" w:line="152" w:lineRule="exact"/>
        <w:rPr>
          <w:sz w:val="20"/>
          <w:szCs w:val="20"/>
          <w:color w:val="auto"/>
        </w:rPr>
      </w:pPr>
    </w:p>
    <w:p>
      <w:pPr>
        <w:jc w:val="both"/>
        <w:ind w:left="400" w:right="100"/>
        <w:spacing w:after="0" w:line="247" w:lineRule="auto"/>
        <w:rPr>
          <w:sz w:val="20"/>
          <w:szCs w:val="20"/>
          <w:color w:val="auto"/>
        </w:rPr>
      </w:pPr>
      <w:r>
        <w:rPr>
          <w:rFonts w:ascii="Times New Roman" w:cs="Times New Roman" w:eastAsia="Times New Roman" w:hAnsi="Times New Roman"/>
          <w:sz w:val="16"/>
          <w:szCs w:val="16"/>
          <w:color w:val="auto"/>
        </w:rPr>
        <w:t>Your most recent proxy card or Internet or telephone proxy is the one that is counted. Your attendance at the Annual Meeting by itself will not revoke your proxy unless you give written notice of revocation to the Corporate Secretary at our corporate offices before your proxy is voted or you vote online during the Annual Meeting.</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10180"/>
          </w:cols>
          <w:pgMar w:left="660" w:top="879" w:right="1060" w:bottom="1440" w:gutter="0" w:footer="0" w:header="0"/>
        </w:sectPr>
      </w:pPr>
    </w:p>
    <w:bookmarkStart w:id="8" w:name="page9"/>
    <w:bookmarkEnd w:id="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80"/>
        <w:spacing w:after="0" w:line="331" w:lineRule="auto"/>
        <w:rPr>
          <w:sz w:val="20"/>
          <w:szCs w:val="20"/>
          <w:color w:val="auto"/>
        </w:rPr>
      </w:pPr>
      <w:r>
        <w:rPr>
          <w:rFonts w:ascii="Times New Roman" w:cs="Times New Roman" w:eastAsia="Times New Roman" w:hAnsi="Times New Roman"/>
          <w:sz w:val="14"/>
          <w:szCs w:val="14"/>
          <w:color w:val="auto"/>
        </w:rPr>
        <w:t>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Who will count the votes?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Corporate Secretary will tabulate and certify the votes.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if I do not specify how my shares are to be voted?</w:t>
      </w:r>
    </w:p>
    <w:p>
      <w:pPr>
        <w:spacing w:after="0" w:line="154" w:lineRule="exact"/>
        <w:rPr>
          <w:sz w:val="20"/>
          <w:szCs w:val="20"/>
          <w:color w:val="auto"/>
        </w:rPr>
      </w:pPr>
    </w:p>
    <w:p>
      <w:pPr>
        <w:jc w:val="both"/>
        <w:ind w:left="400" w:right="280"/>
        <w:spacing w:after="0" w:line="247" w:lineRule="auto"/>
        <w:rPr>
          <w:sz w:val="20"/>
          <w:szCs w:val="20"/>
          <w:color w:val="auto"/>
        </w:rPr>
      </w:pPr>
      <w:r>
        <w:rPr>
          <w:rFonts w:ascii="Times New Roman" w:cs="Times New Roman" w:eastAsia="Times New Roman" w:hAnsi="Times New Roman"/>
          <w:sz w:val="16"/>
          <w:szCs w:val="16"/>
          <w:color w:val="auto"/>
        </w:rPr>
        <w:t>If you submit a proxy but do not indicate any voting instructions, the persons named as proxies will vote in accordance with the recommendations of the Board. The Board’s recommendations are indicated on pages 3-4 of this Proxy Statement, as well as with the description of each proposal in this Proxy Statement.</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Will any other business be conducted at the Annual Meeting?</w:t>
      </w:r>
    </w:p>
    <w:p>
      <w:pPr>
        <w:spacing w:after="0" w:line="154" w:lineRule="exact"/>
        <w:rPr>
          <w:sz w:val="20"/>
          <w:szCs w:val="20"/>
          <w:color w:val="auto"/>
        </w:rPr>
      </w:pPr>
    </w:p>
    <w:p>
      <w:pPr>
        <w:ind w:left="400" w:right="320"/>
        <w:spacing w:after="0" w:line="331" w:lineRule="auto"/>
        <w:rPr>
          <w:sz w:val="20"/>
          <w:szCs w:val="20"/>
          <w:color w:val="auto"/>
        </w:rPr>
      </w:pPr>
      <w:r>
        <w:rPr>
          <w:rFonts w:ascii="Times New Roman" w:cs="Times New Roman" w:eastAsia="Times New Roman" w:hAnsi="Times New Roman"/>
          <w:sz w:val="14"/>
          <w:szCs w:val="14"/>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Why hold a virtual meeting?</w:t>
      </w:r>
    </w:p>
    <w:p>
      <w:pPr>
        <w:spacing w:after="0" w:line="15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We believe the virtual meeting technology provides expanded stockholder access while providing stockholders the same rights and opportunities to participate as they would have at an in-person meeting. A virtual meeting also enables increased stockholder attendance and participation because stockholders can participate from any location around the world. You will be able to attend the Annual Meeting online and submit your questions by visiting www.virtualshareholdermeeting.com/BZAI2025. You also will be able to vote your shares electronically at the Annual Meeting by following the instructions above.</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if during the check-in time or during the Annual Meeting I have technical difficulties or trouble accessing the virtual meeting website?</w:t>
      </w:r>
    </w:p>
    <w:p>
      <w:pPr>
        <w:spacing w:after="0" w:line="154" w:lineRule="exact"/>
        <w:rPr>
          <w:sz w:val="20"/>
          <w:szCs w:val="20"/>
          <w:color w:val="auto"/>
        </w:rPr>
      </w:pPr>
    </w:p>
    <w:p>
      <w:pPr>
        <w:ind w:left="400" w:right="180"/>
        <w:spacing w:after="0" w:line="259" w:lineRule="auto"/>
        <w:rPr>
          <w:sz w:val="20"/>
          <w:szCs w:val="20"/>
          <w:color w:val="auto"/>
        </w:rPr>
      </w:pPr>
      <w:r>
        <w:rPr>
          <w:rFonts w:ascii="Times New Roman" w:cs="Times New Roman" w:eastAsia="Times New Roman" w:hAnsi="Times New Roman"/>
          <w:sz w:val="16"/>
          <w:szCs w:val="16"/>
          <w:color w:val="auto"/>
        </w:rPr>
        <w:t>A technical assistance phone number will be made available to you on the virtual meeting registration page fifteen minutes prior to the start of the Annual Meeting to assist you with any technical difficulties you may have in accessing the virtual meeting website.</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10180"/>
          </w:cols>
          <w:pgMar w:left="660" w:top="879" w:right="1060" w:bottom="1440" w:gutter="0" w:footer="0" w:header="0"/>
        </w:sectPr>
      </w:pPr>
    </w:p>
    <w:bookmarkStart w:id="9" w:name="page10"/>
    <w:bookmarkEnd w:id="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How many votes are required for the approval of the proposals to be voted upon and how will abstentions and brokernon-votes be treated?</w:t>
      </w:r>
    </w:p>
    <w:p>
      <w:pPr>
        <w:spacing w:after="0" w:line="24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Effect of Votes Withheld /</w:t>
      </w:r>
    </w:p>
    <w:p>
      <w:pPr>
        <w:spacing w:after="0" w:line="80" w:lineRule="exact"/>
        <w:rPr>
          <w:sz w:val="20"/>
          <w:szCs w:val="20"/>
          <w:color w:val="auto"/>
        </w:rPr>
      </w:pPr>
    </w:p>
    <w:p>
      <w:pPr>
        <w:ind w:left="4400" w:right="700" w:hanging="6037"/>
        <w:spacing w:after="0" w:line="208" w:lineRule="auto"/>
        <w:tabs>
          <w:tab w:leader="none" w:pos="4380" w:val="left"/>
        </w:tabs>
        <w:rPr>
          <w:sz w:val="20"/>
          <w:szCs w:val="20"/>
          <w:color w:val="auto"/>
        </w:rPr>
      </w:pPr>
      <w:r>
        <w:rPr>
          <w:rFonts w:ascii="Times New Roman" w:cs="Times New Roman" w:eastAsia="Times New Roman" w:hAnsi="Times New Roman"/>
          <w:sz w:val="16"/>
          <w:szCs w:val="16"/>
          <w:b w:val="1"/>
          <w:bCs w:val="1"/>
          <w:color w:val="auto"/>
        </w:rPr>
        <w:t>Proposal</w:t>
      </w:r>
      <w:r>
        <w:rPr>
          <w:sz w:val="20"/>
          <w:szCs w:val="20"/>
          <w:color w:val="auto"/>
        </w:rPr>
        <w:tab/>
      </w:r>
      <w:r>
        <w:rPr>
          <w:rFonts w:ascii="Times New Roman" w:cs="Times New Roman" w:eastAsia="Times New Roman" w:hAnsi="Times New Roman"/>
          <w:sz w:val="16"/>
          <w:szCs w:val="16"/>
          <w:b w:val="1"/>
          <w:bCs w:val="1"/>
          <w:color w:val="auto"/>
        </w:rPr>
        <w:t xml:space="preserve">Vote Required for Approval </w:t>
      </w:r>
      <w:r>
        <w:rPr>
          <w:rFonts w:ascii="Times New Roman" w:cs="Times New Roman" w:eastAsia="Times New Roman" w:hAnsi="Times New Roman"/>
          <w:sz w:val="31"/>
          <w:szCs w:val="31"/>
          <w:b w:val="1"/>
          <w:bCs w:val="1"/>
          <w:color w:val="auto"/>
          <w:vertAlign w:val="superscript"/>
        </w:rPr>
        <w:t>Abstentions and</w:t>
      </w:r>
      <w:r>
        <w:rPr>
          <w:rFonts w:ascii="Times New Roman" w:cs="Times New Roman" w:eastAsia="Times New Roman" w:hAnsi="Times New Roman"/>
          <w:sz w:val="16"/>
          <w:szCs w:val="16"/>
          <w:b w:val="1"/>
          <w:bCs w:val="1"/>
          <w:color w:val="auto"/>
        </w:rPr>
        <w:t xml:space="preserve"> Broker Non-Votes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1905</wp:posOffset>
            </wp:positionV>
            <wp:extent cx="621982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10180"/>
          </w:cols>
          <w:pgMar w:left="660" w:top="879" w:right="1060" w:bottom="1440" w:gutter="0" w:footer="0" w:header="0"/>
        </w:sectPr>
      </w:pPr>
    </w:p>
    <w:p>
      <w:pPr>
        <w:spacing w:after="0" w:line="122" w:lineRule="exact"/>
        <w:rPr>
          <w:sz w:val="20"/>
          <w:szCs w:val="20"/>
          <w:color w:val="auto"/>
        </w:rPr>
      </w:pPr>
    </w:p>
    <w:p>
      <w:pPr>
        <w:ind w:left="400"/>
        <w:spacing w:after="0"/>
        <w:tabs>
          <w:tab w:leader="none" w:pos="3700" w:val="left"/>
        </w:tabs>
        <w:rPr>
          <w:sz w:val="20"/>
          <w:szCs w:val="20"/>
          <w:color w:val="auto"/>
        </w:rPr>
      </w:pPr>
      <w:r>
        <w:rPr>
          <w:rFonts w:ascii="Times New Roman" w:cs="Times New Roman" w:eastAsia="Times New Roman" w:hAnsi="Times New Roman"/>
          <w:sz w:val="16"/>
          <w:szCs w:val="16"/>
          <w:u w:val="single" w:color="auto"/>
          <w:color w:val="auto"/>
        </w:rPr>
        <w:t>Proposal 1</w:t>
      </w:r>
      <w:r>
        <w:rPr>
          <w:rFonts w:ascii="Times New Roman" w:cs="Times New Roman" w:eastAsia="Times New Roman" w:hAnsi="Times New Roman"/>
          <w:sz w:val="16"/>
          <w:szCs w:val="16"/>
          <w:color w:val="auto"/>
        </w:rPr>
        <w:t>: Election of Directors</w:t>
      </w:r>
      <w:r>
        <w:rPr>
          <w:sz w:val="20"/>
          <w:szCs w:val="20"/>
          <w:color w:val="auto"/>
        </w:rPr>
        <w:tab/>
      </w:r>
      <w:r>
        <w:rPr>
          <w:rFonts w:ascii="Times New Roman" w:cs="Times New Roman" w:eastAsia="Times New Roman" w:hAnsi="Times New Roman"/>
          <w:sz w:val="14"/>
          <w:szCs w:val="14"/>
          <w:color w:val="auto"/>
        </w:rPr>
        <w:t>The plurality of the votes cast.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Votes withheld and broker non-votes will have no effect.</w:t>
      </w:r>
    </w:p>
    <w:p>
      <w:pPr>
        <w:spacing w:after="0" w:line="71" w:lineRule="exact"/>
        <w:rPr>
          <w:sz w:val="20"/>
          <w:szCs w:val="20"/>
          <w:color w:val="auto"/>
        </w:rPr>
      </w:pPr>
    </w:p>
    <w:p>
      <w:pPr>
        <w:sectPr>
          <w:pgSz w:w="11900" w:h="16840" w:orient="portrait"/>
          <w:cols w:equalWidth="0" w:num="2">
            <w:col w:w="6340" w:space="720"/>
            <w:col w:w="3120"/>
          </w:cols>
          <w:pgMar w:left="660" w:top="879" w:right="1060" w:bottom="1440" w:gutter="0" w:footer="0" w:header="0"/>
          <w:type w:val="continuous"/>
        </w:sectPr>
      </w:pPr>
    </w:p>
    <w:p>
      <w:pPr>
        <w:ind w:left="400"/>
        <w:spacing w:after="0" w:line="331" w:lineRule="auto"/>
        <w:rPr>
          <w:sz w:val="20"/>
          <w:szCs w:val="20"/>
          <w:color w:val="auto"/>
        </w:rPr>
      </w:pPr>
      <w:r>
        <w:rPr>
          <w:rFonts w:ascii="Times New Roman" w:cs="Times New Roman" w:eastAsia="Times New Roman" w:hAnsi="Times New Roman"/>
          <w:sz w:val="14"/>
          <w:szCs w:val="14"/>
          <w:u w:val="single" w:color="auto"/>
          <w:color w:val="auto"/>
        </w:rPr>
        <w:t>Proposal 2</w:t>
      </w:r>
      <w:r>
        <w:rPr>
          <w:rFonts w:ascii="Times New Roman" w:cs="Times New Roman" w:eastAsia="Times New Roman" w:hAnsi="Times New Roman"/>
          <w:sz w:val="14"/>
          <w:szCs w:val="14"/>
          <w:color w:val="auto"/>
        </w:rPr>
        <w:t>: Amendment to the Company’s Third Amended and Restated Certificate of Incorporation</w:t>
      </w:r>
    </w:p>
    <w:p>
      <w:pPr>
        <w:spacing w:after="0" w:line="192" w:lineRule="exact"/>
        <w:rPr>
          <w:sz w:val="20"/>
          <w:szCs w:val="20"/>
          <w:color w:val="auto"/>
        </w:rPr>
      </w:pPr>
    </w:p>
    <w:p>
      <w:pPr>
        <w:ind w:left="400" w:right="180"/>
        <w:spacing w:after="0" w:line="331" w:lineRule="auto"/>
        <w:rPr>
          <w:sz w:val="20"/>
          <w:szCs w:val="20"/>
          <w:color w:val="auto"/>
        </w:rPr>
      </w:pPr>
      <w:r>
        <w:rPr>
          <w:rFonts w:ascii="Times New Roman" w:cs="Times New Roman" w:eastAsia="Times New Roman" w:hAnsi="Times New Roman"/>
          <w:sz w:val="14"/>
          <w:szCs w:val="14"/>
          <w:u w:val="single" w:color="auto"/>
          <w:color w:val="auto"/>
        </w:rPr>
        <w:t>Proposal 3</w:t>
      </w:r>
      <w:r>
        <w:rPr>
          <w:rFonts w:ascii="Times New Roman" w:cs="Times New Roman" w:eastAsia="Times New Roman" w:hAnsi="Times New Roman"/>
          <w:sz w:val="14"/>
          <w:szCs w:val="14"/>
          <w:color w:val="auto"/>
        </w:rPr>
        <w:t>: Ratification of Appointment of Independent Registered Public Accounting Firm</w:t>
      </w:r>
    </w:p>
    <w:p>
      <w:pPr>
        <w:spacing w:after="0" w:line="20" w:lineRule="exact"/>
        <w:rPr>
          <w:sz w:val="20"/>
          <w:szCs w:val="20"/>
          <w:color w:val="auto"/>
        </w:rPr>
      </w:pPr>
      <w:r>
        <w:rPr>
          <w:sz w:val="20"/>
          <w:szCs w:val="20"/>
          <w:color w:val="auto"/>
        </w:rPr>
        <w:br w:type="column"/>
      </w:r>
    </w:p>
    <w:p>
      <w:pPr>
        <w:ind w:right="240"/>
        <w:spacing w:after="0" w:line="247" w:lineRule="auto"/>
        <w:rPr>
          <w:sz w:val="20"/>
          <w:szCs w:val="20"/>
          <w:color w:val="auto"/>
        </w:rPr>
      </w:pPr>
      <w:r>
        <w:rPr>
          <w:rFonts w:ascii="Times New Roman" w:cs="Times New Roman" w:eastAsia="Times New Roman" w:hAnsi="Times New Roman"/>
          <w:sz w:val="16"/>
          <w:szCs w:val="16"/>
          <w:color w:val="auto"/>
        </w:rPr>
        <w:t>The affirmative vote of two-thirds of the voting power of all of the outstanding shares of our common stock entitled to vote thereon.</w:t>
      </w:r>
    </w:p>
    <w:p>
      <w:pPr>
        <w:spacing w:after="0" w:line="6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affirmative vote of the holders of a majority in voting power of the votes cast by the holders of all of the shares of capital stock present or represented at the meeting and voting affirmatively or negatively on such matter.</w:t>
      </w:r>
    </w:p>
    <w:p>
      <w:pPr>
        <w:spacing w:after="0" w:line="20" w:lineRule="exact"/>
        <w:rPr>
          <w:sz w:val="20"/>
          <w:szCs w:val="20"/>
          <w:color w:val="auto"/>
        </w:rPr>
      </w:pPr>
      <w:r>
        <w:rPr>
          <w:sz w:val="20"/>
          <w:szCs w:val="20"/>
          <w:color w:val="auto"/>
        </w:rPr>
        <w:br w:type="column"/>
      </w:r>
    </w:p>
    <w:p>
      <w:pPr>
        <w:ind w:right="180"/>
        <w:spacing w:after="0" w:line="331" w:lineRule="auto"/>
        <w:rPr>
          <w:sz w:val="20"/>
          <w:szCs w:val="20"/>
          <w:color w:val="auto"/>
        </w:rPr>
      </w:pPr>
      <w:r>
        <w:rPr>
          <w:rFonts w:ascii="Times New Roman" w:cs="Times New Roman" w:eastAsia="Times New Roman" w:hAnsi="Times New Roman"/>
          <w:sz w:val="14"/>
          <w:szCs w:val="14"/>
          <w:color w:val="auto"/>
        </w:rPr>
        <w:t>Abstentions and broker non-votes will have the same effect as a vote against this proposal.</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Abstentions will have no effect. We do not expect any broker non-votes on this proposal, however they would have no effect under the applicable voting standard.</w:t>
      </w:r>
    </w:p>
    <w:p>
      <w:pPr>
        <w:spacing w:after="0" w:line="345" w:lineRule="exact"/>
        <w:rPr>
          <w:sz w:val="20"/>
          <w:szCs w:val="20"/>
          <w:color w:val="auto"/>
        </w:rPr>
      </w:pPr>
    </w:p>
    <w:p>
      <w:pPr>
        <w:sectPr>
          <w:pgSz w:w="11900" w:h="16840" w:orient="portrait"/>
          <w:cols w:equalWidth="0" w:num="3">
            <w:col w:w="3600" w:space="120"/>
            <w:col w:w="3200" w:space="140"/>
            <w:col w:w="3120"/>
          </w:cols>
          <w:pgMar w:left="660" w:top="879" w:right="1060"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is a “vote withheld” and an “abstention” and how will votes withheld and abstentions be treated?</w:t>
      </w:r>
    </w:p>
    <w:p>
      <w:pPr>
        <w:spacing w:after="0" w:line="154" w:lineRule="exact"/>
        <w:rPr>
          <w:sz w:val="20"/>
          <w:szCs w:val="20"/>
          <w:color w:val="auto"/>
        </w:rPr>
      </w:pPr>
    </w:p>
    <w:p>
      <w:pPr>
        <w:ind w:left="400" w:right="20"/>
        <w:spacing w:after="0" w:line="243" w:lineRule="auto"/>
        <w:rPr>
          <w:sz w:val="20"/>
          <w:szCs w:val="20"/>
          <w:color w:val="auto"/>
        </w:rPr>
      </w:pPr>
      <w:r>
        <w:rPr>
          <w:rFonts w:ascii="Times New Roman" w:cs="Times New Roman" w:eastAsia="Times New Roman" w:hAnsi="Times New Roman"/>
          <w:sz w:val="16"/>
          <w:szCs w:val="16"/>
          <w:color w:val="auto"/>
        </w:rPr>
        <w:t>A “vote withheld,” in the case of the proposal regarding the election of directors, or an “abstention,” in the case of the other proposals before the Annual Meeting, represents a stockholder’s affirmative choice to decline to vote on a proposal. Votes withheld and abstentions are counted as present and entitled to vote for purposes of determining a quorum. Votes withheld have no effect on the election of directors. Abstentions have the effects described above on the other proposals before the Annual Meeting.</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What are broker non-votes and do they count for determining a quorum?</w:t>
      </w:r>
    </w:p>
    <w:p>
      <w:pPr>
        <w:spacing w:after="0" w:line="154"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Generally, broker non- 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UHY LLP as our independent registered public accounting firm for the fiscal year ending December 31, 2025,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Where can I find the voting results of the Annual Meeting?</w:t>
      </w:r>
    </w:p>
    <w:p>
      <w:pPr>
        <w:spacing w:after="0" w:line="154" w:lineRule="exact"/>
        <w:rPr>
          <w:sz w:val="20"/>
          <w:szCs w:val="20"/>
          <w:color w:val="auto"/>
        </w:rPr>
      </w:pPr>
    </w:p>
    <w:p>
      <w:pPr>
        <w:ind w:left="400" w:right="440"/>
        <w:spacing w:after="0" w:line="259" w:lineRule="auto"/>
        <w:rPr>
          <w:sz w:val="20"/>
          <w:szCs w:val="20"/>
          <w:color w:val="auto"/>
        </w:rPr>
      </w:pPr>
      <w:r>
        <w:rPr>
          <w:rFonts w:ascii="Times New Roman" w:cs="Times New Roman" w:eastAsia="Times New Roman" w:hAnsi="Times New Roman"/>
          <w:sz w:val="16"/>
          <w:szCs w:val="16"/>
          <w:color w:val="auto"/>
        </w:rPr>
        <w:t>We plan to announce preliminary voting results at the Annual Meeting, and we will report the final results in a Current Report on Form8-K, which we intend to file with the SEC after the Annual Meeting.</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10180"/>
          </w:cols>
          <w:pgMar w:left="660" w:top="879" w:right="1060" w:bottom="1440" w:gutter="0" w:footer="0" w:header="0"/>
          <w:type w:val="continuous"/>
        </w:sectPr>
      </w:pPr>
    </w:p>
    <w:bookmarkStart w:id="10" w:name="page11"/>
    <w:bookmarkEnd w:id="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PROPOSALS TO BE VOTED ON</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Proposal 1: Election of Directors</w:t>
      </w:r>
    </w:p>
    <w:p>
      <w:pPr>
        <w:spacing w:after="0" w:line="154" w:lineRule="exact"/>
        <w:rPr>
          <w:sz w:val="20"/>
          <w:szCs w:val="20"/>
          <w:color w:val="auto"/>
        </w:rPr>
      </w:pPr>
    </w:p>
    <w:p>
      <w:pPr>
        <w:ind w:left="400" w:right="700"/>
        <w:spacing w:after="0" w:line="259" w:lineRule="auto"/>
        <w:rPr>
          <w:sz w:val="20"/>
          <w:szCs w:val="20"/>
          <w:color w:val="auto"/>
        </w:rPr>
      </w:pPr>
      <w:r>
        <w:rPr>
          <w:rFonts w:ascii="Times New Roman" w:cs="Times New Roman" w:eastAsia="Times New Roman" w:hAnsi="Times New Roman"/>
          <w:sz w:val="16"/>
          <w:szCs w:val="16"/>
          <w:color w:val="auto"/>
        </w:rPr>
        <w:t>At the Annual Meeting, the Board has nominated all seven of the current directors to bere-elected to hold office until the 2026 Annual Meeting of Stockholders, and until their respective successors have been duly elected and qualified.</w:t>
      </w:r>
    </w:p>
    <w:p>
      <w:pPr>
        <w:spacing w:after="0" w:line="119" w:lineRule="exact"/>
        <w:rPr>
          <w:sz w:val="20"/>
          <w:szCs w:val="20"/>
          <w:color w:val="auto"/>
        </w:rPr>
      </w:pPr>
    </w:p>
    <w:p>
      <w:pPr>
        <w:jc w:val="both"/>
        <w:ind w:left="400" w:right="240"/>
        <w:spacing w:after="0" w:line="247" w:lineRule="auto"/>
        <w:rPr>
          <w:sz w:val="20"/>
          <w:szCs w:val="20"/>
          <w:color w:val="auto"/>
        </w:rPr>
      </w:pPr>
      <w:r>
        <w:rPr>
          <w:rFonts w:ascii="Times New Roman" w:cs="Times New Roman" w:eastAsia="Times New Roman" w:hAnsi="Times New Roman"/>
          <w:sz w:val="16"/>
          <w:szCs w:val="16"/>
          <w:color w:val="auto"/>
        </w:rPr>
        <w:t>We currently have seven directors on our Board. Our current directors are Lane M. Bess, Anthony Cannestra, Edward Frank, Yoshiaki Fujimori, Juergen Hambrecht, Dinakar Munagala and George de Urioste. The Board has nominated Lane M. Bess, Anthony Cannestra, Edward Frank, Yoshiaki Fujimori, Juergen Hambrecht, Dinakar Munagala and George de Urioste for re-election as directors at the Annual Meeting.</w:t>
      </w:r>
    </w:p>
    <w:p>
      <w:pPr>
        <w:spacing w:after="0" w:line="128" w:lineRule="exact"/>
        <w:rPr>
          <w:sz w:val="20"/>
          <w:szCs w:val="20"/>
          <w:color w:val="auto"/>
        </w:rPr>
      </w:pPr>
    </w:p>
    <w:p>
      <w:pPr>
        <w:ind w:left="400" w:right="400"/>
        <w:spacing w:after="0" w:line="247" w:lineRule="auto"/>
        <w:rPr>
          <w:sz w:val="20"/>
          <w:szCs w:val="20"/>
          <w:color w:val="auto"/>
        </w:rPr>
      </w:pPr>
      <w:r>
        <w:rPr>
          <w:rFonts w:ascii="Times New Roman" w:cs="Times New Roman" w:eastAsia="Times New Roman" w:hAnsi="Times New Roman"/>
          <w:sz w:val="16"/>
          <w:szCs w:val="16"/>
          <w:color w:val="auto"/>
        </w:rPr>
        <w:t>The proposal regarding the election of directors requires the approval of a plurality of the votes cast. This means that the seven nominees receiving the highest number of affirmative “FOR” votes will be elected as directors. Votes withheld and broker non-votes are not considered to be votes cast and, accordingly, will have no effect on the outcome of the vote on this proposal.</w:t>
      </w:r>
    </w:p>
    <w:p>
      <w:pPr>
        <w:spacing w:after="0" w:line="128" w:lineRule="exact"/>
        <w:rPr>
          <w:sz w:val="20"/>
          <w:szCs w:val="20"/>
          <w:color w:val="auto"/>
        </w:rPr>
      </w:pPr>
    </w:p>
    <w:p>
      <w:pPr>
        <w:jc w:val="both"/>
        <w:ind w:left="400" w:right="140"/>
        <w:spacing w:after="0" w:line="247" w:lineRule="auto"/>
        <w:rPr>
          <w:sz w:val="20"/>
          <w:szCs w:val="20"/>
          <w:color w:val="auto"/>
        </w:rPr>
      </w:pPr>
      <w:r>
        <w:rPr>
          <w:rFonts w:ascii="Times New Roman" w:cs="Times New Roman" w:eastAsia="Times New Roman" w:hAnsi="Times New Roman"/>
          <w:sz w:val="16"/>
          <w:szCs w:val="16"/>
          <w:color w:val="auto"/>
        </w:rPr>
        <w:t>As set forth in our third amended and restated certificate of incorporation (the “Certificate of Incorporation”), each of the director nominees listed below is being nominated to hold office for a one -year term beginning at the end of the Annual Meeting to be held on December 3, 2025, and expiring at the end of our next annual meeting of stockholders for 2026.</w:t>
      </w:r>
    </w:p>
    <w:p>
      <w:pPr>
        <w:spacing w:after="0" w:line="128"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If you submit a proxy but do not indicate any voting instructions, the persons named as proxies will vote the shares of common stock represented thereby for the election as directors of the persons whose names and biographies appear below. In the event that Lane M. Bess, Anthony Cannestra, Edward Frank, Yoshiaki Fujimori, Juergen Hambrecht, Dinakar Munagala and George de Urioste should become unable to serve, or for good cause will not serve, as a director, it is intended that votes will be cast for a substitute nominee designated by the Board, or the Board may elect to reduce its size in accordance with our Certificate of Incorporation and Amended and Restated Bylaws. The Board has no reason to believe that Lane M. Bess, Anthony Cannestra, Edward Frank, Yoshiaki Fujimori, Juergen Hambrecht, Dinakar Munagala and George de Urioste will be unable to serve if elected. Each of Lane M. Bess, Anthony Cannestra, Edward Frank, Yoshiaki Fujimori, Juergen Hambrecht, Dinakar Munagala and George de Urioste has consented to being named in this Proxy Statement and to serve if elected.</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154" w:lineRule="exact"/>
        <w:rPr>
          <w:sz w:val="20"/>
          <w:szCs w:val="20"/>
          <w:color w:val="auto"/>
        </w:rPr>
      </w:pPr>
    </w:p>
    <w:p>
      <w:pPr>
        <w:ind w:left="400" w:right="400"/>
        <w:spacing w:after="0" w:line="259" w:lineRule="auto"/>
        <w:rPr>
          <w:sz w:val="20"/>
          <w:szCs w:val="20"/>
          <w:color w:val="auto"/>
        </w:rPr>
      </w:pPr>
      <w:r>
        <w:rPr>
          <w:rFonts w:ascii="Times New Roman" w:cs="Times New Roman" w:eastAsia="Times New Roman" w:hAnsi="Times New Roman"/>
          <w:sz w:val="16"/>
          <w:szCs w:val="16"/>
          <w:color w:val="auto"/>
        </w:rPr>
        <w:t>The proposal regarding the election of directors requires the approval of a plurality of the votes cast. This means that the seven nominees receiving the highest number of affirmative “FOR” votes will be elected as directors.</w:t>
      </w:r>
    </w:p>
    <w:p>
      <w:pPr>
        <w:spacing w:after="0" w:line="119" w:lineRule="exact"/>
        <w:rPr>
          <w:sz w:val="20"/>
          <w:szCs w:val="20"/>
          <w:color w:val="auto"/>
        </w:rPr>
      </w:pPr>
    </w:p>
    <w:p>
      <w:pPr>
        <w:ind w:left="400" w:right="220"/>
        <w:spacing w:after="0" w:line="463" w:lineRule="auto"/>
        <w:rPr>
          <w:sz w:val="20"/>
          <w:szCs w:val="20"/>
          <w:color w:val="auto"/>
        </w:rPr>
      </w:pPr>
      <w:r>
        <w:rPr>
          <w:rFonts w:ascii="Times New Roman" w:cs="Times New Roman" w:eastAsia="Times New Roman" w:hAnsi="Times New Roman"/>
          <w:sz w:val="16"/>
          <w:szCs w:val="16"/>
          <w:color w:val="auto"/>
        </w:rPr>
        <w:t xml:space="preserve">Votes withheld and broker non-votes are not considered to be votes cast and, accordingly, will have no effect on the outcome of the vote on this proposal. </w:t>
      </w:r>
      <w:r>
        <w:rPr>
          <w:rFonts w:ascii="Times New Roman" w:cs="Times New Roman" w:eastAsia="Times New Roman" w:hAnsi="Times New Roman"/>
          <w:sz w:val="16"/>
          <w:szCs w:val="16"/>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29845</wp:posOffset>
            </wp:positionV>
            <wp:extent cx="228600" cy="213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600" cy="2133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The Board unanimously recommends a vote FOR the election of each of the below director nominees.</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10180"/>
          </w:cols>
          <w:pgMar w:left="660" w:top="879" w:right="106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Nominees For Director (terms to expire at the 2026 Annual Meeting)</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current members of the Board who are also nominees for election to the Board as directors are as follows:</w:t>
      </w: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Served as a</w:t>
            </w:r>
          </w:p>
        </w:tc>
        <w:tc>
          <w:tcPr>
            <w:tcW w:w="10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65"/>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Director Since</w:t>
            </w:r>
          </w:p>
        </w:tc>
        <w:tc>
          <w:tcPr>
            <w:tcW w:w="100" w:type="dxa"/>
            <w:vAlign w:val="bottom"/>
          </w:tcPr>
          <w:p>
            <w:pPr>
              <w:spacing w:after="0"/>
              <w:rPr>
                <w:sz w:val="23"/>
                <w:szCs w:val="23"/>
                <w:color w:val="auto"/>
              </w:rPr>
            </w:pPr>
          </w:p>
        </w:tc>
        <w:tc>
          <w:tcPr>
            <w:tcW w:w="51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 with Blaize</w:t>
            </w:r>
          </w:p>
        </w:tc>
      </w:tr>
      <w:tr>
        <w:trPr>
          <w:trHeight w:val="231"/>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Dinakar Munagala</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Lane M. Bess</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Tony Cannestra</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Edward Frank</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Yoshiaki Fujimori</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Juergen Hambrecht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George de Urioste</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2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69" w:lineRule="exact"/>
        <w:rPr>
          <w:sz w:val="20"/>
          <w:szCs w:val="20"/>
          <w:color w:val="auto"/>
        </w:rPr>
      </w:pPr>
    </w:p>
    <w:p>
      <w:pPr>
        <w:ind w:left="400" w:right="500"/>
        <w:spacing w:after="0" w:line="259" w:lineRule="auto"/>
        <w:rPr>
          <w:sz w:val="20"/>
          <w:szCs w:val="20"/>
          <w:color w:val="auto"/>
        </w:rPr>
      </w:pPr>
      <w:r>
        <w:rPr>
          <w:rFonts w:ascii="Times New Roman" w:cs="Times New Roman" w:eastAsia="Times New Roman" w:hAnsi="Times New Roman"/>
          <w:sz w:val="16"/>
          <w:szCs w:val="16"/>
          <w:color w:val="auto"/>
        </w:rPr>
        <w:t>The principal occupations and business experience, for at least the past five years, of each director nominee for election at the Annual Meeting are as follows: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Dinakar Munagala</w:t>
      </w:r>
    </w:p>
    <w:p>
      <w:pPr>
        <w:spacing w:after="0" w:line="156" w:lineRule="exact"/>
        <w:rPr>
          <w:sz w:val="20"/>
          <w:szCs w:val="20"/>
          <w:color w:val="auto"/>
        </w:rPr>
      </w:pPr>
    </w:p>
    <w:p>
      <w:pPr>
        <w:ind w:left="400" w:right="260"/>
        <w:spacing w:after="0" w:line="239" w:lineRule="auto"/>
        <w:rPr>
          <w:sz w:val="20"/>
          <w:szCs w:val="20"/>
          <w:color w:val="auto"/>
        </w:rPr>
      </w:pPr>
      <w:r>
        <w:rPr>
          <w:rFonts w:ascii="Times New Roman" w:cs="Times New Roman" w:eastAsia="Times New Roman" w:hAnsi="Times New Roman"/>
          <w:sz w:val="16"/>
          <w:szCs w:val="16"/>
          <w:color w:val="auto"/>
        </w:rPr>
        <w:t>Dinakar Munagala, 50, has served as our Chief Executive Officer and Director since January 2025, and as aco-founder of Legacy Blaize, he previously served as our Chief Executive Officer and a member of the board of directors of Legacy Blaize since our inception in January 2010. Prior to that, Mr. Munagala served in a leadership role in the Graphics Division of Intel Corporation. Mr. Munagala holds a Bachelor of Science in Electrical and Computer Engineering from Osmania University and a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Lane M. Bess</w:t>
      </w:r>
    </w:p>
    <w:p>
      <w:pPr>
        <w:spacing w:after="0" w:line="156"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Lane Bess, 64,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and the President and Chief Executive Officer of Palo Alto Networks, a provider of AI-powered platforms for cybersecurity. Previously, Mr. Bess has served as a member of the board of directors of several private companies, including TrueFort Inc., Sepio Cyber and ZeroFox. Mr. Bess received a Bachelor of Science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Tony Cannestra</w:t>
      </w:r>
    </w:p>
    <w:p>
      <w:pPr>
        <w:spacing w:after="0" w:line="156"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Tony Cannestra, 61,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startup company. Previously, from September 2024 to May 2025, Mr. Cannestra served on the board of directors of Canatu, a public company based in Finland. Mr. Cannestra has also previously served on the board of directors of several private companies, including Metawave,</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10180"/>
          </w:cols>
          <w:pgMar w:left="660" w:top="879" w:right="106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20"/>
        <w:spacing w:after="0" w:line="243" w:lineRule="auto"/>
        <w:rPr>
          <w:sz w:val="20"/>
          <w:szCs w:val="20"/>
          <w:color w:val="auto"/>
        </w:rPr>
      </w:pPr>
      <w:r>
        <w:rPr>
          <w:rFonts w:ascii="Times New Roman" w:cs="Times New Roman" w:eastAsia="Times New Roman" w:hAnsi="Times New Roman"/>
          <w:sz w:val="16"/>
          <w:szCs w:val="16"/>
          <w:color w:val="auto"/>
        </w:rPr>
        <w:t>Quadric, BOND Mobility, and Lambda4. Mr. Cannestra received a Bachelor of Arts in International Economics from the University of California at Berkeley and a Master’s Degree in Business Administration, with a Certificate in Management of Technology, from the University of California at Berkeley. We believe that Mr. Cannestra is qualified to serve as a member of our board of directors due to his education, his extensive financial experience as an investor, and his previous roles as a board director of companies in the technology, semiconductor, and automotive industries.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Dr. Edward (Ed) Frank</w:t>
      </w:r>
    </w:p>
    <w:p>
      <w:pPr>
        <w:spacing w:after="0" w:line="156" w:lineRule="exact"/>
        <w:rPr>
          <w:sz w:val="20"/>
          <w:szCs w:val="20"/>
          <w:color w:val="auto"/>
        </w:rPr>
      </w:pPr>
    </w:p>
    <w:p>
      <w:pPr>
        <w:ind w:left="400" w:right="20"/>
        <w:spacing w:after="0" w:line="275" w:lineRule="auto"/>
        <w:rPr>
          <w:sz w:val="20"/>
          <w:szCs w:val="20"/>
          <w:color w:val="auto"/>
        </w:rPr>
      </w:pPr>
      <w:r>
        <w:rPr>
          <w:rFonts w:ascii="Times New Roman" w:cs="Times New Roman" w:eastAsia="Times New Roman" w:hAnsi="Times New Roman"/>
          <w:sz w:val="14"/>
          <w:szCs w:val="14"/>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since October 2019, and a member of the board of directors of Rocket Lab, since September 2022. In addition, he has served on the board of directors of Analog Devices and SiTime since June 2014 and September 2019, respectively. Previously, Dr. Frank served on the board of directors of Cavium, FusionIO, Marvell, and Quantenna and prior to Gradient Technologies, he was co-founder and CEO of Cloud Parity Inc., a voice-of-the-customer startup in the San Francisco Bay Area, founded in late 2013. Dr. Frank is also a named inventor on over 50 issued patents and serves as an advisor to and/or board member of several startups. Dr. Frank holds a Bachelor of Science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Yoshiaki Fujimori</w:t>
      </w:r>
    </w:p>
    <w:p>
      <w:pPr>
        <w:spacing w:after="0" w:line="156" w:lineRule="exact"/>
        <w:rPr>
          <w:sz w:val="20"/>
          <w:szCs w:val="20"/>
          <w:color w:val="auto"/>
        </w:rPr>
      </w:pPr>
    </w:p>
    <w:p>
      <w:pPr>
        <w:ind w:left="400"/>
        <w:spacing w:after="0" w:line="273" w:lineRule="auto"/>
        <w:rPr>
          <w:sz w:val="20"/>
          <w:szCs w:val="20"/>
          <w:color w:val="auto"/>
        </w:rPr>
      </w:pPr>
      <w:r>
        <w:rPr>
          <w:rFonts w:ascii="Times New Roman" w:cs="Times New Roman" w:eastAsia="Times New Roman" w:hAnsi="Times New Roman"/>
          <w:sz w:val="14"/>
          <w:szCs w:val="14"/>
          <w:color w:val="auto"/>
        </w:rPr>
        <w:t>Yoshiaki Fujimori, 74,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Sogo Medical Co. Ltd. and Macromill Group Co., Ltd. He also serves as a Senior Executive Advisor for GENPACT Japan Ltd. since January 2018. He serves as a Senior Advisor for Deloitte-Tohmatsu Financial Advisory LLC since October 2020. He serves as a Senior Executive Advisor for DigitalBridge Group Inc. since September 2024 and as an outside director of JTower, a portfolio company of DigitalBridge since April 2025. He owns controlling ownership of those private companies including Hobart Inc., Capital Z Inc., Future Leadership Platform Inc., and Sustainergy Inc. From 2011 to 2016, he was the President and CEO of LIXIL Group Company, a public company listed on the Tokyo Stock Exchange.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in Petroleum Engineering from the University of Tokyo and a Master’s Degree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Dr. Juergen Hambrecht</w:t>
      </w:r>
    </w:p>
    <w:p>
      <w:pPr>
        <w:spacing w:after="0" w:line="156" w:lineRule="exact"/>
        <w:rPr>
          <w:sz w:val="20"/>
          <w:szCs w:val="20"/>
          <w:color w:val="auto"/>
        </w:rPr>
      </w:pPr>
    </w:p>
    <w:p>
      <w:pPr>
        <w:ind w:left="400" w:right="300"/>
        <w:spacing w:after="0" w:line="239" w:lineRule="auto"/>
        <w:rPr>
          <w:sz w:val="20"/>
          <w:szCs w:val="20"/>
          <w:color w:val="auto"/>
        </w:rPr>
      </w:pPr>
      <w:r>
        <w:rPr>
          <w:rFonts w:ascii="Times New Roman" w:cs="Times New Roman" w:eastAsia="Times New Roman" w:hAnsi="Times New Roman"/>
          <w:sz w:val="16"/>
          <w:szCs w:val="16"/>
          <w:color w:val="auto"/>
        </w:rPr>
        <w:t>Dr. Juergen Hambrecht, 79,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June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10200"/>
          </w:cols>
          <w:pgMar w:left="660" w:top="879" w:right="104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320"/>
        <w:spacing w:after="0" w:line="331" w:lineRule="auto"/>
        <w:rPr>
          <w:sz w:val="20"/>
          <w:szCs w:val="20"/>
          <w:color w:val="auto"/>
        </w:rPr>
      </w:pPr>
      <w:r>
        <w:rPr>
          <w:rFonts w:ascii="Times New Roman" w:cs="Times New Roman" w:eastAsia="Times New Roman" w:hAnsi="Times New Roman"/>
          <w:sz w:val="14"/>
          <w:szCs w:val="14"/>
          <w:color w:val="auto"/>
        </w:rPr>
        <w:t>manufacturers. Dr. Hambrecht received a Ph.D.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George de Urioste</w:t>
      </w:r>
    </w:p>
    <w:p>
      <w:pPr>
        <w:spacing w:after="0" w:line="156" w:lineRule="exact"/>
        <w:rPr>
          <w:sz w:val="20"/>
          <w:szCs w:val="20"/>
          <w:color w:val="auto"/>
        </w:rPr>
      </w:pPr>
    </w:p>
    <w:p>
      <w:pPr>
        <w:ind w:left="400" w:right="100"/>
        <w:spacing w:after="0" w:line="276" w:lineRule="auto"/>
        <w:rPr>
          <w:sz w:val="20"/>
          <w:szCs w:val="20"/>
          <w:color w:val="auto"/>
        </w:rPr>
      </w:pPr>
      <w:r>
        <w:rPr>
          <w:rFonts w:ascii="Times New Roman" w:cs="Times New Roman" w:eastAsia="Times New Roman" w:hAnsi="Times New Roman"/>
          <w:sz w:val="14"/>
          <w:szCs w:val="14"/>
          <w:color w:val="auto"/>
        </w:rPr>
        <w:t>George de Urioste, 70,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Master’s Degree in Business Administration, Finance &amp; International Business, from the University of California at Berkeley and is a Certified Public Accountant (inactive) .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Proposal 2: Amendment to the Company’s Third Amended and Restated Certificate of Incorporation</w:t>
      </w:r>
    </w:p>
    <w:p>
      <w:pPr>
        <w:spacing w:after="0" w:line="154" w:lineRule="exact"/>
        <w:rPr>
          <w:sz w:val="20"/>
          <w:szCs w:val="20"/>
          <w:color w:val="auto"/>
        </w:rPr>
      </w:pPr>
    </w:p>
    <w:p>
      <w:pPr>
        <w:ind w:left="400"/>
        <w:spacing w:after="0" w:line="243" w:lineRule="auto"/>
        <w:rPr>
          <w:sz w:val="20"/>
          <w:szCs w:val="20"/>
          <w:color w:val="auto"/>
        </w:rPr>
      </w:pPr>
      <w:r>
        <w:rPr>
          <w:rFonts w:ascii="Times New Roman" w:cs="Times New Roman" w:eastAsia="Times New Roman" w:hAnsi="Times New Roman"/>
          <w:sz w:val="16"/>
          <w:szCs w:val="16"/>
          <w:color w:val="auto"/>
        </w:rPr>
        <w:t xml:space="preserve">In September 29, 2025, the Board approved and declared advisable an amendment (the “Amendment”) to our Third Amended and Restated Certificate of Incorporation to provide for the removal of directors in a manner consistent with Section 141(k)(1) of the DGCL. We are asking stockholders to approve this amendment, as set forth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to this proxy statement, with proposed additions reflected by bold with “</w:t>
      </w:r>
      <w:r>
        <w:rPr>
          <w:rFonts w:ascii="Times New Roman" w:cs="Times New Roman" w:eastAsia="Times New Roman" w:hAnsi="Times New Roman"/>
          <w:sz w:val="16"/>
          <w:szCs w:val="16"/>
          <w:b w:val="1"/>
          <w:bCs w:val="1"/>
          <w:u w:val="single" w:color="auto"/>
          <w:color w:val="auto"/>
        </w:rPr>
        <w:t>underline</w:t>
      </w:r>
      <w:r>
        <w:rPr>
          <w:rFonts w:ascii="Times New Roman" w:cs="Times New Roman" w:eastAsia="Times New Roman" w:hAnsi="Times New Roman"/>
          <w:sz w:val="16"/>
          <w:szCs w:val="16"/>
          <w:color w:val="auto"/>
        </w:rPr>
        <w:t>” text and deletions reflected by “</w:t>
      </w:r>
      <w:r>
        <w:rPr>
          <w:rFonts w:ascii="Times New Roman" w:cs="Times New Roman" w:eastAsia="Times New Roman" w:hAnsi="Times New Roman"/>
          <w:sz w:val="16"/>
          <w:szCs w:val="16"/>
          <w:color w:val="auto"/>
          <w:strike w:val="1"/>
        </w:rPr>
        <w:t>stricken</w:t>
      </w:r>
      <w:r>
        <w:rPr>
          <w:rFonts w:ascii="Times New Roman" w:cs="Times New Roman" w:eastAsia="Times New Roman" w:hAnsi="Times New Roman"/>
          <w:sz w:val="16"/>
          <w:szCs w:val="16"/>
          <w:color w:val="auto"/>
        </w:rPr>
        <w:t>” text.</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54" w:lineRule="exact"/>
        <w:rPr>
          <w:sz w:val="20"/>
          <w:szCs w:val="20"/>
          <w:color w:val="auto"/>
        </w:rPr>
      </w:pPr>
    </w:p>
    <w:p>
      <w:pPr>
        <w:ind w:left="400" w:right="120"/>
        <w:spacing w:after="0" w:line="280" w:lineRule="auto"/>
        <w:rPr>
          <w:sz w:val="20"/>
          <w:szCs w:val="20"/>
          <w:color w:val="auto"/>
        </w:rPr>
      </w:pPr>
      <w:r>
        <w:rPr>
          <w:rFonts w:ascii="Times New Roman" w:cs="Times New Roman" w:eastAsia="Times New Roman" w:hAnsi="Times New Roman"/>
          <w:sz w:val="14"/>
          <w:szCs w:val="14"/>
          <w:color w:val="auto"/>
        </w:rPr>
        <w:t>Article V of our Certificate of Incorporation currently provides that directors may be removed from office at any time, but only for cause and only by the affirmative vote of the holders of at least two thirds (66 and 2/3%) of the voting power of all of the then outstanding shares of voting stock of the Company entitled to vote at an election of directors. Our Board has determined that it is advisable and in our and our stockholders’ best interests to amend the Certificate of Incorporation to eliminate this removal requirement such that directors may be removed with or without cause and by a vote of the holders of a majority of the shares then entitled to vote at an election of directors. We believe that this proposed amendment aligns with Section 141(k)(1) of the DGCL and reflects our commitment to good corporate governance. As a result, we recommend and are seeking stockholder approval of this Proposal 2.</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This proposal requires the affirmative vote of two-thirds of the voting power of all of the outstanding shares of our common stock entitled to vote thereon.</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Abstentions and broker non-votes will have the same effect as a vote against this proposal.</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121285</wp:posOffset>
            </wp:positionV>
            <wp:extent cx="228600" cy="213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600" cy="21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1040" w:right="120"/>
        <w:spacing w:after="0" w:line="465" w:lineRule="auto"/>
        <w:rPr>
          <w:sz w:val="20"/>
          <w:szCs w:val="20"/>
          <w:color w:val="auto"/>
        </w:rPr>
      </w:pPr>
      <w:r>
        <w:rPr>
          <w:rFonts w:ascii="Times New Roman" w:cs="Times New Roman" w:eastAsia="Times New Roman" w:hAnsi="Times New Roman"/>
          <w:sz w:val="16"/>
          <w:szCs w:val="16"/>
          <w:b w:val="1"/>
          <w:bCs w:val="1"/>
          <w:color w:val="auto"/>
        </w:rPr>
        <w:t xml:space="preserve">The Board unanimously recommends a vote FOR the Amendment to the Company’s Third Amended and Restated Certificate of Incorporation. </w:t>
      </w:r>
      <w:r>
        <w:rPr>
          <w:rFonts w:ascii="Times New Roman" w:cs="Times New Roman" w:eastAsia="Times New Roman" w:hAnsi="Times New Roman"/>
          <w:sz w:val="16"/>
          <w:szCs w:val="16"/>
          <w:color w:val="auto"/>
        </w:rPr>
        <w:t>11</w:t>
      </w:r>
    </w:p>
    <w:p>
      <w:pPr>
        <w:sectPr>
          <w:pgSz w:w="11900" w:h="16840" w:orient="portrait"/>
          <w:cols w:equalWidth="0" w:num="1">
            <w:col w:w="10200"/>
          </w:cols>
          <w:pgMar w:left="660" w:top="879" w:right="104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Proposal 3: Ratification of Appointment of Independent Registered Public Accounting Firm</w:t>
      </w:r>
    </w:p>
    <w:p>
      <w:pPr>
        <w:spacing w:after="0" w:line="154" w:lineRule="exact"/>
        <w:rPr>
          <w:sz w:val="20"/>
          <w:szCs w:val="20"/>
          <w:color w:val="auto"/>
        </w:rPr>
      </w:pPr>
    </w:p>
    <w:p>
      <w:pPr>
        <w:ind w:left="400" w:right="40"/>
        <w:spacing w:after="0" w:line="243" w:lineRule="auto"/>
        <w:rPr>
          <w:sz w:val="20"/>
          <w:szCs w:val="20"/>
          <w:color w:val="auto"/>
        </w:rPr>
      </w:pPr>
      <w:r>
        <w:rPr>
          <w:rFonts w:ascii="Times New Roman" w:cs="Times New Roman" w:eastAsia="Times New Roman" w:hAnsi="Times New Roman"/>
          <w:sz w:val="16"/>
          <w:szCs w:val="16"/>
          <w:color w:val="auto"/>
        </w:rPr>
        <w:t>The audit committee of the Board (the “Audit Committee”) has appointed UHY LLP as our independent registered public accounting firm for the fiscal year ending December 31, 2025. Our Board has directed that this appointment be submitted to our stockholders for ratification at the Annual Meeting. Although ratification of our appointment of UHY LLP is not required, we value the opinions of our stockholders and believe that stockholder ratification of our appointment is a good corporate governance practice.</w:t>
      </w:r>
    </w:p>
    <w:p>
      <w:pPr>
        <w:spacing w:after="0" w:line="131" w:lineRule="exact"/>
        <w:rPr>
          <w:sz w:val="20"/>
          <w:szCs w:val="20"/>
          <w:color w:val="auto"/>
        </w:rPr>
      </w:pPr>
    </w:p>
    <w:p>
      <w:pPr>
        <w:ind w:left="400" w:right="40"/>
        <w:spacing w:after="0" w:line="247" w:lineRule="auto"/>
        <w:rPr>
          <w:sz w:val="20"/>
          <w:szCs w:val="20"/>
          <w:color w:val="auto"/>
        </w:rPr>
      </w:pPr>
      <w:r>
        <w:rPr>
          <w:rFonts w:ascii="Times New Roman" w:cs="Times New Roman" w:eastAsia="Times New Roman" w:hAnsi="Times New Roman"/>
          <w:sz w:val="16"/>
          <w:szCs w:val="16"/>
          <w:color w:val="auto"/>
        </w:rPr>
        <w:t>UHY LLP has served as our independent registered public accounting firm since January 13, 2025. Neither UHY LLP nor any of its members has any direct or indirect financial interest in or any connection with us in any capacity other than as our auditors, providing audit services. Representatives of UHY LLP are expected to attend the Annual Meeting and to have an opportunity to make a statement if they desire to do so.</w:t>
      </w:r>
    </w:p>
    <w:p>
      <w:pPr>
        <w:spacing w:after="0" w:line="128" w:lineRule="exact"/>
        <w:rPr>
          <w:sz w:val="20"/>
          <w:szCs w:val="20"/>
          <w:color w:val="auto"/>
        </w:rPr>
      </w:pPr>
    </w:p>
    <w:p>
      <w:pPr>
        <w:ind w:left="400" w:right="480"/>
        <w:spacing w:after="0" w:line="247" w:lineRule="auto"/>
        <w:rPr>
          <w:sz w:val="20"/>
          <w:szCs w:val="20"/>
          <w:color w:val="auto"/>
        </w:rPr>
      </w:pPr>
      <w:r>
        <w:rPr>
          <w:rFonts w:ascii="Times New Roman" w:cs="Times New Roman" w:eastAsia="Times New Roman" w:hAnsi="Times New Roman"/>
          <w:sz w:val="16"/>
          <w:szCs w:val="16"/>
          <w:color w:val="auto"/>
        </w:rPr>
        <w:t>In the event that the appointment of UHY LLP is not ratified by the stockholders, the Audit Committee will consider this fact when it appoints the independent auditors for the fiscal year ending December 31, 2026. Even if the appointment of UHY LLP is ratified, the Audit Committee retains the discretion to appoint a different independent auditor at any time if it determines that such a change is in the interest of the Company.</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15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This proposal requires the affirmative vote of the holders of a majority in voting power of the votes cast by the holders of all of the shares of capital stock present or represented at the meeting and voting affirmatively or negatively on such matter. Abstentions are not considered to be votes cast and, accordingly, will have no effect on the outcome of the vote on this proposal. Because brokers have discretionary authority to vote on the ratification of the appointment of UHY LLP, we do not expect any broker non-votes in connection with this proposal; however, broker non-votes will have no effect on the outcome of the vote on this proposal.</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151765</wp:posOffset>
            </wp:positionV>
            <wp:extent cx="228600" cy="213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0" cy="21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040" w:right="340"/>
        <w:spacing w:after="0" w:line="262" w:lineRule="auto"/>
        <w:rPr>
          <w:sz w:val="20"/>
          <w:szCs w:val="20"/>
          <w:color w:val="auto"/>
        </w:rPr>
      </w:pPr>
      <w:r>
        <w:rPr>
          <w:rFonts w:ascii="Times New Roman" w:cs="Times New Roman" w:eastAsia="Times New Roman" w:hAnsi="Times New Roman"/>
          <w:sz w:val="16"/>
          <w:szCs w:val="16"/>
          <w:b w:val="1"/>
          <w:bCs w:val="1"/>
          <w:color w:val="auto"/>
        </w:rPr>
        <w:t>The Board unanimously recommends a vote FOR the Ratification of the Appointment of UHY LLP as our Independent Registered Public accounting firm for the fiscal year ending December 31, 2025.</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10200"/>
          </w:cols>
          <w:pgMar w:left="660" w:top="879" w:right="1040"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REPORT OF THE AUDIT COMMITTEE OF THE BOARD</w:t>
      </w:r>
    </w:p>
    <w:p>
      <w:pPr>
        <w:spacing w:after="0" w:line="154"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The Audit Committee has reviewed the audited consolidated financial statements of the Company for the fiscal year ended December 31, 2024 and has discussed these financial statements with management, former management of BurTech Acquisition Corp. prior to the closing of the Business Combination, and the Company’s independent registered public accounting firm for the audited consolidated financial statements of the Company for the fiscal year ended December 31, 2024, Marcum LLP.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137"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33" w:lineRule="exact"/>
        <w:rPr>
          <w:sz w:val="20"/>
          <w:szCs w:val="20"/>
          <w:color w:val="auto"/>
        </w:rPr>
      </w:pPr>
    </w:p>
    <w:p>
      <w:pPr>
        <w:jc w:val="both"/>
        <w:ind w:left="400" w:right="340"/>
        <w:spacing w:after="0" w:line="299" w:lineRule="auto"/>
        <w:rPr>
          <w:sz w:val="20"/>
          <w:szCs w:val="20"/>
          <w:color w:val="auto"/>
        </w:rPr>
      </w:pPr>
      <w:r>
        <w:rPr>
          <w:rFonts w:ascii="Times New Roman" w:cs="Times New Roman" w:eastAsia="Times New Roman" w:hAnsi="Times New Roman"/>
          <w:sz w:val="14"/>
          <w:szCs w:val="14"/>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2024.</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George de Urioste (Chairperson)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Edward Frank</w:t>
      </w:r>
    </w:p>
    <w:p>
      <w:pPr>
        <w:ind w:left="400"/>
        <w:spacing w:after="0"/>
        <w:rPr>
          <w:sz w:val="20"/>
          <w:szCs w:val="20"/>
          <w:color w:val="auto"/>
        </w:rPr>
      </w:pPr>
      <w:r>
        <w:rPr>
          <w:rFonts w:ascii="Times New Roman" w:cs="Times New Roman" w:eastAsia="Times New Roman" w:hAnsi="Times New Roman"/>
          <w:sz w:val="16"/>
          <w:szCs w:val="16"/>
          <w:color w:val="auto"/>
        </w:rPr>
        <w:t>/s/ Anthony Cannestra</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180"/>
          </w:cols>
          <w:pgMar w:left="660" w:top="879" w:right="106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right="1580" w:firstLine="1590"/>
        <w:spacing w:after="0" w:line="439" w:lineRule="auto"/>
        <w:rPr>
          <w:sz w:val="20"/>
          <w:szCs w:val="20"/>
          <w:color w:val="auto"/>
        </w:rPr>
      </w:pPr>
      <w:r>
        <w:rPr>
          <w:rFonts w:ascii="Times New Roman" w:cs="Times New Roman" w:eastAsia="Times New Roman" w:hAnsi="Times New Roman"/>
          <w:sz w:val="16"/>
          <w:szCs w:val="16"/>
          <w:b w:val="1"/>
          <w:bCs w:val="1"/>
          <w:color w:val="auto"/>
        </w:rPr>
        <w:t xml:space="preserve">INDEPENDENT REGISTERED PUBLIC ACCOUNTING FIRM FEES AND OTHER MATTERS </w:t>
      </w:r>
      <w:r>
        <w:rPr>
          <w:rFonts w:ascii="Times New Roman" w:cs="Times New Roman" w:eastAsia="Times New Roman" w:hAnsi="Times New Roman"/>
          <w:sz w:val="16"/>
          <w:szCs w:val="16"/>
          <w:b w:val="1"/>
          <w:bCs w:val="1"/>
          <w:i w:val="1"/>
          <w:iCs w:val="1"/>
          <w:color w:val="auto"/>
        </w:rPr>
        <w:t>Change of Independent Registered Public Accounting Firm in 2025</w:t>
      </w:r>
    </w:p>
    <w:p>
      <w:pPr>
        <w:spacing w:after="0" w:line="1" w:lineRule="exact"/>
        <w:rPr>
          <w:sz w:val="20"/>
          <w:szCs w:val="20"/>
          <w:color w:val="auto"/>
        </w:rPr>
      </w:pPr>
    </w:p>
    <w:p>
      <w:pPr>
        <w:ind w:left="400" w:right="560"/>
        <w:spacing w:after="0" w:line="259" w:lineRule="auto"/>
        <w:rPr>
          <w:sz w:val="20"/>
          <w:szCs w:val="20"/>
          <w:color w:val="auto"/>
        </w:rPr>
      </w:pPr>
      <w:r>
        <w:rPr>
          <w:rFonts w:ascii="Times New Roman" w:cs="Times New Roman" w:eastAsia="Times New Roman" w:hAnsi="Times New Roman"/>
          <w:sz w:val="16"/>
          <w:szCs w:val="16"/>
          <w:color w:val="auto"/>
        </w:rPr>
        <w:t>Effective January 13, 2025, the Audit Committee dismissed CBIZ, Inc. (formerly known as Marcum LLP) (“CBIZ”) as the Company’s independent registered public accounting firm.</w:t>
      </w:r>
    </w:p>
    <w:p>
      <w:pPr>
        <w:spacing w:after="0" w:line="119" w:lineRule="exact"/>
        <w:rPr>
          <w:sz w:val="20"/>
          <w:szCs w:val="20"/>
          <w:color w:val="auto"/>
        </w:rPr>
      </w:pPr>
    </w:p>
    <w:p>
      <w:pPr>
        <w:ind w:left="400" w:right="20"/>
        <w:spacing w:after="0" w:line="259" w:lineRule="auto"/>
        <w:rPr>
          <w:sz w:val="20"/>
          <w:szCs w:val="20"/>
          <w:color w:val="auto"/>
        </w:rPr>
      </w:pPr>
      <w:r>
        <w:rPr>
          <w:rFonts w:ascii="Times New Roman" w:cs="Times New Roman" w:eastAsia="Times New Roman" w:hAnsi="Times New Roman"/>
          <w:sz w:val="16"/>
          <w:szCs w:val="16"/>
          <w:color w:val="auto"/>
        </w:rPr>
        <w:t>CBIZ’s audit reports on the Company’s financial statements as of and for the year ended December 31, 2024 and 2023 did not contain an adverse opinion or a disclaimer of opinion and were not qualified or modified as to uncertainty, audit scope or accounting principles.</w:t>
      </w:r>
    </w:p>
    <w:p>
      <w:pPr>
        <w:spacing w:after="0" w:line="119" w:lineRule="exact"/>
        <w:rPr>
          <w:sz w:val="20"/>
          <w:szCs w:val="20"/>
          <w:color w:val="auto"/>
        </w:rPr>
      </w:pPr>
    </w:p>
    <w:p>
      <w:pPr>
        <w:ind w:left="400" w:right="80"/>
        <w:spacing w:after="0" w:line="239" w:lineRule="auto"/>
        <w:rPr>
          <w:sz w:val="20"/>
          <w:szCs w:val="20"/>
          <w:color w:val="auto"/>
        </w:rPr>
      </w:pPr>
      <w:r>
        <w:rPr>
          <w:rFonts w:ascii="Times New Roman" w:cs="Times New Roman" w:eastAsia="Times New Roman" w:hAnsi="Times New Roman"/>
          <w:sz w:val="16"/>
          <w:szCs w:val="16"/>
          <w:color w:val="auto"/>
        </w:rPr>
        <w:t>During the two most recent fiscal years ended December 31, 2024 and 2023, and the subsequent interim period through January 13, 2025: (1) there were no “disagreements” (as defined in Item 304(a)(1)(iv) of Regulation S-K) with CBIZ on any matter of accounting principles or practices, financial statement disclosure, or auditing scope or procedure, which disagreements, if not resolved to the satisfaction of CBIZ, would have caused CBIZ to make reference to the subject matter of such disagreements in connection with its reports on the financial statements for such years, and (2) there were no “reportable events” (as defined in Item 304(a)(1)(v) of Regulation S- K), except for the material weaknesses in BurTech Acquisition Corp.’s internal control over financial reporting for the fiscal year ended December 31, 2024, which were remediated for the combined company as of June 2025, as disclosed in Part I, Item 4 of the Company’s Quarterly Report on Form 10-Q for the quarterly period ended June 30, 2025.</w:t>
      </w:r>
    </w:p>
    <w:p>
      <w:pPr>
        <w:spacing w:after="0" w:line="134" w:lineRule="exact"/>
        <w:rPr>
          <w:sz w:val="20"/>
          <w:szCs w:val="20"/>
          <w:color w:val="auto"/>
        </w:rPr>
      </w:pPr>
    </w:p>
    <w:p>
      <w:pPr>
        <w:ind w:left="400" w:right="300"/>
        <w:spacing w:after="0" w:line="259" w:lineRule="auto"/>
        <w:rPr>
          <w:sz w:val="20"/>
          <w:szCs w:val="20"/>
          <w:color w:val="auto"/>
        </w:rPr>
      </w:pPr>
      <w:r>
        <w:rPr>
          <w:rFonts w:ascii="Times New Roman" w:cs="Times New Roman" w:eastAsia="Times New Roman" w:hAnsi="Times New Roman"/>
          <w:sz w:val="16"/>
          <w:szCs w:val="16"/>
          <w:color w:val="auto"/>
        </w:rPr>
        <w:t>Effective January 13, 2025, the Audit Committee approved the appointment of UHY LLP as its new independent registered public accounting firm. The Company has authorized CBIZ to respond fully to the inquiries of UHY, as the successor independent registered accounting firm.</w:t>
      </w:r>
    </w:p>
    <w:p>
      <w:pPr>
        <w:spacing w:after="0" w:line="119" w:lineRule="exact"/>
        <w:rPr>
          <w:sz w:val="20"/>
          <w:szCs w:val="20"/>
          <w:color w:val="auto"/>
        </w:rPr>
      </w:pPr>
    </w:p>
    <w:p>
      <w:pPr>
        <w:ind w:left="400" w:right="140"/>
        <w:spacing w:after="0" w:line="239" w:lineRule="auto"/>
        <w:rPr>
          <w:sz w:val="20"/>
          <w:szCs w:val="20"/>
          <w:color w:val="auto"/>
        </w:rPr>
      </w:pPr>
      <w:r>
        <w:rPr>
          <w:rFonts w:ascii="Times New Roman" w:cs="Times New Roman" w:eastAsia="Times New Roman" w:hAnsi="Times New Roman"/>
          <w:sz w:val="16"/>
          <w:szCs w:val="16"/>
          <w:color w:val="auto"/>
        </w:rPr>
        <w:t>During the fiscal years ended December 31, 2024 and 2023, and the subsequent interim period through January 13, 2025, neither the Company nor anyone acting on its behalf consulted UHY regarding either (i) the application of accounting principles to a specified transaction, either completed or proposed, or the type of audit opinion that might be rendered on the Company’s financial statements, and neither a written report nor oral advice was provided to the Company by UHY that UHY concluded was an important factor considered by the Company in reaching a decision as to any accounting, auditing or financial reporting issue or (ii) any matter that was the subject of a “disagreement” within the meaning of Item 304(a)(1)(iv) of Regulation S-K or a “reportable event” within the meaning of Item 304(a)(1)(v) of Regulation S-K.</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Please see the Company’s Current Report on Form 8-K filed with the SEC on January 17, 2025 for additional information.</w:t>
      </w:r>
    </w:p>
    <w:p>
      <w:pPr>
        <w:spacing w:after="0" w:line="152" w:lineRule="exact"/>
        <w:rPr>
          <w:sz w:val="20"/>
          <w:szCs w:val="20"/>
          <w:color w:val="auto"/>
        </w:rPr>
      </w:pPr>
    </w:p>
    <w:p>
      <w:pPr>
        <w:ind w:left="400" w:right="26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fees of CBIZ LLP (formerly Marcum LLP), our previous independent registered public accounting firm, billed to us during the year ended December 31, 2024 and December 31, 2023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420" w:type="dxa"/>
            <w:vAlign w:val="bottom"/>
          </w:tcPr>
          <w:p>
            <w:pPr>
              <w:jc w:val="right"/>
              <w:ind w:right="109"/>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14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2023</w:t>
            </w:r>
            <w:r>
              <w:rPr>
                <w:rFonts w:ascii="Arial" w:cs="Arial" w:eastAsia="Arial" w:hAnsi="Arial"/>
                <w:sz w:val="13"/>
                <w:szCs w:val="13"/>
                <w:b w:val="1"/>
                <w:bCs w:val="1"/>
                <w:color w:val="auto"/>
              </w:rPr>
              <w:t xml:space="preserve">   </w:t>
            </w:r>
          </w:p>
        </w:tc>
      </w:tr>
      <w:tr>
        <w:trPr>
          <w:trHeight w:val="40"/>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558,616</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124,631</w:t>
            </w:r>
          </w:p>
        </w:tc>
      </w:t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Audit-Related Fees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52"/>
        </w:trPr>
        <w:tc>
          <w:tcPr>
            <w:tcW w:w="67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6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Fees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r>
      <w:tr>
        <w:trPr>
          <w:trHeight w:val="17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Fees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558,616</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124,631</w:t>
            </w:r>
          </w:p>
        </w:tc>
      </w:tr>
      <w:tr>
        <w:trPr>
          <w:trHeight w:val="20"/>
        </w:trPr>
        <w:tc>
          <w:tcPr>
            <w:tcW w:w="67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Audit Fees</w:t>
      </w:r>
    </w:p>
    <w:p>
      <w:pPr>
        <w:spacing w:after="0" w:line="156" w:lineRule="exact"/>
        <w:rPr>
          <w:sz w:val="20"/>
          <w:szCs w:val="20"/>
          <w:color w:val="auto"/>
        </w:rPr>
      </w:pPr>
    </w:p>
    <w:p>
      <w:pPr>
        <w:ind w:left="400"/>
        <w:spacing w:after="0" w:line="247" w:lineRule="auto"/>
        <w:rPr>
          <w:sz w:val="20"/>
          <w:szCs w:val="20"/>
          <w:color w:val="auto"/>
        </w:rPr>
      </w:pPr>
      <w:r>
        <w:rPr>
          <w:rFonts w:ascii="Times New Roman" w:cs="Times New Roman" w:eastAsia="Times New Roman" w:hAnsi="Times New Roman"/>
          <w:sz w:val="16"/>
          <w:szCs w:val="16"/>
          <w:color w:val="auto"/>
        </w:rPr>
        <w:t>Audit fees consist of fees for professional services rendered in connection with the audit of our annual financial statements, the review of our quarterly financial statements, and audit services that are normally provided by independent registered public accounting firms in connection with regulatory filings or engagements, and other fees in connection with the Business Combination.</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180"/>
          </w:cols>
          <w:pgMar w:left="660" w:top="879" w:right="106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Audit-Related Fees</w:t>
      </w:r>
    </w:p>
    <w:p>
      <w:pPr>
        <w:spacing w:after="0" w:line="156" w:lineRule="exact"/>
        <w:rPr>
          <w:sz w:val="20"/>
          <w:szCs w:val="20"/>
          <w:color w:val="auto"/>
        </w:rPr>
      </w:pPr>
    </w:p>
    <w:p>
      <w:pPr>
        <w:ind w:left="400" w:right="180"/>
        <w:spacing w:after="0" w:line="247" w:lineRule="auto"/>
        <w:rPr>
          <w:sz w:val="20"/>
          <w:szCs w:val="20"/>
          <w:color w:val="auto"/>
        </w:rPr>
      </w:pPr>
      <w:r>
        <w:rPr>
          <w:rFonts w:ascii="Times New Roman" w:cs="Times New Roman" w:eastAsia="Times New Roman" w:hAnsi="Times New Roman"/>
          <w:sz w:val="16"/>
          <w:szCs w:val="16"/>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Tax Fees</w:t>
      </w:r>
    </w:p>
    <w:p>
      <w:pPr>
        <w:spacing w:after="0" w:line="156" w:lineRule="exact"/>
        <w:rPr>
          <w:sz w:val="20"/>
          <w:szCs w:val="20"/>
          <w:color w:val="auto"/>
        </w:rPr>
      </w:pPr>
    </w:p>
    <w:p>
      <w:pPr>
        <w:ind w:left="400" w:right="40"/>
        <w:spacing w:after="0" w:line="259" w:lineRule="auto"/>
        <w:rPr>
          <w:sz w:val="20"/>
          <w:szCs w:val="20"/>
          <w:color w:val="auto"/>
        </w:rPr>
      </w:pPr>
      <w:r>
        <w:rPr>
          <w:rFonts w:ascii="Times New Roman" w:cs="Times New Roman" w:eastAsia="Times New Roman" w:hAnsi="Times New Roman"/>
          <w:sz w:val="16"/>
          <w:szCs w:val="16"/>
          <w:color w:val="auto"/>
        </w:rPr>
        <w:t>Tax fees consist of fees for tax consultation services for the Business Combination and professional services relating to tax compliance, tax planning and tax advice.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Audit Committee Pre-Approval Policy and Procedures</w:t>
      </w:r>
    </w:p>
    <w:p>
      <w:pPr>
        <w:spacing w:after="0" w:line="154"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The Audit Committee has adopted a policy (the “Pre-Approval Policy”) that sets forth the procedures and conditions pursuant to which audit and permissible non-audit services proposed to be performed by the independent auditor may be pre-approved. These services included audit services, audit-related services, tax services and other services. The Audit Committee considered whether the provision of each non-audit service was compatible with maintaining the independence of the auditors. Pre- approval was detailed as to the particular service or category of services and was generally subject to a specific budget. UHY LLP and management were required to periodically report to the Audit Committee regarding the extent of services provided by UHY LLP in accordance with this pre -approval, and the fees for the services performed to date. Rule 2-01(c)(7)(i)(C) of Regulation S-X provides a “de minimis” exception which waives the pre-approval requirements for non-audit services provided that: (1) all such services do not aggregate to more than five percent of total revenues paid by the audit client to its accountant in the fiscal year when services are provided, (2) such services were not recognized by the issuer to be non-audit services at the time of the engagement, and (3) such services are promptly brought to the attention of the Audit Committee of the issuer and approved prior to the completion of the audit by the Audit Committee or one or more designated representatives. During the year ended December 31, 2024 all services were pre-approved.</w:t>
      </w:r>
    </w:p>
    <w:p>
      <w:pPr>
        <w:spacing w:after="0" w:line="1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10200"/>
          </w:cols>
          <w:pgMar w:left="660" w:top="879" w:right="10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640" w:type="dxa"/>
            <w:vAlign w:val="bottom"/>
            <w:gridSpan w:val="3"/>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Table of Contents</w:t>
              </w:r>
            </w:hyperlink>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458"/>
        </w:trPr>
        <w:tc>
          <w:tcPr>
            <w:tcW w:w="4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EXECUTIVE OFFICERS</w:t>
            </w:r>
          </w:p>
        </w:tc>
      </w:tr>
      <w:tr>
        <w:trPr>
          <w:trHeight w:val="336"/>
        </w:trPr>
        <w:tc>
          <w:tcPr>
            <w:tcW w:w="400" w:type="dxa"/>
            <w:vAlign w:val="bottom"/>
          </w:tcPr>
          <w:p>
            <w:pPr>
              <w:spacing w:after="0"/>
              <w:rPr>
                <w:sz w:val="24"/>
                <w:szCs w:val="24"/>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table identifies our current executive officers: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08"/>
        </w:trPr>
        <w:tc>
          <w:tcPr>
            <w:tcW w:w="400" w:type="dxa"/>
            <w:vAlign w:val="bottom"/>
          </w:tcPr>
          <w:p>
            <w:pPr>
              <w:spacing w:after="0"/>
              <w:rPr>
                <w:sz w:val="24"/>
                <w:szCs w:val="24"/>
                <w:color w:val="auto"/>
              </w:rPr>
            </w:pPr>
          </w:p>
        </w:tc>
        <w:tc>
          <w:tcPr>
            <w:tcW w:w="3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57"/>
        </w:trPr>
        <w:tc>
          <w:tcPr>
            <w:tcW w:w="400" w:type="dxa"/>
            <w:vAlign w:val="bottom"/>
          </w:tcPr>
          <w:p>
            <w:pPr>
              <w:spacing w:after="0"/>
              <w:rPr>
                <w:sz w:val="22"/>
                <w:szCs w:val="22"/>
                <w:color w:val="auto"/>
              </w:rPr>
            </w:pPr>
          </w:p>
        </w:tc>
        <w:tc>
          <w:tcPr>
            <w:tcW w:w="3240" w:type="dxa"/>
            <w:vAlign w:val="bottom"/>
            <w:gridSpan w:val="2"/>
          </w:tcPr>
          <w:p>
            <w:pPr>
              <w:spacing w:after="0" w:line="257" w:lineRule="exact"/>
              <w:rPr>
                <w:sz w:val="20"/>
                <w:szCs w:val="20"/>
                <w:color w:val="auto"/>
              </w:rPr>
            </w:pPr>
            <w:r>
              <w:rPr>
                <w:rFonts w:ascii="Times New Roman" w:cs="Times New Roman" w:eastAsia="Times New Roman" w:hAnsi="Times New Roman"/>
                <w:sz w:val="16"/>
                <w:szCs w:val="16"/>
                <w:color w:val="auto"/>
              </w:rPr>
              <w:t>Dinakar Munagala</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2"/>
                <w:szCs w:val="22"/>
                <w:color w:val="auto"/>
              </w:rPr>
            </w:pPr>
          </w:p>
        </w:tc>
        <w:tc>
          <w:tcPr>
            <w:tcW w:w="660" w:type="dxa"/>
            <w:vAlign w:val="bottom"/>
          </w:tcPr>
          <w:p>
            <w:pPr>
              <w:jc w:val="center"/>
              <w:ind w:left="342"/>
              <w:spacing w:after="0"/>
              <w:rPr>
                <w:sz w:val="20"/>
                <w:szCs w:val="20"/>
                <w:color w:val="auto"/>
              </w:rPr>
            </w:pPr>
            <w:r>
              <w:rPr>
                <w:rFonts w:ascii="Times New Roman" w:cs="Times New Roman" w:eastAsia="Times New Roman" w:hAnsi="Times New Roman"/>
                <w:sz w:val="16"/>
                <w:szCs w:val="16"/>
                <w:color w:val="auto"/>
                <w:w w:val="99"/>
              </w:rPr>
              <w:t>50</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317"/>
        </w:trPr>
        <w:tc>
          <w:tcPr>
            <w:tcW w:w="40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Harminder Sehmi</w:t>
            </w:r>
            <w:r>
              <w:rPr>
                <w:rFonts w:ascii="Times New Roman" w:cs="Times New Roman" w:eastAsia="Times New Roman" w:hAnsi="Times New Roman"/>
                <w:sz w:val="24"/>
                <w:szCs w:val="24"/>
                <w:color w:val="auto"/>
                <w:vertAlign w:val="superscript"/>
              </w:rPr>
              <w:t>(2)</w:t>
            </w:r>
          </w:p>
        </w:tc>
        <w:tc>
          <w:tcPr>
            <w:tcW w:w="76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color w:val="auto"/>
                <w:w w:val="99"/>
              </w:rPr>
              <w:t>63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8145" cy="5080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-1905</wp:posOffset>
            </wp:positionV>
            <wp:extent cx="9906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ind w:left="780" w:hanging="390"/>
        <w:spacing w:after="0"/>
        <w:tabs>
          <w:tab w:leader="none" w:pos="7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biography on page 11 of this Proxy Statement.</w:t>
      </w:r>
    </w:p>
    <w:p>
      <w:pPr>
        <w:spacing w:after="0" w:line="126" w:lineRule="exact"/>
        <w:rPr>
          <w:rFonts w:ascii="Times New Roman" w:cs="Times New Roman" w:eastAsia="Times New Roman" w:hAnsi="Times New Roman"/>
          <w:sz w:val="13"/>
          <w:szCs w:val="13"/>
          <w:color w:val="auto"/>
        </w:rPr>
      </w:pPr>
    </w:p>
    <w:p>
      <w:pPr>
        <w:ind w:left="780" w:right="180" w:hanging="390"/>
        <w:spacing w:after="0" w:line="257" w:lineRule="auto"/>
        <w:tabs>
          <w:tab w:leader="none" w:pos="7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Harminder Sehmi, 63, has served as our Chief Financial Officer since January 2025, and previously served as Chief Financial Officer of Legacy Blaize since November 2023. From July 2019 to October 2023, Mr. Sehmi served as the Vice President of Finance of Legacy Blaize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Mr. Sehmi is a member of the Institute of Chartered Accountants in England and Wales (ACA) and he obtained his Accounting qualifications from the Oxford Brookes University and a Master’s Degree in Business Administration from the Cranfield School of Management.</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10180"/>
          </w:cols>
          <w:pgMar w:left="660" w:top="866" w:right="106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54" w:lineRule="exact"/>
        <w:rPr>
          <w:sz w:val="20"/>
          <w:szCs w:val="20"/>
          <w:color w:val="auto"/>
        </w:rPr>
      </w:pPr>
    </w:p>
    <w:p>
      <w:pPr>
        <w:ind w:left="400" w:right="40"/>
        <w:spacing w:after="0" w:line="243" w:lineRule="auto"/>
        <w:rPr>
          <w:sz w:val="20"/>
          <w:szCs w:val="20"/>
          <w:color w:val="auto"/>
        </w:rPr>
      </w:pPr>
      <w:r>
        <w:rPr>
          <w:rFonts w:ascii="Times New Roman" w:cs="Times New Roman" w:eastAsia="Times New Roman" w:hAnsi="Times New Roman"/>
          <w:sz w:val="16"/>
          <w:szCs w:val="16"/>
          <w:color w:val="auto"/>
        </w:rPr>
        <w:t xml:space="preserve">Our Board has adopted Corporate Governance Guidelines, a Code of Conduct, and charters for our Audit Committee and Compensation Committee to assist the Board in the exercise of its responsibilities and to serve as a framework for the effective governance of the Company. You can access our current committee charters, our Corporate Governance Guidelines, and our Code of Conduct in the “Governance” section of the “Investors” page of our website located at </w:t>
      </w:r>
      <w:r>
        <w:rPr>
          <w:rFonts w:ascii="Times New Roman" w:cs="Times New Roman" w:eastAsia="Times New Roman" w:hAnsi="Times New Roman"/>
          <w:sz w:val="16"/>
          <w:szCs w:val="16"/>
          <w:i w:val="1"/>
          <w:iCs w:val="1"/>
          <w:color w:val="auto"/>
        </w:rPr>
        <w:t>www.blaize.com</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54"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The listing standards of the Nasdaq Stock Market LLC (“Nasdaq”) require that a majority of our Board be independent. Our Board has determined that all of our directors, other than Dinakar Munagala and Lane M. Bess, are considered “independent directors” as defined under the listing requirements and rules of Nasdaq and the applicable rules of the Securities Exchange Act of 1934, as amended (the “Exchange Act”). In making this determination, our Board considered the current and prior relationships that each director has with Blaize and all other facts and circumstances that our Board deemed relevant in determining their independence, including beneficial ownership of our common stock, and the transactions involving them.</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independent directors meet in executive session on a regularly scheduled basis.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154" w:lineRule="exact"/>
        <w:rPr>
          <w:sz w:val="20"/>
          <w:szCs w:val="20"/>
          <w:color w:val="auto"/>
        </w:rPr>
      </w:pPr>
    </w:p>
    <w:p>
      <w:pPr>
        <w:ind w:left="400" w:right="60"/>
        <w:spacing w:after="0" w:line="243" w:lineRule="auto"/>
        <w:rPr>
          <w:sz w:val="20"/>
          <w:szCs w:val="20"/>
          <w:color w:val="auto"/>
        </w:rPr>
      </w:pPr>
      <w:r>
        <w:rPr>
          <w:rFonts w:ascii="Times New Roman" w:cs="Times New Roman" w:eastAsia="Times New Roman" w:hAnsi="Times New Roman"/>
          <w:sz w:val="16"/>
          <w:szCs w:val="16"/>
          <w:color w:val="auto"/>
        </w:rPr>
        <w:t>We do not have a nominating and corporate governance committee of the Board. Pursuant to Nasdaq Rule 5605-6(e)(1), the nomination of directors is made, or recommended to the Board by a majority of our independent directors. Once potential candidates are identified, the independent directors review the backgrounds of those candidates, evaluate candidates’ independence from the Company and potential conflicts of interest and determine if candidates meet the qualifications desired by the Board for candidates for election as a director.</w:t>
      </w:r>
    </w:p>
    <w:p>
      <w:pPr>
        <w:spacing w:after="0" w:line="131"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In evaluating the suitability of individual candidates (both new candidates and current Board members), the independent directors, in recommending candidates for election, and the Board, in approving (and, in the case of vacancies, appointing) such candidates, may take into account many factors, including: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meetings and committee meetings, if applicable; and geographic background, gender, age and ethnicity. The Board evaluates each individual in the context of the Board as a whole, with the objective of ensuring that the Board, as a whole, has the necessary tools to perform its oversight function effectively in light of the Company’s business and structure.</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Communications from Stockholders</w:t>
      </w:r>
    </w:p>
    <w:p>
      <w:pPr>
        <w:spacing w:after="0" w:line="154" w:lineRule="exact"/>
        <w:rPr>
          <w:sz w:val="20"/>
          <w:szCs w:val="20"/>
          <w:color w:val="auto"/>
        </w:rPr>
      </w:pPr>
    </w:p>
    <w:p>
      <w:pPr>
        <w:ind w:left="400" w:right="60"/>
        <w:spacing w:after="0" w:line="243" w:lineRule="auto"/>
        <w:rPr>
          <w:sz w:val="20"/>
          <w:szCs w:val="20"/>
          <w:color w:val="auto"/>
        </w:rPr>
      </w:pPr>
      <w:r>
        <w:rPr>
          <w:rFonts w:ascii="Times New Roman" w:cs="Times New Roman" w:eastAsia="Times New Roman" w:hAnsi="Times New Roman"/>
          <w:sz w:val="16"/>
          <w:szCs w:val="16"/>
          <w:color w:val="auto"/>
        </w:rPr>
        <w:t>The Board will give appropriate attention to written communications that are submitted by interested parties, including stockholders, and will respond if and as appropriate. Interested parties may send communications to IR@blaize.com. For investor relations matters, Blaize’s Chief Financial Officer and Senior Vice President of Marketing, together with Blue Shirt Group, an external investor relations firm, monitor communications from stockholders and provide copies or summaries to the directors as they deem appropriate.</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10200"/>
          </w:cols>
          <w:pgMar w:left="660" w:top="879" w:right="104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Communications are forwarded to all directors if they relate to important substantive matters and include suggestions or comments that our Corporate Secretary and Chair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Blaize Holdings, Inc., 4659 Golden Foothill Parkway, Suite 206, El Dorado Hills, CA 95762.</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54" w:lineRule="exact"/>
        <w:rPr>
          <w:sz w:val="20"/>
          <w:szCs w:val="20"/>
          <w:color w:val="auto"/>
        </w:rPr>
      </w:pPr>
    </w:p>
    <w:p>
      <w:pPr>
        <w:ind w:left="400" w:right="20"/>
        <w:spacing w:after="0" w:line="277" w:lineRule="auto"/>
        <w:rPr>
          <w:sz w:val="20"/>
          <w:szCs w:val="20"/>
          <w:color w:val="auto"/>
        </w:rPr>
      </w:pPr>
      <w:r>
        <w:rPr>
          <w:rFonts w:ascii="Times New Roman" w:cs="Times New Roman" w:eastAsia="Times New Roman" w:hAnsi="Times New Roman"/>
          <w:sz w:val="14"/>
          <w:szCs w:val="14"/>
          <w:color w:val="auto"/>
        </w:rPr>
        <w:t>Our Board is comprised of individuals with extensive experience in finance and accounting, the technology and financial services industries, and public company management. Our Amended and Restated Bylaws provide that the Board will select the Chair of the Board and the Chief Executive Officer. The Board does not have a policy that requires the separation of these two roles. The Board may separate or combine the roles of the Chair of the Board and Chief Executive Officer when and if it deems it advisable and in the best interests of the Company and its stockholders to do so. Currently, the roles of Chair of the Board and Chief Executive Officer are separated, and our Board has appointed Lane M. Bess to serve as Chair of the Board and Dinakar Munagala to serve as our Chief Executive Officer. Our Board has concluded that our current leadership structure is appropriate at this time. However, our Board will continue to periodically review our leadership structure and may make changes in the future as it deems appropriate. In accordance with those policies and our Corporate Governance Guidelines, the Board and the Board’s committees have an active role in overseeing management of the Company’s risks.</w:t>
      </w:r>
    </w:p>
    <w:p>
      <w:pPr>
        <w:spacing w:after="0" w:line="110"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As provided in the Audit Committee Charter, the Audit Committee is responsible for discussing the Company’s policies with respect to risk assessment and risk management, including guidelines and policies to govern the process by which the Company’s exposure to risk is handled, including cybersecurity risks. Relatedly, senior leadership regularly provides updates to the Audit Committee on the status and outcomes of internal audits evaluating security risks posed by our systems, controls, and processes. The Compensation Committee is responsible for overseeing the management of risks relating to the Company’s compensation plans, equity incentive plans and other compensatory arrangements. While each committee is responsible for evaluating certain risks and overseeing the management of such risks, the entire Board has an active role in overseeing management of the Company’s risks and will be regularly informed through committee reports about such risks, including regularly reviewing information regarding the Company’s credit, liquidity, and operations, as well as the risks associated with each.</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Code of Conduct</w:t>
      </w:r>
    </w:p>
    <w:p>
      <w:pPr>
        <w:spacing w:after="0" w:line="154" w:lineRule="exact"/>
        <w:rPr>
          <w:sz w:val="20"/>
          <w:szCs w:val="20"/>
          <w:color w:val="auto"/>
        </w:rPr>
      </w:pPr>
    </w:p>
    <w:p>
      <w:pPr>
        <w:ind w:left="400" w:right="140"/>
        <w:spacing w:after="0" w:line="243" w:lineRule="auto"/>
        <w:rPr>
          <w:sz w:val="20"/>
          <w:szCs w:val="20"/>
          <w:color w:val="auto"/>
        </w:rPr>
      </w:pPr>
      <w:r>
        <w:rPr>
          <w:rFonts w:ascii="Times New Roman" w:cs="Times New Roman" w:eastAsia="Times New Roman" w:hAnsi="Times New Roman"/>
          <w:sz w:val="16"/>
          <w:szCs w:val="16"/>
          <w:color w:val="auto"/>
        </w:rPr>
        <w:t xml:space="preserve">The Board has adopted a Code of Conduct that applies to all of its employees, officers and directors, including its Chief Executive Officer, Chief Financial Officer, and other executive and senior financial officers. The full text of the Company’s Code of Conduct has been posted on the Company’s website, </w:t>
      </w:r>
      <w:r>
        <w:rPr>
          <w:rFonts w:ascii="Times New Roman" w:cs="Times New Roman" w:eastAsia="Times New Roman" w:hAnsi="Times New Roman"/>
          <w:sz w:val="16"/>
          <w:szCs w:val="16"/>
          <w:i w:val="1"/>
          <w:iCs w:val="1"/>
          <w:color w:val="auto"/>
        </w:rPr>
        <w:t>www.blaize.com</w:t>
      </w:r>
      <w:r>
        <w:rPr>
          <w:rFonts w:ascii="Times New Roman" w:cs="Times New Roman" w:eastAsia="Times New Roman" w:hAnsi="Times New Roman"/>
          <w:sz w:val="16"/>
          <w:szCs w:val="16"/>
          <w:color w:val="auto"/>
        </w:rPr>
        <w:t>, in the “Governance” section under “Investors.” The Company will post amendments to its Code of Conduct or waivers of its Code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Conduct for directors and officers on the same website.</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54" w:lineRule="exact"/>
        <w:rPr>
          <w:sz w:val="20"/>
          <w:szCs w:val="20"/>
          <w:color w:val="auto"/>
        </w:rPr>
      </w:pPr>
    </w:p>
    <w:p>
      <w:pPr>
        <w:ind w:left="400" w:right="80"/>
        <w:spacing w:after="0" w:line="238" w:lineRule="auto"/>
        <w:rPr>
          <w:sz w:val="20"/>
          <w:szCs w:val="20"/>
          <w:color w:val="auto"/>
        </w:rPr>
      </w:pPr>
      <w:r>
        <w:rPr>
          <w:rFonts w:ascii="Times New Roman" w:cs="Times New Roman" w:eastAsia="Times New Roman" w:hAnsi="Times New Roman"/>
          <w:sz w:val="16"/>
          <w:szCs w:val="16"/>
          <w:color w:val="auto"/>
        </w:rPr>
        <w:t>The Board has adopted an insider trading policy and procedures, which governs the purchase, sale, and/or other dispositions of our securities by directors, officers, employees and other covered persons that the Company believes are reasonably designed to promote compliance with insider trading laws, rules and regulations, and the listing requirements of Nasdaq. This policy imposes regular blackout periods during which certain individuals may not transact in the Company’s securities and pre-clearance procedures for transactions by certain specified individuals, including, among others, the members of the Board and the Company’s executive officers. In addition, this policy prohibits certain transactions that the Company has determined are higher risk or for which there is a heightened appearance of potential improper or inappropriate conduct, including short sales of our securities, options trading in puts, calls or other derivative securities involving the Company’s equity securities, hedging transactions, and margin accounts and pledging of our securities. The Board regularly reviews the insider trading policy with management.</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10200"/>
          </w:cols>
          <w:pgMar w:left="660" w:top="879" w:right="104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Attendance by Members of the Board at Meetings and Corporate Governance Guidelines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Board did not meet during fiscal year 2024 as it was formed upon the closing of the Business Combination on January 13, 2025.</w:t>
      </w:r>
    </w:p>
    <w:p>
      <w:pPr>
        <w:spacing w:after="0" w:line="150"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 xml:space="preserve">Under our Corporate Governance Guidelines, which is available on our website at </w:t>
      </w:r>
      <w:r>
        <w:rPr>
          <w:rFonts w:ascii="Times New Roman" w:cs="Times New Roman" w:eastAsia="Times New Roman" w:hAnsi="Times New Roman"/>
          <w:sz w:val="16"/>
          <w:szCs w:val="16"/>
          <w:i w:val="1"/>
          <w:iCs w:val="1"/>
          <w:color w:val="auto"/>
        </w:rPr>
        <w:t>www.blaize.com</w:t>
      </w:r>
      <w:r>
        <w:rPr>
          <w:rFonts w:ascii="Times New Roman" w:cs="Times New Roman" w:eastAsia="Times New Roman" w:hAnsi="Times New Roman"/>
          <w:sz w:val="16"/>
          <w:szCs w:val="16"/>
          <w:color w:val="auto"/>
        </w:rPr>
        <w:t>,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 of the Board or the Chairperson of the appropriate committee in advance of such meeting.</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Attendance at Annual Meeting of Stockholders</w:t>
      </w:r>
    </w:p>
    <w:p>
      <w:pPr>
        <w:spacing w:after="0" w:line="154" w:lineRule="exact"/>
        <w:rPr>
          <w:sz w:val="20"/>
          <w:szCs w:val="20"/>
          <w:color w:val="auto"/>
        </w:rPr>
      </w:pPr>
    </w:p>
    <w:p>
      <w:pPr>
        <w:ind w:left="400" w:right="20"/>
        <w:spacing w:after="0" w:line="259" w:lineRule="auto"/>
        <w:rPr>
          <w:sz w:val="20"/>
          <w:szCs w:val="20"/>
          <w:color w:val="auto"/>
        </w:rPr>
      </w:pPr>
      <w:r>
        <w:rPr>
          <w:rFonts w:ascii="Times New Roman" w:cs="Times New Roman" w:eastAsia="Times New Roman" w:hAnsi="Times New Roman"/>
          <w:sz w:val="16"/>
          <w:szCs w:val="16"/>
          <w:color w:val="auto"/>
        </w:rPr>
        <w:t>We do not maintain a formal policy regarding director attendance at our annual meeting of stockholders, although we encourage our directors to attend such meeting.</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10160"/>
          </w:cols>
          <w:pgMar w:left="660" w:top="879" w:right="108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54" w:lineRule="exact"/>
        <w:rPr>
          <w:sz w:val="20"/>
          <w:szCs w:val="20"/>
          <w:color w:val="auto"/>
        </w:rPr>
      </w:pPr>
    </w:p>
    <w:p>
      <w:pPr>
        <w:ind w:left="400" w:right="160"/>
        <w:spacing w:after="0" w:line="259" w:lineRule="auto"/>
        <w:rPr>
          <w:sz w:val="20"/>
          <w:szCs w:val="20"/>
          <w:color w:val="auto"/>
        </w:rPr>
      </w:pPr>
      <w:r>
        <w:rPr>
          <w:rFonts w:ascii="Times New Roman" w:cs="Times New Roman" w:eastAsia="Times New Roman" w:hAnsi="Times New Roman"/>
          <w:sz w:val="16"/>
          <w:szCs w:val="16"/>
          <w:color w:val="auto"/>
        </w:rPr>
        <w:t>Our Board has established two standing committees — Audit and Compensation — each of which operates under a written charter that has been approved by our Board.</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members of each of the Board committees and committee Chairpersons are set forth in the following chart.</w:t>
      </w:r>
    </w:p>
    <w:p>
      <w:pPr>
        <w:spacing w:after="0" w:line="223" w:lineRule="exact"/>
        <w:rPr>
          <w:sz w:val="20"/>
          <w:szCs w:val="20"/>
          <w:color w:val="auto"/>
        </w:rPr>
      </w:pPr>
    </w:p>
    <w:tbl>
      <w:tblPr>
        <w:tblLayout w:type="fixed"/>
        <w:tblInd w:w="400" w:type="dxa"/>
        <w:tblCellMar>
          <w:top w:w="0" w:type="dxa"/>
          <w:left w:w="0" w:type="dxa"/>
          <w:bottom w:w="0" w:type="dxa"/>
          <w:right w:w="0" w:type="dxa"/>
        </w:tblCellMar>
      </w:tblPr>
      <w:tr>
        <w:trPr>
          <w:trHeight w:val="194"/>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ind w:left="200"/>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660" w:type="dxa"/>
            <w:vAlign w:val="bottom"/>
          </w:tcPr>
          <w:p>
            <w:pPr>
              <w:ind w:left="380"/>
              <w:spacing w:after="0"/>
              <w:rPr>
                <w:sz w:val="20"/>
                <w:szCs w:val="20"/>
                <w:color w:val="auto"/>
              </w:rPr>
            </w:pPr>
            <w:r>
              <w:rPr>
                <w:rFonts w:ascii="Arial" w:cs="Arial" w:eastAsia="Arial" w:hAnsi="Arial"/>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8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George de Urioste</w:t>
            </w: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Chairperson</w:t>
            </w:r>
          </w:p>
        </w:tc>
        <w:tc>
          <w:tcPr>
            <w:tcW w:w="6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Edward Frank</w:t>
            </w:r>
          </w:p>
        </w:tc>
        <w:tc>
          <w:tcPr>
            <w:tcW w:w="4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Chairperson</w:t>
            </w:r>
          </w:p>
        </w:tc>
      </w:tr>
      <w:tr>
        <w:trPr>
          <w:trHeight w:val="264"/>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Anthony Cannestra</w:t>
            </w:r>
          </w:p>
        </w:tc>
        <w:tc>
          <w:tcPr>
            <w:tcW w:w="4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bl>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54" w:lineRule="exact"/>
        <w:rPr>
          <w:sz w:val="20"/>
          <w:szCs w:val="20"/>
          <w:color w:val="auto"/>
        </w:rPr>
      </w:pPr>
    </w:p>
    <w:p>
      <w:pPr>
        <w:ind w:left="400" w:right="380"/>
        <w:spacing w:after="0" w:line="259" w:lineRule="auto"/>
        <w:rPr>
          <w:sz w:val="20"/>
          <w:szCs w:val="20"/>
          <w:color w:val="auto"/>
        </w:rPr>
      </w:pPr>
      <w:r>
        <w:rPr>
          <w:rFonts w:ascii="Times New Roman" w:cs="Times New Roman" w:eastAsia="Times New Roman" w:hAnsi="Times New Roman"/>
          <w:sz w:val="16"/>
          <w:szCs w:val="16"/>
          <w:color w:val="auto"/>
        </w:rPr>
        <w:t>Our Audit Committee oversees our corporate accounting and financial reporting process. Our Audit Committee’s responsibilities include, among other things:</w:t>
      </w:r>
    </w:p>
    <w:p>
      <w:pPr>
        <w:spacing w:after="0" w:line="143" w:lineRule="exact"/>
        <w:rPr>
          <w:sz w:val="20"/>
          <w:szCs w:val="20"/>
          <w:color w:val="auto"/>
        </w:rPr>
      </w:pPr>
    </w:p>
    <w:p>
      <w:pPr>
        <w:ind w:left="1560" w:right="100" w:hanging="390"/>
        <w:spacing w:after="0" w:line="259"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independence, compensation, retention, oversight and qualifications of the Company’s independent auditors and determining whether to retain the Company’s existing independent auditors or engage new independent auditors;</w:t>
      </w:r>
    </w:p>
    <w:p>
      <w:pPr>
        <w:spacing w:after="0" w:line="143"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financial reporting processes and disclosure controls;</w:t>
      </w:r>
    </w:p>
    <w:p>
      <w:pPr>
        <w:spacing w:after="0" w:line="176" w:lineRule="exact"/>
        <w:rPr>
          <w:rFonts w:ascii="Times New Roman" w:cs="Times New Roman" w:eastAsia="Times New Roman" w:hAnsi="Times New Roman"/>
          <w:sz w:val="16"/>
          <w:szCs w:val="16"/>
          <w:color w:val="auto"/>
        </w:rPr>
      </w:pPr>
    </w:p>
    <w:p>
      <w:pPr>
        <w:ind w:left="1560" w:right="40" w:hanging="390"/>
        <w:spacing w:after="0" w:line="259"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engagement of the Company’s independent auditors to perform audit services and any permissible non-audit services;</w:t>
      </w:r>
    </w:p>
    <w:p>
      <w:pPr>
        <w:spacing w:after="0" w:line="143" w:lineRule="exact"/>
        <w:rPr>
          <w:rFonts w:ascii="Times New Roman" w:cs="Times New Roman" w:eastAsia="Times New Roman" w:hAnsi="Times New Roman"/>
          <w:sz w:val="16"/>
          <w:szCs w:val="16"/>
          <w:color w:val="auto"/>
        </w:rPr>
      </w:pPr>
    </w:p>
    <w:p>
      <w:pPr>
        <w:jc w:val="both"/>
        <w:ind w:left="1560" w:right="380" w:hanging="390"/>
        <w:spacing w:after="0" w:line="247"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internal control policies and procedures, including reviewing, with the independent auditors, management’s plans with respect to the responsibilities, budget, staffing and effectiveness of the Company’s internal audit function, and reviewing and approving the Company’s head of internal audit (if established);</w:t>
      </w:r>
    </w:p>
    <w:p>
      <w:pPr>
        <w:spacing w:after="0" w:line="152" w:lineRule="exact"/>
        <w:rPr>
          <w:rFonts w:ascii="Times New Roman" w:cs="Times New Roman" w:eastAsia="Times New Roman" w:hAnsi="Times New Roman"/>
          <w:sz w:val="16"/>
          <w:szCs w:val="16"/>
          <w:color w:val="auto"/>
        </w:rPr>
      </w:pPr>
    </w:p>
    <w:p>
      <w:pPr>
        <w:ind w:left="1560" w:right="180" w:hanging="390"/>
        <w:spacing w:after="0" w:line="259"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auditors the annual audit plan, including the scope of audit activities and all critical accounting policies and practices to be used by the Company;</w:t>
      </w:r>
    </w:p>
    <w:p>
      <w:pPr>
        <w:spacing w:after="0" w:line="143" w:lineRule="exact"/>
        <w:rPr>
          <w:rFonts w:ascii="Times New Roman" w:cs="Times New Roman" w:eastAsia="Times New Roman" w:hAnsi="Times New Roman"/>
          <w:sz w:val="16"/>
          <w:szCs w:val="16"/>
          <w:color w:val="auto"/>
        </w:rPr>
      </w:pPr>
    </w:p>
    <w:p>
      <w:pPr>
        <w:ind w:left="1560" w:right="360" w:hanging="390"/>
        <w:spacing w:after="0" w:line="247"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at least annually,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152"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setting clear hiring policies for employees or former employees of our independent auditors;</w:t>
      </w:r>
    </w:p>
    <w:p>
      <w:pPr>
        <w:spacing w:after="0" w:line="176"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rotation of partners of the Company’s independent auditors on the Company’s engagement team as required by law;</w:t>
      </w:r>
    </w:p>
    <w:p>
      <w:pPr>
        <w:spacing w:after="0" w:line="176" w:lineRule="exact"/>
        <w:rPr>
          <w:rFonts w:ascii="Times New Roman" w:cs="Times New Roman" w:eastAsia="Times New Roman" w:hAnsi="Times New Roman"/>
          <w:sz w:val="16"/>
          <w:szCs w:val="16"/>
          <w:color w:val="auto"/>
        </w:rPr>
      </w:pPr>
    </w:p>
    <w:p>
      <w:pPr>
        <w:ind w:left="1560" w:hanging="390"/>
        <w:spacing w:after="0" w:line="247"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the Company’s independent auditor;</w:t>
      </w:r>
    </w:p>
    <w:p>
      <w:pPr>
        <w:spacing w:after="0" w:line="152" w:lineRule="exact"/>
        <w:rPr>
          <w:rFonts w:ascii="Times New Roman" w:cs="Times New Roman" w:eastAsia="Times New Roman" w:hAnsi="Times New Roman"/>
          <w:sz w:val="16"/>
          <w:szCs w:val="16"/>
          <w:color w:val="auto"/>
        </w:rPr>
      </w:pPr>
    </w:p>
    <w:p>
      <w:pPr>
        <w:ind w:left="1560" w:right="520" w:hanging="390"/>
        <w:spacing w:after="0" w:line="259"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annual and quarterly financial statements and reports and discussing the statements and reports with the Company’s independent auditors and management;</w:t>
      </w:r>
    </w:p>
    <w:p>
      <w:pPr>
        <w:spacing w:after="0" w:line="143" w:lineRule="exact"/>
        <w:rPr>
          <w:rFonts w:ascii="Times New Roman" w:cs="Times New Roman" w:eastAsia="Times New Roman" w:hAnsi="Times New Roman"/>
          <w:sz w:val="16"/>
          <w:szCs w:val="16"/>
          <w:color w:val="auto"/>
        </w:rPr>
      </w:pPr>
    </w:p>
    <w:p>
      <w:pPr>
        <w:ind w:left="1560" w:right="200" w:hanging="390"/>
        <w:spacing w:after="0" w:line="247" w:lineRule="auto"/>
        <w:tabs>
          <w:tab w:leader="none" w:pos="1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10180"/>
          </w:cols>
          <w:pgMar w:left="660" w:top="879" w:right="106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560" w:hanging="390"/>
        <w:spacing w:after="0" w:line="259"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our independent auditors any earnings announcements, disclosures and other financial information and guidance;</w:t>
      </w:r>
    </w:p>
    <w:p>
      <w:pPr>
        <w:spacing w:after="0" w:line="143" w:lineRule="exact"/>
        <w:rPr>
          <w:rFonts w:ascii="Times New Roman" w:cs="Times New Roman" w:eastAsia="Times New Roman" w:hAnsi="Times New Roman"/>
          <w:sz w:val="16"/>
          <w:szCs w:val="16"/>
          <w:color w:val="auto"/>
        </w:rPr>
      </w:pPr>
    </w:p>
    <w:p>
      <w:pPr>
        <w:ind w:left="1560" w:right="40" w:hanging="390"/>
        <w:spacing w:after="0" w:line="259"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review, retention and investigation of complaints received by the Company regarding financial controls, accounting, auditing or other matters;</w:t>
      </w:r>
    </w:p>
    <w:p>
      <w:pPr>
        <w:spacing w:after="0" w:line="143"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report that the SEC requires in the Company’s annual proxy statement;</w:t>
      </w:r>
    </w:p>
    <w:p>
      <w:pPr>
        <w:spacing w:after="0" w:line="176" w:lineRule="exact"/>
        <w:rPr>
          <w:rFonts w:ascii="Times New Roman" w:cs="Times New Roman" w:eastAsia="Times New Roman" w:hAnsi="Times New Roman"/>
          <w:sz w:val="16"/>
          <w:szCs w:val="16"/>
          <w:color w:val="auto"/>
        </w:rPr>
      </w:pPr>
    </w:p>
    <w:p>
      <w:pPr>
        <w:ind w:left="1560" w:hanging="390"/>
        <w:spacing w:after="0" w:line="247"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providing oversight of any related party transactions in accordance with the Company’s related party transaction policy and reviewing and monitoring compliance with legal and regulatory responsibilities, including the Company’s code of business conduct and ethics;</w:t>
      </w:r>
    </w:p>
    <w:p>
      <w:pPr>
        <w:spacing w:after="0" w:line="152" w:lineRule="exact"/>
        <w:rPr>
          <w:rFonts w:ascii="Times New Roman" w:cs="Times New Roman" w:eastAsia="Times New Roman" w:hAnsi="Times New Roman"/>
          <w:sz w:val="16"/>
          <w:szCs w:val="16"/>
          <w:color w:val="auto"/>
        </w:rPr>
      </w:pPr>
    </w:p>
    <w:p>
      <w:pPr>
        <w:ind w:left="1560" w:right="60" w:hanging="390"/>
        <w:spacing w:after="0" w:line="331" w:lineRule="auto"/>
        <w:tabs>
          <w:tab w:leader="none" w:pos="1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risks related to data privacy, technology and information security, including cybersecurity, back-up of information systems, and policies and procedures that the Company has in place to monitor and control such exposures;</w:t>
      </w:r>
    </w:p>
    <w:p>
      <w:pPr>
        <w:spacing w:after="0" w:line="96" w:lineRule="exact"/>
        <w:rPr>
          <w:rFonts w:ascii="Times New Roman" w:cs="Times New Roman" w:eastAsia="Times New Roman" w:hAnsi="Times New Roman"/>
          <w:sz w:val="14"/>
          <w:szCs w:val="14"/>
          <w:color w:val="auto"/>
        </w:rPr>
      </w:pPr>
    </w:p>
    <w:p>
      <w:pPr>
        <w:ind w:left="1560" w:right="320" w:hanging="390"/>
        <w:spacing w:after="0" w:line="259"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major financial risk exposures, including the guidelines and policies to govern the process by which risk assessment and risk management is implemented;</w:t>
      </w:r>
    </w:p>
    <w:p>
      <w:pPr>
        <w:spacing w:after="0" w:line="143" w:lineRule="exact"/>
        <w:rPr>
          <w:rFonts w:ascii="Times New Roman" w:cs="Times New Roman" w:eastAsia="Times New Roman" w:hAnsi="Times New Roman"/>
          <w:sz w:val="16"/>
          <w:szCs w:val="16"/>
          <w:color w:val="auto"/>
        </w:rPr>
      </w:pPr>
    </w:p>
    <w:p>
      <w:pPr>
        <w:ind w:left="1560" w:right="180" w:hanging="390"/>
        <w:spacing w:after="0" w:line="247"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152" w:lineRule="exact"/>
        <w:rPr>
          <w:rFonts w:ascii="Times New Roman" w:cs="Times New Roman" w:eastAsia="Times New Roman" w:hAnsi="Times New Roman"/>
          <w:sz w:val="16"/>
          <w:szCs w:val="16"/>
          <w:color w:val="auto"/>
        </w:rPr>
      </w:pPr>
    </w:p>
    <w:p>
      <w:pPr>
        <w:ind w:left="1560" w:hanging="390"/>
        <w:spacing w:after="0" w:line="243"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the independent auditors any disagreement between them regarding financial reporting, accounting practices or policies, or other matters, that individually or in the aggregate could be significant to the Company’s financial statements or the independent auditor’s report, reviewing management’s response, and resolving any other conflicts or disagreements regarding financial reporting;</w:t>
      </w:r>
    </w:p>
    <w:p>
      <w:pPr>
        <w:spacing w:after="0" w:line="155" w:lineRule="exact"/>
        <w:rPr>
          <w:rFonts w:ascii="Times New Roman" w:cs="Times New Roman" w:eastAsia="Times New Roman" w:hAnsi="Times New Roman"/>
          <w:sz w:val="16"/>
          <w:szCs w:val="16"/>
          <w:color w:val="auto"/>
        </w:rPr>
      </w:pPr>
    </w:p>
    <w:p>
      <w:pPr>
        <w:ind w:left="1560" w:right="180" w:hanging="390"/>
        <w:spacing w:after="0" w:line="247" w:lineRule="auto"/>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152"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legal and regulatory compliance and any material current, pending or threatened legal matters; and</w:t>
      </w:r>
    </w:p>
    <w:p>
      <w:pPr>
        <w:spacing w:after="0" w:line="176"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evaluating on an annual basis the performance of the Audit Committee and the Audit Committee charter.</w:t>
      </w:r>
    </w:p>
    <w:p>
      <w:pPr>
        <w:spacing w:after="0" w:line="150"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 xml:space="preserve">The Audit Committee charter is available on our website at </w:t>
      </w:r>
      <w:r>
        <w:rPr>
          <w:rFonts w:ascii="Times New Roman" w:cs="Times New Roman" w:eastAsia="Times New Roman" w:hAnsi="Times New Roman"/>
          <w:sz w:val="16"/>
          <w:szCs w:val="16"/>
          <w:i w:val="1"/>
          <w:iCs w:val="1"/>
          <w:color w:val="auto"/>
        </w:rPr>
        <w:t>www.blaize.com</w:t>
      </w:r>
      <w:r>
        <w:rPr>
          <w:rFonts w:ascii="Times New Roman" w:cs="Times New Roman" w:eastAsia="Times New Roman" w:hAnsi="Times New Roman"/>
          <w:sz w:val="16"/>
          <w:szCs w:val="16"/>
          <w:color w:val="auto"/>
        </w:rPr>
        <w:t>. The members of the Audit Committee are Mr. de Urioste, Mr. Cannestra, and Mr. Frank. Mr. de Urioste serves as the Chairperson of the committee. Our Board has affirmatively determined that each of Mr. de Urioste, Mr. Cannestra, and Mr. Frank meet the definition of “independent director” for purposes of serving on an audit committee under Rule 10A-3 of the Exchange Act and the Nasdaq rules. In addition, our Board has determined that George de Urioste qualifies as an “audit committee financial expert,” as such term is defined in Item 407(d)(5) of Regulation S-K.</w:t>
      </w:r>
    </w:p>
    <w:p>
      <w:pPr>
        <w:spacing w:after="0" w:line="135" w:lineRule="exact"/>
        <w:rPr>
          <w:sz w:val="20"/>
          <w:szCs w:val="20"/>
          <w:color w:val="auto"/>
        </w:rPr>
      </w:pPr>
    </w:p>
    <w:p>
      <w:pPr>
        <w:ind w:left="400" w:right="660"/>
        <w:spacing w:after="0" w:line="438" w:lineRule="auto"/>
        <w:rPr>
          <w:sz w:val="20"/>
          <w:szCs w:val="20"/>
          <w:color w:val="auto"/>
        </w:rPr>
      </w:pPr>
      <w:r>
        <w:rPr>
          <w:rFonts w:ascii="Times New Roman" w:cs="Times New Roman" w:eastAsia="Times New Roman" w:hAnsi="Times New Roman"/>
          <w:sz w:val="16"/>
          <w:szCs w:val="16"/>
          <w:color w:val="auto"/>
        </w:rPr>
        <w:t xml:space="preserve">The Audit Committee did not meet during fiscal year 2024 as it was formed upon the closing of the Business Combination on January 13, 2025. </w:t>
      </w:r>
      <w:r>
        <w:rPr>
          <w:rFonts w:ascii="Times New Roman" w:cs="Times New Roman" w:eastAsia="Times New Roman" w:hAnsi="Times New Roman"/>
          <w:sz w:val="16"/>
          <w:szCs w:val="16"/>
          <w:b w:val="1"/>
          <w:bCs w:val="1"/>
          <w:color w:val="auto"/>
        </w:rPr>
        <w:t>Compensation Committee</w:t>
      </w:r>
    </w:p>
    <w:p>
      <w:pPr>
        <w:spacing w:after="0" w:line="1" w:lineRule="exact"/>
        <w:rPr>
          <w:sz w:val="20"/>
          <w:szCs w:val="20"/>
          <w:color w:val="auto"/>
        </w:rPr>
      </w:pPr>
    </w:p>
    <w:p>
      <w:pPr>
        <w:ind w:left="400" w:right="160"/>
        <w:spacing w:after="0" w:line="259" w:lineRule="auto"/>
        <w:rPr>
          <w:sz w:val="20"/>
          <w:szCs w:val="20"/>
          <w:color w:val="auto"/>
        </w:rPr>
      </w:pPr>
      <w:r>
        <w:rPr>
          <w:rFonts w:ascii="Times New Roman" w:cs="Times New Roman" w:eastAsia="Times New Roman" w:hAnsi="Times New Roman"/>
          <w:sz w:val="16"/>
          <w:szCs w:val="16"/>
          <w:color w:val="auto"/>
        </w:rPr>
        <w:t>Our Compensation Committee is responsible for assisting the Board in the discharge of its responsibilities relating to the compensation of our executive officers and non-employee directors. Our Compensation Committee’s responsibilities include, among other things:</w:t>
      </w:r>
    </w:p>
    <w:p>
      <w:pPr>
        <w:spacing w:after="0" w:line="143" w:lineRule="exact"/>
        <w:rPr>
          <w:sz w:val="20"/>
          <w:szCs w:val="20"/>
          <w:color w:val="auto"/>
        </w:rPr>
      </w:pPr>
    </w:p>
    <w:p>
      <w:pPr>
        <w:ind w:left="5200" w:right="140" w:hanging="4030"/>
        <w:spacing w:after="0" w:line="463" w:lineRule="auto"/>
        <w:tabs>
          <w:tab w:leader="none" w:pos="154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corporate goals and objectives that pertain to the Company’s overall compensation strategy and policies; 21</w:t>
      </w:r>
    </w:p>
    <w:p>
      <w:pPr>
        <w:sectPr>
          <w:pgSz w:w="11900" w:h="16840" w:orient="portrait"/>
          <w:cols w:equalWidth="0" w:num="1">
            <w:col w:w="10040"/>
          </w:cols>
          <w:pgMar w:left="660" w:top="879" w:right="120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560" w:right="420" w:hanging="390"/>
        <w:spacing w:after="0" w:line="259"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annually the compensation and other terms of employment of the Company’s executive officers and other members of senior management, in the Compensation Committee’s discretion;</w:t>
      </w:r>
    </w:p>
    <w:p>
      <w:pPr>
        <w:spacing w:after="0" w:line="143"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type and amount of compensation to be paid or awarded to the Company’snon-employee board members;</w:t>
      </w:r>
    </w:p>
    <w:p>
      <w:pPr>
        <w:spacing w:after="0" w:line="199" w:lineRule="exact"/>
        <w:rPr>
          <w:rFonts w:ascii="Times New Roman" w:cs="Times New Roman" w:eastAsia="Times New Roman" w:hAnsi="Times New Roman"/>
          <w:sz w:val="14"/>
          <w:szCs w:val="14"/>
          <w:color w:val="auto"/>
        </w:rPr>
      </w:pPr>
    </w:p>
    <w:p>
      <w:pPr>
        <w:ind w:left="1560" w:hanging="390"/>
        <w:spacing w:after="0"/>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the Company’s equity incentive plans and other benefit plans;</w:t>
      </w:r>
    </w:p>
    <w:p>
      <w:pPr>
        <w:spacing w:after="0" w:line="176" w:lineRule="exact"/>
        <w:rPr>
          <w:rFonts w:ascii="Times New Roman" w:cs="Times New Roman" w:eastAsia="Times New Roman" w:hAnsi="Times New Roman"/>
          <w:sz w:val="16"/>
          <w:szCs w:val="16"/>
          <w:color w:val="auto"/>
        </w:rPr>
      </w:pPr>
    </w:p>
    <w:p>
      <w:pPr>
        <w:ind w:left="1560" w:right="300" w:hanging="390"/>
        <w:spacing w:after="0" w:line="247"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terms of any employment agreements, severance arrangements, change in control protections, indemnification agreements and any other material arrangements with the Company’s executive officers and other members of senior management, in the Compensation Committee’s discretion;</w:t>
      </w:r>
    </w:p>
    <w:p>
      <w:pPr>
        <w:spacing w:after="0" w:line="152"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appropriate insurance coverage for the Company’s directors and officers;</w:t>
      </w:r>
    </w:p>
    <w:p>
      <w:pPr>
        <w:spacing w:after="0" w:line="176" w:lineRule="exact"/>
        <w:rPr>
          <w:rFonts w:ascii="Times New Roman" w:cs="Times New Roman" w:eastAsia="Times New Roman" w:hAnsi="Times New Roman"/>
          <w:sz w:val="16"/>
          <w:szCs w:val="16"/>
          <w:color w:val="auto"/>
        </w:rPr>
      </w:pPr>
    </w:p>
    <w:p>
      <w:pPr>
        <w:jc w:val="both"/>
        <w:ind w:left="1560" w:hanging="390"/>
        <w:spacing w:after="0" w:line="331" w:lineRule="auto"/>
        <w:tabs>
          <w:tab w:leader="none" w:pos="1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the Company’s disclosures under the caption “Compensation Discussion and Analysis” in our periodic reports or proxy statements to be filed with the SEC, to the extent such caption is included in any such report or proxy statement;</w:t>
      </w:r>
    </w:p>
    <w:p>
      <w:pPr>
        <w:spacing w:after="0" w:line="96" w:lineRule="exact"/>
        <w:rPr>
          <w:rFonts w:ascii="Times New Roman" w:cs="Times New Roman" w:eastAsia="Times New Roman" w:hAnsi="Times New Roman"/>
          <w:sz w:val="14"/>
          <w:szCs w:val="14"/>
          <w:color w:val="auto"/>
        </w:rPr>
      </w:pPr>
    </w:p>
    <w:p>
      <w:pPr>
        <w:ind w:left="1560" w:hanging="390"/>
        <w:spacing w:after="0"/>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 annual report on executive compensation that the SEC requires in the Company’s annual proxy statement;</w:t>
      </w:r>
    </w:p>
    <w:p>
      <w:pPr>
        <w:spacing w:after="0" w:line="176" w:lineRule="exact"/>
        <w:rPr>
          <w:rFonts w:ascii="Times New Roman" w:cs="Times New Roman" w:eastAsia="Times New Roman" w:hAnsi="Times New Roman"/>
          <w:sz w:val="16"/>
          <w:szCs w:val="16"/>
          <w:color w:val="auto"/>
        </w:rPr>
      </w:pPr>
    </w:p>
    <w:p>
      <w:pPr>
        <w:ind w:left="1560" w:right="160" w:hanging="390"/>
        <w:spacing w:after="0" w:line="331" w:lineRule="auto"/>
        <w:tabs>
          <w:tab w:leader="none" w:pos="1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Company’s practices and policies for employee compensation as related to risk management and risk-taking incentives to determine if such compensation policies and practices are reasonably likely to have a material adverse effect on the Company;</w:t>
      </w:r>
    </w:p>
    <w:p>
      <w:pPr>
        <w:spacing w:after="0" w:line="96" w:lineRule="exact"/>
        <w:rPr>
          <w:rFonts w:ascii="Times New Roman" w:cs="Times New Roman" w:eastAsia="Times New Roman" w:hAnsi="Times New Roman"/>
          <w:sz w:val="14"/>
          <w:szCs w:val="14"/>
          <w:color w:val="auto"/>
        </w:rPr>
      </w:pPr>
    </w:p>
    <w:p>
      <w:pPr>
        <w:ind w:left="1560" w:right="240" w:hanging="390"/>
        <w:spacing w:after="0" w:line="259"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monitoring stock ownership guidelines for the Company’s directors and executive officers, if and as determined to be necessary or appropriate;</w:t>
      </w:r>
    </w:p>
    <w:p>
      <w:pPr>
        <w:spacing w:after="0" w:line="143" w:lineRule="exact"/>
        <w:rPr>
          <w:rFonts w:ascii="Times New Roman" w:cs="Times New Roman" w:eastAsia="Times New Roman" w:hAnsi="Times New Roman"/>
          <w:sz w:val="16"/>
          <w:szCs w:val="16"/>
          <w:color w:val="auto"/>
        </w:rPr>
      </w:pPr>
    </w:p>
    <w:p>
      <w:pPr>
        <w:ind w:left="1560" w:right="480" w:hanging="390"/>
        <w:spacing w:after="0" w:line="259"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recommendations to the Board on compensation-related proposals to be considered at the Company’s annual meeting of stockholders;</w:t>
      </w:r>
    </w:p>
    <w:p>
      <w:pPr>
        <w:spacing w:after="0" w:line="143" w:lineRule="exact"/>
        <w:rPr>
          <w:rFonts w:ascii="Times New Roman" w:cs="Times New Roman" w:eastAsia="Times New Roman" w:hAnsi="Times New Roman"/>
          <w:sz w:val="16"/>
          <w:szCs w:val="16"/>
          <w:color w:val="auto"/>
        </w:rPr>
      </w:pPr>
    </w:p>
    <w:p>
      <w:pPr>
        <w:ind w:left="1560" w:right="40" w:hanging="390"/>
        <w:spacing w:after="0" w:line="247"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152" w:lineRule="exact"/>
        <w:rPr>
          <w:rFonts w:ascii="Times New Roman" w:cs="Times New Roman" w:eastAsia="Times New Roman" w:hAnsi="Times New Roman"/>
          <w:sz w:val="16"/>
          <w:szCs w:val="16"/>
          <w:color w:val="auto"/>
        </w:rPr>
      </w:pPr>
    </w:p>
    <w:p>
      <w:pPr>
        <w:ind w:left="1560" w:right="160" w:hanging="390"/>
        <w:spacing w:after="0" w:line="259"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discussing with management our human capital management practices with respect to its employees and, where applicable, independent contractors;</w:t>
      </w:r>
    </w:p>
    <w:p>
      <w:pPr>
        <w:spacing w:after="0" w:line="143" w:lineRule="exact"/>
        <w:rPr>
          <w:rFonts w:ascii="Times New Roman" w:cs="Times New Roman" w:eastAsia="Times New Roman" w:hAnsi="Times New Roman"/>
          <w:sz w:val="16"/>
          <w:szCs w:val="16"/>
          <w:color w:val="auto"/>
        </w:rPr>
      </w:pPr>
    </w:p>
    <w:p>
      <w:pPr>
        <w:ind w:left="1560" w:hanging="390"/>
        <w:spacing w:after="0"/>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and modifying, as needed, clawback policies allowing us to recoup improper compensation paid to employees; and</w:t>
      </w:r>
    </w:p>
    <w:p>
      <w:pPr>
        <w:spacing w:after="0" w:line="176" w:lineRule="exact"/>
        <w:rPr>
          <w:rFonts w:ascii="Times New Roman" w:cs="Times New Roman" w:eastAsia="Times New Roman" w:hAnsi="Times New Roman"/>
          <w:sz w:val="16"/>
          <w:szCs w:val="16"/>
          <w:color w:val="auto"/>
        </w:rPr>
      </w:pPr>
    </w:p>
    <w:p>
      <w:pPr>
        <w:ind w:left="1560" w:right="460" w:hanging="390"/>
        <w:spacing w:after="0" w:line="259" w:lineRule="auto"/>
        <w:tabs>
          <w:tab w:leader="none" w:pos="1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evaluating on an annual basis the performance of the Compensation Committee and recommending such changes as deemed necessary with the Board.</w:t>
      </w:r>
    </w:p>
    <w:p>
      <w:pPr>
        <w:spacing w:after="0" w:line="117"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Pursuant to the Compensation Committee’s charter, which is available on our website at</w:t>
      </w:r>
      <w:r>
        <w:rPr>
          <w:rFonts w:ascii="Times New Roman" w:cs="Times New Roman" w:eastAsia="Times New Roman" w:hAnsi="Times New Roman"/>
          <w:sz w:val="16"/>
          <w:szCs w:val="16"/>
          <w:i w:val="1"/>
          <w:iCs w:val="1"/>
          <w:color w:val="auto"/>
        </w:rPr>
        <w:t>www.blaize.com</w:t>
      </w:r>
      <w:r>
        <w:rPr>
          <w:rFonts w:ascii="Times New Roman" w:cs="Times New Roman" w:eastAsia="Times New Roman" w:hAnsi="Times New Roman"/>
          <w:sz w:val="16"/>
          <w:szCs w:val="16"/>
          <w:color w:val="auto"/>
        </w:rPr>
        <w:t>, the Compensation Committee may, in its sole discretion, retain or obtain advice from compensation consultants, legal counsel or other advisers (independent or otherwise), to assist in carrying out its responsibilities. The members of our Compensation Committee are Mr. Frank, Mr. Cannestra, and Mr. de Urioste. Mr. Frank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w:t>
      </w:r>
    </w:p>
    <w:p>
      <w:pPr>
        <w:spacing w:after="0" w:line="135" w:lineRule="exact"/>
        <w:rPr>
          <w:sz w:val="20"/>
          <w:szCs w:val="20"/>
          <w:color w:val="auto"/>
        </w:rPr>
      </w:pPr>
    </w:p>
    <w:p>
      <w:pPr>
        <w:jc w:val="center"/>
        <w:ind w:left="800" w:right="260"/>
        <w:spacing w:after="0" w:line="463" w:lineRule="auto"/>
        <w:rPr>
          <w:sz w:val="20"/>
          <w:szCs w:val="20"/>
          <w:color w:val="auto"/>
        </w:rPr>
      </w:pPr>
      <w:r>
        <w:rPr>
          <w:rFonts w:ascii="Times New Roman" w:cs="Times New Roman" w:eastAsia="Times New Roman" w:hAnsi="Times New Roman"/>
          <w:sz w:val="16"/>
          <w:szCs w:val="16"/>
          <w:color w:val="auto"/>
        </w:rPr>
        <w:t>The Compensation Committee did not meet during fiscal year 2024 as it was formed upon the closing of the Business Combination on January 13, 2025. 22</w:t>
      </w:r>
    </w:p>
    <w:p>
      <w:pPr>
        <w:sectPr>
          <w:pgSz w:w="11900" w:h="16840" w:orient="portrait"/>
          <w:cols w:equalWidth="0" w:num="1">
            <w:col w:w="10180"/>
          </w:cols>
          <w:pgMar w:left="660" w:top="879" w:right="106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BLAIZE’S EXECUTIVE AND DIRECTOR COMPENSATION</w:t>
      </w:r>
    </w:p>
    <w:p>
      <w:pPr>
        <w:spacing w:after="0" w:line="154" w:lineRule="exact"/>
        <w:rPr>
          <w:sz w:val="20"/>
          <w:szCs w:val="20"/>
          <w:color w:val="auto"/>
        </w:rPr>
      </w:pPr>
    </w:p>
    <w:p>
      <w:pPr>
        <w:ind w:left="400" w:right="540" w:firstLine="384"/>
        <w:spacing w:after="0" w:line="259" w:lineRule="auto"/>
        <w:rPr>
          <w:sz w:val="20"/>
          <w:szCs w:val="20"/>
          <w:color w:val="auto"/>
        </w:rPr>
      </w:pPr>
      <w:r>
        <w:rPr>
          <w:rFonts w:ascii="Times New Roman" w:cs="Times New Roman" w:eastAsia="Times New Roman" w:hAnsi="Times New Roman"/>
          <w:sz w:val="16"/>
          <w:szCs w:val="16"/>
          <w:color w:val="auto"/>
        </w:rPr>
        <w:t>Throughout this section, unless otherwise noted, “the company,” “we,” “us,” “our” and similar terms refer to Blaize prior to the closing of our business combination on January 13, 2025.</w:t>
      </w:r>
    </w:p>
    <w:p>
      <w:pPr>
        <w:spacing w:after="0" w:line="119" w:lineRule="exact"/>
        <w:rPr>
          <w:sz w:val="20"/>
          <w:szCs w:val="20"/>
          <w:color w:val="auto"/>
        </w:rPr>
      </w:pPr>
    </w:p>
    <w:p>
      <w:pPr>
        <w:ind w:left="400" w:right="640" w:firstLine="384"/>
        <w:spacing w:after="0" w:line="259"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83" w:lineRule="exact"/>
        <w:rPr>
          <w:sz w:val="20"/>
          <w:szCs w:val="20"/>
          <w:color w:val="auto"/>
        </w:rPr>
      </w:pPr>
    </w:p>
    <w:p>
      <w:pPr>
        <w:ind w:left="1360" w:hanging="490"/>
        <w:spacing w:after="0"/>
        <w:tabs>
          <w:tab w:leader="none" w:pos="1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Dinakar Munagala, Chief Executive Officer;</w:t>
      </w:r>
    </w:p>
    <w:p>
      <w:pPr>
        <w:spacing w:after="0" w:line="116"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 Cook, Chief Software Architect; and</w:t>
      </w:r>
    </w:p>
    <w:p>
      <w:pPr>
        <w:spacing w:after="0" w:line="116"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Santiago Fernandez-Gomez, Vice President of Platform Engineering.</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Summary Executive Compensation Table</w:t>
      </w:r>
    </w:p>
    <w:p>
      <w:pPr>
        <w:spacing w:after="0" w:line="94"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of Blaize’s named executive officers for the year ended December 31, 2024 and 2023.</w:t>
      </w:r>
    </w:p>
    <w:p>
      <w:pPr>
        <w:spacing w:after="0" w:line="10"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4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84"/>
              <w:spacing w:after="0"/>
              <w:rPr>
                <w:sz w:val="20"/>
                <w:szCs w:val="20"/>
                <w:color w:val="auto"/>
              </w:rPr>
            </w:pPr>
            <w:r>
              <w:rPr>
                <w:rFonts w:ascii="Arial" w:cs="Arial" w:eastAsia="Arial" w:hAnsi="Arial"/>
                <w:sz w:val="14"/>
                <w:szCs w:val="14"/>
                <w:b w:val="1"/>
                <w:bCs w:val="1"/>
                <w:color w:val="auto"/>
              </w:rPr>
              <w:t>   </w:t>
            </w:r>
            <w:r>
              <w:rPr>
                <w:rFonts w:ascii="Times New Roman" w:cs="Times New Roman" w:eastAsia="Times New Roman" w:hAnsi="Times New Roman"/>
                <w:sz w:val="14"/>
                <w:szCs w:val="14"/>
                <w:b w:val="1"/>
                <w:bCs w:val="1"/>
                <w:color w:val="auto"/>
              </w:rPr>
              <w:t>Year</w:t>
            </w:r>
            <w:r>
              <w:rPr>
                <w:rFonts w:ascii="Arial" w:cs="Arial" w:eastAsia="Arial" w:hAnsi="Arial"/>
                <w:sz w:val="14"/>
                <w:szCs w:val="14"/>
                <w:b w:val="1"/>
                <w:bCs w:val="1"/>
                <w:color w:val="auto"/>
              </w:rPr>
              <w:t xml:space="preserve">   </w:t>
            </w:r>
          </w:p>
        </w:tc>
        <w:tc>
          <w:tcPr>
            <w:tcW w:w="160" w:type="dxa"/>
            <w:vAlign w:val="bottom"/>
          </w:tcPr>
          <w:p>
            <w:pPr>
              <w:spacing w:after="0"/>
              <w:rPr>
                <w:sz w:val="15"/>
                <w:szCs w:val="15"/>
                <w:color w:val="auto"/>
              </w:rPr>
            </w:pPr>
          </w:p>
        </w:tc>
        <w:tc>
          <w:tcPr>
            <w:tcW w:w="1400" w:type="dxa"/>
            <w:vAlign w:val="bottom"/>
          </w:tcPr>
          <w:p>
            <w:pPr>
              <w:jc w:val="right"/>
              <w:ind w:right="164"/>
              <w:spacing w:after="0"/>
              <w:rPr>
                <w:sz w:val="20"/>
                <w:szCs w:val="20"/>
                <w:color w:val="auto"/>
              </w:rPr>
            </w:pPr>
            <w:r>
              <w:rPr>
                <w:rFonts w:ascii="Arial" w:cs="Arial" w:eastAsia="Arial" w:hAnsi="Arial"/>
                <w:sz w:val="14"/>
                <w:szCs w:val="14"/>
                <w:b w:val="1"/>
                <w:bCs w:val="1"/>
                <w:color w:val="auto"/>
              </w:rPr>
              <w:t>  </w:t>
            </w:r>
            <w:r>
              <w:rPr>
                <w:rFonts w:ascii="Times New Roman" w:cs="Times New Roman" w:eastAsia="Times New Roman" w:hAnsi="Times New Roman"/>
                <w:sz w:val="14"/>
                <w:szCs w:val="14"/>
                <w:b w:val="1"/>
                <w:bCs w:val="1"/>
                <w:color w:val="auto"/>
              </w:rPr>
              <w:t>Salary ($)</w:t>
            </w:r>
            <w:r>
              <w:rPr>
                <w:rFonts w:ascii="Arial" w:cs="Arial" w:eastAsia="Arial" w:hAnsi="Arial"/>
                <w:sz w:val="14"/>
                <w:szCs w:val="14"/>
                <w:b w:val="1"/>
                <w:bCs w:val="1"/>
                <w:color w:val="auto"/>
              </w:rPr>
              <w:t>  </w:t>
            </w:r>
          </w:p>
        </w:tc>
        <w:tc>
          <w:tcPr>
            <w:tcW w:w="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 </w:t>
            </w:r>
            <w:r>
              <w:rPr>
                <w:rFonts w:ascii="Times New Roman" w:cs="Times New Roman" w:eastAsia="Times New Roman" w:hAnsi="Times New Roman"/>
                <w:sz w:val="14"/>
                <w:szCs w:val="14"/>
                <w:b w:val="1"/>
                <w:bCs w:val="1"/>
                <w:color w:val="auto"/>
              </w:rPr>
              <w:t>($)</w:t>
            </w:r>
            <w:r>
              <w:rPr>
                <w:rFonts w:ascii="Arial" w:cs="Arial" w:eastAsia="Arial" w:hAnsi="Arial"/>
                <w:sz w:val="14"/>
                <w:szCs w:val="14"/>
                <w:b w:val="1"/>
                <w:bCs w:val="1"/>
                <w:color w:val="auto"/>
              </w:rPr>
              <w:t xml:space="preserve"> </w:t>
            </w:r>
          </w:p>
        </w:tc>
        <w:tc>
          <w:tcPr>
            <w:tcW w:w="1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w:t>
            </w:r>
            <w:r>
              <w:rPr>
                <w:rFonts w:ascii="Times New Roman" w:cs="Times New Roman" w:eastAsia="Times New Roman" w:hAnsi="Times New Roman"/>
                <w:sz w:val="14"/>
                <w:szCs w:val="14"/>
                <w:b w:val="1"/>
                <w:bCs w:val="1"/>
                <w:color w:val="auto"/>
              </w:rPr>
              <w:t>Total ($)</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72"/>
        </w:trPr>
        <w:tc>
          <w:tcPr>
            <w:tcW w:w="31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Dinakar Munagala</w:t>
            </w:r>
          </w:p>
        </w:tc>
        <w:tc>
          <w:tcPr>
            <w:tcW w:w="1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364"/>
              <w:spacing w:after="0" w:line="172" w:lineRule="exact"/>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344"/>
              <w:spacing w:after="0" w:line="172" w:lineRule="exact"/>
              <w:rPr>
                <w:sz w:val="20"/>
                <w:szCs w:val="20"/>
                <w:color w:val="auto"/>
              </w:rPr>
            </w:pPr>
            <w:r>
              <w:rPr>
                <w:rFonts w:ascii="Times New Roman" w:cs="Times New Roman" w:eastAsia="Times New Roman" w:hAnsi="Times New Roman"/>
                <w:sz w:val="16"/>
                <w:szCs w:val="16"/>
                <w:color w:val="auto"/>
              </w:rPr>
              <w:t>595,833</w:t>
            </w: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3,798,428</w:t>
            </w: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224"/>
              <w:spacing w:after="0" w:line="172" w:lineRule="exact"/>
              <w:rPr>
                <w:sz w:val="20"/>
                <w:szCs w:val="20"/>
                <w:color w:val="auto"/>
              </w:rPr>
            </w:pPr>
            <w:r>
              <w:rPr>
                <w:rFonts w:ascii="Times New Roman" w:cs="Times New Roman" w:eastAsia="Times New Roman" w:hAnsi="Times New Roman"/>
                <w:sz w:val="16"/>
                <w:szCs w:val="16"/>
                <w:color w:val="auto"/>
              </w:rPr>
              <w:t>24</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4,394,285</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380" w:type="dxa"/>
            <w:vAlign w:val="bottom"/>
            <w:gridSpan w:val="2"/>
            <w:shd w:val="clear" w:color="auto" w:fill="CCEEFF"/>
          </w:tcPr>
          <w:p>
            <w:pPr>
              <w:jc w:val="right"/>
              <w:ind w:right="364"/>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1560" w:type="dxa"/>
            <w:vAlign w:val="bottom"/>
            <w:gridSpan w:val="2"/>
            <w:shd w:val="clear" w:color="auto" w:fill="CCEEFF"/>
          </w:tcPr>
          <w:p>
            <w:pPr>
              <w:jc w:val="right"/>
              <w:ind w:right="344"/>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1,337,142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24"/>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8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1,637,167</w:t>
            </w:r>
          </w:p>
        </w:tc>
        <w:tc>
          <w:tcPr>
            <w:tcW w:w="0" w:type="dxa"/>
            <w:vAlign w:val="bottom"/>
          </w:tcPr>
          <w:p>
            <w:pPr>
              <w:spacing w:after="0"/>
              <w:rPr>
                <w:sz w:val="1"/>
                <w:szCs w:val="1"/>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Val Cook</w:t>
            </w:r>
          </w:p>
        </w:tc>
        <w:tc>
          <w:tcPr>
            <w:tcW w:w="138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auto"/>
              </w:rPr>
              <w:t>2024</w:t>
            </w:r>
          </w:p>
        </w:tc>
        <w:tc>
          <w:tcPr>
            <w:tcW w:w="156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rPr>
              <w:t>397,570</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781,714</w:t>
            </w: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1,179,308</w:t>
            </w:r>
          </w:p>
        </w:tc>
        <w:tc>
          <w:tcPr>
            <w:tcW w:w="0" w:type="dxa"/>
            <w:vAlign w:val="bottom"/>
          </w:tcPr>
          <w:p>
            <w:pPr>
              <w:spacing w:after="0"/>
              <w:rPr>
                <w:sz w:val="1"/>
                <w:szCs w:val="1"/>
                <w:color w:val="auto"/>
              </w:rPr>
            </w:pPr>
          </w:p>
        </w:tc>
      </w:tr>
      <w:tr>
        <w:trPr>
          <w:trHeight w:val="205"/>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Chief Software Architect</w:t>
            </w:r>
          </w:p>
        </w:tc>
        <w:tc>
          <w:tcPr>
            <w:tcW w:w="138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auto"/>
              </w:rPr>
              <w:t>2023</w:t>
            </w:r>
          </w:p>
        </w:tc>
        <w:tc>
          <w:tcPr>
            <w:tcW w:w="156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rPr>
              <w:t>225,000</w:t>
            </w:r>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476,724</w:t>
            </w: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701,749</w:t>
            </w:r>
          </w:p>
        </w:tc>
        <w:tc>
          <w:tcPr>
            <w:tcW w:w="0" w:type="dxa"/>
            <w:vAlign w:val="bottom"/>
          </w:tcPr>
          <w:p>
            <w:pPr>
              <w:spacing w:after="0"/>
              <w:rPr>
                <w:sz w:val="1"/>
                <w:szCs w:val="1"/>
                <w:color w:val="auto"/>
              </w:rPr>
            </w:pPr>
          </w:p>
        </w:tc>
      </w:tr>
      <w:tr>
        <w:trPr>
          <w:trHeight w:val="50"/>
        </w:trPr>
        <w:tc>
          <w:tcPr>
            <w:tcW w:w="3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Santiago Fernandez-Gomez</w:t>
            </w:r>
          </w:p>
        </w:tc>
        <w:tc>
          <w:tcPr>
            <w:tcW w:w="1380" w:type="dxa"/>
            <w:vAlign w:val="bottom"/>
            <w:gridSpan w:val="2"/>
            <w:shd w:val="clear" w:color="auto" w:fill="CCEEFF"/>
          </w:tcPr>
          <w:p>
            <w:pPr>
              <w:jc w:val="right"/>
              <w:ind w:right="364"/>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1560" w:type="dxa"/>
            <w:vAlign w:val="bottom"/>
            <w:gridSpan w:val="2"/>
            <w:shd w:val="clear" w:color="auto" w:fill="CCEEFF"/>
          </w:tcPr>
          <w:p>
            <w:pPr>
              <w:jc w:val="right"/>
              <w:ind w:right="344"/>
              <w:spacing w:after="0" w:line="180" w:lineRule="exact"/>
              <w:rPr>
                <w:sz w:val="20"/>
                <w:szCs w:val="20"/>
                <w:color w:val="auto"/>
              </w:rPr>
            </w:pPr>
            <w:r>
              <w:rPr>
                <w:rFonts w:ascii="Times New Roman" w:cs="Times New Roman" w:eastAsia="Times New Roman" w:hAnsi="Times New Roman"/>
                <w:sz w:val="16"/>
                <w:szCs w:val="16"/>
                <w:color w:val="auto"/>
              </w:rPr>
              <w:t>447,917</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730,817</w:t>
            </w:r>
          </w:p>
        </w:tc>
        <w:tc>
          <w:tcPr>
            <w:tcW w:w="880" w:type="dxa"/>
            <w:vAlign w:val="bottom"/>
            <w:shd w:val="clear" w:color="auto" w:fill="CCEEFF"/>
          </w:tcPr>
          <w:p>
            <w:pPr>
              <w:jc w:val="right"/>
              <w:ind w:right="224"/>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8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1,178,758</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Vice President of Platform Engineering</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152400</wp:posOffset>
            </wp:positionV>
            <wp:extent cx="9906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spacing w:after="0" w:line="244" w:lineRule="exact"/>
        <w:rPr>
          <w:sz w:val="20"/>
          <w:szCs w:val="20"/>
          <w:color w:val="auto"/>
        </w:rPr>
      </w:pPr>
    </w:p>
    <w:p>
      <w:pPr>
        <w:ind w:left="780" w:right="20" w:hanging="390"/>
        <w:spacing w:after="0" w:line="258" w:lineRule="auto"/>
        <w:tabs>
          <w:tab w:leader="none" w:pos="7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11 to Blaize’s consolidated financial statements filed in our Current Report on Form 8-K on January 17, 2025.</w:t>
      </w:r>
    </w:p>
    <w:p>
      <w:pPr>
        <w:ind w:left="780" w:hanging="390"/>
        <w:spacing w:after="0"/>
        <w:tabs>
          <w:tab w:leader="none" w:pos="7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aggregate dollar value of life insurance premiums paid by Blaize with respect to each named executive officer during 2024 and 2023, as applicable.</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NARRATIVE TO SUMMARY COMPENSATION TABLE</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2024 Salaries</w:t>
      </w:r>
    </w:p>
    <w:p>
      <w:pPr>
        <w:spacing w:after="0" w:line="96" w:lineRule="exact"/>
        <w:rPr>
          <w:sz w:val="20"/>
          <w:szCs w:val="20"/>
          <w:color w:val="auto"/>
        </w:rPr>
      </w:pPr>
    </w:p>
    <w:p>
      <w:pPr>
        <w:ind w:left="400" w:right="100" w:firstLine="384"/>
        <w:spacing w:after="0" w:line="289" w:lineRule="auto"/>
        <w:rPr>
          <w:sz w:val="20"/>
          <w:szCs w:val="20"/>
          <w:color w:val="auto"/>
        </w:rPr>
      </w:pPr>
      <w:r>
        <w:rPr>
          <w:rFonts w:ascii="Times New Roman" w:cs="Times New Roman" w:eastAsia="Times New Roman" w:hAnsi="Times New Roman"/>
          <w:sz w:val="14"/>
          <w:szCs w:val="14"/>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$ 600,000; Mr. Cook: $400,000; and Mr. Fernandez-Gomez: $450,000. The Summary Compensation Table above shows the actual base salaries paid to each named executive officer in fiscal year 2024.</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96" w:lineRule="exact"/>
        <w:rPr>
          <w:sz w:val="20"/>
          <w:szCs w:val="20"/>
          <w:color w:val="auto"/>
        </w:rPr>
      </w:pPr>
    </w:p>
    <w:p>
      <w:pPr>
        <w:ind w:left="400" w:right="220" w:firstLine="384"/>
        <w:spacing w:after="0" w:line="247" w:lineRule="auto"/>
        <w:rPr>
          <w:sz w:val="20"/>
          <w:szCs w:val="20"/>
          <w:color w:val="auto"/>
        </w:rPr>
      </w:pPr>
      <w:r>
        <w:rPr>
          <w:rFonts w:ascii="Times New Roman" w:cs="Times New Roman" w:eastAsia="Times New Roman" w:hAnsi="Times New Roman"/>
          <w:sz w:val="16"/>
          <w:szCs w:val="16"/>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128" w:lineRule="exact"/>
        <w:rPr>
          <w:sz w:val="20"/>
          <w:szCs w:val="20"/>
          <w:color w:val="auto"/>
        </w:rPr>
      </w:pPr>
    </w:p>
    <w:p>
      <w:pPr>
        <w:ind w:left="400" w:right="180" w:firstLine="384"/>
        <w:spacing w:after="0" w:line="183" w:lineRule="auto"/>
        <w:rPr>
          <w:sz w:val="20"/>
          <w:szCs w:val="20"/>
          <w:color w:val="auto"/>
        </w:rPr>
      </w:pPr>
      <w:r>
        <w:rPr>
          <w:rFonts w:ascii="Times New Roman" w:cs="Times New Roman" w:eastAsia="Times New Roman" w:hAnsi="Times New Roman"/>
          <w:sz w:val="16"/>
          <w:szCs w:val="16"/>
          <w:color w:val="auto"/>
        </w:rPr>
        <w:t>The options granted to the named executive officers in 2024 vest and become exercisable with respect toone-third (1/3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6"/>
          <w:szCs w:val="16"/>
          <w:color w:val="auto"/>
        </w:rPr>
        <w:t>) of the shares subject to the option on the first anniversary of the vesting commencement date and with respect to one-thirty-sixth (1/36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of the shares subject to the option on each monthly anniversary of the vesting commencement</w:t>
      </w:r>
    </w:p>
    <w:p>
      <w:pPr>
        <w:spacing w:after="0" w:line="1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10180"/>
          </w:cols>
          <w:pgMar w:left="660" w:top="879" w:right="106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40"/>
        <w:spacing w:after="0" w:line="247" w:lineRule="auto"/>
        <w:rPr>
          <w:sz w:val="20"/>
          <w:szCs w:val="20"/>
          <w:color w:val="auto"/>
        </w:rPr>
      </w:pPr>
      <w:r>
        <w:rPr>
          <w:rFonts w:ascii="Times New Roman" w:cs="Times New Roman" w:eastAsia="Times New Roman" w:hAnsi="Times New Roman"/>
          <w:sz w:val="16"/>
          <w:szCs w:val="16"/>
          <w:color w:val="auto"/>
        </w:rPr>
        <w:t>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6"/>
          <w:szCs w:val="16"/>
          <w:i w:val="1"/>
          <w:iCs w:val="1"/>
          <w:color w:val="auto"/>
        </w:rPr>
        <w:t>Offer Letters</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jc w:val="both"/>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Other Elements of Compensation</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Retirement Plan</w:t>
      </w:r>
    </w:p>
    <w:p>
      <w:pPr>
        <w:spacing w:after="0" w:line="94" w:lineRule="exact"/>
        <w:rPr>
          <w:sz w:val="20"/>
          <w:szCs w:val="20"/>
          <w:color w:val="auto"/>
        </w:rPr>
      </w:pPr>
    </w:p>
    <w:p>
      <w:pPr>
        <w:jc w:val="both"/>
        <w:ind w:left="400" w:right="180" w:firstLine="384"/>
        <w:spacing w:after="0" w:line="241" w:lineRule="auto"/>
        <w:rPr>
          <w:sz w:val="20"/>
          <w:szCs w:val="20"/>
          <w:color w:val="auto"/>
        </w:rPr>
      </w:pPr>
      <w:r>
        <w:rPr>
          <w:rFonts w:ascii="Times New Roman" w:cs="Times New Roman" w:eastAsia="Times New Roman" w:hAnsi="Times New Roman"/>
          <w:sz w:val="16"/>
          <w:szCs w:val="16"/>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Employee Benefits and Perquisites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All of our full-time employees, including our named executive officers, are eligible to participate in our health and welfare plans, including:</w:t>
      </w:r>
    </w:p>
    <w:p>
      <w:pPr>
        <w:spacing w:after="0" w:line="116" w:lineRule="exact"/>
        <w:rPr>
          <w:sz w:val="20"/>
          <w:szCs w:val="20"/>
          <w:color w:val="auto"/>
        </w:rPr>
      </w:pPr>
    </w:p>
    <w:p>
      <w:pPr>
        <w:ind w:left="1360" w:hanging="490"/>
        <w:spacing w:after="0"/>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dental and vision benefits;</w:t>
      </w:r>
    </w:p>
    <w:p>
      <w:pPr>
        <w:spacing w:after="0" w:line="116"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and long-term disability insurance; and</w:t>
      </w:r>
    </w:p>
    <w:p>
      <w:pPr>
        <w:spacing w:after="0" w:line="116"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life and accidental death and dismemberment insurance.</w:t>
      </w:r>
    </w:p>
    <w:p>
      <w:pPr>
        <w:spacing w:after="0" w:line="188"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No Tax Gross-Ups</w:t>
      </w:r>
    </w:p>
    <w:p>
      <w:pPr>
        <w:spacing w:after="0" w:line="94"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Blaize does not make gross-up payments to cover our named executive officers’ personal income taxes that may pertain to any of the compensation or perquisites paid or provided by our company.</w:t>
      </w:r>
    </w:p>
    <w:p>
      <w:pPr>
        <w:spacing w:after="0" w:line="11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10140"/>
          </w:cols>
          <w:pgMar w:left="660" w:top="879" w:right="110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94" w:lineRule="exact"/>
        <w:rPr>
          <w:sz w:val="20"/>
          <w:szCs w:val="20"/>
          <w:color w:val="auto"/>
        </w:rPr>
      </w:pPr>
    </w:p>
    <w:p>
      <w:pPr>
        <w:ind w:left="400" w:right="300"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Plan</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80" w:type="dxa"/>
            <w:vAlign w:val="bottom"/>
            <w:gridSpan w:val="3"/>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56"/>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560" w:type="dxa"/>
            <w:vAlign w:val="bottom"/>
            <w:gridSpan w:val="2"/>
          </w:tcPr>
          <w:p>
            <w:pPr>
              <w:jc w:val="center"/>
              <w:ind w:left="4"/>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3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560" w:type="dxa"/>
            <w:vAlign w:val="bottom"/>
            <w:gridSpan w:val="2"/>
          </w:tcPr>
          <w:p>
            <w:pPr>
              <w:jc w:val="center"/>
              <w:ind w:left="4"/>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232"/>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Dinakar Munagala</w:t>
            </w:r>
          </w:p>
        </w:tc>
        <w:tc>
          <w:tcPr>
            <w:tcW w:w="2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3/15/2017</w:t>
            </w:r>
          </w:p>
        </w:tc>
        <w:tc>
          <w:tcPr>
            <w:tcW w:w="2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1/1/2017</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center"/>
              <w:spacing w:after="0" w:line="232" w:lineRule="exact"/>
              <w:rPr>
                <w:sz w:val="20"/>
                <w:szCs w:val="20"/>
                <w:color w:val="auto"/>
              </w:rPr>
            </w:pPr>
            <w:r>
              <w:rPr>
                <w:rFonts w:ascii="Times New Roman" w:cs="Times New Roman" w:eastAsia="Times New Roman" w:hAnsi="Times New Roman"/>
                <w:sz w:val="16"/>
                <w:szCs w:val="16"/>
                <w:color w:val="auto"/>
                <w:w w:val="90"/>
              </w:rPr>
              <w:t>147,000</w:t>
            </w:r>
            <w:r>
              <w:rPr>
                <w:rFonts w:ascii="Times New Roman" w:cs="Times New Roman" w:eastAsia="Times New Roman" w:hAnsi="Times New Roman"/>
                <w:sz w:val="24"/>
                <w:szCs w:val="24"/>
                <w:color w:val="auto"/>
                <w:w w:val="90"/>
                <w:vertAlign w:val="superscript"/>
              </w:rPr>
              <w:t>(1)</w:t>
            </w:r>
          </w:p>
        </w:tc>
        <w:tc>
          <w:tcPr>
            <w:tcW w:w="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3/14/2027</w:t>
            </w:r>
          </w:p>
        </w:tc>
        <w:tc>
          <w:tcPr>
            <w:tcW w:w="0" w:type="dxa"/>
            <w:vAlign w:val="bottom"/>
          </w:tcPr>
          <w:p>
            <w:pPr>
              <w:spacing w:after="0"/>
              <w:rPr>
                <w:sz w:val="1"/>
                <w:szCs w:val="1"/>
                <w:color w:val="auto"/>
              </w:rPr>
            </w:pPr>
          </w:p>
        </w:tc>
      </w:tr>
      <w:tr>
        <w:trPr>
          <w:trHeight w:val="240"/>
        </w:trPr>
        <w:tc>
          <w:tcPr>
            <w:tcW w:w="3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5"/>
              </w:rPr>
              <w:t>11/12/2018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9/1/2018</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left="7"/>
              <w:spacing w:after="0" w:line="240" w:lineRule="exact"/>
              <w:rPr>
                <w:sz w:val="20"/>
                <w:szCs w:val="20"/>
                <w:color w:val="auto"/>
              </w:rPr>
            </w:pPr>
            <w:r>
              <w:rPr>
                <w:rFonts w:ascii="Times New Roman" w:cs="Times New Roman" w:eastAsia="Times New Roman" w:hAnsi="Times New Roman"/>
                <w:sz w:val="16"/>
                <w:szCs w:val="16"/>
                <w:color w:val="auto"/>
                <w:w w:val="90"/>
              </w:rPr>
              <w:t>226,305</w:t>
            </w:r>
            <w:r>
              <w:rPr>
                <w:rFonts w:ascii="Times New Roman" w:cs="Times New Roman" w:eastAsia="Times New Roman" w:hAnsi="Times New Roman"/>
                <w:sz w:val="24"/>
                <w:szCs w:val="24"/>
                <w:color w:val="auto"/>
                <w:w w:val="90"/>
                <w:vertAlign w:val="superscript"/>
              </w:rPr>
              <w:t>(1)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4"/>
              </w:rPr>
              <w:t>11.40</w:t>
            </w:r>
          </w:p>
        </w:tc>
        <w:tc>
          <w:tcPr>
            <w:tcW w:w="900" w:type="dxa"/>
            <w:vAlign w:val="bottom"/>
            <w:gridSpan w:val="2"/>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5"/>
              </w:rPr>
              <w:t>11/11/2028</w:t>
            </w:r>
          </w:p>
        </w:tc>
        <w:tc>
          <w:tcPr>
            <w:tcW w:w="0" w:type="dxa"/>
            <w:vAlign w:val="bottom"/>
          </w:tcPr>
          <w:p>
            <w:pPr>
              <w:spacing w:after="0"/>
              <w:rPr>
                <w:sz w:val="1"/>
                <w:szCs w:val="1"/>
                <w:color w:val="auto"/>
              </w:rPr>
            </w:pPr>
          </w:p>
        </w:tc>
      </w:tr>
      <w:tr>
        <w:trPr>
          <w:trHeight w:val="240"/>
        </w:trPr>
        <w:tc>
          <w:tcPr>
            <w:tcW w:w="3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9/19/2023</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9/19/2023</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left="7"/>
              <w:spacing w:after="0" w:line="240" w:lineRule="exact"/>
              <w:rPr>
                <w:sz w:val="20"/>
                <w:szCs w:val="20"/>
                <w:color w:val="auto"/>
              </w:rPr>
            </w:pPr>
            <w:r>
              <w:rPr>
                <w:rFonts w:ascii="Times New Roman" w:cs="Times New Roman" w:eastAsia="Times New Roman" w:hAnsi="Times New Roman"/>
                <w:sz w:val="16"/>
                <w:szCs w:val="16"/>
                <w:color w:val="auto"/>
                <w:w w:val="91"/>
              </w:rPr>
              <w:t>2,197,372</w:t>
            </w:r>
            <w:r>
              <w:rPr>
                <w:rFonts w:ascii="Times New Roman" w:cs="Times New Roman" w:eastAsia="Times New Roman" w:hAnsi="Times New Roman"/>
                <w:sz w:val="24"/>
                <w:szCs w:val="24"/>
                <w:color w:val="auto"/>
                <w:w w:val="91"/>
                <w:vertAlign w:val="superscript"/>
              </w:rPr>
              <w:t>(2)</w:t>
            </w:r>
          </w:p>
        </w:tc>
        <w:tc>
          <w:tcPr>
            <w:tcW w:w="98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16"/>
                <w:szCs w:val="16"/>
                <w:color w:val="auto"/>
                <w:w w:val="99"/>
              </w:rPr>
              <w:t>3,124,027</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0.44</w:t>
            </w:r>
          </w:p>
        </w:tc>
        <w:tc>
          <w:tcPr>
            <w:tcW w:w="900" w:type="dxa"/>
            <w:vAlign w:val="bottom"/>
            <w:gridSpan w:val="2"/>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5"/>
              </w:rPr>
              <w:t>9/18/2033</w:t>
            </w:r>
          </w:p>
        </w:tc>
        <w:tc>
          <w:tcPr>
            <w:tcW w:w="0" w:type="dxa"/>
            <w:vAlign w:val="bottom"/>
          </w:tcPr>
          <w:p>
            <w:pPr>
              <w:spacing w:after="0"/>
              <w:rPr>
                <w:sz w:val="1"/>
                <w:szCs w:val="1"/>
                <w:color w:val="auto"/>
              </w:rPr>
            </w:pPr>
          </w:p>
        </w:tc>
      </w:tr>
      <w:tr>
        <w:trPr>
          <w:trHeight w:val="240"/>
        </w:trPr>
        <w:tc>
          <w:tcPr>
            <w:tcW w:w="3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10/24/2024</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7/1/2024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left="104"/>
              <w:spacing w:after="0" w:line="240" w:lineRule="exact"/>
              <w:rPr>
                <w:sz w:val="20"/>
                <w:szCs w:val="20"/>
                <w:color w:val="auto"/>
              </w:rPr>
            </w:pPr>
            <w:r>
              <w:rPr>
                <w:rFonts w:ascii="Times New Roman" w:cs="Times New Roman" w:eastAsia="Times New Roman" w:hAnsi="Times New Roman"/>
                <w:sz w:val="16"/>
                <w:szCs w:val="16"/>
                <w:color w:val="auto"/>
                <w:w w:val="91"/>
              </w:rPr>
              <w:t>7,379,065</w:t>
            </w:r>
            <w:r>
              <w:rPr>
                <w:rFonts w:ascii="Times New Roman" w:cs="Times New Roman" w:eastAsia="Times New Roman" w:hAnsi="Times New Roman"/>
                <w:sz w:val="24"/>
                <w:szCs w:val="24"/>
                <w:color w:val="auto"/>
                <w:w w:val="91"/>
                <w:vertAlign w:val="superscript"/>
              </w:rPr>
              <w:t>(3)</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0.92</w:t>
            </w:r>
          </w:p>
        </w:tc>
        <w:tc>
          <w:tcPr>
            <w:tcW w:w="900" w:type="dxa"/>
            <w:vAlign w:val="bottom"/>
            <w:gridSpan w:val="2"/>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5"/>
              </w:rPr>
              <w:t>10/23/2034</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Val Cook</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3/15/2017</w:t>
            </w: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1/1/2017</w:t>
            </w:r>
          </w:p>
        </w:tc>
        <w:tc>
          <w:tcPr>
            <w:tcW w:w="80" w:type="dxa"/>
            <w:vAlign w:val="bottom"/>
          </w:tcPr>
          <w:p>
            <w:pPr>
              <w:spacing w:after="0"/>
              <w:rPr>
                <w:sz w:val="19"/>
                <w:szCs w:val="19"/>
                <w:color w:val="auto"/>
              </w:rPr>
            </w:pPr>
          </w:p>
        </w:tc>
        <w:tc>
          <w:tcPr>
            <w:tcW w:w="880" w:type="dxa"/>
            <w:vAlign w:val="bottom"/>
            <w:gridSpan w:val="2"/>
          </w:tcPr>
          <w:p>
            <w:pPr>
              <w:jc w:val="center"/>
              <w:ind w:left="27"/>
              <w:spacing w:after="0" w:line="227" w:lineRule="exact"/>
              <w:rPr>
                <w:sz w:val="20"/>
                <w:szCs w:val="20"/>
                <w:color w:val="auto"/>
              </w:rPr>
            </w:pPr>
            <w:r>
              <w:rPr>
                <w:rFonts w:ascii="Times New Roman" w:cs="Times New Roman" w:eastAsia="Times New Roman" w:hAnsi="Times New Roman"/>
                <w:sz w:val="16"/>
                <w:szCs w:val="16"/>
                <w:color w:val="auto"/>
                <w:w w:val="92"/>
              </w:rPr>
              <w:t>40,038</w:t>
            </w:r>
            <w:r>
              <w:rPr>
                <w:rFonts w:ascii="Times New Roman" w:cs="Times New Roman" w:eastAsia="Times New Roman" w:hAnsi="Times New Roman"/>
                <w:sz w:val="24"/>
                <w:szCs w:val="24"/>
                <w:color w:val="auto"/>
                <w:w w:val="92"/>
                <w:vertAlign w:val="superscript"/>
              </w:rPr>
              <w:t>(1)</w:t>
            </w:r>
          </w:p>
        </w:tc>
        <w:tc>
          <w:tcPr>
            <w:tcW w:w="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tcPr>
          <w:p>
            <w:pPr>
              <w:jc w:val="center"/>
              <w:ind w:left="4"/>
              <w:spacing w:after="0"/>
              <w:rPr>
                <w:sz w:val="20"/>
                <w:szCs w:val="20"/>
                <w:color w:val="auto"/>
              </w:rPr>
            </w:pPr>
            <w:r>
              <w:rPr>
                <w:rFonts w:ascii="Times New Roman" w:cs="Times New Roman" w:eastAsia="Times New Roman" w:hAnsi="Times New Roman"/>
                <w:sz w:val="16"/>
                <w:szCs w:val="16"/>
                <w:color w:val="auto"/>
                <w:w w:val="99"/>
              </w:rPr>
              <w:t>1.00</w:t>
            </w:r>
          </w:p>
        </w:tc>
        <w:tc>
          <w:tcPr>
            <w:tcW w:w="9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5"/>
              </w:rPr>
              <w:t>3/14/2027</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11/12/2018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9/1/2018</w:t>
            </w:r>
          </w:p>
        </w:tc>
        <w:tc>
          <w:tcPr>
            <w:tcW w:w="80" w:type="dxa"/>
            <w:vAlign w:val="bottom"/>
          </w:tcPr>
          <w:p>
            <w:pPr>
              <w:spacing w:after="0"/>
              <w:rPr>
                <w:sz w:val="20"/>
                <w:szCs w:val="20"/>
                <w:color w:val="auto"/>
              </w:rPr>
            </w:pPr>
          </w:p>
        </w:tc>
        <w:tc>
          <w:tcPr>
            <w:tcW w:w="880" w:type="dxa"/>
            <w:vAlign w:val="bottom"/>
            <w:gridSpan w:val="2"/>
          </w:tcPr>
          <w:p>
            <w:pPr>
              <w:jc w:val="center"/>
              <w:ind w:left="7"/>
              <w:spacing w:after="0" w:line="240" w:lineRule="exact"/>
              <w:rPr>
                <w:sz w:val="20"/>
                <w:szCs w:val="20"/>
                <w:color w:val="auto"/>
              </w:rPr>
            </w:pPr>
            <w:r>
              <w:rPr>
                <w:rFonts w:ascii="Times New Roman" w:cs="Times New Roman" w:eastAsia="Times New Roman" w:hAnsi="Times New Roman"/>
                <w:sz w:val="16"/>
                <w:szCs w:val="16"/>
                <w:color w:val="auto"/>
                <w:w w:val="90"/>
              </w:rPr>
              <w:t>113,152</w:t>
            </w:r>
            <w:r>
              <w:rPr>
                <w:rFonts w:ascii="Times New Roman" w:cs="Times New Roman" w:eastAsia="Times New Roman" w:hAnsi="Times New Roman"/>
                <w:sz w:val="24"/>
                <w:szCs w:val="24"/>
                <w:color w:val="auto"/>
                <w:w w:val="90"/>
                <w:vertAlign w:val="superscript"/>
              </w:rPr>
              <w:t>(1)</w:t>
            </w: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tcPr>
          <w:p>
            <w:pPr>
              <w:jc w:val="center"/>
              <w:ind w:left="24"/>
              <w:spacing w:after="0"/>
              <w:rPr>
                <w:sz w:val="20"/>
                <w:szCs w:val="20"/>
                <w:color w:val="auto"/>
              </w:rPr>
            </w:pPr>
            <w:r>
              <w:rPr>
                <w:rFonts w:ascii="Times New Roman" w:cs="Times New Roman" w:eastAsia="Times New Roman" w:hAnsi="Times New Roman"/>
                <w:sz w:val="16"/>
                <w:szCs w:val="16"/>
                <w:color w:val="auto"/>
                <w:w w:val="94"/>
              </w:rPr>
              <w:t>11.40</w:t>
            </w:r>
          </w:p>
        </w:tc>
        <w:tc>
          <w:tcPr>
            <w:tcW w:w="9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5"/>
              </w:rPr>
              <w:t>11/11/2028</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p>
        </w:tc>
        <w:tc>
          <w:tcPr>
            <w:tcW w:w="9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5"/>
              </w:rPr>
              <w:t>9/19/2023</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9/19/2023</w:t>
            </w:r>
          </w:p>
        </w:tc>
        <w:tc>
          <w:tcPr>
            <w:tcW w:w="80" w:type="dxa"/>
            <w:vAlign w:val="bottom"/>
          </w:tcPr>
          <w:p>
            <w:pPr>
              <w:spacing w:after="0"/>
              <w:rPr>
                <w:sz w:val="20"/>
                <w:szCs w:val="20"/>
                <w:color w:val="auto"/>
              </w:rPr>
            </w:pPr>
          </w:p>
        </w:tc>
        <w:tc>
          <w:tcPr>
            <w:tcW w:w="880" w:type="dxa"/>
            <w:vAlign w:val="bottom"/>
            <w:gridSpan w:val="2"/>
          </w:tcPr>
          <w:p>
            <w:pPr>
              <w:jc w:val="center"/>
              <w:ind w:left="7"/>
              <w:spacing w:after="0" w:line="240" w:lineRule="exact"/>
              <w:rPr>
                <w:sz w:val="20"/>
                <w:szCs w:val="20"/>
                <w:color w:val="auto"/>
              </w:rPr>
            </w:pPr>
            <w:r>
              <w:rPr>
                <w:rFonts w:ascii="Times New Roman" w:cs="Times New Roman" w:eastAsia="Times New Roman" w:hAnsi="Times New Roman"/>
                <w:sz w:val="16"/>
                <w:szCs w:val="16"/>
                <w:color w:val="auto"/>
                <w:w w:val="90"/>
              </w:rPr>
              <w:t>794,866</w:t>
            </w:r>
            <w:r>
              <w:rPr>
                <w:rFonts w:ascii="Times New Roman" w:cs="Times New Roman" w:eastAsia="Times New Roman" w:hAnsi="Times New Roman"/>
                <w:sz w:val="24"/>
                <w:szCs w:val="24"/>
                <w:color w:val="auto"/>
                <w:w w:val="90"/>
                <w:vertAlign w:val="superscript"/>
              </w:rPr>
              <w:t>(2)</w:t>
            </w:r>
          </w:p>
        </w:tc>
        <w:tc>
          <w:tcPr>
            <w:tcW w:w="98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color w:val="auto"/>
                <w:w w:val="99"/>
              </w:rPr>
              <w:t>1,112,814</w:t>
            </w:r>
          </w:p>
        </w:tc>
        <w:tc>
          <w:tcPr>
            <w:tcW w:w="18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tcPr>
          <w:p>
            <w:pPr>
              <w:jc w:val="center"/>
              <w:ind w:left="4"/>
              <w:spacing w:after="0"/>
              <w:rPr>
                <w:sz w:val="20"/>
                <w:szCs w:val="20"/>
                <w:color w:val="auto"/>
              </w:rPr>
            </w:pPr>
            <w:r>
              <w:rPr>
                <w:rFonts w:ascii="Times New Roman" w:cs="Times New Roman" w:eastAsia="Times New Roman" w:hAnsi="Times New Roman"/>
                <w:sz w:val="16"/>
                <w:szCs w:val="16"/>
                <w:color w:val="auto"/>
                <w:w w:val="99"/>
              </w:rPr>
              <w:t>0.44</w:t>
            </w:r>
          </w:p>
        </w:tc>
        <w:tc>
          <w:tcPr>
            <w:tcW w:w="9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5"/>
              </w:rPr>
              <w:t>9/18/2033</w:t>
            </w:r>
          </w:p>
        </w:tc>
        <w:tc>
          <w:tcPr>
            <w:tcW w:w="0" w:type="dxa"/>
            <w:vAlign w:val="bottom"/>
          </w:tcPr>
          <w:p>
            <w:pPr>
              <w:spacing w:after="0"/>
              <w:rPr>
                <w:sz w:val="1"/>
                <w:szCs w:val="1"/>
                <w:color w:val="auto"/>
              </w:rPr>
            </w:pPr>
          </w:p>
        </w:tc>
      </w:tr>
      <w:tr>
        <w:trPr>
          <w:trHeight w:val="253"/>
        </w:trPr>
        <w:tc>
          <w:tcPr>
            <w:tcW w:w="3380" w:type="dxa"/>
            <w:vAlign w:val="bottom"/>
          </w:tcPr>
          <w:p>
            <w:pPr>
              <w:spacing w:after="0"/>
              <w:rPr>
                <w:sz w:val="22"/>
                <w:szCs w:val="22"/>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10/24/2024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7/1/2024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center"/>
              <w:ind w:left="104"/>
              <w:spacing w:after="0" w:line="253" w:lineRule="exact"/>
              <w:rPr>
                <w:sz w:val="20"/>
                <w:szCs w:val="20"/>
                <w:color w:val="auto"/>
              </w:rPr>
            </w:pPr>
            <w:r>
              <w:rPr>
                <w:rFonts w:ascii="Times New Roman" w:cs="Times New Roman" w:eastAsia="Times New Roman" w:hAnsi="Times New Roman"/>
                <w:sz w:val="16"/>
                <w:szCs w:val="16"/>
                <w:color w:val="auto"/>
                <w:w w:val="91"/>
              </w:rPr>
              <w:t>1,517,044</w:t>
            </w:r>
            <w:r>
              <w:rPr>
                <w:rFonts w:ascii="Times New Roman" w:cs="Times New Roman" w:eastAsia="Times New Roman" w:hAnsi="Times New Roman"/>
                <w:sz w:val="24"/>
                <w:szCs w:val="24"/>
                <w:color w:val="auto"/>
                <w:w w:val="91"/>
                <w:vertAlign w:val="superscript"/>
              </w:rPr>
              <w:t>(3)</w:t>
            </w:r>
          </w:p>
        </w:tc>
        <w:tc>
          <w:tcPr>
            <w:tcW w:w="180" w:type="dxa"/>
            <w:vAlign w:val="bottom"/>
          </w:tcPr>
          <w:p>
            <w:pPr>
              <w:spacing w:after="0"/>
              <w:rPr>
                <w:sz w:val="22"/>
                <w:szCs w:val="2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tcPr>
          <w:p>
            <w:pPr>
              <w:jc w:val="center"/>
              <w:ind w:left="4"/>
              <w:spacing w:after="0"/>
              <w:rPr>
                <w:sz w:val="20"/>
                <w:szCs w:val="20"/>
                <w:color w:val="auto"/>
              </w:rPr>
            </w:pPr>
            <w:r>
              <w:rPr>
                <w:rFonts w:ascii="Times New Roman" w:cs="Times New Roman" w:eastAsia="Times New Roman" w:hAnsi="Times New Roman"/>
                <w:sz w:val="16"/>
                <w:szCs w:val="16"/>
                <w:color w:val="auto"/>
                <w:w w:val="99"/>
              </w:rPr>
              <w:t>0.92</w:t>
            </w:r>
          </w:p>
        </w:tc>
        <w:tc>
          <w:tcPr>
            <w:tcW w:w="9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5"/>
              </w:rPr>
              <w:t>10/23/2034</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Santiago Fernandez-Gomez</w:t>
            </w:r>
          </w:p>
        </w:tc>
        <w:tc>
          <w:tcPr>
            <w:tcW w:w="900" w:type="dxa"/>
            <w:vAlign w:val="bottom"/>
            <w:gridSpan w:val="2"/>
            <w:shd w:val="clear" w:color="auto" w:fill="CCEEFF"/>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8"/>
              </w:rPr>
              <w:t>1/2/2017</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7/8/2015</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left="7"/>
              <w:spacing w:after="0" w:line="180" w:lineRule="exact"/>
              <w:rPr>
                <w:sz w:val="20"/>
                <w:szCs w:val="20"/>
                <w:color w:val="auto"/>
              </w:rPr>
            </w:pPr>
            <w:r>
              <w:rPr>
                <w:rFonts w:ascii="Times New Roman" w:cs="Times New Roman" w:eastAsia="Times New Roman" w:hAnsi="Times New Roman"/>
                <w:sz w:val="13"/>
                <w:szCs w:val="13"/>
                <w:color w:val="auto"/>
              </w:rPr>
              <w:t>5,000</w:t>
            </w:r>
            <w:r>
              <w:rPr>
                <w:rFonts w:ascii="Times New Roman" w:cs="Times New Roman" w:eastAsia="Times New Roman" w:hAnsi="Times New Roman"/>
                <w:sz w:val="20"/>
                <w:szCs w:val="20"/>
                <w:color w:val="auto"/>
                <w:vertAlign w:val="superscript"/>
              </w:rPr>
              <w:t>(2)</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w w:val="99"/>
              </w:rPr>
              <w:t>1.00</w:t>
            </w:r>
          </w:p>
        </w:tc>
        <w:tc>
          <w:tcPr>
            <w:tcW w:w="900" w:type="dxa"/>
            <w:vAlign w:val="bottom"/>
            <w:gridSpan w:val="2"/>
            <w:shd w:val="clear" w:color="auto" w:fill="CCEEFF"/>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4"/>
              </w:rPr>
              <w:t>1/1/2027</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8/27/2018</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7/9/2018</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left="27"/>
              <w:spacing w:after="0" w:line="180" w:lineRule="exact"/>
              <w:rPr>
                <w:sz w:val="20"/>
                <w:szCs w:val="20"/>
                <w:color w:val="auto"/>
              </w:rPr>
            </w:pPr>
            <w:r>
              <w:rPr>
                <w:rFonts w:ascii="Times New Roman" w:cs="Times New Roman" w:eastAsia="Times New Roman" w:hAnsi="Times New Roman"/>
                <w:sz w:val="13"/>
                <w:szCs w:val="13"/>
                <w:color w:val="auto"/>
              </w:rPr>
              <w:t>67,935</w:t>
            </w:r>
            <w:r>
              <w:rPr>
                <w:rFonts w:ascii="Times New Roman" w:cs="Times New Roman" w:eastAsia="Times New Roman" w:hAnsi="Times New Roman"/>
                <w:sz w:val="20"/>
                <w:szCs w:val="20"/>
                <w:color w:val="auto"/>
                <w:vertAlign w:val="superscript"/>
              </w:rPr>
              <w:t>(4)</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24"/>
              <w:spacing w:after="0" w:line="180" w:lineRule="exact"/>
              <w:rPr>
                <w:sz w:val="20"/>
                <w:szCs w:val="20"/>
                <w:color w:val="auto"/>
              </w:rPr>
            </w:pPr>
            <w:r>
              <w:rPr>
                <w:rFonts w:ascii="Times New Roman" w:cs="Times New Roman" w:eastAsia="Times New Roman" w:hAnsi="Times New Roman"/>
                <w:sz w:val="16"/>
                <w:szCs w:val="16"/>
                <w:color w:val="auto"/>
                <w:w w:val="94"/>
              </w:rPr>
              <w:t>11.40</w:t>
            </w:r>
          </w:p>
        </w:tc>
        <w:tc>
          <w:tcPr>
            <w:tcW w:w="900" w:type="dxa"/>
            <w:vAlign w:val="bottom"/>
            <w:gridSpan w:val="2"/>
            <w:shd w:val="clear" w:color="auto" w:fill="CCEEFF"/>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5"/>
              </w:rPr>
              <w:t>8/26/2028</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11/17/2021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1/1/2021</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left="7"/>
              <w:spacing w:after="0" w:line="180" w:lineRule="exact"/>
              <w:rPr>
                <w:sz w:val="20"/>
                <w:szCs w:val="20"/>
                <w:color w:val="auto"/>
              </w:rPr>
            </w:pPr>
            <w:r>
              <w:rPr>
                <w:rFonts w:ascii="Times New Roman" w:cs="Times New Roman" w:eastAsia="Times New Roman" w:hAnsi="Times New Roman"/>
                <w:sz w:val="13"/>
                <w:szCs w:val="13"/>
                <w:color w:val="auto"/>
              </w:rPr>
              <w:t>4,896</w:t>
            </w:r>
            <w:r>
              <w:rPr>
                <w:rFonts w:ascii="Times New Roman" w:cs="Times New Roman" w:eastAsia="Times New Roman" w:hAnsi="Times New Roman"/>
                <w:sz w:val="20"/>
                <w:szCs w:val="20"/>
                <w:color w:val="auto"/>
                <w:vertAlign w:val="superscript"/>
              </w:rPr>
              <w:t>(1)</w:t>
            </w:r>
          </w:p>
        </w:tc>
        <w:tc>
          <w:tcPr>
            <w:tcW w:w="980" w:type="dxa"/>
            <w:vAlign w:val="bottom"/>
            <w:gridSpan w:val="2"/>
            <w:shd w:val="clear" w:color="auto" w:fill="CCEEFF"/>
          </w:tcPr>
          <w:p>
            <w:pPr>
              <w:jc w:val="center"/>
              <w:ind w:left="104"/>
              <w:spacing w:after="0" w:line="180" w:lineRule="exact"/>
              <w:rPr>
                <w:sz w:val="20"/>
                <w:szCs w:val="20"/>
                <w:color w:val="auto"/>
              </w:rPr>
            </w:pPr>
            <w:r>
              <w:rPr>
                <w:rFonts w:ascii="Times New Roman" w:cs="Times New Roman" w:eastAsia="Times New Roman" w:hAnsi="Times New Roman"/>
                <w:sz w:val="16"/>
                <w:szCs w:val="16"/>
                <w:color w:val="auto"/>
                <w:w w:val="99"/>
              </w:rPr>
              <w:t>104</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24"/>
              <w:spacing w:after="0" w:line="180" w:lineRule="exact"/>
              <w:rPr>
                <w:sz w:val="20"/>
                <w:szCs w:val="20"/>
                <w:color w:val="auto"/>
              </w:rPr>
            </w:pPr>
            <w:r>
              <w:rPr>
                <w:rFonts w:ascii="Times New Roman" w:cs="Times New Roman" w:eastAsia="Times New Roman" w:hAnsi="Times New Roman"/>
                <w:sz w:val="16"/>
                <w:szCs w:val="16"/>
                <w:color w:val="auto"/>
                <w:w w:val="94"/>
              </w:rPr>
              <w:t>20.70</w:t>
            </w:r>
          </w:p>
        </w:tc>
        <w:tc>
          <w:tcPr>
            <w:tcW w:w="900" w:type="dxa"/>
            <w:vAlign w:val="bottom"/>
            <w:gridSpan w:val="2"/>
            <w:shd w:val="clear" w:color="auto" w:fill="CCEEFF"/>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5"/>
              </w:rPr>
              <w:t>11/16/2031</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9/19/2023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9/19/2023</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left="7"/>
              <w:spacing w:after="0" w:line="180" w:lineRule="exact"/>
              <w:rPr>
                <w:sz w:val="20"/>
                <w:szCs w:val="20"/>
                <w:color w:val="auto"/>
              </w:rPr>
            </w:pPr>
            <w:r>
              <w:rPr>
                <w:rFonts w:ascii="Times New Roman" w:cs="Times New Roman" w:eastAsia="Times New Roman" w:hAnsi="Times New Roman"/>
                <w:sz w:val="13"/>
                <w:szCs w:val="13"/>
                <w:color w:val="auto"/>
              </w:rPr>
              <w:t>654,484</w:t>
            </w:r>
            <w:r>
              <w:rPr>
                <w:rFonts w:ascii="Times New Roman" w:cs="Times New Roman" w:eastAsia="Times New Roman" w:hAnsi="Times New Roman"/>
                <w:sz w:val="20"/>
                <w:szCs w:val="20"/>
                <w:color w:val="auto"/>
                <w:vertAlign w:val="superscript"/>
              </w:rPr>
              <w:t>(2)</w:t>
            </w:r>
          </w:p>
        </w:tc>
        <w:tc>
          <w:tcPr>
            <w:tcW w:w="980" w:type="dxa"/>
            <w:vAlign w:val="bottom"/>
            <w:gridSpan w:val="2"/>
            <w:shd w:val="clear" w:color="auto" w:fill="CCEEFF"/>
          </w:tcPr>
          <w:p>
            <w:pPr>
              <w:jc w:val="center"/>
              <w:ind w:left="104"/>
              <w:spacing w:after="0" w:line="180" w:lineRule="exact"/>
              <w:rPr>
                <w:sz w:val="20"/>
                <w:szCs w:val="20"/>
                <w:color w:val="auto"/>
              </w:rPr>
            </w:pPr>
            <w:r>
              <w:rPr>
                <w:rFonts w:ascii="Times New Roman" w:cs="Times New Roman" w:eastAsia="Times New Roman" w:hAnsi="Times New Roman"/>
                <w:sz w:val="16"/>
                <w:szCs w:val="16"/>
                <w:color w:val="auto"/>
                <w:w w:val="99"/>
              </w:rPr>
              <w:t>916,278</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w w:val="99"/>
              </w:rPr>
              <w:t>0.44</w:t>
            </w:r>
          </w:p>
        </w:tc>
        <w:tc>
          <w:tcPr>
            <w:tcW w:w="900" w:type="dxa"/>
            <w:vAlign w:val="bottom"/>
            <w:gridSpan w:val="2"/>
            <w:shd w:val="clear" w:color="auto" w:fill="CCEEFF"/>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5"/>
              </w:rPr>
              <w:t>9/18/2033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10/24/2024</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7/1/2024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left="104"/>
              <w:spacing w:after="0" w:line="180" w:lineRule="exact"/>
              <w:rPr>
                <w:sz w:val="20"/>
                <w:szCs w:val="20"/>
                <w:color w:val="auto"/>
              </w:rPr>
            </w:pPr>
            <w:r>
              <w:rPr>
                <w:rFonts w:ascii="Times New Roman" w:cs="Times New Roman" w:eastAsia="Times New Roman" w:hAnsi="Times New Roman"/>
                <w:sz w:val="13"/>
                <w:szCs w:val="13"/>
                <w:color w:val="auto"/>
              </w:rPr>
              <w:t>1,418,448</w:t>
            </w:r>
            <w:r>
              <w:rPr>
                <w:rFonts w:ascii="Times New Roman" w:cs="Times New Roman" w:eastAsia="Times New Roman" w:hAnsi="Times New Roman"/>
                <w:sz w:val="20"/>
                <w:szCs w:val="20"/>
                <w:color w:val="auto"/>
                <w:vertAlign w:val="superscript"/>
              </w:rPr>
              <w:t>(3)</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560" w:type="dxa"/>
            <w:vAlign w:val="bottom"/>
            <w:gridSpan w:val="2"/>
            <w:shd w:val="clear" w:color="auto" w:fill="CCEEFF"/>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w w:val="99"/>
              </w:rPr>
              <w:t>0.92</w:t>
            </w:r>
          </w:p>
        </w:tc>
        <w:tc>
          <w:tcPr>
            <w:tcW w:w="900" w:type="dxa"/>
            <w:vAlign w:val="bottom"/>
            <w:gridSpan w:val="2"/>
            <w:shd w:val="clear" w:color="auto" w:fill="CCEEFF"/>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5"/>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76200</wp:posOffset>
            </wp:positionV>
            <wp:extent cx="9906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spacing w:after="0" w:line="124" w:lineRule="exact"/>
        <w:rPr>
          <w:sz w:val="20"/>
          <w:szCs w:val="20"/>
          <w:color w:val="auto"/>
        </w:rPr>
      </w:pPr>
    </w:p>
    <w:p>
      <w:pPr>
        <w:ind w:left="880" w:right="240" w:hanging="298"/>
        <w:spacing w:after="0" w:line="261" w:lineRule="auto"/>
        <w:tabs>
          <w:tab w:leader="none" w:pos="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that vested with respect to one-forty-eighth (1/48th) of the shares subject to the option on each of the first forty-eight (48) monthly anniversaries of the vesting commencement date, subject to the applicable executive’s continued service through the applicable vesting date.</w:t>
      </w:r>
    </w:p>
    <w:p>
      <w:pPr>
        <w:ind w:left="880" w:right="180" w:hanging="298"/>
        <w:spacing w:after="0" w:line="250" w:lineRule="auto"/>
        <w:tabs>
          <w:tab w:leader="none" w:pos="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that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ind w:left="880" w:hanging="298"/>
        <w:spacing w:after="0" w:line="250" w:lineRule="auto"/>
        <w:tabs>
          <w:tab w:leader="none" w:pos="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that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ind w:left="880" w:right="60" w:hanging="298"/>
        <w:spacing w:after="0" w:line="257" w:lineRule="auto"/>
        <w:tabs>
          <w:tab w:leader="none" w:pos="8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that vested or vests, as applicable, with respect to one-quarter (1/4th)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Offer Letters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Offer Letter for Mr. Munagala</w:t>
      </w:r>
    </w:p>
    <w:p>
      <w:pPr>
        <w:spacing w:after="0" w:line="94"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10220"/>
          </w:cols>
          <w:pgMar w:left="660" w:top="879" w:right="102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40"/>
        <w:spacing w:after="0" w:line="259" w:lineRule="auto"/>
        <w:rPr>
          <w:sz w:val="20"/>
          <w:szCs w:val="20"/>
          <w:color w:val="auto"/>
        </w:rPr>
      </w:pPr>
      <w:r>
        <w:rPr>
          <w:rFonts w:ascii="Times New Roman" w:cs="Times New Roman" w:eastAsia="Times New Roman" w:hAnsi="Times New Roman"/>
          <w:sz w:val="16"/>
          <w:szCs w:val="16"/>
          <w:color w:val="auto"/>
        </w:rPr>
        <w:t>considered for annual incentive bonuses. The Munagala Offer Letter provides that Mr. Munagala is eligible to participate in Blaize-sponsored benefit plans and for paid vacation in accordance with Blaize policy.</w:t>
      </w:r>
    </w:p>
    <w:p>
      <w:pPr>
        <w:spacing w:after="0" w:line="155" w:lineRule="exact"/>
        <w:rPr>
          <w:sz w:val="20"/>
          <w:szCs w:val="20"/>
          <w:color w:val="auto"/>
        </w:rPr>
      </w:pPr>
    </w:p>
    <w:p>
      <w:pPr>
        <w:jc w:val="both"/>
        <w:ind w:left="400" w:right="80" w:firstLine="384"/>
        <w:spacing w:after="0" w:line="281" w:lineRule="auto"/>
        <w:rPr>
          <w:sz w:val="20"/>
          <w:szCs w:val="20"/>
          <w:color w:val="auto"/>
        </w:rPr>
      </w:pPr>
      <w:r>
        <w:rPr>
          <w:rFonts w:ascii="Times New Roman" w:cs="Times New Roman" w:eastAsia="Times New Roman" w:hAnsi="Times New Roman"/>
          <w:sz w:val="14"/>
          <w:szCs w:val="14"/>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w:t>
      </w:r>
    </w:p>
    <w:p>
      <w:pPr>
        <w:spacing w:after="0" w:line="1" w:lineRule="exact"/>
        <w:rPr>
          <w:sz w:val="20"/>
          <w:szCs w:val="20"/>
          <w:color w:val="auto"/>
        </w:rPr>
      </w:pPr>
    </w:p>
    <w:p>
      <w:pPr>
        <w:ind w:left="400" w:hanging="10"/>
        <w:spacing w:after="0" w:line="237" w:lineRule="auto"/>
        <w:tabs>
          <w:tab w:leader="none" w:pos="58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cash payment in an amount equal to three months of his base salary, (ii) salary continuation payments at 75% of his base salary for 12 months following termination, (iii) COBRA continuation coverage for up to 12 months following termination, and (iv) accelerated vesting of any outstanding and unvested options held by him.</w:t>
      </w:r>
    </w:p>
    <w:p>
      <w:pPr>
        <w:spacing w:after="0" w:line="169"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7" w:lineRule="exact"/>
        <w:rPr>
          <w:sz w:val="20"/>
          <w:szCs w:val="20"/>
          <w:color w:val="auto"/>
        </w:rPr>
      </w:pPr>
    </w:p>
    <w:p>
      <w:pPr>
        <w:ind w:left="400" w:right="160" w:firstLine="384"/>
        <w:spacing w:after="0" w:line="399" w:lineRule="auto"/>
        <w:rPr>
          <w:sz w:val="20"/>
          <w:szCs w:val="20"/>
          <w:color w:val="auto"/>
        </w:rPr>
      </w:pPr>
      <w:r>
        <w:rPr>
          <w:rFonts w:ascii="Times New Roman" w:cs="Times New Roman" w:eastAsia="Times New Roman" w:hAnsi="Times New Roman"/>
          <w:sz w:val="16"/>
          <w:szCs w:val="16"/>
          <w:color w:val="auto"/>
        </w:rPr>
        <w:t xml:space="preserve">Mr. Munagala’s receipt of any severance payments and benefits is subject to his execution and non-revocation of a general release in favor of Blaize. </w:t>
      </w:r>
      <w:r>
        <w:rPr>
          <w:rFonts w:ascii="Times New Roman" w:cs="Times New Roman" w:eastAsia="Times New Roman" w:hAnsi="Times New Roman"/>
          <w:sz w:val="16"/>
          <w:szCs w:val="16"/>
          <w:i w:val="1"/>
          <w:iCs w:val="1"/>
          <w:color w:val="auto"/>
        </w:rPr>
        <w:t>Offer Letter for Mr. Cook</w:t>
      </w: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w:t>
      </w:r>
    </w:p>
    <w:p>
      <w:pPr>
        <w:spacing w:after="0" w:line="167"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three months of his base salary, (ii) salary continuation payments at 75% of his base salary for 12 months following termination, and (iii) COBRA continuation coverage for up to 12 months following termination.</w:t>
      </w:r>
    </w:p>
    <w:p>
      <w:pPr>
        <w:spacing w:after="0" w:line="167"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Mr. Cook’s receipt of any severance payments and benefits is subject to his execution and non-revocation of a general release in favor of Blaize.</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Offer Letter for Mr. Fernandez-Gomez</w:t>
      </w:r>
    </w:p>
    <w:p>
      <w:pPr>
        <w:spacing w:after="0" w:line="94"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10220"/>
          </w:cols>
          <w:pgMar w:left="660" w:top="879" w:right="102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54" w:lineRule="exact"/>
        <w:rPr>
          <w:sz w:val="20"/>
          <w:szCs w:val="20"/>
          <w:color w:val="auto"/>
        </w:rPr>
      </w:pPr>
    </w:p>
    <w:p>
      <w:pPr>
        <w:ind w:left="400" w:right="300" w:firstLine="384"/>
        <w:spacing w:after="0" w:line="243" w:lineRule="auto"/>
        <w:rPr>
          <w:sz w:val="20"/>
          <w:szCs w:val="20"/>
          <w:color w:val="auto"/>
        </w:rPr>
      </w:pPr>
      <w:r>
        <w:rPr>
          <w:rFonts w:ascii="Times New Roman" w:cs="Times New Roman" w:eastAsia="Times New Roman" w:hAnsi="Times New Roman"/>
          <w:sz w:val="16"/>
          <w:szCs w:val="16"/>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2024 Director Compensation Table</w:t>
      </w:r>
    </w:p>
    <w:p>
      <w:pPr>
        <w:spacing w:after="0" w:line="1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Blaize’s non-employee directors for the year ended December 31, 2024.</w:t>
      </w:r>
    </w:p>
    <w:p>
      <w:pPr>
        <w:spacing w:after="0" w:line="247"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3420" w:type="dxa"/>
            <w:vAlign w:val="bottom"/>
          </w:tcPr>
          <w:p>
            <w:pPr>
              <w:spacing w:after="0"/>
              <w:rPr>
                <w:sz w:val="13"/>
                <w:szCs w:val="13"/>
                <w:color w:val="auto"/>
              </w:rPr>
            </w:pPr>
          </w:p>
        </w:tc>
        <w:tc>
          <w:tcPr>
            <w:tcW w:w="34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040" w:type="dxa"/>
            <w:vAlign w:val="bottom"/>
            <w:gridSpan w:val="2"/>
          </w:tcPr>
          <w:p>
            <w:pPr>
              <w:jc w:val="right"/>
              <w:ind w:right="222"/>
              <w:spacing w:after="0" w:line="17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r>
      <w:tr>
        <w:trPr>
          <w:trHeight w:val="172"/>
        </w:trPr>
        <w:tc>
          <w:tcPr>
            <w:tcW w:w="34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Edward Frank</w:t>
            </w:r>
          </w:p>
        </w:tc>
        <w:tc>
          <w:tcPr>
            <w:tcW w:w="2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318,472</w:t>
            </w:r>
          </w:p>
        </w:tc>
        <w:tc>
          <w:tcPr>
            <w:tcW w:w="4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w w:val="96"/>
              </w:rPr>
              <w:t>318,472</w:t>
            </w:r>
          </w:p>
        </w:tc>
        <w:tc>
          <w:tcPr>
            <w:tcW w:w="20" w:type="dxa"/>
            <w:vAlign w:val="bottom"/>
            <w:tcBorders>
              <w:top w:val="single" w:sz="8" w:color="CCEEFF"/>
            </w:tcBorders>
            <w:shd w:val="clear" w:color="auto" w:fill="CCEEFF"/>
          </w:tcPr>
          <w:p>
            <w:pPr>
              <w:spacing w:after="0"/>
              <w:rPr>
                <w:sz w:val="14"/>
                <w:szCs w:val="14"/>
                <w:color w:val="auto"/>
              </w:rPr>
            </w:pPr>
          </w:p>
        </w:tc>
      </w:tr>
      <w:tr>
        <w:trPr>
          <w:trHeight w:val="180"/>
        </w:trPr>
        <w:tc>
          <w:tcPr>
            <w:tcW w:w="3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Tony Cannestra</w:t>
            </w:r>
          </w:p>
        </w:tc>
        <w:tc>
          <w:tcPr>
            <w:tcW w:w="3460" w:type="dxa"/>
            <w:vAlign w:val="bottom"/>
            <w:gridSpan w:val="3"/>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318,472</w:t>
            </w:r>
          </w:p>
        </w:tc>
        <w:tc>
          <w:tcPr>
            <w:tcW w:w="5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6"/>
                <w:szCs w:val="16"/>
                <w:color w:val="auto"/>
                <w:w w:val="99"/>
              </w:rPr>
              <w:t>318,472</w:t>
            </w:r>
          </w:p>
        </w:tc>
      </w:tr>
      <w:tr>
        <w:trPr>
          <w:trHeight w:val="180"/>
        </w:trPr>
        <w:tc>
          <w:tcPr>
            <w:tcW w:w="34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Juergen Hambrecht</w:t>
            </w:r>
          </w:p>
        </w:tc>
        <w:tc>
          <w:tcPr>
            <w:tcW w:w="3460" w:type="dxa"/>
            <w:vAlign w:val="bottom"/>
            <w:gridSpan w:val="3"/>
            <w:shd w:val="clear" w:color="auto" w:fill="CCEEFF"/>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318,472</w:t>
            </w:r>
          </w:p>
        </w:tc>
        <w:tc>
          <w:tcPr>
            <w:tcW w:w="5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w w:val="99"/>
              </w:rPr>
              <w:t>318,472</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Lane Bess</w:t>
            </w:r>
          </w:p>
        </w:tc>
        <w:tc>
          <w:tcPr>
            <w:tcW w:w="34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242,571</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242,571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61595</wp:posOffset>
            </wp:positionV>
            <wp:extent cx="6781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01" w:lineRule="exact"/>
        <w:rPr>
          <w:sz w:val="20"/>
          <w:szCs w:val="20"/>
          <w:color w:val="auto"/>
        </w:rPr>
      </w:pPr>
    </w:p>
    <w:p>
      <w:pPr>
        <w:ind w:left="780" w:hanging="390"/>
        <w:spacing w:after="0" w:line="268" w:lineRule="auto"/>
        <w:tabs>
          <w:tab w:leader="none" w:pos="7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11 to Blaize’s consolidated financial statements filed in our Current Report on Form 8-K on January 17, 2025.</w:t>
      </w:r>
    </w:p>
    <w:p>
      <w:pPr>
        <w:spacing w:after="0" w:line="182"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The table below shows the aggregate numbers of option awards (exercisable and unexercisable) held as of December 31, 2024, by eachnon-employee director who served during 2024.</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56"/>
        </w:trPr>
        <w:tc>
          <w:tcPr>
            <w:tcW w:w="3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56"/>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5500" w:type="dxa"/>
            <w:vAlign w:val="bottom"/>
            <w:vMerge w:val="restart"/>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8"/>
              </w:rPr>
              <w:t>at Fiscal Year</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End (#)</w:t>
            </w:r>
          </w:p>
        </w:tc>
        <w:tc>
          <w:tcPr>
            <w:tcW w:w="0" w:type="dxa"/>
            <w:vAlign w:val="bottom"/>
          </w:tcPr>
          <w:p>
            <w:pPr>
              <w:spacing w:after="0"/>
              <w:rPr>
                <w:sz w:val="1"/>
                <w:szCs w:val="1"/>
                <w:color w:val="auto"/>
              </w:rPr>
            </w:pPr>
          </w:p>
        </w:tc>
      </w:tr>
      <w:tr>
        <w:trPr>
          <w:trHeight w:val="164"/>
        </w:trPr>
        <w:tc>
          <w:tcPr>
            <w:tcW w:w="584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Edward Frank</w:t>
            </w:r>
          </w:p>
        </w:tc>
        <w:tc>
          <w:tcPr>
            <w:tcW w:w="7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909,535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Tony Cannestra</w:t>
            </w: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920,850</w:t>
            </w: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Juergen Hambrecht</w:t>
            </w:r>
          </w:p>
        </w:tc>
        <w:tc>
          <w:tcPr>
            <w:tcW w:w="8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909,535</w:t>
            </w:r>
          </w:p>
        </w:tc>
        <w:tc>
          <w:tcPr>
            <w:tcW w:w="0" w:type="dxa"/>
            <w:vAlign w:val="bottom"/>
          </w:tcPr>
          <w:p>
            <w:pPr>
              <w:spacing w:after="0"/>
              <w:rPr>
                <w:sz w:val="1"/>
                <w:szCs w:val="1"/>
                <w:color w:val="auto"/>
              </w:rPr>
            </w:pPr>
          </w:p>
        </w:tc>
      </w:tr>
      <w:tr>
        <w:trPr>
          <w:trHeight w:val="203"/>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Lane Bess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477,750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right="300" w:firstLine="384"/>
        <w:spacing w:after="0" w:line="331" w:lineRule="auto"/>
        <w:rPr>
          <w:sz w:val="20"/>
          <w:szCs w:val="20"/>
          <w:color w:val="auto"/>
        </w:rPr>
      </w:pPr>
      <w:r>
        <w:rPr>
          <w:rFonts w:ascii="Times New Roman" w:cs="Times New Roman" w:eastAsia="Times New Roman" w:hAnsi="Times New Roman"/>
          <w:sz w:val="14"/>
          <w:szCs w:val="14"/>
          <w:color w:val="auto"/>
        </w:rPr>
        <w:t>In connection with the Business Combination, we approved a compensation program for ournon- employee directors (the “Director Compensation Program”), effective as of the closing of the Business Combination. The material terms of the Director Compensation Program are summarized below.</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Cash Compensation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Under the Director Compensation Program, non-employee directors serving on the Board are entitled to cash compensation in the following amounts:</w:t>
      </w:r>
    </w:p>
    <w:p>
      <w:pPr>
        <w:spacing w:after="0" w:line="139" w:lineRule="exact"/>
        <w:rPr>
          <w:sz w:val="20"/>
          <w:szCs w:val="20"/>
          <w:color w:val="auto"/>
        </w:rPr>
      </w:pPr>
    </w:p>
    <w:p>
      <w:pPr>
        <w:ind w:left="1360" w:hanging="490"/>
        <w:spacing w:after="0"/>
        <w:tabs>
          <w:tab w:leader="none" w:pos="1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Retainer: $80,000</w:t>
      </w:r>
    </w:p>
    <w:p>
      <w:pPr>
        <w:spacing w:after="0" w:line="152"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Annual Retainer for Non-Executive Chair: $40,000</w:t>
      </w:r>
    </w:p>
    <w:p>
      <w:pPr>
        <w:spacing w:after="0" w:line="152"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Committee Chair Retainers:</w:t>
      </w:r>
    </w:p>
    <w:p>
      <w:pPr>
        <w:spacing w:after="0" w:line="152"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$24,000</w:t>
      </w:r>
    </w:p>
    <w:p>
      <w:pPr>
        <w:spacing w:after="0" w:line="152"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$20,000</w:t>
      </w:r>
    </w:p>
    <w:p>
      <w:pPr>
        <w:spacing w:after="0" w:line="80" w:lineRule="exact"/>
        <w:rPr>
          <w:rFonts w:ascii="Times New Roman" w:cs="Times New Roman" w:eastAsia="Times New Roman" w:hAnsi="Times New Roman"/>
          <w:sz w:val="16"/>
          <w:szCs w:val="16"/>
          <w:color w:val="auto"/>
        </w:rPr>
      </w:pPr>
    </w:p>
    <w:p>
      <w:pPr>
        <w:ind w:left="1360" w:hanging="490"/>
        <w:spacing w:after="0"/>
        <w:tabs>
          <w:tab w:leader="none" w:pos="1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Non-Chair Committee Member Retainers:</w:t>
      </w:r>
    </w:p>
    <w:p>
      <w:pPr>
        <w:spacing w:after="0" w:line="116"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$16,000</w:t>
      </w:r>
    </w:p>
    <w:p>
      <w:pPr>
        <w:spacing w:after="0" w:line="116"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$14,000</w:t>
      </w:r>
    </w:p>
    <w:p>
      <w:pPr>
        <w:spacing w:after="0" w:line="1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10160"/>
          </w:cols>
          <w:pgMar w:left="660" w:top="879" w:right="1080" w:bottom="1440" w:gutter="0" w:footer="0" w:header="0"/>
        </w:sectPr>
      </w:pPr>
    </w:p>
    <w:bookmarkStart w:id="30" w:name="page31"/>
    <w:bookmarkEnd w:id="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200" w:firstLine="384"/>
        <w:spacing w:after="0" w:line="397" w:lineRule="auto"/>
        <w:rPr>
          <w:sz w:val="20"/>
          <w:szCs w:val="20"/>
          <w:color w:val="auto"/>
        </w:rPr>
      </w:pPr>
      <w:r>
        <w:rPr>
          <w:rFonts w:ascii="Times New Roman" w:cs="Times New Roman" w:eastAsia="Times New Roman" w:hAnsi="Times New Roman"/>
          <w:sz w:val="16"/>
          <w:szCs w:val="16"/>
          <w:color w:val="auto"/>
        </w:rPr>
        <w:t xml:space="preserve">Annual cash retainers will be paid in quarterly installments in arrears and will bepro-rated for any partial calendar quarter of service. </w:t>
      </w:r>
      <w:r>
        <w:rPr>
          <w:rFonts w:ascii="Times New Roman" w:cs="Times New Roman" w:eastAsia="Times New Roman" w:hAnsi="Times New Roman"/>
          <w:sz w:val="16"/>
          <w:szCs w:val="16"/>
          <w:i w:val="1"/>
          <w:iCs w:val="1"/>
          <w:color w:val="auto"/>
        </w:rPr>
        <w:t>Equity Compensation</w:t>
      </w:r>
    </w:p>
    <w:p>
      <w:pPr>
        <w:spacing w:after="0" w:line="1" w:lineRule="exact"/>
        <w:rPr>
          <w:sz w:val="20"/>
          <w:szCs w:val="20"/>
          <w:color w:val="auto"/>
        </w:rPr>
      </w:pPr>
    </w:p>
    <w:p>
      <w:pPr>
        <w:ind w:left="400" w:right="120" w:firstLine="384"/>
        <w:spacing w:after="0" w:line="221" w:lineRule="auto"/>
        <w:rPr>
          <w:sz w:val="20"/>
          <w:szCs w:val="20"/>
          <w:color w:val="auto"/>
        </w:rPr>
      </w:pPr>
      <w:r>
        <w:rPr>
          <w:rFonts w:ascii="Times New Roman" w:cs="Times New Roman" w:eastAsia="Times New Roman" w:hAnsi="Times New Roman"/>
          <w:sz w:val="16"/>
          <w:szCs w:val="16"/>
          <w:i w:val="1"/>
          <w:iCs w:val="1"/>
          <w:color w:val="auto"/>
        </w:rPr>
        <w:t xml:space="preserve">Initial Awards. </w:t>
      </w:r>
      <w:r>
        <w:rPr>
          <w:rFonts w:ascii="Times New Roman" w:cs="Times New Roman" w:eastAsia="Times New Roman" w:hAnsi="Times New Roman"/>
          <w:sz w:val="16"/>
          <w:szCs w:val="16"/>
          <w:color w:val="auto"/>
        </w:rPr>
        <w:t>Under the Director Compensation Program, each non-employee director who is initially elected or appointed to serve on the Board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the closing of the Business Combination will be granted an award of restricted stock units at the time of the election or appointment with a grant-date value of approximately $600,000, which will vest with respect to one-third (1/3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6"/>
          <w:szCs w:val="16"/>
          <w:color w:val="auto"/>
        </w:rPr>
        <w:t>)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171" w:lineRule="exact"/>
        <w:rPr>
          <w:sz w:val="20"/>
          <w:szCs w:val="20"/>
          <w:color w:val="auto"/>
        </w:rPr>
      </w:pPr>
    </w:p>
    <w:p>
      <w:pPr>
        <w:ind w:left="400" w:right="18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Annual Awards. </w:t>
      </w:r>
      <w:r>
        <w:rPr>
          <w:rFonts w:ascii="Times New Roman" w:cs="Times New Roman" w:eastAsia="Times New Roman" w:hAnsi="Times New Roman"/>
          <w:sz w:val="16"/>
          <w:szCs w:val="16"/>
          <w:color w:val="auto"/>
        </w:rPr>
        <w:t>Under the Director Compensation Program, each non-employee director who is serving on the Board as of the date of each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w:t>
      </w:r>
    </w:p>
    <w:p>
      <w:pPr>
        <w:spacing w:after="0" w:line="171" w:lineRule="exact"/>
        <w:rPr>
          <w:sz w:val="20"/>
          <w:szCs w:val="20"/>
          <w:color w:val="auto"/>
        </w:rPr>
      </w:pPr>
    </w:p>
    <w:p>
      <w:pPr>
        <w:jc w:val="both"/>
        <w:ind w:left="400" w:firstLine="384"/>
        <w:spacing w:after="0" w:line="247" w:lineRule="auto"/>
        <w:rPr>
          <w:sz w:val="20"/>
          <w:szCs w:val="20"/>
          <w:color w:val="auto"/>
        </w:rPr>
      </w:pPr>
      <w:r>
        <w:rPr>
          <w:rFonts w:ascii="Times New Roman" w:cs="Times New Roman" w:eastAsia="Times New Roman" w:hAnsi="Times New Roman"/>
          <w:sz w:val="16"/>
          <w:szCs w:val="16"/>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64" w:lineRule="exact"/>
        <w:rPr>
          <w:sz w:val="20"/>
          <w:szCs w:val="20"/>
          <w:color w:val="auto"/>
        </w:rPr>
      </w:pPr>
    </w:p>
    <w:p>
      <w:pPr>
        <w:ind w:left="400" w:right="500" w:firstLine="384"/>
        <w:spacing w:after="0" w:line="259" w:lineRule="auto"/>
        <w:rPr>
          <w:sz w:val="20"/>
          <w:szCs w:val="20"/>
          <w:color w:val="auto"/>
        </w:rPr>
      </w:pPr>
      <w:r>
        <w:rPr>
          <w:rFonts w:ascii="Times New Roman" w:cs="Times New Roman" w:eastAsia="Times New Roman" w:hAnsi="Times New Roman"/>
          <w:sz w:val="16"/>
          <w:szCs w:val="16"/>
          <w:color w:val="auto"/>
        </w:rPr>
        <w:t>Compensation under the Director Compensation Program is subject to the annual limits on non-employee director compensation set forth in the Incentive Award Plan (or any successor plan).</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10220"/>
          </w:cols>
          <w:pgMar w:left="660" w:top="879" w:right="102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54" w:lineRule="exact"/>
        <w:rPr>
          <w:sz w:val="20"/>
          <w:szCs w:val="20"/>
          <w:color w:val="auto"/>
        </w:rPr>
      </w:pPr>
    </w:p>
    <w:p>
      <w:pPr>
        <w:ind w:left="400" w:right="60"/>
        <w:spacing w:after="0" w:line="278" w:lineRule="auto"/>
        <w:rPr>
          <w:sz w:val="20"/>
          <w:szCs w:val="20"/>
          <w:color w:val="auto"/>
        </w:rPr>
      </w:pPr>
      <w:r>
        <w:rPr>
          <w:rFonts w:ascii="Times New Roman" w:cs="Times New Roman" w:eastAsia="Times New Roman" w:hAnsi="Times New Roman"/>
          <w:sz w:val="14"/>
          <w:szCs w:val="14"/>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October 6, 2025,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107,866,345 shares of common stock outstanding as of October 6, 2025. In computing the number of shares beneficially owned by a person and the percentage ownership of that person, shares of common stock subject to options, or other rights held by such person that are currently exercisable or will become exercisable within 60 days of October 6, 2025, are considered outstanding, although these shares are not considered outstanding for purposes of computing the percentage ownership of any other person.</w:t>
      </w:r>
    </w:p>
    <w:p>
      <w:pPr>
        <w:spacing w:after="0" w:line="291" w:lineRule="exact"/>
        <w:rPr>
          <w:sz w:val="20"/>
          <w:szCs w:val="20"/>
          <w:color w:val="auto"/>
        </w:rPr>
      </w:pPr>
    </w:p>
    <w:p>
      <w:pPr>
        <w:ind w:left="400" w:right="100"/>
        <w:spacing w:after="0" w:line="247" w:lineRule="auto"/>
        <w:rPr>
          <w:sz w:val="20"/>
          <w:szCs w:val="20"/>
          <w:color w:val="auto"/>
        </w:rPr>
      </w:pPr>
      <w:r>
        <w:rPr>
          <w:rFonts w:ascii="Times New Roman" w:cs="Times New Roman" w:eastAsia="Times New Roman" w:hAnsi="Times New Roman"/>
          <w:sz w:val="16"/>
          <w:szCs w:val="16"/>
          <w:color w:val="auto"/>
        </w:rPr>
        <w:t>Unless otherwise indicated, the address of each beneficial owner listed below is 4659 Golden Foothill Parkway, Suite 206, El Dorado Hills, CA 95762.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60"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Number of Shares of</w:t>
            </w:r>
            <w:r>
              <w:rPr>
                <w:rFonts w:ascii="Arial" w:cs="Arial" w:eastAsia="Arial" w:hAnsi="Arial"/>
                <w:sz w:val="13"/>
                <w:szCs w:val="13"/>
                <w:b w:val="1"/>
                <w:bCs w:val="1"/>
                <w:color w:val="auto"/>
              </w:rPr>
              <w:t>  </w:t>
            </w:r>
          </w:p>
        </w:tc>
        <w:tc>
          <w:tcPr>
            <w:tcW w:w="900" w:type="dxa"/>
            <w:vAlign w:val="bottom"/>
          </w:tcPr>
          <w:p>
            <w:pPr>
              <w:spacing w:after="0"/>
              <w:rPr>
                <w:sz w:val="15"/>
                <w:szCs w:val="15"/>
                <w:color w:val="auto"/>
              </w:rPr>
            </w:pP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240"/>
        </w:trPr>
        <w:tc>
          <w:tcPr>
            <w:tcW w:w="4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60" w:type="dxa"/>
            <w:vAlign w:val="bottom"/>
            <w:gridSpan w:val="3"/>
          </w:tcPr>
          <w:p>
            <w:pPr>
              <w:jc w:val="center"/>
              <w:ind w:left="783"/>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Outstanding Common</w:t>
            </w:r>
            <w:r>
              <w:rPr>
                <w:rFonts w:ascii="Arial" w:cs="Arial" w:eastAsia="Arial" w:hAnsi="Arial"/>
                <w:sz w:val="13"/>
                <w:szCs w:val="13"/>
                <w:b w:val="1"/>
                <w:bCs w:val="1"/>
                <w:color w:val="auto"/>
              </w:rPr>
              <w:t xml:space="preserve"> </w:t>
            </w:r>
          </w:p>
        </w:tc>
      </w:tr>
      <w:tr>
        <w:trPr>
          <w:trHeight w:val="244"/>
        </w:trPr>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Name of Beneficial Owners</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Beneficially Owned</w:t>
            </w:r>
          </w:p>
        </w:tc>
        <w:tc>
          <w:tcPr>
            <w:tcW w:w="900" w:type="dxa"/>
            <w:vAlign w:val="bottom"/>
          </w:tcPr>
          <w:p>
            <w:pPr>
              <w:spacing w:after="0"/>
              <w:rPr>
                <w:sz w:val="21"/>
                <w:szCs w:val="21"/>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w:t>
            </w:r>
          </w:p>
        </w:tc>
      </w:tr>
      <w:tr>
        <w:trPr>
          <w:trHeight w:val="164"/>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 </w:t>
            </w:r>
            <w:r>
              <w:rPr>
                <w:rFonts w:ascii="Times New Roman" w:cs="Times New Roman" w:eastAsia="Times New Roman" w:hAnsi="Times New Roman"/>
                <w:sz w:val="14"/>
                <w:szCs w:val="14"/>
                <w:b w:val="1"/>
                <w:bCs w:val="1"/>
                <w:i w:val="1"/>
                <w:iCs w:val="1"/>
                <w:color w:val="auto"/>
              </w:rPr>
              <w:t>5% or Greater Stockholders:</w:t>
            </w:r>
          </w:p>
        </w:tc>
        <w:tc>
          <w:tcPr>
            <w:tcW w:w="8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86"/>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Bess Ventures and Advisory, LLC</w:t>
            </w:r>
            <w:r>
              <w:rPr>
                <w:rFonts w:ascii="Times New Roman" w:cs="Times New Roman" w:eastAsia="Times New Roman" w:hAnsi="Times New Roman"/>
                <w:sz w:val="10"/>
                <w:szCs w:val="10"/>
                <w:color w:val="auto"/>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11,021,985</w:t>
            </w:r>
          </w:p>
        </w:tc>
        <w:tc>
          <w:tcPr>
            <w:tcW w:w="2420" w:type="dxa"/>
            <w:vAlign w:val="bottom"/>
            <w:gridSpan w:val="2"/>
          </w:tcPr>
          <w:p>
            <w:pPr>
              <w:jc w:val="center"/>
              <w:ind w:left="943"/>
              <w:spacing w:after="0"/>
              <w:rPr>
                <w:sz w:val="20"/>
                <w:szCs w:val="20"/>
                <w:color w:val="auto"/>
              </w:rPr>
            </w:pPr>
            <w:r>
              <w:rPr>
                <w:rFonts w:ascii="Times New Roman" w:cs="Times New Roman" w:eastAsia="Times New Roman" w:hAnsi="Times New Roman"/>
                <w:sz w:val="16"/>
                <w:szCs w:val="16"/>
                <w:color w:val="auto"/>
                <w:w w:val="96"/>
              </w:rPr>
              <w:t>10.2%</w:t>
            </w:r>
          </w:p>
        </w:tc>
        <w:tc>
          <w:tcPr>
            <w:tcW w:w="40" w:type="dxa"/>
            <w:vAlign w:val="bottom"/>
          </w:tcPr>
          <w:p>
            <w:pPr>
              <w:spacing w:after="0"/>
              <w:rPr>
                <w:sz w:val="24"/>
                <w:szCs w:val="24"/>
                <w:color w:val="auto"/>
              </w:rPr>
            </w:pPr>
          </w:p>
        </w:tc>
      </w:tr>
      <w:tr>
        <w:trPr>
          <w:trHeight w:val="86"/>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Funds affiliated with Rizvi Traverse CI Manager, LLC</w:t>
            </w:r>
            <w:r>
              <w:rPr>
                <w:rFonts w:ascii="Times New Roman" w:cs="Times New Roman" w:eastAsia="Times New Roman" w:hAnsi="Times New Roman"/>
                <w:sz w:val="10"/>
                <w:szCs w:val="10"/>
                <w:color w:val="auto"/>
              </w:rPr>
              <w:t>(2)</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7,439,433</w:t>
            </w:r>
          </w:p>
        </w:tc>
        <w:tc>
          <w:tcPr>
            <w:tcW w:w="2420" w:type="dxa"/>
            <w:vAlign w:val="bottom"/>
            <w:gridSpan w:val="2"/>
            <w:shd w:val="clear" w:color="auto" w:fill="CCEEFF"/>
          </w:tcPr>
          <w:p>
            <w:pPr>
              <w:jc w:val="center"/>
              <w:ind w:left="943"/>
              <w:spacing w:after="0" w:line="180" w:lineRule="exact"/>
              <w:rPr>
                <w:sz w:val="20"/>
                <w:szCs w:val="20"/>
                <w:color w:val="auto"/>
              </w:rPr>
            </w:pPr>
            <w:r>
              <w:rPr>
                <w:rFonts w:ascii="Times New Roman" w:cs="Times New Roman" w:eastAsia="Times New Roman" w:hAnsi="Times New Roman"/>
                <w:sz w:val="16"/>
                <w:szCs w:val="16"/>
                <w:color w:val="auto"/>
                <w:w w:val="95"/>
              </w:rPr>
              <w:t>6.9%</w:t>
            </w:r>
          </w:p>
        </w:tc>
        <w:tc>
          <w:tcPr>
            <w:tcW w:w="40" w:type="dxa"/>
            <w:vAlign w:val="bottom"/>
            <w:shd w:val="clear" w:color="auto" w:fill="CCEEFF"/>
          </w:tcPr>
          <w:p>
            <w:pPr>
              <w:spacing w:after="0"/>
              <w:rPr>
                <w:sz w:val="15"/>
                <w:szCs w:val="15"/>
                <w:color w:val="auto"/>
              </w:rPr>
            </w:pPr>
          </w:p>
        </w:tc>
      </w:tr>
      <w:tr>
        <w:trPr>
          <w:trHeight w:val="286"/>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Ava Investors SA</w:t>
            </w:r>
            <w:r>
              <w:rPr>
                <w:rFonts w:ascii="Times New Roman" w:cs="Times New Roman" w:eastAsia="Times New Roman" w:hAnsi="Times New Roman"/>
                <w:sz w:val="10"/>
                <w:szCs w:val="10"/>
                <w:color w:val="auto"/>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17,716,892</w:t>
            </w:r>
          </w:p>
        </w:tc>
        <w:tc>
          <w:tcPr>
            <w:tcW w:w="2420" w:type="dxa"/>
            <w:vAlign w:val="bottom"/>
            <w:gridSpan w:val="2"/>
          </w:tcPr>
          <w:p>
            <w:pPr>
              <w:jc w:val="center"/>
              <w:ind w:left="943"/>
              <w:spacing w:after="0"/>
              <w:rPr>
                <w:sz w:val="20"/>
                <w:szCs w:val="20"/>
                <w:color w:val="auto"/>
              </w:rPr>
            </w:pPr>
            <w:r>
              <w:rPr>
                <w:rFonts w:ascii="Times New Roman" w:cs="Times New Roman" w:eastAsia="Times New Roman" w:hAnsi="Times New Roman"/>
                <w:sz w:val="16"/>
                <w:szCs w:val="16"/>
                <w:color w:val="auto"/>
                <w:w w:val="96"/>
              </w:rPr>
              <w:t>16.4%</w:t>
            </w:r>
          </w:p>
        </w:tc>
        <w:tc>
          <w:tcPr>
            <w:tcW w:w="40" w:type="dxa"/>
            <w:vAlign w:val="bottom"/>
          </w:tcPr>
          <w:p>
            <w:pPr>
              <w:spacing w:after="0"/>
              <w:rPr>
                <w:sz w:val="24"/>
                <w:szCs w:val="24"/>
                <w:color w:val="auto"/>
              </w:rPr>
            </w:pPr>
          </w:p>
        </w:tc>
      </w:tr>
      <w:tr>
        <w:trPr>
          <w:trHeight w:val="86"/>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BurTech LP LLC</w:t>
            </w:r>
            <w:r>
              <w:rPr>
                <w:rFonts w:ascii="Times New Roman" w:cs="Times New Roman" w:eastAsia="Times New Roman" w:hAnsi="Times New Roman"/>
                <w:sz w:val="10"/>
                <w:szCs w:val="10"/>
                <w:color w:val="auto"/>
              </w:rPr>
              <w:t>(4)</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5,510,017</w:t>
            </w:r>
          </w:p>
        </w:tc>
        <w:tc>
          <w:tcPr>
            <w:tcW w:w="2420" w:type="dxa"/>
            <w:vAlign w:val="bottom"/>
            <w:gridSpan w:val="2"/>
            <w:shd w:val="clear" w:color="auto" w:fill="CCEEFF"/>
          </w:tcPr>
          <w:p>
            <w:pPr>
              <w:jc w:val="center"/>
              <w:ind w:left="943"/>
              <w:spacing w:after="0" w:line="180" w:lineRule="exact"/>
              <w:rPr>
                <w:sz w:val="20"/>
                <w:szCs w:val="20"/>
                <w:color w:val="auto"/>
              </w:rPr>
            </w:pPr>
            <w:r>
              <w:rPr>
                <w:rFonts w:ascii="Times New Roman" w:cs="Times New Roman" w:eastAsia="Times New Roman" w:hAnsi="Times New Roman"/>
                <w:sz w:val="16"/>
                <w:szCs w:val="16"/>
                <w:color w:val="auto"/>
                <w:w w:val="95"/>
              </w:rPr>
              <w:t>5.1%</w:t>
            </w:r>
          </w:p>
        </w:tc>
        <w:tc>
          <w:tcPr>
            <w:tcW w:w="40" w:type="dxa"/>
            <w:vAlign w:val="bottom"/>
            <w:shd w:val="clear" w:color="auto" w:fill="CCEEFF"/>
          </w:tcPr>
          <w:p>
            <w:pPr>
              <w:spacing w:after="0"/>
              <w:rPr>
                <w:sz w:val="15"/>
                <w:szCs w:val="15"/>
                <w:color w:val="auto"/>
              </w:rPr>
            </w:pPr>
          </w:p>
        </w:tc>
      </w:tr>
      <w:tr>
        <w:trPr>
          <w:trHeight w:val="286"/>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Funds affiliated with DENSO</w:t>
            </w:r>
            <w:r>
              <w:rPr>
                <w:rFonts w:ascii="Times New Roman" w:cs="Times New Roman" w:eastAsia="Times New Roman" w:hAnsi="Times New Roman"/>
                <w:sz w:val="10"/>
                <w:szCs w:val="10"/>
                <w:color w:val="auto"/>
              </w:rPr>
              <w:t>(5)</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9,195,111</w:t>
            </w:r>
          </w:p>
        </w:tc>
        <w:tc>
          <w:tcPr>
            <w:tcW w:w="2420" w:type="dxa"/>
            <w:vAlign w:val="bottom"/>
            <w:gridSpan w:val="2"/>
          </w:tcPr>
          <w:p>
            <w:pPr>
              <w:jc w:val="center"/>
              <w:ind w:left="943"/>
              <w:spacing w:after="0"/>
              <w:rPr>
                <w:sz w:val="20"/>
                <w:szCs w:val="20"/>
                <w:color w:val="auto"/>
              </w:rPr>
            </w:pPr>
            <w:r>
              <w:rPr>
                <w:rFonts w:ascii="Times New Roman" w:cs="Times New Roman" w:eastAsia="Times New Roman" w:hAnsi="Times New Roman"/>
                <w:sz w:val="16"/>
                <w:szCs w:val="16"/>
                <w:color w:val="auto"/>
                <w:w w:val="95"/>
              </w:rPr>
              <w:t>8.5%</w:t>
            </w:r>
          </w:p>
        </w:tc>
        <w:tc>
          <w:tcPr>
            <w:tcW w:w="40" w:type="dxa"/>
            <w:vAlign w:val="bottom"/>
          </w:tcPr>
          <w:p>
            <w:pPr>
              <w:spacing w:after="0"/>
              <w:rPr>
                <w:sz w:val="24"/>
                <w:szCs w:val="24"/>
                <w:color w:val="auto"/>
              </w:rPr>
            </w:pPr>
          </w:p>
        </w:tc>
      </w:tr>
      <w:tr>
        <w:trPr>
          <w:trHeight w:val="86"/>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Anderson Investments Pte. Ltd.</w:t>
            </w:r>
            <w:r>
              <w:rPr>
                <w:rFonts w:ascii="Times New Roman" w:cs="Times New Roman" w:eastAsia="Times New Roman" w:hAnsi="Times New Roman"/>
                <w:sz w:val="10"/>
                <w:szCs w:val="10"/>
                <w:color w:val="auto"/>
              </w:rPr>
              <w:t>(6)</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6,353,023</w:t>
            </w:r>
          </w:p>
        </w:tc>
        <w:tc>
          <w:tcPr>
            <w:tcW w:w="2420" w:type="dxa"/>
            <w:vAlign w:val="bottom"/>
            <w:gridSpan w:val="2"/>
            <w:shd w:val="clear" w:color="auto" w:fill="CCEEFF"/>
          </w:tcPr>
          <w:p>
            <w:pPr>
              <w:jc w:val="center"/>
              <w:ind w:left="943"/>
              <w:spacing w:after="0" w:line="180" w:lineRule="exact"/>
              <w:rPr>
                <w:sz w:val="20"/>
                <w:szCs w:val="20"/>
                <w:color w:val="auto"/>
              </w:rPr>
            </w:pPr>
            <w:r>
              <w:rPr>
                <w:rFonts w:ascii="Times New Roman" w:cs="Times New Roman" w:eastAsia="Times New Roman" w:hAnsi="Times New Roman"/>
                <w:sz w:val="16"/>
                <w:szCs w:val="16"/>
                <w:color w:val="auto"/>
                <w:w w:val="95"/>
              </w:rPr>
              <w:t>5.9%</w:t>
            </w:r>
          </w:p>
        </w:tc>
        <w:tc>
          <w:tcPr>
            <w:tcW w:w="40" w:type="dxa"/>
            <w:vAlign w:val="bottom"/>
            <w:shd w:val="clear" w:color="auto" w:fill="CCEEFF"/>
          </w:tcPr>
          <w:p>
            <w:pPr>
              <w:spacing w:after="0"/>
              <w:rPr>
                <w:sz w:val="15"/>
                <w:szCs w:val="15"/>
                <w:color w:val="auto"/>
              </w:rPr>
            </w:pPr>
          </w:p>
        </w:tc>
      </w:tr>
      <w:tr>
        <w:trPr>
          <w:trHeight w:val="368"/>
        </w:trPr>
        <w:tc>
          <w:tcPr>
            <w:tcW w:w="5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w:t>
            </w:r>
            <w:r>
              <w:rPr>
                <w:rFonts w:ascii="Times New Roman" w:cs="Times New Roman" w:eastAsia="Times New Roman" w:hAnsi="Times New Roman"/>
                <w:sz w:val="14"/>
                <w:szCs w:val="14"/>
                <w:b w:val="1"/>
                <w:bCs w:val="1"/>
                <w:i w:val="1"/>
                <w:iCs w:val="1"/>
                <w:color w:val="auto"/>
              </w:rPr>
              <w:t>Directors and Named Executive Officers:</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8"/>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Lane M. Bess</w:t>
            </w:r>
            <w:r>
              <w:rPr>
                <w:rFonts w:ascii="Times New Roman" w:cs="Times New Roman" w:eastAsia="Times New Roman" w:hAnsi="Times New Roman"/>
                <w:sz w:val="10"/>
                <w:szCs w:val="10"/>
                <w:color w:val="auto"/>
              </w:rPr>
              <w:t>(1)</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11,021,985</w:t>
            </w:r>
          </w:p>
        </w:tc>
        <w:tc>
          <w:tcPr>
            <w:tcW w:w="2420" w:type="dxa"/>
            <w:vAlign w:val="bottom"/>
            <w:gridSpan w:val="2"/>
            <w:shd w:val="clear" w:color="auto" w:fill="CCEEFF"/>
          </w:tcPr>
          <w:p>
            <w:pPr>
              <w:jc w:val="center"/>
              <w:ind w:left="943"/>
              <w:spacing w:after="0" w:line="180" w:lineRule="exact"/>
              <w:rPr>
                <w:sz w:val="20"/>
                <w:szCs w:val="20"/>
                <w:color w:val="auto"/>
              </w:rPr>
            </w:pPr>
            <w:r>
              <w:rPr>
                <w:rFonts w:ascii="Times New Roman" w:cs="Times New Roman" w:eastAsia="Times New Roman" w:hAnsi="Times New Roman"/>
                <w:sz w:val="16"/>
                <w:szCs w:val="16"/>
                <w:color w:val="auto"/>
                <w:w w:val="96"/>
              </w:rPr>
              <w:t>10.2%</w:t>
            </w:r>
          </w:p>
        </w:tc>
        <w:tc>
          <w:tcPr>
            <w:tcW w:w="40" w:type="dxa"/>
            <w:vAlign w:val="bottom"/>
            <w:shd w:val="clear" w:color="auto" w:fill="CCEEFF"/>
          </w:tcPr>
          <w:p>
            <w:pPr>
              <w:spacing w:after="0"/>
              <w:rPr>
                <w:sz w:val="15"/>
                <w:szCs w:val="15"/>
                <w:color w:val="auto"/>
              </w:rPr>
            </w:pPr>
          </w:p>
        </w:tc>
      </w:tr>
      <w:tr>
        <w:trPr>
          <w:trHeight w:val="286"/>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Anthony Cannestra</w:t>
            </w:r>
            <w:r>
              <w:rPr>
                <w:rFonts w:ascii="Times New Roman" w:cs="Times New Roman" w:eastAsia="Times New Roman" w:hAnsi="Times New Roman"/>
                <w:sz w:val="10"/>
                <w:szCs w:val="10"/>
                <w:color w:val="auto"/>
              </w:rPr>
              <w:t>(7)</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571,963</w:t>
            </w:r>
          </w:p>
        </w:tc>
        <w:tc>
          <w:tcPr>
            <w:tcW w:w="2420" w:type="dxa"/>
            <w:vAlign w:val="bottom"/>
            <w:gridSpan w:val="2"/>
          </w:tcPr>
          <w:p>
            <w:pPr>
              <w:jc w:val="center"/>
              <w:ind w:left="943"/>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r>
      <w:tr>
        <w:trPr>
          <w:trHeight w:val="86"/>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Edward Frank</w:t>
            </w:r>
            <w:r>
              <w:rPr>
                <w:rFonts w:ascii="Times New Roman" w:cs="Times New Roman" w:eastAsia="Times New Roman" w:hAnsi="Times New Roman"/>
                <w:sz w:val="10"/>
                <w:szCs w:val="10"/>
                <w:color w:val="auto"/>
              </w:rPr>
              <w:t>(8)</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563,139</w:t>
            </w:r>
          </w:p>
        </w:tc>
        <w:tc>
          <w:tcPr>
            <w:tcW w:w="2420" w:type="dxa"/>
            <w:vAlign w:val="bottom"/>
            <w:gridSpan w:val="2"/>
            <w:shd w:val="clear" w:color="auto" w:fill="CCEEFF"/>
          </w:tcPr>
          <w:p>
            <w:pPr>
              <w:jc w:val="center"/>
              <w:ind w:left="943"/>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5"/>
                <w:szCs w:val="15"/>
                <w:color w:val="auto"/>
              </w:rPr>
            </w:pPr>
          </w:p>
        </w:tc>
      </w:tr>
      <w:tr>
        <w:trPr>
          <w:trHeight w:val="286"/>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Yoshiaki Fujimori</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20" w:type="dxa"/>
            <w:vAlign w:val="bottom"/>
            <w:gridSpan w:val="2"/>
          </w:tcPr>
          <w:p>
            <w:pPr>
              <w:jc w:val="center"/>
              <w:ind w:left="963"/>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4"/>
                <w:szCs w:val="24"/>
                <w:color w:val="auto"/>
              </w:rPr>
            </w:pPr>
          </w:p>
        </w:tc>
      </w:tr>
      <w:tr>
        <w:trPr>
          <w:trHeight w:val="86"/>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Juergen Hambrecht</w:t>
            </w:r>
            <w:r>
              <w:rPr>
                <w:rFonts w:ascii="Times New Roman" w:cs="Times New Roman" w:eastAsia="Times New Roman" w:hAnsi="Times New Roman"/>
                <w:sz w:val="10"/>
                <w:szCs w:val="10"/>
                <w:color w:val="auto"/>
              </w:rPr>
              <w:t>(9)</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563,139</w:t>
            </w:r>
          </w:p>
        </w:tc>
        <w:tc>
          <w:tcPr>
            <w:tcW w:w="2420" w:type="dxa"/>
            <w:vAlign w:val="bottom"/>
            <w:gridSpan w:val="2"/>
            <w:shd w:val="clear" w:color="auto" w:fill="CCEEFF"/>
          </w:tcPr>
          <w:p>
            <w:pPr>
              <w:jc w:val="center"/>
              <w:ind w:left="943"/>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5"/>
                <w:szCs w:val="15"/>
                <w:color w:val="auto"/>
              </w:rPr>
            </w:pPr>
          </w:p>
        </w:tc>
      </w:tr>
      <w:tr>
        <w:trPr>
          <w:trHeight w:val="286"/>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Dinakar Munagala</w:t>
            </w:r>
            <w:r>
              <w:rPr>
                <w:rFonts w:ascii="Times New Roman" w:cs="Times New Roman" w:eastAsia="Times New Roman" w:hAnsi="Times New Roman"/>
                <w:sz w:val="10"/>
                <w:szCs w:val="10"/>
                <w:color w:val="auto"/>
              </w:rPr>
              <w:t>(10)</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6,550,413</w:t>
            </w:r>
          </w:p>
        </w:tc>
        <w:tc>
          <w:tcPr>
            <w:tcW w:w="2420" w:type="dxa"/>
            <w:vAlign w:val="bottom"/>
            <w:gridSpan w:val="2"/>
          </w:tcPr>
          <w:p>
            <w:pPr>
              <w:jc w:val="center"/>
              <w:ind w:left="943"/>
              <w:spacing w:after="0"/>
              <w:rPr>
                <w:sz w:val="20"/>
                <w:szCs w:val="20"/>
                <w:color w:val="auto"/>
              </w:rPr>
            </w:pPr>
            <w:r>
              <w:rPr>
                <w:rFonts w:ascii="Times New Roman" w:cs="Times New Roman" w:eastAsia="Times New Roman" w:hAnsi="Times New Roman"/>
                <w:sz w:val="16"/>
                <w:szCs w:val="16"/>
                <w:color w:val="auto"/>
                <w:w w:val="95"/>
              </w:rPr>
              <w:t>5.8%</w:t>
            </w:r>
          </w:p>
        </w:tc>
        <w:tc>
          <w:tcPr>
            <w:tcW w:w="40" w:type="dxa"/>
            <w:vAlign w:val="bottom"/>
          </w:tcPr>
          <w:p>
            <w:pPr>
              <w:spacing w:after="0"/>
              <w:rPr>
                <w:sz w:val="24"/>
                <w:szCs w:val="24"/>
                <w:color w:val="auto"/>
              </w:rPr>
            </w:pPr>
          </w:p>
        </w:tc>
      </w:tr>
      <w:tr>
        <w:trPr>
          <w:trHeight w:val="86"/>
        </w:trPr>
        <w:tc>
          <w:tcPr>
            <w:tcW w:w="4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Harminder Sehmi</w:t>
            </w:r>
            <w:r>
              <w:rPr>
                <w:rFonts w:ascii="Times New Roman" w:cs="Times New Roman" w:eastAsia="Times New Roman" w:hAnsi="Times New Roman"/>
                <w:sz w:val="10"/>
                <w:szCs w:val="10"/>
                <w:color w:val="auto"/>
              </w:rPr>
              <w:t>(11)</w:t>
            </w:r>
          </w:p>
        </w:tc>
        <w:tc>
          <w:tcPr>
            <w:tcW w:w="15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1,020,626</w:t>
            </w:r>
          </w:p>
        </w:tc>
        <w:tc>
          <w:tcPr>
            <w:tcW w:w="9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left="8"/>
              <w:spacing w:after="0" w:line="180" w:lineRule="exact"/>
              <w:rPr>
                <w:sz w:val="20"/>
                <w:szCs w:val="20"/>
                <w:color w:val="auto"/>
              </w:rPr>
            </w:pPr>
            <w:r>
              <w:rPr>
                <w:rFonts w:ascii="Times New Roman" w:cs="Times New Roman" w:eastAsia="Times New Roman" w:hAnsi="Times New Roman"/>
                <w:sz w:val="16"/>
                <w:szCs w:val="16"/>
                <w:color w:val="auto"/>
                <w:w w:val="99"/>
              </w:rPr>
              <w:t>—</w:t>
            </w:r>
          </w:p>
        </w:tc>
      </w:tr>
      <w:tr>
        <w:trPr>
          <w:trHeight w:val="284"/>
        </w:trPr>
        <w:tc>
          <w:tcPr>
            <w:tcW w:w="5740" w:type="dxa"/>
            <w:vAlign w:val="bottom"/>
            <w:gridSpan w:val="2"/>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George de Urioste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24"/>
                <w:szCs w:val="24"/>
                <w:color w:val="auto"/>
              </w:rPr>
            </w:pPr>
          </w:p>
        </w:tc>
        <w:tc>
          <w:tcPr>
            <w:tcW w:w="152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r>
      <w:tr>
        <w:trPr>
          <w:trHeight w:val="188"/>
        </w:trPr>
        <w:tc>
          <w:tcPr>
            <w:tcW w:w="5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All Directors and Executive Officers as a group (8 individuals)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20,291,265</w:t>
            </w:r>
          </w:p>
        </w:tc>
        <w:tc>
          <w:tcPr>
            <w:tcW w:w="2420" w:type="dxa"/>
            <w:vAlign w:val="bottom"/>
            <w:gridSpan w:val="2"/>
            <w:shd w:val="clear" w:color="auto" w:fill="CCEEFF"/>
          </w:tcPr>
          <w:p>
            <w:pPr>
              <w:jc w:val="center"/>
              <w:ind w:left="943"/>
              <w:spacing w:after="0"/>
              <w:rPr>
                <w:sz w:val="20"/>
                <w:szCs w:val="20"/>
                <w:color w:val="auto"/>
              </w:rPr>
            </w:pPr>
            <w:r>
              <w:rPr>
                <w:rFonts w:ascii="Times New Roman" w:cs="Times New Roman" w:eastAsia="Times New Roman" w:hAnsi="Times New Roman"/>
                <w:sz w:val="16"/>
                <w:szCs w:val="16"/>
                <w:color w:val="auto"/>
                <w:w w:val="96"/>
              </w:rPr>
              <w:t>17.4%</w:t>
            </w:r>
          </w:p>
        </w:tc>
        <w:tc>
          <w:tcPr>
            <w:tcW w:w="4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76200</wp:posOffset>
            </wp:positionV>
            <wp:extent cx="9296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9640" cy="7620"/>
                    </a:xfrm>
                    <a:prstGeom prst="rect">
                      <a:avLst/>
                    </a:prstGeom>
                    <a:noFill/>
                  </pic:spPr>
                </pic:pic>
              </a:graphicData>
            </a:graphic>
          </wp:anchor>
        </w:drawing>
      </w:r>
    </w:p>
    <w:p>
      <w:pPr>
        <w:spacing w:after="0" w:line="124" w:lineRule="exact"/>
        <w:rPr>
          <w:sz w:val="20"/>
          <w:szCs w:val="20"/>
          <w:color w:val="auto"/>
        </w:rPr>
      </w:pPr>
    </w:p>
    <w:p>
      <w:pPr>
        <w:ind w:left="780" w:hanging="390"/>
        <w:spacing w:after="0"/>
        <w:tabs>
          <w:tab w:leader="none" w:pos="7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one percent.</w:t>
      </w:r>
    </w:p>
    <w:p>
      <w:pPr>
        <w:spacing w:after="0" w:line="127" w:lineRule="exact"/>
        <w:rPr>
          <w:sz w:val="20"/>
          <w:szCs w:val="20"/>
          <w:color w:val="auto"/>
        </w:rPr>
      </w:pPr>
    </w:p>
    <w:p>
      <w:pPr>
        <w:ind w:left="780" w:right="180" w:hanging="390"/>
        <w:spacing w:after="0" w:line="262" w:lineRule="auto"/>
        <w:tabs>
          <w:tab w:leader="none" w:pos="7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10,446,783 shares of Common Stock held or beneficially owned by Bess Ventures and Advisory LLC (“Bess Ventures”), (b) 389,968 shares of Common Stock held by the Destin Huang Irrevocable Trust Dated October 19, 2021 (the “Trust”) and (c) 185,234 shares of Common Stock underlying options exercisable within 60 days of October 6, 2025. Lane M. Bess is the (i) managing member and owner of Bess Ventures and (ii) the Investment Fiduciary of the Trust. Lane M. Bess may be deemed to be the beneficial owner of the shares of Common Stock</w:t>
      </w:r>
    </w:p>
    <w:p>
      <w:pPr>
        <w:spacing w:after="0" w:line="1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10180"/>
          </w:cols>
          <w:pgMar w:left="660" w:top="879" w:right="106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4" w:lineRule="exact"/>
        <w:rPr>
          <w:sz w:val="20"/>
          <w:szCs w:val="20"/>
          <w:color w:val="auto"/>
        </w:rPr>
      </w:pPr>
    </w:p>
    <w:p>
      <w:pPr>
        <w:ind w:left="780" w:right="80"/>
        <w:spacing w:after="0" w:line="261" w:lineRule="auto"/>
        <w:rPr>
          <w:sz w:val="20"/>
          <w:szCs w:val="20"/>
          <w:color w:val="auto"/>
        </w:rPr>
      </w:pPr>
      <w:r>
        <w:rPr>
          <w:rFonts w:ascii="Times New Roman" w:cs="Times New Roman" w:eastAsia="Times New Roman" w:hAnsi="Times New Roman"/>
          <w:sz w:val="13"/>
          <w:szCs w:val="13"/>
          <w:color w:val="auto"/>
        </w:rPr>
        <w:t>beneficially owned by Bess Ventures and the Trust. The address of Bess Ventures is c/o Lane M. Bess, 1928 Sunset Harbor Drive, Miami Beach, FL 33139. The address of the Trust is 255 Alhambra Circle, Ste 333, Coral Gables, FL 33134.</w:t>
      </w:r>
    </w:p>
    <w:p>
      <w:pPr>
        <w:spacing w:after="0" w:line="1" w:lineRule="exact"/>
        <w:rPr>
          <w:sz w:val="20"/>
          <w:szCs w:val="20"/>
          <w:color w:val="auto"/>
        </w:rPr>
      </w:pPr>
    </w:p>
    <w:p>
      <w:pPr>
        <w:ind w:left="780" w:right="120" w:hanging="390"/>
        <w:spacing w:after="0" w:line="250" w:lineRule="auto"/>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1" w:lineRule="exact"/>
        <w:rPr>
          <w:rFonts w:ascii="Times New Roman" w:cs="Times New Roman" w:eastAsia="Times New Roman" w:hAnsi="Times New Roman"/>
          <w:sz w:val="13"/>
          <w:szCs w:val="13"/>
          <w:color w:val="auto"/>
        </w:rPr>
      </w:pPr>
    </w:p>
    <w:p>
      <w:pPr>
        <w:ind w:left="780" w:right="20" w:hanging="390"/>
        <w:spacing w:after="0" w:line="250" w:lineRule="auto"/>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3"/>
          <w:szCs w:val="13"/>
          <w:color w:val="auto"/>
        </w:rPr>
      </w:pPr>
    </w:p>
    <w:p>
      <w:pPr>
        <w:ind w:left="780" w:right="20" w:hanging="390"/>
        <w:spacing w:after="0" w:line="250" w:lineRule="auto"/>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5,510,017 shares of Common Stock held by BurTech LP LLC and its affiliates (“BurTech LP”). Shahal Khan, Patrick Orlando and Roman Livson are the managing members of BurTech LP.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w:t>
      </w:r>
    </w:p>
    <w:p>
      <w:pPr>
        <w:spacing w:after="0" w:line="1" w:lineRule="exact"/>
        <w:rPr>
          <w:rFonts w:ascii="Times New Roman" w:cs="Times New Roman" w:eastAsia="Times New Roman" w:hAnsi="Times New Roman"/>
          <w:sz w:val="13"/>
          <w:szCs w:val="13"/>
          <w:color w:val="auto"/>
        </w:rPr>
      </w:pPr>
    </w:p>
    <w:p>
      <w:pPr>
        <w:ind w:left="780" w:hanging="390"/>
        <w:spacing w:after="0" w:line="250" w:lineRule="auto"/>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2" w:lineRule="exact"/>
        <w:rPr>
          <w:rFonts w:ascii="Times New Roman" w:cs="Times New Roman" w:eastAsia="Times New Roman" w:hAnsi="Times New Roman"/>
          <w:sz w:val="13"/>
          <w:szCs w:val="13"/>
          <w:color w:val="auto"/>
        </w:rPr>
      </w:pPr>
    </w:p>
    <w:p>
      <w:pPr>
        <w:ind w:left="780" w:right="60" w:hanging="390"/>
        <w:spacing w:after="0" w:line="250" w:lineRule="auto"/>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 Each of the members of the investment committee disclaims beneficial ownership of such shares. The address for Anderson, Thomson, Tembusu and Temasek is 60B Orchard Road, #06-18, The Atrium@Orchard, Singapore 238891.</w:t>
      </w:r>
    </w:p>
    <w:p>
      <w:pPr>
        <w:spacing w:after="0" w:line="2"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571,963 shares of Common Stock underlying options exercisable within 60 days of October 6, 2025.</w:t>
      </w:r>
    </w:p>
    <w:p>
      <w:pPr>
        <w:spacing w:after="0" w:line="6"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563,139 shares of Common Stock underlying options exercisable within 60 days of October 6, 2025.</w:t>
      </w:r>
    </w:p>
    <w:p>
      <w:pPr>
        <w:spacing w:after="0" w:line="6"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563,139 shares of Common Stock underlying options exercisable within 60 days of October 6, 2025.</w:t>
      </w:r>
    </w:p>
    <w:p>
      <w:pPr>
        <w:spacing w:after="0" w:line="6" w:lineRule="exact"/>
        <w:rPr>
          <w:rFonts w:ascii="Times New Roman" w:cs="Times New Roman" w:eastAsia="Times New Roman" w:hAnsi="Times New Roman"/>
          <w:sz w:val="13"/>
          <w:szCs w:val="13"/>
          <w:color w:val="auto"/>
        </w:rPr>
      </w:pPr>
    </w:p>
    <w:p>
      <w:pPr>
        <w:ind w:left="780" w:right="80" w:hanging="390"/>
        <w:spacing w:after="0" w:line="250" w:lineRule="auto"/>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551,422 shares of Common Stock held directly by Dinakar Munagala and (b) 5,998,991 shares of Common Stock underlying options exercisable within 60 days of October 6, 2025.</w:t>
      </w:r>
    </w:p>
    <w:p>
      <w:pPr>
        <w:ind w:left="780" w:hanging="390"/>
        <w:spacing w:after="0"/>
        <w:tabs>
          <w:tab w:leader="none" w:pos="7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1,020,626 shares of Common Stock underlying options exercisable within 60 days of October 6, 2025.</w:t>
      </w:r>
    </w:p>
    <w:p>
      <w:pPr>
        <w:spacing w:after="0" w:line="14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10120"/>
          </w:cols>
          <w:pgMar w:left="660" w:top="879" w:right="1120" w:bottom="1440" w:gutter="0" w:footer="0" w:header="0"/>
        </w:sectPr>
      </w:pPr>
    </w:p>
    <w:bookmarkStart w:id="33" w:name="page34"/>
    <w:bookmarkEnd w:id="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right="2300" w:firstLine="2317"/>
        <w:spacing w:after="0" w:line="439" w:lineRule="auto"/>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 Statement of Policy Regarding Transactions with Related Persons</w:t>
      </w:r>
    </w:p>
    <w:p>
      <w:pPr>
        <w:spacing w:after="0" w:line="1"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The Company has adopted a formal written policy (the “Related Person Transaction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w:t>
      </w:r>
    </w:p>
    <w:p>
      <w:pPr>
        <w:spacing w:after="0" w:line="133"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The Related Person Transaction Policy sets forth the policies and procedures for the review and approval or ratification of related person transactions. This policy covers, with certain exceptions as set forth in Related Person Transaction Policy, any transaction, arrangement or relationship, or any series of similar transactions, arrangements or relationships in which we were or are to be a participant, where the amount involved exceeds $120,000 and a related person had or will have a direct or indirect material interest. In reviewing and approving any such transactions, the disinterested members of the Audit Committee are tasked to consider all relevant facts and circumstances, including but not limited to, whether the transaction was undertaken in the ordinary course of business of the Company, the business purpose for entering into a transaction with a related person versus an unrelated third party and whether the transaction with the related person is entered into on terms no less favorable to the Company than the terms that could have been reached with an unrelated party.</w:t>
      </w:r>
    </w:p>
    <w:p>
      <w:pPr>
        <w:spacing w:after="0" w:line="1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10160"/>
          </w:cols>
          <w:pgMar w:left="660" w:top="879" w:right="1080" w:bottom="1440" w:gutter="0" w:footer="0" w:header="0"/>
        </w:sectPr>
      </w:pPr>
    </w:p>
    <w:bookmarkStart w:id="34" w:name="page35"/>
    <w:bookmarkEnd w:id="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STOCKHOLDERS’ PROPOSALS</w:t>
      </w:r>
    </w:p>
    <w:p>
      <w:pPr>
        <w:spacing w:after="0" w:line="154" w:lineRule="exact"/>
        <w:rPr>
          <w:sz w:val="20"/>
          <w:szCs w:val="20"/>
          <w:color w:val="auto"/>
        </w:rPr>
      </w:pPr>
    </w:p>
    <w:p>
      <w:pPr>
        <w:ind w:left="400" w:right="160"/>
        <w:spacing w:after="0" w:line="247" w:lineRule="auto"/>
        <w:rPr>
          <w:sz w:val="20"/>
          <w:szCs w:val="20"/>
          <w:color w:val="auto"/>
        </w:rPr>
      </w:pPr>
      <w:r>
        <w:rPr>
          <w:rFonts w:ascii="Times New Roman" w:cs="Times New Roman" w:eastAsia="Times New Roman" w:hAnsi="Times New Roman"/>
          <w:sz w:val="16"/>
          <w:szCs w:val="16"/>
          <w:color w:val="auto"/>
        </w:rPr>
        <w:t>Stockholders who intend to have a proposal considered for inclusion in our proxy materials for presentation at our 2026 Annual Meeting of Stockholders pursuant to Rule 14a- 8 under the Exchange Act must submit the proposal to our Corporate Secretary at our offices at 4659 Golden Foothill Parkway, Suite 206, El Dorado Hills, CA 95762 in writing not later than June 22, 2026.</w:t>
      </w:r>
    </w:p>
    <w:p>
      <w:pPr>
        <w:spacing w:after="0" w:line="128"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4"/>
          <w:szCs w:val="14"/>
          <w:color w:val="auto"/>
        </w:rPr>
        <w:t>Stockholders intending to present a proposal at the 2026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2026 Annual Meeting of Stockholders no earlier than August 5, 2026 and no later than September 4, 2026. The notice must contain the information required by the Amended and Restated Bylaws, a copy of which is available upon request to our Corporate Secretary. In the event that the date of the 2026 Annual Meeting of Stockholders is more than 30 days before or more than 60 days after December 3, 2026, then our Corporate Secretary must receive such written notice not more than 120th day prior to such annual meeting and not later than</w:t>
      </w:r>
    </w:p>
    <w:p>
      <w:pPr>
        <w:spacing w:after="0" w:line="4" w:lineRule="exact"/>
        <w:rPr>
          <w:sz w:val="20"/>
          <w:szCs w:val="20"/>
          <w:color w:val="auto"/>
        </w:rPr>
      </w:pPr>
    </w:p>
    <w:p>
      <w:pPr>
        <w:ind w:left="400" w:right="240" w:hanging="10"/>
        <w:spacing w:after="0" w:line="238" w:lineRule="auto"/>
        <w:tabs>
          <w:tab w:leader="none" w:pos="58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90th day prior to such annual meeting or, (ii) if later, the 10th day following the day on which public disclosure of the date of such annual meeting was first made by the Company.</w:t>
      </w:r>
    </w:p>
    <w:p>
      <w:pPr>
        <w:spacing w:after="0" w:line="133" w:lineRule="exact"/>
        <w:rPr>
          <w:sz w:val="20"/>
          <w:szCs w:val="20"/>
          <w:color w:val="auto"/>
        </w:rPr>
      </w:pPr>
    </w:p>
    <w:p>
      <w:pPr>
        <w:ind w:left="400" w:right="80"/>
        <w:spacing w:after="0" w:line="247" w:lineRule="auto"/>
        <w:rPr>
          <w:sz w:val="20"/>
          <w:szCs w:val="20"/>
          <w:color w:val="auto"/>
        </w:rPr>
      </w:pPr>
      <w:r>
        <w:rPr>
          <w:rFonts w:ascii="Times New Roman" w:cs="Times New Roman" w:eastAsia="Times New Roman" w:hAnsi="Times New Roman"/>
          <w:sz w:val="16"/>
          <w:szCs w:val="16"/>
          <w:color w:val="auto"/>
        </w:rPr>
        <w:t>In addition to satisfying the foregoing requirements under our Amended and Restated Bylaws, to comply with the universal proxy rules, stockholders who intend to solicit proxies in support of director nominees other than our nominees for the 2026 Annual Meeting of Stockholders must provide notice that sets forth the information required by Rule 14a-19 under the Exchange Act.</w:t>
      </w:r>
    </w:p>
    <w:p>
      <w:pPr>
        <w:spacing w:after="0" w:line="128" w:lineRule="exact"/>
        <w:rPr>
          <w:sz w:val="20"/>
          <w:szCs w:val="20"/>
          <w:color w:val="auto"/>
        </w:rPr>
      </w:pPr>
    </w:p>
    <w:p>
      <w:pPr>
        <w:ind w:left="400" w:right="520"/>
        <w:spacing w:after="0" w:line="259" w:lineRule="auto"/>
        <w:rPr>
          <w:sz w:val="20"/>
          <w:szCs w:val="20"/>
          <w:color w:val="auto"/>
        </w:rPr>
      </w:pPr>
      <w:r>
        <w:rPr>
          <w:rFonts w:ascii="Times New Roman" w:cs="Times New Roman" w:eastAsia="Times New Roman" w:hAnsi="Times New Roman"/>
          <w:sz w:val="16"/>
          <w:szCs w:val="16"/>
          <w:color w:val="auto"/>
        </w:rPr>
        <w:t>We reserve the right to reject, rule out of order, or take other appropriate action with respect to any proposal that does not comply with these or other applicable requirements.</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10200"/>
          </w:cols>
          <w:pgMar w:left="660" w:top="879" w:right="104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54" w:lineRule="exact"/>
        <w:rPr>
          <w:sz w:val="20"/>
          <w:szCs w:val="20"/>
          <w:color w:val="auto"/>
        </w:rPr>
      </w:pPr>
    </w:p>
    <w:p>
      <w:pPr>
        <w:jc w:val="both"/>
        <w:ind w:left="400" w:right="120"/>
        <w:spacing w:after="0" w:line="247" w:lineRule="auto"/>
        <w:rPr>
          <w:sz w:val="20"/>
          <w:szCs w:val="20"/>
          <w:color w:val="auto"/>
        </w:rPr>
      </w:pPr>
      <w:r>
        <w:rPr>
          <w:rFonts w:ascii="Times New Roman" w:cs="Times New Roman" w:eastAsia="Times New Roman" w:hAnsi="Times New Roman"/>
          <w:sz w:val="16"/>
          <w:szCs w:val="16"/>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154" w:lineRule="exact"/>
        <w:rPr>
          <w:sz w:val="20"/>
          <w:szCs w:val="20"/>
          <w:color w:val="auto"/>
        </w:rPr>
      </w:pPr>
    </w:p>
    <w:p>
      <w:pPr>
        <w:ind w:left="400" w:right="20"/>
        <w:spacing w:after="0" w:line="284" w:lineRule="auto"/>
        <w:rPr>
          <w:sz w:val="20"/>
          <w:szCs w:val="20"/>
          <w:color w:val="auto"/>
        </w:rPr>
      </w:pPr>
      <w:r>
        <w:rPr>
          <w:rFonts w:ascii="Times New Roman" w:cs="Times New Roman" w:eastAsia="Times New Roman" w:hAnsi="Times New Roman"/>
          <w:sz w:val="14"/>
          <w:szCs w:val="14"/>
          <w:color w:val="auto"/>
        </w:rPr>
        <w:t>Section 16(a) of the Exchange Act requires our directors, certain officers and stockholders who beneficially own more than 10% of any class of our equity securities registered pursuant to Section 12 of the Exchange Act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compliance with all Section 16(a) filing requirements applicable to such Reporting Persons with respect to the year ended December 31, 2024.</w:t>
      </w:r>
    </w:p>
    <w:p>
      <w:pPr>
        <w:spacing w:after="0" w:line="1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SOLICITATION OF PROXIES</w:t>
      </w:r>
    </w:p>
    <w:p>
      <w:pPr>
        <w:spacing w:after="0" w:line="15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133" w:lineRule="exact"/>
        <w:rPr>
          <w:sz w:val="20"/>
          <w:szCs w:val="20"/>
          <w:color w:val="auto"/>
        </w:rPr>
      </w:pPr>
    </w:p>
    <w:p>
      <w:pPr>
        <w:ind w:left="400"/>
        <w:spacing w:after="0" w:line="247" w:lineRule="auto"/>
        <w:rPr>
          <w:sz w:val="20"/>
          <w:szCs w:val="20"/>
          <w:color w:val="auto"/>
        </w:rPr>
      </w:pPr>
      <w:r>
        <w:rPr>
          <w:rFonts w:ascii="Times New Roman" w:cs="Times New Roman" w:eastAsia="Times New Roman" w:hAnsi="Times New Roman"/>
          <w:sz w:val="16"/>
          <w:szCs w:val="16"/>
          <w:color w:val="auto"/>
        </w:rPr>
        <w:t>In connection with our solicitation of proxies for our 2026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10180"/>
          </w:cols>
          <w:pgMar w:left="660" w:top="879" w:right="106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THIRD AMENDED AND RESTATED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147" w:lineRule="exact"/>
        <w:rPr>
          <w:sz w:val="20"/>
          <w:szCs w:val="20"/>
          <w:color w:val="auto"/>
        </w:rPr>
      </w:pPr>
    </w:p>
    <w:p>
      <w:pPr>
        <w:ind w:left="400" w:right="20" w:firstLine="780"/>
        <w:spacing w:after="0" w:line="282" w:lineRule="auto"/>
        <w:rPr>
          <w:sz w:val="20"/>
          <w:szCs w:val="20"/>
          <w:color w:val="auto"/>
        </w:rPr>
      </w:pPr>
      <w:r>
        <w:rPr>
          <w:rFonts w:ascii="Times New Roman" w:cs="Times New Roman" w:eastAsia="Times New Roman" w:hAnsi="Times New Roman"/>
          <w:sz w:val="18"/>
          <w:szCs w:val="18"/>
          <w:color w:val="auto"/>
        </w:rPr>
        <w:t xml:space="preserve">Blaize Holdings, Inc., a corporation organized and existing under the laws of the State of Delaware (the “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02" w:lineRule="exact"/>
        <w:rPr>
          <w:sz w:val="20"/>
          <w:szCs w:val="20"/>
          <w:color w:val="auto"/>
        </w:rPr>
      </w:pPr>
    </w:p>
    <w:p>
      <w:pPr>
        <w:ind w:left="400" w:right="140" w:firstLine="780"/>
        <w:spacing w:after="0" w:line="265" w:lineRule="auto"/>
        <w:rPr>
          <w:sz w:val="20"/>
          <w:szCs w:val="20"/>
          <w:color w:val="auto"/>
        </w:rPr>
      </w:pPr>
      <w:r>
        <w:rPr>
          <w:rFonts w:ascii="Times New Roman" w:cs="Times New Roman" w:eastAsia="Times New Roman" w:hAnsi="Times New Roman"/>
          <w:sz w:val="18"/>
          <w:szCs w:val="18"/>
          <w:color w:val="auto"/>
        </w:rPr>
        <w:t>1.</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The name of the Corporation is Blaize Holdings, Inc. The Corporation was originally incorporated under the name “BurTech Acquisition Corp.” by the filing of its original Certificate of Incorporation with the Secretary of State of the State of Delaware on March 2, 2021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400" w:right="20" w:firstLine="780"/>
        <w:spacing w:after="0" w:line="312" w:lineRule="auto"/>
        <w:rPr>
          <w:sz w:val="20"/>
          <w:szCs w:val="20"/>
          <w:color w:val="auto"/>
        </w:rPr>
      </w:pPr>
      <w:r>
        <w:rPr>
          <w:rFonts w:ascii="Times New Roman" w:cs="Times New Roman" w:eastAsia="Times New Roman" w:hAnsi="Times New Roman"/>
          <w:sz w:val="17"/>
          <w:szCs w:val="17"/>
          <w:color w:val="auto"/>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An Amended and Restated Certificate of Incorporation, which amended and restated the Original Certificate in its entirety, was filed with the Secretary of State of the State of Delaware on May 19, 2021 (the “</w:t>
      </w:r>
      <w:r>
        <w:rPr>
          <w:rFonts w:ascii="Times New Roman" w:cs="Times New Roman" w:eastAsia="Times New Roman" w:hAnsi="Times New Roman"/>
          <w:sz w:val="17"/>
          <w:szCs w:val="17"/>
          <w:u w:val="single" w:color="auto"/>
          <w:color w:val="auto"/>
        </w:rPr>
        <w:t>First Amended and Restated Certificate</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400" w:right="120" w:firstLine="780"/>
        <w:spacing w:after="0" w:line="265" w:lineRule="auto"/>
        <w:rPr>
          <w:sz w:val="20"/>
          <w:szCs w:val="20"/>
          <w:color w:val="auto"/>
        </w:rPr>
      </w:pPr>
      <w:r>
        <w:rPr>
          <w:rFonts w:ascii="Times New Roman" w:cs="Times New Roman" w:eastAsia="Times New Roman" w:hAnsi="Times New Roman"/>
          <w:sz w:val="18"/>
          <w:szCs w:val="18"/>
          <w:color w:val="auto"/>
        </w:rPr>
        <w:t>3.</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 Second Amended and Restated Certificate of Incorporation, which amended and restated the First Amended and Restated Certificate in its entirety, was filed with the Secretary of State of the State of Delaware on December 13, 2021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400" w:right="40" w:firstLine="780"/>
        <w:spacing w:after="0" w:line="265" w:lineRule="auto"/>
        <w:rPr>
          <w:sz w:val="20"/>
          <w:szCs w:val="20"/>
          <w:color w:val="auto"/>
        </w:rPr>
      </w:pPr>
      <w:r>
        <w:rPr>
          <w:rFonts w:ascii="Times New Roman" w:cs="Times New Roman" w:eastAsia="Times New Roman" w:hAnsi="Times New Roman"/>
          <w:sz w:val="18"/>
          <w:szCs w:val="18"/>
          <w:color w:val="auto"/>
        </w:rPr>
        <w:t>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 Third Amended and Restated Certificate of Incorporation, which amended and restated the Second Amended and Restated Certificate in its entirety, was filed with the Secretary of State of the State of Delaware on January 13, 2025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400" w:right="260" w:firstLine="780"/>
        <w:spacing w:after="0" w:line="260" w:lineRule="auto"/>
        <w:rPr>
          <w:sz w:val="20"/>
          <w:szCs w:val="20"/>
          <w:color w:val="auto"/>
        </w:rPr>
      </w:pPr>
      <w:r>
        <w:rPr>
          <w:rFonts w:ascii="Times New Roman" w:cs="Times New Roman" w:eastAsia="Times New Roman" w:hAnsi="Times New Roman"/>
          <w:sz w:val="18"/>
          <w:szCs w:val="18"/>
          <w:color w:val="auto"/>
        </w:rPr>
        <w:t>5.</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Pursuant to Section 242 of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this Certificate of Amendment to the Third Amended and Restated Certificate (this “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amends the Third Amended and Restated Certificate by deleting paragraph B. under Article V and replacing such paragraph with the following paragraph:</w:t>
      </w:r>
    </w:p>
    <w:p>
      <w:pPr>
        <w:spacing w:after="0" w:line="122" w:lineRule="exact"/>
        <w:rPr>
          <w:sz w:val="20"/>
          <w:szCs w:val="20"/>
          <w:color w:val="auto"/>
        </w:rPr>
      </w:pPr>
    </w:p>
    <w:p>
      <w:pPr>
        <w:ind w:left="1180" w:firstLine="780"/>
        <w:spacing w:after="0" w:line="261" w:lineRule="auto"/>
        <w:rPr>
          <w:sz w:val="20"/>
          <w:szCs w:val="20"/>
          <w:color w:val="auto"/>
        </w:rPr>
      </w:pPr>
      <w:r>
        <w:rPr>
          <w:rFonts w:ascii="Times New Roman" w:cs="Times New Roman" w:eastAsia="Times New Roman" w:hAnsi="Times New Roman"/>
          <w:sz w:val="18"/>
          <w:szCs w:val="18"/>
          <w:color w:val="auto"/>
        </w:rPr>
        <w:t xml:space="preserve">B. The Board of Directors or any individual director may be removed from office at any time, </w:t>
      </w:r>
      <w:r>
        <w:rPr>
          <w:rFonts w:ascii="Times New Roman" w:cs="Times New Roman" w:eastAsia="Times New Roman" w:hAnsi="Times New Roman"/>
          <w:sz w:val="18"/>
          <w:szCs w:val="18"/>
          <w:color w:val="auto"/>
          <w:strike w:val="1"/>
        </w:rPr>
        <w:t>but only for cause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with or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and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affirmative vote of the holders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two thirds (66 and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all of the then outstanding shares of voting stock of the Corporation entitled to vote at an election of directors.</w:t>
      </w:r>
    </w:p>
    <w:p>
      <w:pPr>
        <w:spacing w:after="0" w:line="120" w:lineRule="exact"/>
        <w:rPr>
          <w:sz w:val="20"/>
          <w:szCs w:val="20"/>
          <w:color w:val="auto"/>
        </w:rPr>
      </w:pPr>
    </w:p>
    <w:p>
      <w:pPr>
        <w:ind w:left="400" w:right="100" w:firstLine="780"/>
        <w:spacing w:after="0" w:line="260" w:lineRule="auto"/>
        <w:rPr>
          <w:sz w:val="20"/>
          <w:szCs w:val="20"/>
          <w:color w:val="auto"/>
        </w:rPr>
      </w:pPr>
      <w:r>
        <w:rPr>
          <w:rFonts w:ascii="Times New Roman" w:cs="Times New Roman" w:eastAsia="Times New Roman" w:hAnsi="Times New Roman"/>
          <w:sz w:val="18"/>
          <w:szCs w:val="18"/>
          <w:color w:val="auto"/>
        </w:rPr>
        <w:t>6.</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The Board of Directors of the Corporation has duly adopted a resolution pursuant to Section 242 of the DGCL setting forth a proposed amendment to the Third Amended and Restated Certificate and declaring said amendment to be advisable. The requisite stockholders of the Corporation have duly approved said proposed amendment in accordance with Section 242 of the General Corporation Law of the State of Delaware.</w:t>
      </w:r>
    </w:p>
    <w:p>
      <w:pPr>
        <w:spacing w:after="0" w:line="159" w:lineRule="exact"/>
        <w:rPr>
          <w:sz w:val="20"/>
          <w:szCs w:val="20"/>
          <w:color w:val="auto"/>
        </w:rPr>
      </w:pPr>
    </w:p>
    <w:p>
      <w:pPr>
        <w:ind w:left="400" w:right="100" w:firstLine="780"/>
        <w:spacing w:after="0" w:line="281" w:lineRule="auto"/>
        <w:rPr>
          <w:sz w:val="20"/>
          <w:szCs w:val="20"/>
          <w:color w:val="auto"/>
        </w:rPr>
      </w:pPr>
      <w:r>
        <w:rPr>
          <w:rFonts w:ascii="Times New Roman" w:cs="Times New Roman" w:eastAsia="Times New Roman" w:hAnsi="Times New Roman"/>
          <w:sz w:val="18"/>
          <w:szCs w:val="18"/>
          <w:color w:val="auto"/>
        </w:rPr>
        <w:t>7.</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Certificate of Amendment and the amendment to the Third Amended and Restated Certificate effected hereby has been duly adopted in accordance with Section 242 of the DGCL.</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Certificate of Amendment, and the amendment effected hereby, shall become effective upon filing.</w:t>
      </w:r>
    </w:p>
    <w:p>
      <w:pPr>
        <w:spacing w:after="0" w:line="1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A-1</w:t>
      </w:r>
    </w:p>
    <w:p>
      <w:pPr>
        <w:sectPr>
          <w:pgSz w:w="11900" w:h="16840" w:orient="portrait"/>
          <w:cols w:equalWidth="0" w:num="1">
            <w:col w:w="10220"/>
          </w:cols>
          <w:pgMar w:left="660" w:top="879" w:right="102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p>
      <w:pPr>
        <w:ind w:left="400" w:right="240" w:firstLine="78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Chief Executive Officer on this [ ] day of December, 2025.</w:t>
      </w:r>
    </w:p>
    <w:p>
      <w:pPr>
        <w:spacing w:after="0" w:line="200" w:lineRule="exact"/>
        <w:rPr>
          <w:sz w:val="20"/>
          <w:szCs w:val="20"/>
          <w:color w:val="auto"/>
        </w:rPr>
      </w:pPr>
    </w:p>
    <w:p>
      <w:pPr>
        <w:spacing w:after="0" w:line="35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61" w:lineRule="exact"/>
        <w:rPr>
          <w:sz w:val="20"/>
          <w:szCs w:val="20"/>
          <w:color w:val="auto"/>
        </w:rPr>
      </w:pPr>
    </w:p>
    <w:tbl>
      <w:tblPr>
        <w:tblLayout w:type="fixed"/>
        <w:tblInd w:w="6280" w:type="dxa"/>
        <w:tblCellMar>
          <w:top w:w="0" w:type="dxa"/>
          <w:left w:w="0" w:type="dxa"/>
          <w:bottom w:w="0" w:type="dxa"/>
          <w:right w:w="0" w:type="dxa"/>
        </w:tblCellMar>
      </w:tblPr>
      <w:tr>
        <w:trPr>
          <w:trHeight w:val="193"/>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spacing w:after="0"/>
              <w:rPr>
                <w:sz w:val="16"/>
                <w:szCs w:val="16"/>
                <w:color w:val="auto"/>
              </w:rPr>
            </w:pPr>
          </w:p>
        </w:tc>
      </w:tr>
      <w:tr>
        <w:trPr>
          <w:trHeight w:val="171"/>
        </w:trPr>
        <w:tc>
          <w:tcPr>
            <w:tcW w:w="6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Dinakar Munagala</w:t>
            </w:r>
          </w:p>
        </w:tc>
      </w:tr>
      <w:tr>
        <w:trPr>
          <w:trHeight w:val="203"/>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A-2</w:t>
      </w:r>
    </w:p>
    <w:p>
      <w:pPr>
        <w:sectPr>
          <w:pgSz w:w="11900" w:h="16840" w:orient="portrait"/>
          <w:cols w:equalWidth="0" w:num="1">
            <w:col w:w="10180"/>
          </w:cols>
          <w:pgMar w:left="660" w:top="879" w:right="1060"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189230</wp:posOffset>
            </wp:positionV>
            <wp:extent cx="5182870" cy="6707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82870" cy="6707505"/>
                    </a:xfrm>
                    <a:prstGeom prst="rect">
                      <a:avLst/>
                    </a:prstGeom>
                    <a:noFill/>
                  </pic:spPr>
                </pic:pic>
              </a:graphicData>
            </a:graphic>
          </wp:anchor>
        </w:drawing>
      </w:r>
    </w:p>
    <w:p>
      <w:pPr>
        <w:sectPr>
          <w:pgSz w:w="11900" w:h="16840" w:orient="portrait"/>
          <w:cols w:equalWidth="0" w:num="1">
            <w:col w:w="9800"/>
          </w:cols>
          <w:pgMar w:left="660" w:top="879" w:right="1440"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8145" cy="50800"/>
                    </a:xfrm>
                    <a:prstGeom prst="rect">
                      <a:avLst/>
                    </a:prstGeom>
                    <a:noFill/>
                  </pic:spPr>
                </pic:pic>
              </a:graphicData>
            </a:graphic>
          </wp:anchor>
        </w:drawing>
      </w: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189230</wp:posOffset>
            </wp:positionV>
            <wp:extent cx="5182870" cy="6707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82870" cy="6707505"/>
                    </a:xfrm>
                    <a:prstGeom prst="rect">
                      <a:avLst/>
                    </a:prstGeom>
                    <a:noFill/>
                  </pic:spPr>
                </pic:pic>
              </a:graphicData>
            </a:graphic>
          </wp:anchor>
        </w:drawing>
      </w:r>
    </w:p>
    <w:p>
      <w:pPr>
        <w:sectPr>
          <w:pgSz w:w="11900" w:h="16840" w:orient="portrait"/>
          <w:cols w:equalWidth="0" w:num="1">
            <w:col w:w="9800"/>
          </w:cols>
          <w:pgMar w:left="660" w:top="879" w:right="1440" w:bottom="1440" w:gutter="0" w:footer="0" w:header="0"/>
        </w:sectPr>
      </w:pPr>
    </w:p>
    <w:bookmarkStart w:id="40" w:name="page41"/>
    <w:bookmarkEnd w:id="4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2"/>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2025-10-10T16:34:51Z</dcterms:created>
  <dcterms:modified xsi:type="dcterms:W3CDTF">2025-10-10T16:34:51Z</dcterms:modified>
</cp:coreProperties>
</file>