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6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jc w:val="center"/>
        <w:ind w:left="3340" w:right="1200" w:hanging="2159"/>
        <w:spacing w:after="0" w:line="453" w:lineRule="auto"/>
        <w:tabs>
          <w:tab w:leader="none" w:pos="1379" w:val="left"/>
        </w:tabs>
        <w:numPr>
          <w:ilvl w:val="1"/>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UNDER SECTION 13 OR 15(d) OF THE SECURITIES EXCHANGE ACT OF 1934 For the quarterly period ended September 30, 2024</w:t>
      </w:r>
    </w:p>
    <w:p>
      <w:pPr>
        <w:spacing w:after="0" w:line="34" w:lineRule="exact"/>
        <w:rPr>
          <w:rFonts w:ascii="MS PGothic" w:cs="MS PGothic" w:eastAsia="MS PGothic" w:hAnsi="MS PGothic"/>
          <w:sz w:val="16"/>
          <w:szCs w:val="16"/>
          <w:color w:val="auto"/>
          <w:highlight w:val="black"/>
        </w:rPr>
      </w:pPr>
    </w:p>
    <w:p>
      <w:pPr>
        <w:ind w:left="1080" w:hanging="193"/>
        <w:spacing w:after="0"/>
        <w:tabs>
          <w:tab w:leader="none" w:pos="10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1" w:right="839" w:bottom="1440" w:gutter="0" w:footer="0" w:header="0"/>
        </w:sectPr>
      </w:pPr>
    </w:p>
    <w:p>
      <w:pPr>
        <w:spacing w:after="0" w:line="18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1" w:lineRule="exact"/>
        <w:rPr>
          <w:sz w:val="24"/>
          <w:szCs w:val="24"/>
          <w:color w:val="auto"/>
        </w:rPr>
      </w:pPr>
    </w:p>
    <w:p>
      <w:pPr>
        <w:sectPr>
          <w:pgSz w:w="11900" w:h="16838" w:orient="portrait"/>
          <w:cols w:equalWidth="0" w:num="2">
            <w:col w:w="5380" w:space="720"/>
            <w:col w:w="4120"/>
          </w:cols>
          <w:pgMar w:left="840" w:top="661" w:right="8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001-41139</w:t>
      </w:r>
    </w:p>
    <w:p>
      <w:pPr>
        <w:sectPr>
          <w:pgSz w:w="11900" w:h="16838" w:orient="portrait"/>
          <w:cols w:equalWidth="0" w:num="1">
            <w:col w:w="10220"/>
          </w:cols>
          <w:pgMar w:left="840" w:top="661" w:right="839" w:bottom="1440" w:gutter="0" w:footer="0" w:header="0"/>
          <w:type w:val="continuous"/>
        </w:sectPr>
      </w:pP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BURTECH ACQUISITION CORP.</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center"/>
              <w:ind w:right="1679"/>
              <w:spacing w:after="0"/>
              <w:rPr>
                <w:sz w:val="20"/>
                <w:szCs w:val="20"/>
                <w:color w:val="auto"/>
              </w:rPr>
            </w:pPr>
            <w:r>
              <w:rPr>
                <w:rFonts w:ascii="Times New Roman" w:cs="Times New Roman" w:eastAsia="Times New Roman" w:hAnsi="Times New Roman"/>
                <w:sz w:val="16"/>
                <w:szCs w:val="16"/>
                <w:b w:val="1"/>
                <w:bCs w:val="1"/>
                <w:color w:val="auto"/>
              </w:rPr>
              <w:t>85-2708752</w:t>
            </w:r>
          </w:p>
        </w:tc>
      </w:tr>
      <w:tr>
        <w:trPr>
          <w:trHeight w:val="188"/>
        </w:trPr>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6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right="17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17"/>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1300 Pennsylvania Ave NW, Suite 700</w:t>
            </w:r>
          </w:p>
        </w:tc>
        <w:tc>
          <w:tcPr>
            <w:tcW w:w="3260" w:type="dxa"/>
            <w:vAlign w:val="bottom"/>
          </w:tcPr>
          <w:p>
            <w:pPr>
              <w:spacing w:after="0"/>
              <w:rPr>
                <w:sz w:val="24"/>
                <w:szCs w:val="24"/>
                <w:color w:val="auto"/>
              </w:rPr>
            </w:pPr>
          </w:p>
        </w:tc>
      </w:tr>
      <w:tr>
        <w:trPr>
          <w:trHeight w:val="242"/>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 xml:space="preserve">Washington, DC </w:t>
            </w:r>
            <w:r>
              <w:rPr>
                <w:rFonts w:ascii="Times New Roman" w:cs="Times New Roman" w:eastAsia="Times New Roman" w:hAnsi="Times New Roman"/>
                <w:sz w:val="19"/>
                <w:szCs w:val="19"/>
                <w:b w:val="1"/>
                <w:bCs w:val="1"/>
                <w:color w:val="auto"/>
              </w:rPr>
              <w:t>20004</w:t>
            </w:r>
          </w:p>
        </w:tc>
        <w:tc>
          <w:tcPr>
            <w:tcW w:w="3260" w:type="dxa"/>
            <w:vAlign w:val="bottom"/>
          </w:tcPr>
          <w:p>
            <w:pPr>
              <w:spacing w:after="0"/>
              <w:rPr>
                <w:sz w:val="21"/>
                <w:szCs w:val="21"/>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260" w:type="dxa"/>
            <w:vAlign w:val="bottom"/>
          </w:tcPr>
          <w:p>
            <w:pPr>
              <w:spacing w:after="0"/>
              <w:rPr>
                <w:sz w:val="18"/>
                <w:szCs w:val="18"/>
                <w:color w:val="auto"/>
              </w:rPr>
            </w:pPr>
          </w:p>
        </w:tc>
      </w:tr>
      <w:tr>
        <w:trPr>
          <w:trHeight w:val="289"/>
        </w:trPr>
        <w:tc>
          <w:tcPr>
            <w:tcW w:w="6960" w:type="dxa"/>
            <w:vAlign w:val="bottom"/>
            <w:gridSpan w:val="3"/>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(202) 600-5757</w:t>
            </w:r>
          </w:p>
        </w:tc>
        <w:tc>
          <w:tcPr>
            <w:tcW w:w="3260" w:type="dxa"/>
            <w:vAlign w:val="bottom"/>
          </w:tcPr>
          <w:p>
            <w:pPr>
              <w:spacing w:after="0"/>
              <w:rPr>
                <w:sz w:val="24"/>
                <w:szCs w:val="24"/>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260" w:type="dxa"/>
            <w:vAlign w:val="bottom"/>
          </w:tcPr>
          <w:p>
            <w:pPr>
              <w:spacing w:after="0"/>
              <w:rPr>
                <w:sz w:val="18"/>
                <w:szCs w:val="18"/>
                <w:color w:val="auto"/>
              </w:rPr>
            </w:pP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4160" w:type="dxa"/>
            <w:vAlign w:val="bottom"/>
            <w:gridSpan w:val="2"/>
          </w:tcPr>
          <w:p>
            <w:pPr>
              <w:ind w:left="1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Units, each consisting of one share of Class A Common</w:t>
            </w:r>
          </w:p>
        </w:tc>
        <w:tc>
          <w:tcPr>
            <w:tcW w:w="300" w:type="dxa"/>
            <w:vAlign w:val="bottom"/>
          </w:tcPr>
          <w:p>
            <w:pPr>
              <w:spacing w:after="0"/>
              <w:rPr>
                <w:sz w:val="16"/>
                <w:szCs w:val="16"/>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BRKHU</w:t>
            </w:r>
          </w:p>
        </w:tc>
        <w:tc>
          <w:tcPr>
            <w:tcW w:w="300" w:type="dxa"/>
            <w:vAlign w:val="bottom"/>
          </w:tcPr>
          <w:p>
            <w:pPr>
              <w:spacing w:after="0"/>
              <w:rPr>
                <w:sz w:val="16"/>
                <w:szCs w:val="16"/>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and one Redeemable Warrant to purchase one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 Class A common stock for $11.50 per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BRKH</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 each exercisable for one share of Class A</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BRKHW</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for $11.50 per share</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r>
    </w:tbl>
    <w:p>
      <w:pPr>
        <w:spacing w:after="0" w:line="8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 b-2 of the Exchange Act:</w:t>
      </w:r>
    </w:p>
    <w:p>
      <w:pPr>
        <w:sectPr>
          <w:pgSz w:w="11900" w:h="16838" w:orient="portrait"/>
          <w:cols w:equalWidth="0" w:num="1">
            <w:col w:w="10220"/>
          </w:cols>
          <w:pgMar w:left="840" w:top="661" w:right="839" w:bottom="1440" w:gutter="0" w:footer="0" w:header="0"/>
          <w:type w:val="continuous"/>
        </w:sectPr>
      </w:pP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5" w:lineRule="exact"/>
        <w:rPr>
          <w:sz w:val="24"/>
          <w:szCs w:val="24"/>
          <w:color w:val="auto"/>
        </w:rPr>
      </w:pPr>
    </w:p>
    <w:p>
      <w:pPr>
        <w:sectPr>
          <w:pgSz w:w="11900" w:h="16838" w:orient="portrait"/>
          <w:cols w:equalWidth="0" w:num="2">
            <w:col w:w="3900" w:space="720"/>
            <w:col w:w="5600"/>
          </w:cols>
          <w:pgMar w:left="840" w:top="661" w:right="8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As of November 8, 2024, there were 15,162,658 shares of Class A common stock, par value $0.0001 per share issued and outstanding and 5 shares of Class B Shares of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69850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1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BURTECH ACQUISITION CORP.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00" w:type="dxa"/>
            <w:vAlign w:val="bottom"/>
            <w:gridSpan w:val="11"/>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60" w:type="dxa"/>
            <w:vAlign w:val="bottom"/>
            <w:gridSpan w:val="28"/>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1 – FINANCIAL INFORMATION</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79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30,2024</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7500" w:type="dxa"/>
            <w:vAlign w:val="bottom"/>
            <w:tcBorders>
              <w:top w:val="single" w:sz="8" w:color="0000EE"/>
            </w:tcBorders>
            <w:gridSpan w:val="19"/>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0000EE"/>
              </w:rPr>
              <w:t>and 2023 (Unaudited)</w:t>
            </w:r>
          </w:p>
        </w:tc>
        <w:tc>
          <w:tcPr>
            <w:tcW w:w="200" w:type="dxa"/>
            <w:vAlign w:val="bottom"/>
            <w:tcBorders>
              <w:top w:val="single" w:sz="8" w:color="CCEEFF"/>
            </w:tcBorders>
            <w:gridSpan w:val="4"/>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for the three and nine months ended</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860" w:type="dxa"/>
            <w:vAlign w:val="bottom"/>
            <w:tcBorders>
              <w:top w:val="single" w:sz="8" w:color="0000EE"/>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30,2024 and 2023 (Unaudited)</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30,2024 and 2023</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7560" w:type="dxa"/>
            <w:vAlign w:val="bottom"/>
            <w:tcBorders>
              <w:top w:val="single" w:sz="8" w:color="0000EE"/>
            </w:tcBorders>
            <w:gridSpan w:val="20"/>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40" w:type="dxa"/>
            <w:vAlign w:val="bottom"/>
            <w:tcBorders>
              <w:top w:val="single" w:sz="8" w:color="CCEEFF"/>
            </w:tcBorders>
            <w:gridSpan w:val="3"/>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77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90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gridSpan w:val="2"/>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49,915,251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46,893,175</w:t>
            </w:r>
          </w:p>
        </w:tc>
        <w:tc>
          <w:tcPr>
            <w:tcW w:w="0" w:type="dxa"/>
            <w:vAlign w:val="bottom"/>
          </w:tcPr>
          <w:p>
            <w:pPr>
              <w:spacing w:after="0"/>
              <w:rPr>
                <w:sz w:val="1"/>
                <w:szCs w:val="1"/>
                <w:color w:val="auto"/>
              </w:rPr>
            </w:pPr>
          </w:p>
        </w:tc>
      </w:tr>
      <w:tr>
        <w:trPr>
          <w:trHeight w:val="24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50,108,063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3,119,430</w:t>
            </w:r>
          </w:p>
        </w:tc>
        <w:tc>
          <w:tcPr>
            <w:tcW w:w="2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sponsor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10,379,159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20,441,659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shares at redemption value of</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approximately $11.4 and $10.81 as of September 30, 2024 and December 31, 2023, respectively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49,495,242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10,816,995 shares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(excluding 4,345,663 shares subject to possible redemption) as of</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2024 and 10,816,995 shares issued and outstanding (excluding 4,345,663 shares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subject to possible redemption and 2,285,040 shares to be redeemed) as of December 31, 2023,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5 shares issued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(19,829,920)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(15,839,811)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(19,828,838)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(15,838,729)</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50,108,063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60"/>
        <w:spacing w:after="0" w:line="268" w:lineRule="auto"/>
        <w:rPr>
          <w:sz w:val="20"/>
          <w:szCs w:val="20"/>
          <w:color w:val="auto"/>
        </w:rPr>
      </w:pPr>
      <w:r>
        <w:rPr>
          <w:rFonts w:ascii="Times New Roman" w:cs="Times New Roman" w:eastAsia="Times New Roman" w:hAnsi="Times New Roman"/>
          <w:sz w:val="18"/>
          <w:szCs w:val="18"/>
          <w:b w:val="1"/>
          <w:bCs w:val="1"/>
          <w:color w:val="auto"/>
        </w:rPr>
        <w:t>BURTECH ACQUISITION CORP. CONDENSED CONSOLIDATED STATEMENTS OF OPERATIONS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156,259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(2,526,265)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 Backstop Subscription</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(89,929)</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(446,776)</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548,394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910,391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1,445,537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(753,720)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(1,080,728)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(122,233)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(179,326)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(406,071)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(952,909)</w:t>
            </w:r>
          </w:p>
        </w:tc>
        <w:tc>
          <w:tcPr>
            <w:tcW w:w="0" w:type="dxa"/>
            <w:vAlign w:val="bottom"/>
          </w:tcPr>
          <w:p>
            <w:pPr>
              <w:spacing w:after="0"/>
              <w:rPr>
                <w:sz w:val="1"/>
                <w:szCs w:val="1"/>
                <w:color w:val="auto"/>
              </w:rPr>
            </w:pPr>
          </w:p>
        </w:tc>
      </w:tr>
      <w:tr>
        <w:trPr>
          <w:trHeight w:val="249"/>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(875,953)</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(1,486,799)</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1,676,925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subject to</w:t>
            </w: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4,345,663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6,630,703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4,345,663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12,059,248</w:t>
            </w:r>
          </w:p>
        </w:tc>
        <w:tc>
          <w:tcPr>
            <w:tcW w:w="0" w:type="dxa"/>
            <w:vAlign w:val="bottom"/>
          </w:tcPr>
          <w:p>
            <w:pPr>
              <w:spacing w:after="0"/>
              <w:rPr>
                <w:sz w:val="1"/>
                <w:szCs w:val="1"/>
                <w:color w:val="auto"/>
              </w:rPr>
            </w:pPr>
          </w:p>
        </w:tc>
      </w:tr>
      <w:tr>
        <w:trPr>
          <w:trHeight w:val="24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basic and diluted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vMerge w:val="restart"/>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common stock, Class A</w:t>
            </w: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vMerge w:val="continue"/>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subject to redemption</w:t>
            </w: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outstanding of non-redeemable Class A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10,817,000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10,817,000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0" w:type="dxa"/>
            <w:vAlign w:val="bottom"/>
          </w:tcPr>
          <w:p>
            <w:pPr>
              <w:spacing w:after="0"/>
              <w:rPr>
                <w:sz w:val="1"/>
                <w:szCs w:val="1"/>
                <w:color w:val="auto"/>
              </w:rPr>
            </w:pPr>
          </w:p>
        </w:tc>
      </w:tr>
      <w:tr>
        <w:trPr>
          <w:trHeight w:val="24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 basic and diluted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vMerge w:val="restart"/>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common stock, non-</w:t>
            </w: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vMerge w:val="continue"/>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Class A and Class B common stock, basic and diluted</w:t>
            </w: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6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3"/>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3"/>
                <w:szCs w:val="13"/>
                <w:color w:val="auto"/>
              </w:rPr>
            </w:pP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4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10,816,995</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$ 1,082</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(15,839,811)</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(15,838,729)</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(800,030)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(800,030)</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(10,633)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10,816,995</w:t>
            </w: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$ 1,082</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40" w:type="dxa"/>
            <w:vAlign w:val="bottom"/>
          </w:tcPr>
          <w:p>
            <w:pPr>
              <w:spacing w:after="0"/>
              <w:rPr>
                <w:sz w:val="17"/>
                <w:szCs w:val="17"/>
                <w:color w:val="auto"/>
              </w:rPr>
            </w:pPr>
          </w:p>
        </w:tc>
        <w:tc>
          <w:tcPr>
            <w:tcW w:w="2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(16,650,474)</w:t>
            </w:r>
          </w:p>
        </w:tc>
        <w:tc>
          <w:tcPr>
            <w:tcW w:w="16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(16,649,392)</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(846,082)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(600,213)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(600,213)</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10,816,995</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$ 1,082</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(18,096,769)</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(18,095,687)</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(857,198)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(857,198)</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(875,953)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(875,953)</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10,816,995</w:t>
            </w:r>
          </w:p>
        </w:tc>
        <w:tc>
          <w:tcPr>
            <w:tcW w:w="16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$ 1,082</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(19,829,920)</w:t>
            </w: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(19,828,838)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960" w:type="dxa"/>
            <w:vAlign w:val="bottom"/>
            <w:gridSpan w:val="2"/>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0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(10,145,752)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(10,144,670)</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Excise tax liability arising from redemption of Class A</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(2,277,760)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(2,277,760)</w:t>
            </w: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(2,276,329)</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1,574,791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1,574,791</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(13,125,050)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(13,123,968)</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(605,227)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(605,227)</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98,772</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(13,631,505)</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(13,630,423)</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(681,066)</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(14,309,209)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(14,308,127)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BURTECH ACQUISITION CORP. CONDENSED 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(1,486,799)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earned on cash and investments held in Trust Account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liability – Backstop Subscription Agreement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withdrawn from Trust Account to pay franchise and income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Principal deposits into Trust Account for Extension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227,776,035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23,409,237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229,815,945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Advances from sponsor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(24,539,002)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(227,776,035)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(21,685,056)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(227,676,060)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(776,692)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period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100" w:type="dxa"/>
            <w:vAlign w:val="bottom"/>
          </w:tcPr>
          <w:p>
            <w:pPr>
              <w:spacing w:after="0"/>
              <w:rPr>
                <w:sz w:val="22"/>
                <w:szCs w:val="22"/>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2,503,310</w:t>
            </w: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3,562,622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66,621</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Business Operation,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not commenced any operations. All activity for the period from March 2, 2021 (inception) through September 30,2024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The Underwriting Agreement was amended subsequent to the balance sheet date, refer to Note 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Following thorough initial negotiations, the Company has chosen not to pursue the business combination.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and March 12, 2024, the Sponsor deposited $130,370 on each date into the Trust account to extend the life of the Company from January 15, 2024 to April 15, 2024.</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10, 2024, May 10, 2024, June 12, 2024, July 12, 2024, August 14, 2024, September 21, 2024 and October 15, 2024 the Sponsor deposited $130,370 on each date into the Trust account to extend the life of the Company from April 15, 2024 to November 15,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3, 2024, the Company received a notification letter from the Listing Qualifications Department of Nasdaq indicating that, as a result of the Company’s delay in filing its Quarterly Report on Form 10-Q for the period ended September 30, 2024 with SEC, the Company was not in compliance with the requirements for continued listing under Nasdaq Listing Rule 5250(c)(1).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18, 2024, the Company and Blaize filed the registration statement Form S - 4 Related to Proposed Business Combination detailed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$66,621 in its restricted cash account and $49,915,251 in investments held in trust. Restricted cash is held exclusively for payment of current tax liabilities. As of September 30, 2024, $4,633,444 of the amount on deposit in the Trust Account represents interest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needs up to September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September 30, 2024, the Company had $1,500,000 outstanding under a Convertible Promissory Note and $2,164,291 outstanding as advances from sponsor.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less than seven months from its mandatory liquidation as of the time of filing of Annual Report on Form 10-K and the Company has extended its liquidation date to December 15, 2024.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consolidated financial statements are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condensed consolidated financial statements do not include any adjustments relating to the recovery of the recorded assets or the classification of the liabilities that might be necessary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nine months ended September 30, 2024, the Company withdrew $43,564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at September 30, 2024 and December 31, 2023 amounted to $69,441 and $318,888, respectively. As of September 30, 2024 and December 31, 2023, the balance in restricted cash in the amount of $66,621 and $843,313, respectively, on the accompanying condensed consolidated balance sheets, represents amounts withheld from the trust account available exclusively for payment of current tax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consolidated financial statements reflect all adjustments, which include only normal recurring adjustments necessary for the fair statement of the balances and results for the periods presented. The interim results for the three and nine months ended September 30, 2024 are not necessarily indicative of the results to be expected for the year ending December 31, 2024 or for any future interim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and notes thereto included in the Company’s Annual Report on Form 10-K as of and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to Prior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2023, the Company converted 9,487,495 Class B Shares to Class A Shares. In prior financial statements it was reflected that 9,487,500 were transferred from Class B shares to Class A shares. This revision only impacts the condensed consolidated statements of equity whereas 5 shares are shown as Class B Shares and Class A shares are shown as 9,487,495. There are no other impacts to the Company’s financials.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fair value of the warrant liabilities and the derivative liability - Backstop Subscription Agreement. Such estimates may be subject to change as more current information becomes available and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September 30, 2024 and December 31, 2023, the Company had no cash and no cash equivalents. At September 30, 2024 and December 31, 2023, the Company also had $66,621 and $843,313 of restricted cash, respectively, related to funds withdrawn from the Trust Account reserved to the payment of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and December 31, 2023, the Company had $49,915,251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accompanying statement of operations. The estimated fair values of investments held in the Trust Account are determined using available market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September 30, 2024 and December 31, 2023, 4,345,663 Class A common stock subject to possible redemption are presented at redemption value as temporary equity, outside of the stockholders’ deficit section of the Company’s balance sheets.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September 30, 2024 and December 31, 2023, the Company’s deferred tax asset had a full valuation allowance recorded against it.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income taxes and unrecognized tax benefits as income tax expense. There were no unrecognized tax benefits as of September 30, 2024 and December 31, 2023. During the three and nine months ended September 30, 2024, the Company’s provision for income taxes included $41,498 for interest and penalties. The $41,498 is included in income taxes payable on the Company’s condensed balance sheets as of September 30, 2024. The Company is currently not aware of any issues under review that could result in significant payments, accruals or material deviation from its position.</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(16.22)% and 98.16% for the three months ended September 30, 2024 and 2023, respectively, and (37.57)% and 36.23% for the nine months ended September 30, 2024 and 2023, respectively. The effective tax rate differs from the statutory tax rate of 21% due to the valuation allowance on the deferred tax assets and the deductibility of penalties on tax obligations and merger and acquisition costs.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nine months ended September 30, 2024 and 2023 because the warrants are contingently exercisable, and the contingencies have not yet been met and its inclusion would be anti- dilutive. As a result, diluted net income or loss per common stock is the same as basic net income or loss per common stock for the periods. The table below presents a reconciliation of the numerator and denominator used to compute basic and diluted net income or loss per share for each class of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7"/>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118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60" w:type="dxa"/>
            <w:vAlign w:val="bottom"/>
            <w:gridSpan w:val="2"/>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40" w:type="dxa"/>
            <w:vAlign w:val="bottom"/>
          </w:tcPr>
          <w:p>
            <w:pPr>
              <w:spacing w:after="0"/>
              <w:rPr>
                <w:sz w:val="10"/>
                <w:szCs w:val="10"/>
                <w:color w:val="auto"/>
              </w:rPr>
            </w:pP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 income per</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(251,051)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(624,902)</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4,345,663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6,630,703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income per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9"/>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gridSpan w:val="7"/>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60" w:type="dxa"/>
            <w:vAlign w:val="bottom"/>
            <w:gridSpan w:val="2"/>
          </w:tcPr>
          <w:p>
            <w:pPr>
              <w:spacing w:after="0"/>
              <w:rPr>
                <w:sz w:val="10"/>
                <w:szCs w:val="10"/>
                <w:color w:val="auto"/>
              </w:rPr>
            </w:pPr>
          </w:p>
        </w:tc>
        <w:tc>
          <w:tcPr>
            <w:tcW w:w="10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60" w:type="dxa"/>
            <w:vAlign w:val="bottom"/>
            <w:gridSpan w:val="2"/>
          </w:tcPr>
          <w:p>
            <w:pPr>
              <w:spacing w:after="0"/>
              <w:rPr>
                <w:sz w:val="10"/>
                <w:szCs w:val="10"/>
                <w:color w:val="auto"/>
              </w:rPr>
            </w:pPr>
          </w:p>
        </w:tc>
        <w:tc>
          <w:tcPr>
            <w:tcW w:w="10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60" w:type="dxa"/>
            <w:vAlign w:val="bottom"/>
          </w:tcPr>
          <w:p>
            <w:pPr>
              <w:spacing w:after="0"/>
              <w:rPr>
                <w:sz w:val="10"/>
                <w:szCs w:val="10"/>
                <w:color w:val="auto"/>
              </w:rPr>
            </w:pPr>
          </w:p>
        </w:tc>
        <w:tc>
          <w:tcPr>
            <w:tcW w:w="10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 income</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(426,121)</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(1,060,678)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883,994</w:t>
            </w:r>
          </w:p>
        </w:tc>
        <w:tc>
          <w:tcPr>
            <w:tcW w:w="3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4,345,663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12,059,248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income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3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September 30, 2024 and December 31, 2023, the Company had not experienced losses on this account and management believes the Company is not exposed to significant risks on such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condensed consolidated balance sheets, primarily due to its short-term nature.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Liabilities – Backstop Subscription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Method (“PWERM”).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 update requires financial assets measured at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common stock subject to redemption reflected on the balance sheet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294,796,918</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(252,315,037)</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4,510,051</w:t>
            </w:r>
          </w:p>
        </w:tc>
      </w:tr>
    </w:tbl>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46,991,932</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800,030</w:t>
            </w: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March 31,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47,791,962</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846,082</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June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48,638,044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857,198</w:t>
            </w: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September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49,495,242</w:t>
            </w:r>
          </w:p>
        </w:tc>
      </w:tr>
      <w:tr>
        <w:trPr>
          <w:trHeight w:val="20"/>
        </w:trPr>
        <w:tc>
          <w:tcPr>
            <w:tcW w:w="6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three and nine months ended September 30, 2024, the Company incurred $30,000 and $90,000 for the administrative service fees, respectively, of which $90,000 are recorded as accrued expenses in the balance sheets. For the three and nine months ended September 30, 2023, the Company incurred and paid $30,000 and $90,000 for the administrative service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September 30, 2024 and December 31, 2023, $1,500,000 and $810,345 in working capital loans were outstanding,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Sponsor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Sponsor provided working capital and extension deposits on behalf of the Company. These amounts are reflected on the condensed consolidated balance sheets as advances from Sponsor. The advances are non-interest bearing and are payable on demand. At September 30, 2024, the Company had advances owed to the Sponsor in the amount of $2,164,291. At December 31, 2023, the Company had no such advances owed to the Sponsor.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received $844,000 from its Sponsor for payment of operating expenses and ongoing business operations. Additionally, during the three months ended September 30, 2024, the Sponsor paid $260,740 to the trust for extension payments.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5" w:lineRule="exact"/>
        <w:rPr>
          <w:sz w:val="20"/>
          <w:szCs w:val="20"/>
          <w:color w:val="auto"/>
        </w:rPr>
      </w:pPr>
    </w:p>
    <w:p>
      <w:pPr>
        <w:jc w:val="both"/>
        <w:ind w:firstLine="8"/>
        <w:spacing w:after="0" w:line="253"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September 30, 2024 and concluded that it is probable that a contingent liability should be recorded. As of September 30, 2024, the Company recorded $2,523,150 of excise tax liability calculated as 1% of shares redeemed on March 10, 2023 and December 15, 2023.</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9, 2024, Jefferies LLC (“Jefferies”) was formally engaged by BurTech on September 9, 2024 to serve as its exclusive strategic advisor in connection with a possible transaction involving Blaize (i.e., the Business Combination). Under the terms of such engagement, upon the closing of the Business Combination, Jefferies will receive a fee of $4,500,000 in return for such advisory services (the “Jefferies Fee”); provided, however, that up to $1,000,000 of the Jefferies Fee may be deferred by BurTech for a period of up to 12 months subsequent to the closing of the Business Combination (the “Deferred transaction Fee”). Jefferies is also entitled to reimbursement of out-of-pocket fees and expenses incurred by Jefferies in connection with the provision of such advisory services (the “Jefferies Expenses”). The Jefferies Fee and the Jefferies Expenses will be paid in cash. Further, Jefferies has been granted a right of first refusal (“ROFR”), exercisable during the term of the engagement and for a period of 12 months thereafter, with respect to (a) any equity, equity-linked, debt or mezzanine financing or other investment in BurTech (if the ROFR is exercised, Jefferies is permitted to act as one of the lead bookrunning managers, one of the lead global coordinators, one of the lead placement agents and/or one of the joint lead arrangers, as applicable) or (b) any tender or exchange offer for, or consent solicitation with respect to, debt (including, without limitation, convertible debt) securities (if the ROFR is exercised, Jefferies is permitted to act as a nonexclusive solicitation agent for such tender or exchange offer and/or consent solicitation), with compensation in each case payable to Jefferies in an amount that is customary for a transaction of that type, with up to 25% of that compensation able to be offset against the Deferred Transaction Fee if the relevant ROFR transaction closes prior to the expiry of the aforementioned 12-month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Merger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22,2024, the Company entered into an amendment of its Merger Agreement which modified certain terms and conditions as follows:</w:t>
      </w:r>
    </w:p>
    <w:p>
      <w:pPr>
        <w:spacing w:after="0" w:line="162" w:lineRule="exact"/>
        <w:rPr>
          <w:sz w:val="20"/>
          <w:szCs w:val="20"/>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14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Increasing the Base Purchase Price from $700 million to $767 million.</w:t>
      </w:r>
    </w:p>
    <w:p>
      <w:pPr>
        <w:spacing w:after="0" w:line="28" w:lineRule="exact"/>
        <w:rPr>
          <w:rFonts w:ascii="Times New Roman" w:cs="Times New Roman" w:eastAsia="Times New Roman" w:hAnsi="Times New Roman"/>
          <w:sz w:val="18"/>
          <w:szCs w:val="18"/>
          <w:color w:val="auto"/>
        </w:rPr>
      </w:pPr>
    </w:p>
    <w:p>
      <w:pPr>
        <w:ind w:left="1000" w:hanging="324"/>
        <w:spacing w:after="0" w:line="23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Acknowledged that the Blaize Note Financing and the Blaize Warrant Financing constitute a Company Financing for all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purposes of the Merger Agreement.</w:t>
      </w:r>
    </w:p>
    <w:p>
      <w:pPr>
        <w:ind w:left="1000" w:hanging="324"/>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a new component to the definition of “Base Merger Consideration”, which is the product of (a) the number of shares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of the Excluded Company Stock multiplied by (b) the Per Company Share Merger Consideration.</w:t>
      </w:r>
    </w:p>
    <w:p>
      <w:pPr>
        <w:ind w:left="1000"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a new component to the definition of “Available Acquiror Cash”, which is the amount contributed by the Sponsor</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pursuant to the Backstop Subscription Agreement and a new definition of “Cash Ratio,” which means the ratio equal to (x) Available Acquiror Cash, divided by (y) the Minimum Cash Amount.</w:t>
      </w:r>
    </w:p>
    <w:p>
      <w:pPr>
        <w:spacing w:after="0" w:line="2" w:lineRule="exact"/>
        <w:rPr>
          <w:rFonts w:ascii="Times New Roman" w:cs="Times New Roman" w:eastAsia="Times New Roman" w:hAnsi="Times New Roman"/>
          <w:sz w:val="18"/>
          <w:szCs w:val="18"/>
          <w:color w:val="auto"/>
        </w:rPr>
      </w:pPr>
    </w:p>
    <w:p>
      <w:pPr>
        <w:jc w:val="right"/>
        <w:ind w:left="1000"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a new definition of “Proportionate Shares Number,” which means (a) 325,000 Company Shares multiplied by (b.)</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the Cash Ratio; (viii) Added a closing condition for the benefit of Blaize requiring that the sum of the Trust Amount plus the amount of funds received pursuant to the Backstop Subscription Agreement shall be no less than the Backstop Amount.</w:t>
      </w:r>
    </w:p>
    <w:p>
      <w:pPr>
        <w:spacing w:after="0" w:line="2" w:lineRule="exact"/>
        <w:rPr>
          <w:rFonts w:ascii="Times New Roman" w:cs="Times New Roman" w:eastAsia="Times New Roman" w:hAnsi="Times New Roman"/>
          <w:sz w:val="18"/>
          <w:szCs w:val="18"/>
          <w:color w:val="auto"/>
        </w:rPr>
      </w:pPr>
    </w:p>
    <w:p>
      <w:pPr>
        <w:ind w:left="1000" w:right="20" w:hanging="324"/>
        <w:spacing w:after="0" w:line="24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Additionally, adjustments were made to various definitions and covenants to reflect the funding commitment of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Sponsor pursuant to the Backstop Subscription Agreement and the amounts of certain convertible notes and pre-funded warrants Burkhan, its Affiliates or nominees purchased from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Underwriting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and December 31, 2023, there were no shares of preferred stock issued or outstanding.</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September 30, 2024 and December 31, 2023, there were 10,816,995 shares issued and outstanding (excluding 2,285,040 shares to be redeemed as of December 31, 2023 and excluding 4,345,663 shares subject to possible redemption) as of September 30, 2024 and December 31,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September 30, 2024 and December 31, 2023, there were 5 shares of Class B common stock issued and outstanding.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September 30, 2024 and December 31, 2023 and indicates the fair value hierarchy of the valuation techniques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3"/>
                <w:szCs w:val="13"/>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49,915,251</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49,915,251</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446,776</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446,776</w:t>
            </w:r>
          </w:p>
        </w:tc>
        <w:tc>
          <w:tcPr>
            <w:tcW w:w="0" w:type="dxa"/>
            <w:vAlign w:val="bottom"/>
          </w:tcPr>
          <w:p>
            <w:pPr>
              <w:spacing w:after="0"/>
              <w:rPr>
                <w:sz w:val="1"/>
                <w:szCs w:val="1"/>
                <w:color w:val="auto"/>
              </w:rPr>
            </w:pPr>
          </w:p>
        </w:tc>
      </w:tr>
      <w:tr>
        <w:trPr>
          <w:trHeight w:val="335"/>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24"/>
                <w:szCs w:val="24"/>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20" w:type="dxa"/>
            <w:vAlign w:val="bottom"/>
          </w:tcPr>
          <w:p>
            <w:pPr>
              <w:spacing w:after="0"/>
              <w:rPr>
                <w:sz w:val="18"/>
                <w:szCs w:val="18"/>
                <w:color w:val="auto"/>
              </w:rPr>
            </w:pP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Backstop Subscription Agreement is valued using Probability Weighted Expected Return Model (“PWERM”). The PWERM is a multistep process in which value is estimated based on the probability-weighted present value of various future outcomes. The estimated fair value of the Backstop Subscription Agreement liability is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fair value of the Backstop Subscription Agreement as of September 30, 2024 was $446,776, which resulted in a change in fair value of the Backstop Subscription Agreement of $89,929 for the three months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of the models used to value the Company’s Backstop Subscription Agreement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Initial Measurement date of</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April 22, 2024</w:t>
            </w:r>
          </w:p>
        </w:tc>
        <w:tc>
          <w:tcPr>
            <w:tcW w:w="1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5.39 %</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Terms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Implied Likelihood of Initial Business Combination</w:t>
            </w:r>
          </w:p>
        </w:tc>
        <w:tc>
          <w:tcPr>
            <w:tcW w:w="26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10.35 %</w:t>
            </w:r>
          </w:p>
        </w:tc>
        <w:tc>
          <w:tcPr>
            <w:tcW w:w="4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 for the three and nine months ended September 30, 2024:</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Subscription Purchase</w:t>
            </w:r>
          </w:p>
        </w:tc>
      </w:tr>
      <w:tr>
        <w:trPr>
          <w:trHeight w:val="173"/>
        </w:trPr>
        <w:tc>
          <w:tcPr>
            <w:tcW w:w="6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Agreement</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 on April 22, 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361,124</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356,847</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89,929</w:t>
            </w: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September 30, 2024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446,776</w:t>
            </w: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other than below, that would have required adjustment or disclosure in the unaudited condensed consolidated financial statements.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15, 2024, the Sponsor deposited $130,370 into the Trust account to extend the life of the Company from October 15, 2024 to November 15,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10, 2024 and October 30, 2024 the Company was advanced an additional $10,000 and $80,000, respectively on each date, from its Sponsor for payment of operating expenses and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will remain in the Company’s trust account.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Second Special Meeting of stockholders held by the Company on December 11, 2023, The Company’s stockholders redeemed 2,285,040 shares during the Second Special Meeting. As a result, approximately $24.5 million (approximately $10.74 per share) was removed from the Company’s trust account to pay such holders. The amount was removed from the Trust Account on January 5,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On December 11, 2023 (the “Second Special Meeting”), the Company entered into an amendment to the investment management trust agreement dated as of December 10, 2021, with Continental Stock Transfer &amp; Trust Company (the “Second Trust Amendment”).</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On January 16, 2024, February 9, 2024, and March 12, 2024, the Sponsor deposited $130,370 on each date into the Trust account to extend the life of the Company from January 15, 2024 to April 15, 2024. On April 10, 2024, May 10, 2024 and June 12, 2024 the Sponsor deposited $130,370 on each date into the Trust account to extend the life of the Company from April 15, 2024 to July 15, 2024. July 12, 2024, August 14, 2024, September 21, 2024 and October 15, 2024 the Sponsor deposited $130,370 on each date into the Trust account to extend the life of the Company from April 15, 2024 to November 15, 2024.</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the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on December 22, 2023, the Company entered into an Agreement and Plan of Merger (the “Merger Agreement”) by and among the Company, Merger Sub a Delaware corporation and a direct, wholly owned subsidiary of the Company,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(“Blaize Common Stock”), that, following the conversion of Blaize Common Stock at the effective time of the Merger (the “Effective Time”) pursuant to the Merger Agreement, would result in up to 6,833,333 shares of The Company Class A common stock (the “Warrant”) for aggregate gross proceeds to Blaize of $25.0 million. Blaize issued the Warrant, which has an aggregate exercise price of $68,333.33 and an assumed purchase price of $68,333.33, to Burkhan concurrently with the execution of the Merger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(“RSU”) and Blaize stock option that will be assumed) will be cancelled in exchange for the right to receive a number of shares of the Company Class A common stock (rounded up to the nearest whole share) equal to the quotient obtained by dividing (a) 77,000,000 by (b) the Aggregate Company Shares (the “Exchange Ratio”), (B) each Blaize stock option that is outstanding and unexercised as of immediately prior to the Effective Time will be converted into an option to purchase shares of The Company Class A common stock (“New Blaize Options”) as set forth in the Merger Agreement, and (C) each Blaize RSU that is outstanding and unsettled as of immediately prior to the Effective Time will be converted into an award of RSUs relating to shares of The Company Class A common stock (“New Blaize RSUs”) as set forth in the Merger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“Aggregate Company Shares” means, without duplication, (i) the sum of the number of shares of Blaize Common Stock that are (a) issued and outstanding immediately prior to the Effective Time (following the conversion or exercise of the outstanding convertible notes, preferred stock and warrants of Blaize but excluding any shares of Burkhan Company Stock (as defined in the Merger Agreement),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treasury stock to be cancelled) and (b) issuable upon the exercise or settlement of Blaize stock awards (in each case, whether or 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(the “Earnout Shares”) for a period from the closing of the Business Combination (the “Closing”) until the five-year anniversary thereof (the “Earnout Period”), in accordance with the schedule set forth in the Merger Agreement. The earnout shares are to be issued to Burkhan and shareholders of Blaize contingent, in each case, on the closing stock price of the New Blaize common stock exceeding the following thresholds:</w:t>
      </w:r>
    </w:p>
    <w:p>
      <w:pPr>
        <w:spacing w:after="0" w:line="180" w:lineRule="exact"/>
        <w:rPr>
          <w:sz w:val="20"/>
          <w:szCs w:val="20"/>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$20.00 per share for 20 trading days within any 30 consecutive trading day period during the Earnout Period, then (i) 3,750,000 Earnout Shares will be issued to Blaize shareholders and (ii) 325,000 Earnout Shares will be issued to Burkhan.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 (i) approval of the Business Combination and related agreements and transactions by the respective shareholders of The Company and Blaize, (ii) effectiveness of the registration statement on Form S-4 to be filed by The Company in connection with the Business Combination, (iii) expiration or termination of the waiting period under the Hart-Scott-Rodino Antitrust Improvements Act, if applicable,</w:t>
      </w:r>
    </w:p>
    <w:p>
      <w:pPr>
        <w:spacing w:after="0" w:line="3" w:lineRule="exact"/>
        <w:rPr>
          <w:sz w:val="20"/>
          <w:szCs w:val="20"/>
          <w:color w:val="auto"/>
        </w:rPr>
      </w:pPr>
    </w:p>
    <w:p>
      <w:pPr>
        <w:jc w:val="both"/>
        <w:ind w:firstLine="8"/>
        <w:spacing w:after="0" w:line="25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conditions to The Company’s obligations to consummate the Merger include, among others, that as of the Closing, (i) the representations and warranties of Blaize being true and correct, subject to the materiality standards contained in the Merger Agreement,</w:t>
      </w:r>
    </w:p>
    <w:p>
      <w:pPr>
        <w:jc w:val="both"/>
        <w:ind w:firstLine="8"/>
        <w:spacing w:after="0" w:line="253"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conditions to Blaize’s obligations to consummate the Merger include, among others, that as of the Closing, (i) the representations and warranties of The Company and Merger Sub being true and correct, subject to the materiality standards contained in the Merger Agreement, (ii) The Company shall have performed all covenants required to be performed by The Company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The Company’s initial public offering and private placement of its warrants have been deposited for the benefit of its public shareholders following redemptions by The Company’s stockholders in connection with the The Company stockholder meeting held for purposes of approving the Business Combination (the “Trust Account”), plus the proceeds of any financing transaction of The Company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Blaize prior to the Closing, plus the aggregate gross proceeds of $5.0 million received by Blaize pursuant to a previous convertible note financing transaction, and subject to the deductions and conditions set forth in the Merger Agreement, including deductions for certain The Company and Blaize transaction expenses, is equal to or greater than $125,000,000 and (v) other than persons designated by the parties to the Merger Agreement to be nominated for election to the board of directors of New Blaize in accordance with the terms of the Merger Agreement, all members of the board of directors and executive officers of The Company shall have executed written resignations effective as of the Effective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use commercially reasonable efforts to conduct their respective businesses in the ordinary course through the Closing, (ii) Blaize to prepare and deliver to The Company certain audited and unaudited consolidated financial statements of Blaize, (iii) The Company to prepare and file a registration statement on Form S-4 and take certain other actions to obtain the requisite approval of The Company shareholders of certain proposals regarding the Business Combination and (iv) the parties to use reasonable best efforts to obtain necessary approvals from governmental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The Company, Merger Sub and Blaize that are customary for transactions of this type. The representations and warranties of the respective parties to the Merger Agreement will not survive the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The Company and Blaize, (ii) by The Company or Blaize, if requisite approvals of the shareholders of The Company are not obtained as set forth therein, (iii) by Blaize if there is a Modification in Recommendation (as defined in the Merger Agreement), (iv) by The Company if requisite approvals of the shareholders of Blaize are not obtained as soon as reasonably practicable following the effectiveness of the registration statement on Form S-4 to be filed by The Company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The Company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Between the date of the Merger Agreement and the Closing, The Company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The Company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is not restricted from responding to unsolicited inbound inquiries to the extent required for the board of directors of The Company to comply with its fiduciary duties. “Business Combination Proposal” means any offer, inquiry, proposal or indication of interest (whether written or oral, binding or non-binding), relating to a Business Combination.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The Company and its representatives) previously conducted with respect to, or that could lead to, any Company Acquisition Proposal. “Company Acquisition Proposal” means any inquiry, proposal or offer concerning a merger, consolidation, liquidation, recapitalization, share exchange or other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involving the sale, lease, exchange or other disposition of more than fifteen percent (15%) of the properties or assets or equity interests of Blaize or any of its subsidiaries, excluding, for the avoidance of doubt, any Company Financing.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Financing” means, subject to certain limited exceptions contained in the Merger Agreement, a private placement of (i) 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Exchange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required under applicable rules of the Nasdaq Global Market (“Nasdaq”), the Company will use its reasonable best efforts to cause the shares of the Company’s Class A common stock to be issued in connection with the Business Combination to be approved for listing on Nasdaq at the Closing. Until the Closing, The Company must use its reasonable best efforts to cause the Company to remain listed as a public company on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Company’s Capital Stock (as defined in the Company’s Support Agreement), subject to certain exceptions, and termination of certain stockholder agreements and other affiliate agreements of Blaize.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to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 provision of the Sponsor Support Agreements, the Merger Agreement or the timely consummation of the Merger, (b) result in a breach in any respect of any covenant, representation, warranty or any other obligation or agreement of the Company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the Company with respect to the Class B common stock of the Company, in each case, on the terms and subject to the conditions set forth in the Sponsor Support Agreement, and (v) be bound by certain other covenants and agreements related to the Business Combination, including a restriction on the transfer of the Company’s Class B common stock and private placement units of the Company, subject to certain exceptions.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descriptions of the Merger Agreement, the Company’s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Company’s Support Agreement, the Sponsor Support Agreement, the form of Registration Rights Agreement, the form of Lock-up Agreement, and the form of Stockholders’ Agreement, copies of which are filed with this Current Report on Form 8-K as Exhibit 2.1, Exhibit 10.1, Exhibit 10.2, Exhibit 10.3, Exhibit 10.4, and Exhibit 10.5 respectively, and the terms of which are incorporated by reference herein.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the Company’s Support Agreement, the Sponsor Support Agreement, the Registration Rights Agreement, the Lock-up Agreement, and the Stockholders’ Agreement and the other documents related thereto (collectively, the “Transaction Documents”) have been included to provide investors with information regarding their terms. They are not intended to provide any other factual information about The Company,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The Company’s public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Underwriting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September 30, 2024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we had a net loss of $875,953, which consisted of $1,302,114 in operating costs and franchise taxes, change in fair value of backstop agreement of $89,929 and provision for income taxes of $122,233, offset by interest from investments held in our Trust Account of $638,323.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we had a net loss of $1,486,799, which consisted of $2,526,265 in operating costs and franchise taxes, change in fair value of backstop agreement of $446,776 and provision for income taxes of $406,071, offset by interest from investments held in our Trust Account of $1,892,313.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2023, we had a net income of $3,362, which consisted of interest from investments held in our Trust Account of $910,391, offset by operating costs and franchise taxes of $727,703 and provision for income taxes of $179,326.</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2023, we had a net income of $1,676,925, which consisted of interest from investments held in our Trust Account of $4,809,802, offset by $2,179,968 in operating costs and franchise taxes and provision for income taxes of $952,909.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$66,621 in its restricted cash account and $49,915,251 in investments held in trust. Restricted cash is held exclusively for payment of current tax liabilities. As of September 30, 2024, $4,633,444 of the amount on deposit in the Trust Account represents interest income.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needs up to September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September 30, 2024, the Company had $1,500,000 outstanding under a Convertible Promissory Note and $2,164,291 outstanding as advances from sponsor.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of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financial statements contained in Annual Report on Form 10-K are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September 30,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redemption rights that are considered to be outside of our control and subject to the occurrence of uncertain future events. Accordingly, as of September 30, 2024 and December 31, 2023, 4,345,663 Class A common stock subject to possible redemption are presented at redemption value as temporary equity, outside of the stockholders’ deficit section of our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 - Backstop Subscription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(see Note 6 to the financial statements)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Model (“PWERM”).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and nine months ended September 30, 2024 and 2023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2024,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Previously, during the year ended December 31, 2023, we identified material weaknesses in our internal control over financial reporting relating to our inadequate control for the withdrawal of funds from the Trust Account and inadequate control for the accounting for class a common stock subject to possible redemption as of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Excise Tax included in the Inflation Reduction Act of 2022 in connection with redemptions of our common stock after December 31, 2023.</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5" w:lineRule="exact"/>
        <w:rPr>
          <w:sz w:val="20"/>
          <w:szCs w:val="20"/>
          <w:color w:val="auto"/>
        </w:rPr>
      </w:pPr>
    </w:p>
    <w:p>
      <w:pPr>
        <w:jc w:val="both"/>
        <w:ind w:firstLine="8"/>
        <w:spacing w:after="0" w:line="253" w:lineRule="auto"/>
        <w:tabs>
          <w:tab w:leader="none" w:pos="3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Nasdaq Rule 5815 was amended effective October 7, 2024 to provide for the immediate suspension and delisting for failure to meet the 36-month requirement in Nasdaq Rule IM 5101-2(b) to complete a business combination, and our securities will face an immediate suspension and delisting action once we receive a delisting determination letter from Nasdaq after the 36-month window ends on December 10,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 Listing Rule IM-5101-2(b) (the “Rule”), requires that we complete a business combination no later than 36 months after our IPO, and Nasdaq Rule 5815 was amended effective October 7, 2024 to provide for the immediate suspension and delisting for failure to meet the 36-month requirement to complete a business combination in the Rule, and our securities will face an immediate suspension and delisting action once we receive a delisting determination letter from Nasdaq after the 36-month window ends on December 10, 2024. Therefore, if we do not complete our business combination by December 10, 2024, which we will not be able to do, our securities will be suspended and delisted from Nasdaq. In addition, while we may appeal the suspension and delisting, a Nasdaq hearings panel will have no discretion in allowing us to remain listed and may only reverse the Nasdaq’s staff’s determination if it finds it made a factual error applying the Rule, which there will not be assuming that we receive a delisting letter on or after December 10,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extend the time to complete a business combination after December 10, 2024, which is beyond the time-frame permitted by the Rule, we will not be listed at the time we close a business combination. If we are not able to meet Nasdaq initial listing requirement in connection with the closing of the Business Combination, Blaize may elect to terminate the Business Combination Agreement and not proceed with the business combination.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our securities are delisted, our securities would likely trade on the Over the Counter market, which could limit investors’ ability to make transactions in our securities and subject us to additional trading restrictions. If this were to occur, we would face significant material adverse consequences, including.</w:t>
      </w:r>
    </w:p>
    <w:p>
      <w:pPr>
        <w:spacing w:after="0" w:line="176" w:lineRule="exact"/>
        <w:rPr>
          <w:sz w:val="20"/>
          <w:szCs w:val="20"/>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Public Shares are a “penny stock,” which will require brokers trading in the Public Shares to adhere to more stringent rules and possibly result in a reduced level of trading activity in the secondary trading market for its securities;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the Company’s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would no longer be listed on Nasdaq, our securities would no longer be considered to be “covered securities” under the National Securities Markets Improvement Act of 1996, and we would be subject to regulation in each state in which we offer our securities, including in connection with our initial business combination, which may make more difficult and costly to complete a business combination. In addition, our securityholders could be prohibited from trading in our securities absent our registration in the state where such securityholder lives. To date we have not registered our securities in any State, and do not currently plan to do so. This may make it difficult or impossible for our securityholders to trade in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52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5"/>
                <w:szCs w:val="15"/>
                <w:color w:val="auto"/>
              </w:rPr>
            </w:pPr>
          </w:p>
        </w:tc>
        <w:tc>
          <w:tcPr>
            <w:tcW w:w="85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Borders>
              <w:top w:val="single" w:sz="8" w:color="0000EE"/>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1980" w:firstLine="9"/>
        <w:spacing w:after="0" w:line="375" w:lineRule="auto"/>
        <w:tabs>
          <w:tab w:leader="none" w:pos="13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53"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-759460</wp:posOffset>
            </wp:positionV>
            <wp:extent cx="1568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BurTech Acquisition Corp.</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Shahal Khan</w:t>
            </w:r>
          </w:p>
        </w:tc>
      </w:tr>
      <w:tr>
        <w:trPr>
          <w:trHeight w:val="189"/>
        </w:trPr>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Shahal Khan</w:t>
            </w:r>
          </w:p>
        </w:tc>
      </w:tr>
      <w:tr>
        <w:trPr>
          <w:trHeight w:val="236"/>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Roman Livson</w:t>
            </w:r>
          </w:p>
        </w:tc>
      </w:tr>
      <w:tr>
        <w:trPr>
          <w:trHeight w:val="191"/>
        </w:trPr>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Roman Livson</w:t>
            </w:r>
          </w:p>
        </w:tc>
      </w:tr>
      <w:tr>
        <w:trPr>
          <w:trHeight w:val="214"/>
        </w:trPr>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6"/>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Shahal Khan,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8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Livson,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BurTech Acquisition Corp. (the “Company”) on Form 10-Q for the quarterly period ended September 30, 2024, as filed with the Securities and Exchange Commission (the “Report”), each of the undersigned, in the capacities and on the dates indicated below, certify, pursuant to 18 U.S.C. §1350, as added by §906 of the Sarbanes-Oxley Act of 2002, that:</w:t>
      </w:r>
    </w:p>
    <w:p>
      <w:pPr>
        <w:spacing w:after="0" w:line="176" w:lineRule="exact"/>
        <w:rPr>
          <w:sz w:val="20"/>
          <w:szCs w:val="20"/>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4"/>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4"/>
    </w:lvl>
  </w:abstractNum>
  <w:abstractNum w:abstractNumId="8">
    <w:nsid w:val="140E0F76"/>
    <w:multiLevelType w:val="hybridMultilevel"/>
    <w:lvl w:ilvl="0">
      <w:lvlJc w:val="left"/>
      <w:lvlText w:val="(%1)"/>
      <w:numFmt w:val="lowerRoman"/>
      <w:start w:val="2"/>
    </w:lvl>
  </w:abstractNum>
  <w:abstractNum w:abstractNumId="9">
    <w:nsid w:val="3352255A"/>
    <w:multiLevelType w:val="hybridMultilevel"/>
    <w:lvl w:ilvl="0">
      <w:lvlJc w:val="left"/>
      <w:lvlText w:val="(%1)"/>
      <w:numFmt w:val="lowerRoman"/>
      <w:start w:val="4"/>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
      <w:numFmt w:val="bullet"/>
      <w:start w:val="1"/>
    </w:lvl>
    <w:lvl w:ilvl="1">
      <w:lvlJc w:val="left"/>
      <w:lvlText w:val="%2"/>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2024-11-08T16:24:24Z</dcterms:created>
  <dcterms:modified xsi:type="dcterms:W3CDTF">2024-11-08T16:24:24Z</dcterms:modified>
</cp:coreProperties>
</file>