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22,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180" w:right="2860" w:hanging="3172"/>
        <w:spacing w:after="0" w:line="527" w:lineRule="auto"/>
        <w:tabs>
          <w:tab w:leader="none" w:pos="352"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2023, BurTech Acquisition Corp., a Delaware corporation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and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execution of the Agreement and Plan of Merger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December 22, 2023, by and among Burtech, BurTech Merger Sub Inc., a Delaware corporation and a direct wholly owned subsidiary of BurTech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and Burkhan Capital LLC, a Delaware limited liability company, pursuant to which Merger Sub will merge with and into Blaize, with Blaize surviving such merger as a direct, wholly owned subsidiary of BurTech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At the effective time of the Business Combination, BurTech will change its name to “Blaize Holdings, Inc.” The Press Release is attached hereto as Exhibit 99.1 and incorporated by reference 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liabilities under that section, and shall not be deemed to be incorporated by reference into the filings of BurTech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regardless of any general incorporation language in such filings. This Current Report on Form 8-K (this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will not be deemed an admission as to the materiality of any information of the information contained in this Item 7.01, including Exhibit 99.1.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REGULATORY AUTHORITY NOR HAS ANY AUTHORITY PASSED UPON OR ENDORSED THE MERITS OF THE BUSINESS COMBINATION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BurTech intends to file with the SEC a Registration Statement on Form S-4 with the SEC, which will include a preliminary prospectus and proxy statement of BurTech in connection with the Business Combination, referred to as a proxy statement/prospectus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and Section 21E of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4"/>
          </w:tcPr>
          <w:p>
            <w:pPr>
              <w:ind w:left="37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gridSpan w:val="2"/>
          </w:tcPr>
          <w:p>
            <w:pPr>
              <w:spacing w:after="0"/>
              <w:rPr>
                <w:sz w:val="24"/>
                <w:szCs w:val="24"/>
                <w:color w:val="auto"/>
              </w:rPr>
            </w:pPr>
          </w:p>
        </w:tc>
        <w:tc>
          <w:tcPr>
            <w:tcW w:w="5080" w:type="dxa"/>
            <w:vAlign w:val="bottom"/>
          </w:tcPr>
          <w:p>
            <w:pPr>
              <w:spacing w:after="0"/>
              <w:rPr>
                <w:sz w:val="24"/>
                <w:szCs w:val="24"/>
                <w:color w:val="auto"/>
              </w:rPr>
            </w:pPr>
          </w:p>
        </w:tc>
      </w:tr>
      <w:tr>
        <w:trPr>
          <w:trHeight w:val="209"/>
        </w:trPr>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5"/>
                <w:szCs w:val="15"/>
                <w:color w:val="auto"/>
              </w:rPr>
            </w:pPr>
          </w:p>
        </w:tc>
        <w:tc>
          <w:tcPr>
            <w:tcW w:w="98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Joint Press Release, dated as of December 22, 2023.</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57"/>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22, 2023</w:t>
            </w: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680" w:type="dxa"/>
            <w:vAlign w:val="bottom"/>
          </w:tcPr>
          <w:p>
            <w:pPr>
              <w:spacing w:after="0"/>
              <w:rPr>
                <w:sz w:val="16"/>
                <w:szCs w:val="16"/>
                <w:color w:val="auto"/>
              </w:rPr>
            </w:pPr>
          </w:p>
        </w:tc>
        <w:tc>
          <w:tcPr>
            <w:tcW w:w="23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680" w:type="dxa"/>
            <w:vAlign w:val="bottom"/>
          </w:tcPr>
          <w:p>
            <w:pPr>
              <w:spacing w:after="0"/>
              <w:rPr>
                <w:sz w:val="20"/>
                <w:szCs w:val="20"/>
                <w:color w:val="auto"/>
              </w:rPr>
            </w:pP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556895"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234315</wp:posOffset>
            </wp:positionV>
            <wp:extent cx="136334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Blaize, a Leading Global Provider of AI Solutions for Edge Computing, to go Public Through a Business Combination with BurTech Acquisition Corp.</w:t>
      </w:r>
    </w:p>
    <w:p>
      <w:pPr>
        <w:spacing w:after="0" w:line="159" w:lineRule="exact"/>
        <w:rPr>
          <w:sz w:val="20"/>
          <w:szCs w:val="20"/>
          <w:color w:val="auto"/>
        </w:rPr>
      </w:pPr>
    </w:p>
    <w:p>
      <w:pPr>
        <w:ind w:left="660" w:right="1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is a provider of full-stack artificial intelligence (“AI”) solutions for automotive and edge computing in multiple large and rapidly growing markets.</w:t>
      </w:r>
    </w:p>
    <w:p>
      <w:pPr>
        <w:jc w:val="both"/>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has previously raised $224 million from strategic investors that include DENSO, Mercedes Benz, Magna and Samsung, financial investors such as Franklin Templeton, GGV and Bess Ventures, and globally-renowned operators such as Dado Banatao, Jürgen Hambrecht, Roland Berger, and Kurt Lauk.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transaction values Blaize at a pro forma enterprise value of $894 million.</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deliver minimum proceeds of approximately $71 million, prior to payment of expenses, to the combined company to accelerate Blaize's full-stack edge-AI product roadmap and support Blaize's execution of significant business opportunities.</w:t>
      </w:r>
    </w:p>
    <w:p>
      <w:pPr>
        <w:ind w:left="660" w:right="3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has a strong customer pipeline across multiple industries, underwritten by several joint development agreements, including a long-term joint development agreement with a leading automotive Tier-1 original equipment manufacturer (“OEM) supplier, and a multi-phase master services agreement with a leading German automotive original equipment manufacturer (“OEM”) to deliver AI acceleration.</w:t>
      </w:r>
    </w:p>
    <w:p>
      <w:pPr>
        <w:spacing w:after="0" w:line="18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El Dorado Hills, CA--(BUSINESS WIRE)—</w:t>
      </w:r>
      <w:r>
        <w:rPr>
          <w:rFonts w:ascii="Times New Roman" w:cs="Times New Roman" w:eastAsia="Times New Roman" w:hAnsi="Times New Roman"/>
          <w:sz w:val="18"/>
          <w:szCs w:val="18"/>
          <w:color w:val="auto"/>
        </w:rPr>
        <w:t>Blaize, Inc. (“Blaize”), a provider of purpose-built, AI-enabled edge computing solutions, announced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has entered into a definitive agreement to combine with BurTech Acquisition Corp. (“BurTech”) (NASDAQ: BRKH), a publicly traded special purpose acquisition company. Upon closing of the proposed transaction, Blaize will become a publicly traded company and is expected to be listed on Nasdaq under a new ticker symbol. The proposed transaction values Blaize at a pro forma enterprise value of $894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Overview</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Blaize is a </w:t>
      </w:r>
      <w:r>
        <w:rPr>
          <w:rFonts w:ascii="Times New Roman" w:cs="Times New Roman" w:eastAsia="Times New Roman" w:hAnsi="Times New Roman"/>
          <w:sz w:val="18"/>
          <w:szCs w:val="18"/>
          <w:color w:val="0E101A"/>
        </w:rPr>
        <w:t>provider of f</w:t>
      </w:r>
      <w:r>
        <w:rPr>
          <w:rFonts w:ascii="Times New Roman" w:cs="Times New Roman" w:eastAsia="Times New Roman" w:hAnsi="Times New Roman"/>
          <w:sz w:val="18"/>
          <w:szCs w:val="18"/>
          <w:color w:val="auto"/>
        </w:rPr>
        <w:t xml:space="preserve">ull-stack, AI-enabled computing solutions </w:t>
      </w:r>
      <w:r>
        <w:rPr>
          <w:rFonts w:ascii="Times New Roman" w:cs="Times New Roman" w:eastAsia="Times New Roman" w:hAnsi="Times New Roman"/>
          <w:sz w:val="18"/>
          <w:szCs w:val="18"/>
          <w:color w:val="0E101A"/>
        </w:rPr>
        <w:t>across diverse and expanding markets, encompassing automotive, mobility, retail,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E101A"/>
        </w:rPr>
        <w:t xml:space="preserve">security, industrial automation, </w:t>
      </w:r>
      <w:r>
        <w:rPr>
          <w:rFonts w:ascii="Times New Roman" w:cs="Times New Roman" w:eastAsia="Times New Roman" w:hAnsi="Times New Roman"/>
          <w:sz w:val="18"/>
          <w:szCs w:val="18"/>
          <w:color w:val="000000"/>
        </w:rPr>
        <w:t>healthcare and others</w:t>
      </w:r>
      <w:r>
        <w:rPr>
          <w:rFonts w:ascii="Times New Roman" w:cs="Times New Roman" w:eastAsia="Times New Roman" w:hAnsi="Times New Roman"/>
          <w:sz w:val="18"/>
          <w:szCs w:val="18"/>
          <w:color w:val="0E101A"/>
        </w:rPr>
        <w:t xml:space="preserve"> that represent a collective </w:t>
      </w:r>
      <w:r>
        <w:rPr>
          <w:rFonts w:ascii="Times New Roman" w:cs="Times New Roman" w:eastAsia="Times New Roman" w:hAnsi="Times New Roman"/>
          <w:sz w:val="18"/>
          <w:szCs w:val="18"/>
          <w:color w:val="000000"/>
        </w:rPr>
        <w:t>total addressable market</w:t>
      </w:r>
      <w:r>
        <w:rPr>
          <w:rFonts w:ascii="Times New Roman" w:cs="Times New Roman" w:eastAsia="Times New Roman" w:hAnsi="Times New Roman"/>
          <w:sz w:val="18"/>
          <w:szCs w:val="18"/>
          <w:color w:val="0E101A"/>
        </w:rPr>
        <w:t xml:space="preserve"> in excess of </w:t>
      </w:r>
      <w:r>
        <w:rPr>
          <w:rFonts w:ascii="Times New Roman" w:cs="Times New Roman" w:eastAsia="Times New Roman" w:hAnsi="Times New Roman"/>
          <w:sz w:val="18"/>
          <w:szCs w:val="18"/>
          <w:color w:val="000000"/>
        </w:rPr>
        <w:t>$70 billion. Blaize’s proprietary,</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color w:val="000000"/>
        </w:rPr>
        <w:t>purpose-built, full-stack programable processor architecture and low-code/no-code software platform solutions are designed to enable enterprises to rapidly harness the power of AI at the periphery of the network and in the data center and deliver real-time insights and decision-making capabilities with speed and efficiency.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0E101A"/>
        </w:rPr>
        <w:t xml:space="preserve">This efficient processor architecture is designed to address the inherent challenges of </w:t>
      </w:r>
      <w:r>
        <w:rPr>
          <w:rFonts w:ascii="Times New Roman" w:cs="Times New Roman" w:eastAsia="Times New Roman" w:hAnsi="Times New Roman"/>
          <w:sz w:val="18"/>
          <w:szCs w:val="18"/>
          <w:color w:val="000000"/>
        </w:rPr>
        <w:t>edge AI processing</w:t>
      </w:r>
      <w:r>
        <w:rPr>
          <w:rFonts w:ascii="Times New Roman" w:cs="Times New Roman" w:eastAsia="Times New Roman" w:hAnsi="Times New Roman"/>
          <w:sz w:val="18"/>
          <w:szCs w:val="18"/>
          <w:color w:val="0E101A"/>
        </w:rPr>
        <w:t xml:space="preserve">, providing high performance computing at low power consumption, minimal latency </w:t>
      </w:r>
      <w:r>
        <w:rPr>
          <w:rFonts w:ascii="Times New Roman" w:cs="Times New Roman" w:eastAsia="Times New Roman" w:hAnsi="Times New Roman"/>
          <w:sz w:val="18"/>
          <w:szCs w:val="18"/>
          <w:color w:val="000000"/>
        </w:rPr>
        <w:t>and high efficiency.</w:t>
      </w:r>
      <w:r>
        <w:rPr>
          <w:rFonts w:ascii="Times New Roman" w:cs="Times New Roman" w:eastAsia="Times New Roman" w:hAnsi="Times New Roman"/>
          <w:sz w:val="18"/>
          <w:szCs w:val="18"/>
          <w:color w:val="0E101A"/>
        </w:rPr>
        <w:t xml:space="preserve"> The Blaize </w:t>
      </w:r>
      <w:r>
        <w:rPr>
          <w:rFonts w:ascii="Times New Roman" w:cs="Times New Roman" w:eastAsia="Times New Roman" w:hAnsi="Times New Roman"/>
          <w:sz w:val="18"/>
          <w:szCs w:val="18"/>
          <w:color w:val="000000"/>
        </w:rPr>
        <w:t>architecture includes its software suite composed of Blaize® AI Studio® and Blaize®</w:t>
      </w:r>
      <w:r>
        <w:rPr>
          <w:rFonts w:ascii="Times New Roman" w:cs="Times New Roman" w:eastAsia="Times New Roman" w:hAnsi="Times New Roman"/>
          <w:sz w:val="18"/>
          <w:szCs w:val="18"/>
          <w:color w:val="0E101A"/>
        </w:rPr>
        <w:t xml:space="preserve"> </w:t>
      </w:r>
      <w:r>
        <w:rPr>
          <w:rFonts w:ascii="Times New Roman" w:cs="Times New Roman" w:eastAsia="Times New Roman" w:hAnsi="Times New Roman"/>
          <w:sz w:val="18"/>
          <w:szCs w:val="18"/>
          <w:color w:val="000000"/>
        </w:rPr>
        <w:t>Picasso® SDK (Software Development Kit), providing customers with a user-friendly and flexible means to swiftly develop and deploy applications at a highly optimized total cost of ownership (“TCO”).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BurTech Quote: </w:t>
      </w:r>
      <w:r>
        <w:rPr>
          <w:rFonts w:ascii="Times New Roman" w:cs="Times New Roman" w:eastAsia="Times New Roman" w:hAnsi="Times New Roman"/>
          <w:sz w:val="18"/>
          <w:szCs w:val="18"/>
          <w:color w:val="auto"/>
        </w:rPr>
        <w:t>CEO and Chairman of BurTech Shahal Khan, commented, “Today marks the beginning of an extraordinary journey as BurTech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 with Blaize. The potential in the field of edge AI is immense, and this partnership positions the combined company for success. We are honored to have garnered strong backing from visionary investors, a testament to the revenue and growth potential in our journey. Our confidence in Blaize's management team is unwavering, and together, we are poised to be a leading player in a bright and transformative future in the world of edge AI. We are eager to pioneer the path ahead."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Quote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Commenting on this merger, CEO and co-founder of Blaize, Dinakar Munagala stated, "This combination with BurTech is a landmark event for Blaize. It positions us perfectly to tackle the exciting challenges and global opportunities in AI computing and processors. We are grateful for the support of our long-term investors and the commitment from BurTech. This enables us to rapidly deploy our proprietary AI solutions across multiple geographies and play a prominent role in shaping the future of sustainable AI innovation.”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Blaize will merge with and into a wholly owned Delaware subsidiary of BurTech that was formed for the purpose of the proposed transaction (the “Merger”), with Blaize surviving the Merger as a direct wholly owned subsidiary of BurTech. At the effective time of the Merger, stockholders of Blaize immediately prior to the effective time of the Merger will receive shares of BurTech common stock based on an implied pro forma enterprise value of approximately $894 million at a price of $10.00 per share.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proposed transaction is expected to deliver minimum proceeds of approximately $71 million (prior to payment of expenses), including approximately $46 million cash from BurTech’s trust account (assuming no further redemptions by BurTech’s stockholders) and a $25 million committed investment from Burkhan Capital, LLC, an affiliate of BurTech, in the form of convertible notes and warrants of Blaize.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16.3 million shares of common stock of BurTech may be issued as earnout shares after the closing of the proposed transaction, in accordance with the schedule set forth in the merger agreement. The earnout shares are to be issued to shareholders of Blaize and Burkhan Capital LLC contingent, in each case, on meeting certain stock price thresholds.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consummation of the proposed transaction, BurTech will be renamed “Blaize Holdings, Inc.”</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proposed transaction, which has been unanimously approved by the board of directors of each of BurTech and Blaize, is expected to close in the second quarter of 2024, subject to approval by BurTech’s and Blaize’s stockholders and the satisfaction of other customary closing conditions, including the effectiveness of a registration statement on Form S-4 (the “Registration Statement”), which will contain a proxy statement/prospectus, and other regulatory approvals. Additional information about the proposed transaction, including a copy of the merger, will be filed by BurTech in a Current Report on Form 8-K with the SEC that will be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Norton Rose Fulbright US LLP is acting as U. S. legal counsel to BurTech. Cohen and Company Capital Markets a division of J.V.B. Financial Group, LLC is acting as exclusive financial advisor, lead capital markets advisor and private placement agent to Blaize. Latham &amp; Watkins LLP is acting as legal counsel to Blaize. Blueshirt Capital Advisors is also serving as an investor relations advisor to Blaize.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BurTech Acquisition Corp. (NASDAQ: BRKH) is a special purpose acquisition company dedicated to partnering with exceptional businesses and providing them with the resources and expertise to excel in the public market. With a focus on delivering long-term value to stockholders and supporting innovative companies, BurTech Acquisition Corp. is committed to creating success stories in technology industries. With steadfast stockholders, a robust financial footing, and an unyielding commitment to innovation, BurTech Acquisition Corp. is a visionary force in the technology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E101A"/>
        </w:rPr>
        <w:t>Blaize has developed a suite of purpose-built, full-stack programmable processor architecture, and low-code/no-code software platform that enables AI processing solutions for high performance computing in multiple large and rapidly growing markets. Its proprietary, purpose-built solutions are designed to enable enterprises to harness the power of AI at the periphery of the network and in the data center and deliver real-time insights and decision-making capabilities with speed and efficiency.</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E101A"/>
        </w:rPr>
        <w:t>This union of breakthrough hardware and software technologies—each optimizing the other—are designed to deliver a complete end-to-end market-proven solution powered by:</w:t>
      </w:r>
    </w:p>
    <w:p>
      <w:pPr>
        <w:spacing w:after="0" w:line="162" w:lineRule="exact"/>
        <w:rPr>
          <w:sz w:val="20"/>
          <w:szCs w:val="20"/>
          <w:color w:val="auto"/>
        </w:rPr>
      </w:pPr>
    </w:p>
    <w:p>
      <w:pPr>
        <w:ind w:left="540" w:right="120" w:hanging="262"/>
        <w:spacing w:after="0" w:line="261" w:lineRule="auto"/>
        <w:tabs>
          <w:tab w:leader="none" w:pos="540"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Blaize® Graph Streaming Processor (GSP®)—a fully programmable, next-generation AI accelerator processor designed for edge and data centers and to deliver efficient compute, reduced latency, and bandwidth, and available in multiple form factors.</w:t>
      </w:r>
    </w:p>
    <w:p>
      <w:pPr>
        <w:ind w:left="540" w:right="140" w:hanging="262"/>
        <w:spacing w:after="0" w:line="250" w:lineRule="auto"/>
        <w:tabs>
          <w:tab w:leader="none" w:pos="540"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Blaize® AI Studio®—an intuitive, low-code/no-code development environment that is intended to simplify the creation and deployment of AI models at the edge, empowering developers and data scientists to build and optimize AI applications efficiently, bringing AI-powered solutions to market quickly.</w:t>
      </w:r>
    </w:p>
    <w:p>
      <w:pPr>
        <w:spacing w:after="0" w:line="1" w:lineRule="exact"/>
        <w:rPr>
          <w:rFonts w:ascii="Times New Roman" w:cs="Times New Roman" w:eastAsia="Times New Roman" w:hAnsi="Times New Roman"/>
          <w:sz w:val="18"/>
          <w:szCs w:val="18"/>
          <w:color w:val="0E101A"/>
        </w:rPr>
      </w:pPr>
    </w:p>
    <w:p>
      <w:pPr>
        <w:ind w:left="540" w:right="80" w:hanging="262"/>
        <w:spacing w:after="0" w:line="260" w:lineRule="auto"/>
        <w:tabs>
          <w:tab w:leader="none" w:pos="540" w:val="left"/>
        </w:tabs>
        <w:numPr>
          <w:ilvl w:val="0"/>
          <w:numId w:val="4"/>
        </w:numPr>
        <w:rPr>
          <w:rFonts w:ascii="Times New Roman" w:cs="Times New Roman" w:eastAsia="Times New Roman" w:hAnsi="Times New Roman"/>
          <w:sz w:val="18"/>
          <w:szCs w:val="18"/>
          <w:color w:val="0E101A"/>
        </w:rPr>
      </w:pPr>
      <w:r>
        <w:rPr>
          <w:rFonts w:ascii="Times New Roman" w:cs="Times New Roman" w:eastAsia="Times New Roman" w:hAnsi="Times New Roman"/>
          <w:sz w:val="18"/>
          <w:szCs w:val="18"/>
          <w:color w:val="0E101A"/>
        </w:rPr>
        <w:t>Blaize® Picasso® SDK—a graph-native and open software environment that is designed to accelerate the entire AI application development cycle and build and optimize complete AI applications running on GSP silicon.</w:t>
      </w:r>
    </w:p>
    <w:p>
      <w:pPr>
        <w:spacing w:after="0" w:line="18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0E101A"/>
        </w:rPr>
        <w:t>Blaize is dedicated to delivering a market-proven complete end-to-end solution that provides superior performance and TCO compared to graphics processing unit (GPU) and application-specific integrated circuit (ASIC) alternatives. Blaize has established a comprehensive partner ecosystem that delivers turn-key solutions based on and complementing its technologies, such as cloud service providers, independent software vendors, aggregators, industrial personal computer vendors and others. Blaize has raised $224 million from strategic investors such as DENSO, Mercedes Benz, Magna, and Samsung, financial investors such as Franklin Templeton, GGV and Bess Ventures, and globally-renowned operators such as Dado Banatao, Jürgen Hambrecht, Roland Berger, and Kurt Lauk. Headquartered in El Dorado Hills (CA), Blaize has more than 200 employees worldwide with teams in San Jose (CA), Cary (NC) and subsidiaries in Hyderabad (India) and Leeds and Kings Langley (UK).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financing to complete the proposed transaction and to support the future working capital needs of Blaize and the combined company; (v) the effect of the announcement or pendency of the proposed transaction on Blaize’s business relationships, performance, and business generally; (vi) risks that the proposed transaction disrupts current plans of Blaize and potential difficulties in the retention of Blaize employees as a result of the proposed transaction; (vii) the outcome of any legal proceedings that may be instituted against BurTech or Blaize related to the merger agreement and the proposed transaction ;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1434465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662940</wp:posOffset>
            </wp:positionV>
            <wp:extent cx="1363345"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BurTech intends to file with the SEC the Registration Statement, and after the Registration Statement is declared effective,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1435100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556895" cy="677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56895" cy="67754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663575</wp:posOffset>
            </wp:positionV>
            <wp:extent cx="136334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Blaize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Blueshirt Capital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ir@Blaize.com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BurTech Acquisition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 Livson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Avenue,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investors@burtechacq.us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2023-12-22T14:36:15Z</dcterms:created>
  <dcterms:modified xsi:type="dcterms:W3CDTF">2023-12-22T14:36:15Z</dcterms:modified>
</cp:coreProperties>
</file>