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January 27, 2026</w:t>
      </w:r>
    </w:p>
    <w:p>
      <w:pPr>
        <w:spacing w:after="0" w:line="19" w:lineRule="exact"/>
        <w:rPr>
          <w:sz w:val="24"/>
          <w:szCs w:val="24"/>
          <w:color w:val="auto"/>
        </w:rPr>
      </w:pPr>
    </w:p>
    <w:p>
      <w:pPr>
        <w:ind w:left="964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3295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48260</wp:posOffset>
            </wp:positionV>
            <wp:extent cx="713295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6350"/>
                    </a:xfrm>
                    <a:prstGeom prst="rect">
                      <a:avLst/>
                    </a:prstGeom>
                    <a:noFill/>
                  </pic:spPr>
                </pic:pic>
              </a:graphicData>
            </a:graphic>
          </wp:anchor>
        </w:drawing>
      </w:r>
    </w:p>
    <w:p>
      <w:pPr>
        <w:spacing w:after="0" w:line="121" w:lineRule="exact"/>
        <w:rPr>
          <w:sz w:val="24"/>
          <w:szCs w:val="24"/>
          <w:color w:val="auto"/>
        </w:rPr>
      </w:pPr>
    </w:p>
    <w:tbl>
      <w:tblPr>
        <w:tblLayout w:type="fixed"/>
        <w:tblInd w:w="1480" w:type="dxa"/>
        <w:tblCellMar>
          <w:top w:w="0" w:type="dxa"/>
          <w:left w:w="0" w:type="dxa"/>
          <w:bottom w:w="0" w:type="dxa"/>
          <w:right w:w="0" w:type="dxa"/>
        </w:tblCellMar>
      </w:tblPr>
      <w:tr>
        <w:trPr>
          <w:trHeight w:val="164"/>
        </w:trPr>
        <w:tc>
          <w:tcPr>
            <w:tcW w:w="2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gridSpan w:val="2"/>
          </w:tcPr>
          <w:p>
            <w:pPr>
              <w:jc w:val="center"/>
              <w:ind w:right="2854"/>
              <w:spacing w:after="0"/>
              <w:rPr>
                <w:sz w:val="20"/>
                <w:szCs w:val="20"/>
                <w:color w:val="auto"/>
              </w:rPr>
            </w:pPr>
            <w:r>
              <w:rPr>
                <w:rFonts w:ascii="Times New Roman" w:cs="Times New Roman" w:eastAsia="Times New Roman" w:hAnsi="Times New Roman"/>
                <w:sz w:val="14"/>
                <w:szCs w:val="14"/>
                <w:b w:val="1"/>
                <w:bCs w:val="1"/>
                <w:color w:val="auto"/>
                <w:w w:val="96"/>
              </w:rPr>
              <w:t>UNITED STATES</w:t>
            </w:r>
          </w:p>
        </w:tc>
      </w:tr>
      <w:tr>
        <w:trPr>
          <w:trHeight w:val="164"/>
        </w:trPr>
        <w:tc>
          <w:tcPr>
            <w:tcW w:w="2640" w:type="dxa"/>
            <w:vAlign w:val="bottom"/>
          </w:tcPr>
          <w:p>
            <w:pPr>
              <w:spacing w:after="0"/>
              <w:rPr>
                <w:sz w:val="14"/>
                <w:szCs w:val="14"/>
                <w:color w:val="auto"/>
              </w:rPr>
            </w:pPr>
          </w:p>
        </w:tc>
        <w:tc>
          <w:tcPr>
            <w:tcW w:w="5380" w:type="dxa"/>
            <w:vAlign w:val="bottom"/>
            <w:gridSpan w:val="3"/>
          </w:tcPr>
          <w:p>
            <w:pPr>
              <w:jc w:val="center"/>
              <w:ind w:right="2254"/>
              <w:spacing w:after="0"/>
              <w:rPr>
                <w:sz w:val="20"/>
                <w:szCs w:val="20"/>
                <w:color w:val="auto"/>
              </w:rPr>
            </w:pPr>
            <w:r>
              <w:rPr>
                <w:rFonts w:ascii="Times New Roman" w:cs="Times New Roman" w:eastAsia="Times New Roman" w:hAnsi="Times New Roman"/>
                <w:sz w:val="14"/>
                <w:szCs w:val="14"/>
                <w:b w:val="1"/>
                <w:bCs w:val="1"/>
                <w:color w:val="auto"/>
                <w:w w:val="97"/>
              </w:rPr>
              <w:t>SECURITIES AND EXCHANGE COMMISSION</w:t>
            </w:r>
          </w:p>
        </w:tc>
      </w:tr>
      <w:tr>
        <w:trPr>
          <w:trHeight w:val="180"/>
        </w:trPr>
        <w:tc>
          <w:tcPr>
            <w:tcW w:w="2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0" w:type="dxa"/>
            <w:vAlign w:val="bottom"/>
            <w:gridSpan w:val="2"/>
          </w:tcPr>
          <w:p>
            <w:pPr>
              <w:jc w:val="center"/>
              <w:ind w:right="2854"/>
              <w:spacing w:after="0"/>
              <w:rPr>
                <w:sz w:val="20"/>
                <w:szCs w:val="20"/>
                <w:color w:val="auto"/>
              </w:rPr>
            </w:pPr>
            <w:r>
              <w:rPr>
                <w:rFonts w:ascii="Times New Roman" w:cs="Times New Roman" w:eastAsia="Times New Roman" w:hAnsi="Times New Roman"/>
                <w:sz w:val="14"/>
                <w:szCs w:val="14"/>
                <w:b w:val="1"/>
                <w:bCs w:val="1"/>
                <w:color w:val="auto"/>
                <w:w w:val="96"/>
              </w:rPr>
              <w:t>Washington, D.C. 20549</w:t>
            </w:r>
          </w:p>
        </w:tc>
      </w:tr>
      <w:tr>
        <w:trPr>
          <w:trHeight w:val="22"/>
        </w:trPr>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0"/>
        </w:trPr>
        <w:tc>
          <w:tcPr>
            <w:tcW w:w="2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0" w:type="dxa"/>
            <w:vAlign w:val="bottom"/>
            <w:gridSpan w:val="2"/>
          </w:tcPr>
          <w:p>
            <w:pPr>
              <w:jc w:val="center"/>
              <w:ind w:right="2854"/>
              <w:spacing w:after="0"/>
              <w:rPr>
                <w:sz w:val="20"/>
                <w:szCs w:val="20"/>
                <w:color w:val="auto"/>
              </w:rPr>
            </w:pPr>
            <w:r>
              <w:rPr>
                <w:rFonts w:ascii="Times New Roman" w:cs="Times New Roman" w:eastAsia="Times New Roman" w:hAnsi="Times New Roman"/>
                <w:sz w:val="14"/>
                <w:szCs w:val="14"/>
                <w:b w:val="1"/>
                <w:bCs w:val="1"/>
                <w:color w:val="auto"/>
                <w:w w:val="97"/>
              </w:rPr>
              <w:t>FORM S-3</w:t>
            </w:r>
          </w:p>
        </w:tc>
      </w:tr>
      <w:tr>
        <w:trPr>
          <w:trHeight w:val="164"/>
        </w:trPr>
        <w:tc>
          <w:tcPr>
            <w:tcW w:w="2640" w:type="dxa"/>
            <w:vAlign w:val="bottom"/>
          </w:tcPr>
          <w:p>
            <w:pPr>
              <w:spacing w:after="0"/>
              <w:rPr>
                <w:sz w:val="14"/>
                <w:szCs w:val="14"/>
                <w:color w:val="auto"/>
              </w:rPr>
            </w:pPr>
          </w:p>
        </w:tc>
        <w:tc>
          <w:tcPr>
            <w:tcW w:w="5380" w:type="dxa"/>
            <w:vAlign w:val="bottom"/>
            <w:gridSpan w:val="3"/>
          </w:tcPr>
          <w:p>
            <w:pPr>
              <w:jc w:val="center"/>
              <w:ind w:right="2274"/>
              <w:spacing w:after="0"/>
              <w:rPr>
                <w:sz w:val="20"/>
                <w:szCs w:val="20"/>
                <w:color w:val="auto"/>
              </w:rPr>
            </w:pPr>
            <w:r>
              <w:rPr>
                <w:rFonts w:ascii="Times New Roman" w:cs="Times New Roman" w:eastAsia="Times New Roman" w:hAnsi="Times New Roman"/>
                <w:sz w:val="14"/>
                <w:szCs w:val="14"/>
                <w:b w:val="1"/>
                <w:bCs w:val="1"/>
                <w:color w:val="auto"/>
                <w:w w:val="95"/>
              </w:rPr>
              <w:t>REGISTRATION STATEMENT</w:t>
            </w:r>
          </w:p>
        </w:tc>
      </w:tr>
      <w:tr>
        <w:trPr>
          <w:trHeight w:val="164"/>
        </w:trPr>
        <w:tc>
          <w:tcPr>
            <w:tcW w:w="2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gridSpan w:val="2"/>
          </w:tcPr>
          <w:p>
            <w:pPr>
              <w:jc w:val="center"/>
              <w:ind w:right="2854"/>
              <w:spacing w:after="0"/>
              <w:rPr>
                <w:sz w:val="20"/>
                <w:szCs w:val="20"/>
                <w:color w:val="auto"/>
              </w:rPr>
            </w:pPr>
            <w:r>
              <w:rPr>
                <w:rFonts w:ascii="Times New Roman" w:cs="Times New Roman" w:eastAsia="Times New Roman" w:hAnsi="Times New Roman"/>
                <w:sz w:val="14"/>
                <w:szCs w:val="14"/>
                <w:b w:val="1"/>
                <w:bCs w:val="1"/>
                <w:i w:val="1"/>
                <w:iCs w:val="1"/>
                <w:color w:val="auto"/>
                <w:w w:val="97"/>
              </w:rPr>
              <w:t>UNDER</w:t>
            </w:r>
          </w:p>
        </w:tc>
      </w:tr>
      <w:tr>
        <w:trPr>
          <w:trHeight w:val="180"/>
        </w:trPr>
        <w:tc>
          <w:tcPr>
            <w:tcW w:w="2640" w:type="dxa"/>
            <w:vAlign w:val="bottom"/>
          </w:tcPr>
          <w:p>
            <w:pPr>
              <w:spacing w:after="0"/>
              <w:rPr>
                <w:sz w:val="15"/>
                <w:szCs w:val="15"/>
                <w:color w:val="auto"/>
              </w:rPr>
            </w:pPr>
          </w:p>
        </w:tc>
        <w:tc>
          <w:tcPr>
            <w:tcW w:w="5380" w:type="dxa"/>
            <w:vAlign w:val="bottom"/>
            <w:gridSpan w:val="3"/>
          </w:tcPr>
          <w:p>
            <w:pPr>
              <w:jc w:val="center"/>
              <w:ind w:right="2274"/>
              <w:spacing w:after="0"/>
              <w:rPr>
                <w:sz w:val="20"/>
                <w:szCs w:val="20"/>
                <w:color w:val="auto"/>
              </w:rPr>
            </w:pPr>
            <w:r>
              <w:rPr>
                <w:rFonts w:ascii="Times New Roman" w:cs="Times New Roman" w:eastAsia="Times New Roman" w:hAnsi="Times New Roman"/>
                <w:sz w:val="14"/>
                <w:szCs w:val="14"/>
                <w:b w:val="1"/>
                <w:bCs w:val="1"/>
                <w:i w:val="1"/>
                <w:iCs w:val="1"/>
                <w:color w:val="auto"/>
                <w:w w:val="98"/>
              </w:rPr>
              <w:t>THE SECURITIES ACT OF 1933</w:t>
            </w:r>
          </w:p>
        </w:tc>
      </w:tr>
      <w:tr>
        <w:trPr>
          <w:trHeight w:val="22"/>
        </w:trPr>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374"/>
        </w:trPr>
        <w:tc>
          <w:tcPr>
            <w:tcW w:w="2640" w:type="dxa"/>
            <w:vAlign w:val="bottom"/>
          </w:tcPr>
          <w:p>
            <w:pPr>
              <w:spacing w:after="0"/>
              <w:rPr>
                <w:sz w:val="24"/>
                <w:szCs w:val="24"/>
                <w:color w:val="auto"/>
              </w:rPr>
            </w:pPr>
          </w:p>
        </w:tc>
        <w:tc>
          <w:tcPr>
            <w:tcW w:w="5380" w:type="dxa"/>
            <w:vAlign w:val="bottom"/>
            <w:gridSpan w:val="3"/>
          </w:tcPr>
          <w:p>
            <w:pPr>
              <w:jc w:val="center"/>
              <w:ind w:right="2254"/>
              <w:spacing w:after="0"/>
              <w:rPr>
                <w:sz w:val="20"/>
                <w:szCs w:val="20"/>
                <w:color w:val="auto"/>
              </w:rPr>
            </w:pPr>
            <w:r>
              <w:rPr>
                <w:rFonts w:ascii="Times New Roman" w:cs="Times New Roman" w:eastAsia="Times New Roman" w:hAnsi="Times New Roman"/>
                <w:sz w:val="25"/>
                <w:szCs w:val="25"/>
                <w:b w:val="1"/>
                <w:bCs w:val="1"/>
                <w:color w:val="auto"/>
                <w:w w:val="98"/>
              </w:rPr>
              <w:t>Blaize Holdings, Inc.</w:t>
            </w:r>
          </w:p>
        </w:tc>
      </w:tr>
      <w:tr>
        <w:trPr>
          <w:trHeight w:val="180"/>
        </w:trPr>
        <w:tc>
          <w:tcPr>
            <w:tcW w:w="2640" w:type="dxa"/>
            <w:vAlign w:val="bottom"/>
          </w:tcPr>
          <w:p>
            <w:pPr>
              <w:spacing w:after="0"/>
              <w:rPr>
                <w:sz w:val="15"/>
                <w:szCs w:val="15"/>
                <w:color w:val="auto"/>
              </w:rPr>
            </w:pPr>
          </w:p>
        </w:tc>
        <w:tc>
          <w:tcPr>
            <w:tcW w:w="5380" w:type="dxa"/>
            <w:vAlign w:val="bottom"/>
            <w:gridSpan w:val="3"/>
          </w:tcPr>
          <w:p>
            <w:pPr>
              <w:jc w:val="center"/>
              <w:ind w:right="2254"/>
              <w:spacing w:after="0"/>
              <w:rPr>
                <w:sz w:val="20"/>
                <w:szCs w:val="20"/>
                <w:color w:val="auto"/>
              </w:rPr>
            </w:pPr>
            <w:r>
              <w:rPr>
                <w:rFonts w:ascii="Times New Roman" w:cs="Times New Roman" w:eastAsia="Times New Roman" w:hAnsi="Times New Roman"/>
                <w:sz w:val="14"/>
                <w:szCs w:val="14"/>
                <w:b w:val="1"/>
                <w:bCs w:val="1"/>
                <w:color w:val="auto"/>
                <w:w w:val="97"/>
              </w:rPr>
              <w:t>(Exact name of registrant as specified in its charter)</w:t>
            </w:r>
          </w:p>
        </w:tc>
      </w:tr>
      <w:tr>
        <w:trPr>
          <w:trHeight w:val="22"/>
        </w:trPr>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38"/>
        </w:trPr>
        <w:tc>
          <w:tcPr>
            <w:tcW w:w="2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5380" w:type="dxa"/>
            <w:vAlign w:val="bottom"/>
            <w:gridSpan w:val="3"/>
          </w:tcPr>
          <w:p>
            <w:pPr>
              <w:jc w:val="center"/>
              <w:ind w:left="3188"/>
              <w:spacing w:after="0"/>
              <w:rPr>
                <w:sz w:val="20"/>
                <w:szCs w:val="20"/>
                <w:color w:val="auto"/>
              </w:rPr>
            </w:pPr>
            <w:r>
              <w:rPr>
                <w:rFonts w:ascii="Times New Roman" w:cs="Times New Roman" w:eastAsia="Times New Roman" w:hAnsi="Times New Roman"/>
                <w:sz w:val="11"/>
                <w:szCs w:val="11"/>
                <w:b w:val="1"/>
                <w:bCs w:val="1"/>
                <w:color w:val="auto"/>
                <w:w w:val="97"/>
              </w:rPr>
              <w:t>86-2708752</w:t>
            </w:r>
          </w:p>
        </w:tc>
      </w:tr>
      <w:tr>
        <w:trPr>
          <w:trHeight w:val="195"/>
        </w:trPr>
        <w:tc>
          <w:tcPr>
            <w:tcW w:w="2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(State or other jurisdiction of incorporation or organization)</w:t>
            </w:r>
          </w:p>
        </w:tc>
        <w:tc>
          <w:tcPr>
            <w:tcW w:w="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920" w:type="dxa"/>
            <w:vAlign w:val="bottom"/>
          </w:tcPr>
          <w:p>
            <w:pPr>
              <w:jc w:val="center"/>
              <w:ind w:left="714"/>
              <w:spacing w:after="0"/>
              <w:rPr>
                <w:sz w:val="20"/>
                <w:szCs w:val="20"/>
                <w:color w:val="auto"/>
              </w:rPr>
            </w:pPr>
            <w:r>
              <w:rPr>
                <w:rFonts w:ascii="Times New Roman" w:cs="Times New Roman" w:eastAsia="Times New Roman" w:hAnsi="Times New Roman"/>
                <w:sz w:val="11"/>
                <w:szCs w:val="11"/>
                <w:color w:val="auto"/>
                <w:w w:val="99"/>
              </w:rPr>
              <w:t>(I.R.S. Employer Identification Number)</w:t>
            </w:r>
          </w:p>
        </w:tc>
      </w:tr>
      <w:tr>
        <w:trPr>
          <w:trHeight w:val="238"/>
        </w:trPr>
        <w:tc>
          <w:tcPr>
            <w:tcW w:w="2640" w:type="dxa"/>
            <w:vAlign w:val="bottom"/>
          </w:tcPr>
          <w:p>
            <w:pPr>
              <w:spacing w:after="0"/>
              <w:rPr>
                <w:sz w:val="20"/>
                <w:szCs w:val="20"/>
                <w:color w:val="auto"/>
              </w:rPr>
            </w:pPr>
          </w:p>
        </w:tc>
        <w:tc>
          <w:tcPr>
            <w:tcW w:w="5380" w:type="dxa"/>
            <w:vAlign w:val="bottom"/>
            <w:gridSpan w:val="3"/>
          </w:tcPr>
          <w:p>
            <w:pPr>
              <w:jc w:val="center"/>
              <w:ind w:right="2254"/>
              <w:spacing w:after="0"/>
              <w:rPr>
                <w:sz w:val="20"/>
                <w:szCs w:val="20"/>
                <w:color w:val="auto"/>
              </w:rPr>
            </w:pPr>
            <w:r>
              <w:rPr>
                <w:rFonts w:ascii="Times New Roman" w:cs="Times New Roman" w:eastAsia="Times New Roman" w:hAnsi="Times New Roman"/>
                <w:sz w:val="14"/>
                <w:szCs w:val="14"/>
                <w:b w:val="1"/>
                <w:bCs w:val="1"/>
                <w:color w:val="auto"/>
                <w:w w:val="97"/>
              </w:rPr>
              <w:t>4659 Golden Foothill Parkway, Suite 206</w:t>
            </w:r>
          </w:p>
        </w:tc>
      </w:tr>
      <w:tr>
        <w:trPr>
          <w:trHeight w:val="164"/>
        </w:trPr>
        <w:tc>
          <w:tcPr>
            <w:tcW w:w="2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gridSpan w:val="2"/>
          </w:tcPr>
          <w:p>
            <w:pPr>
              <w:jc w:val="center"/>
              <w:ind w:right="2854"/>
              <w:spacing w:after="0"/>
              <w:rPr>
                <w:sz w:val="20"/>
                <w:szCs w:val="20"/>
                <w:color w:val="auto"/>
              </w:rPr>
            </w:pPr>
            <w:r>
              <w:rPr>
                <w:rFonts w:ascii="Times New Roman" w:cs="Times New Roman" w:eastAsia="Times New Roman" w:hAnsi="Times New Roman"/>
                <w:sz w:val="14"/>
                <w:szCs w:val="14"/>
                <w:b w:val="1"/>
                <w:bCs w:val="1"/>
                <w:color w:val="auto"/>
                <w:w w:val="98"/>
              </w:rPr>
              <w:t>El Dorado Hills, CA 95762</w:t>
            </w:r>
          </w:p>
        </w:tc>
      </w:tr>
      <w:tr>
        <w:trPr>
          <w:trHeight w:val="164"/>
        </w:trPr>
        <w:tc>
          <w:tcPr>
            <w:tcW w:w="2640" w:type="dxa"/>
            <w:vAlign w:val="bottom"/>
          </w:tcPr>
          <w:p>
            <w:pPr>
              <w:spacing w:after="0"/>
              <w:rPr>
                <w:sz w:val="14"/>
                <w:szCs w:val="14"/>
                <w:color w:val="auto"/>
              </w:rPr>
            </w:pPr>
          </w:p>
        </w:tc>
        <w:tc>
          <w:tcPr>
            <w:tcW w:w="2460" w:type="dxa"/>
            <w:vAlign w:val="bottom"/>
            <w:gridSpan w:val="2"/>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w w:val="98"/>
              </w:rPr>
              <w:t>(916) 347-0050</w:t>
            </w:r>
          </w:p>
        </w:tc>
        <w:tc>
          <w:tcPr>
            <w:tcW w:w="2920" w:type="dxa"/>
            <w:vAlign w:val="bottom"/>
          </w:tcPr>
          <w:p>
            <w:pPr>
              <w:spacing w:after="0"/>
              <w:rPr>
                <w:sz w:val="14"/>
                <w:szCs w:val="14"/>
                <w:color w:val="auto"/>
              </w:rPr>
            </w:pPr>
          </w:p>
        </w:tc>
      </w:tr>
      <w:tr>
        <w:trPr>
          <w:trHeight w:val="180"/>
        </w:trPr>
        <w:tc>
          <w:tcPr>
            <w:tcW w:w="8020" w:type="dxa"/>
            <w:vAlign w:val="bottom"/>
            <w:gridSpan w:val="4"/>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7"/>
              </w:rPr>
              <w:t>(Address, including zip code, and telephone number, including area code, of registrant’s principal executive offices)</w:t>
            </w:r>
          </w:p>
        </w:tc>
      </w:tr>
      <w:tr>
        <w:trPr>
          <w:trHeight w:val="22"/>
        </w:trPr>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40"/>
        </w:trPr>
        <w:tc>
          <w:tcPr>
            <w:tcW w:w="2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0" w:type="dxa"/>
            <w:vAlign w:val="bottom"/>
            <w:gridSpan w:val="2"/>
          </w:tcPr>
          <w:p>
            <w:pPr>
              <w:jc w:val="center"/>
              <w:ind w:right="2834"/>
              <w:spacing w:after="0"/>
              <w:rPr>
                <w:sz w:val="20"/>
                <w:szCs w:val="20"/>
                <w:color w:val="auto"/>
              </w:rPr>
            </w:pPr>
            <w:r>
              <w:rPr>
                <w:rFonts w:ascii="Times New Roman" w:cs="Times New Roman" w:eastAsia="Times New Roman" w:hAnsi="Times New Roman"/>
                <w:sz w:val="14"/>
                <w:szCs w:val="14"/>
                <w:b w:val="1"/>
                <w:bCs w:val="1"/>
                <w:color w:val="auto"/>
                <w:w w:val="97"/>
              </w:rPr>
              <w:t>Harminder Sehmi</w:t>
            </w:r>
          </w:p>
        </w:tc>
      </w:tr>
      <w:tr>
        <w:trPr>
          <w:trHeight w:val="164"/>
        </w:trPr>
        <w:tc>
          <w:tcPr>
            <w:tcW w:w="2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0" w:type="dxa"/>
            <w:vAlign w:val="bottom"/>
            <w:gridSpan w:val="2"/>
          </w:tcPr>
          <w:p>
            <w:pPr>
              <w:jc w:val="center"/>
              <w:ind w:right="2854"/>
              <w:spacing w:after="0"/>
              <w:rPr>
                <w:sz w:val="20"/>
                <w:szCs w:val="20"/>
                <w:color w:val="auto"/>
              </w:rPr>
            </w:pPr>
            <w:r>
              <w:rPr>
                <w:rFonts w:ascii="Times New Roman" w:cs="Times New Roman" w:eastAsia="Times New Roman" w:hAnsi="Times New Roman"/>
                <w:sz w:val="14"/>
                <w:szCs w:val="14"/>
                <w:b w:val="1"/>
                <w:bCs w:val="1"/>
                <w:color w:val="auto"/>
                <w:w w:val="98"/>
              </w:rPr>
              <w:t>Chief Financial Officer</w:t>
            </w:r>
          </w:p>
        </w:tc>
      </w:tr>
      <w:tr>
        <w:trPr>
          <w:trHeight w:val="164"/>
        </w:trPr>
        <w:tc>
          <w:tcPr>
            <w:tcW w:w="2640" w:type="dxa"/>
            <w:vAlign w:val="bottom"/>
          </w:tcPr>
          <w:p>
            <w:pPr>
              <w:spacing w:after="0"/>
              <w:rPr>
                <w:sz w:val="14"/>
                <w:szCs w:val="14"/>
                <w:color w:val="auto"/>
              </w:rPr>
            </w:pPr>
          </w:p>
        </w:tc>
        <w:tc>
          <w:tcPr>
            <w:tcW w:w="5380" w:type="dxa"/>
            <w:vAlign w:val="bottom"/>
            <w:gridSpan w:val="3"/>
          </w:tcPr>
          <w:p>
            <w:pPr>
              <w:jc w:val="center"/>
              <w:ind w:right="2254"/>
              <w:spacing w:after="0"/>
              <w:rPr>
                <w:sz w:val="20"/>
                <w:szCs w:val="20"/>
                <w:color w:val="auto"/>
              </w:rPr>
            </w:pPr>
            <w:r>
              <w:rPr>
                <w:rFonts w:ascii="Times New Roman" w:cs="Times New Roman" w:eastAsia="Times New Roman" w:hAnsi="Times New Roman"/>
                <w:sz w:val="14"/>
                <w:szCs w:val="14"/>
                <w:b w:val="1"/>
                <w:bCs w:val="1"/>
                <w:color w:val="auto"/>
                <w:w w:val="97"/>
              </w:rPr>
              <w:t>4659 Golden Foothill Parkway, Suite 206</w:t>
            </w:r>
          </w:p>
        </w:tc>
      </w:tr>
      <w:tr>
        <w:trPr>
          <w:trHeight w:val="164"/>
        </w:trPr>
        <w:tc>
          <w:tcPr>
            <w:tcW w:w="2640" w:type="dxa"/>
            <w:vAlign w:val="bottom"/>
          </w:tcPr>
          <w:p>
            <w:pPr>
              <w:spacing w:after="0"/>
              <w:rPr>
                <w:sz w:val="14"/>
                <w:szCs w:val="14"/>
                <w:color w:val="auto"/>
              </w:rPr>
            </w:pPr>
          </w:p>
        </w:tc>
        <w:tc>
          <w:tcPr>
            <w:tcW w:w="5380" w:type="dxa"/>
            <w:vAlign w:val="bottom"/>
            <w:gridSpan w:val="3"/>
          </w:tcPr>
          <w:p>
            <w:pPr>
              <w:jc w:val="center"/>
              <w:ind w:right="2274"/>
              <w:spacing w:after="0"/>
              <w:rPr>
                <w:sz w:val="20"/>
                <w:szCs w:val="20"/>
                <w:color w:val="auto"/>
              </w:rPr>
            </w:pPr>
            <w:r>
              <w:rPr>
                <w:rFonts w:ascii="Times New Roman" w:cs="Times New Roman" w:eastAsia="Times New Roman" w:hAnsi="Times New Roman"/>
                <w:sz w:val="14"/>
                <w:szCs w:val="14"/>
                <w:b w:val="1"/>
                <w:bCs w:val="1"/>
                <w:color w:val="auto"/>
                <w:w w:val="97"/>
              </w:rPr>
              <w:t>El Dorado Hills, CA 95762 (916) 347-0050</w:t>
            </w:r>
          </w:p>
        </w:tc>
      </w:tr>
      <w:tr>
        <w:trPr>
          <w:trHeight w:val="180"/>
        </w:trPr>
        <w:tc>
          <w:tcPr>
            <w:tcW w:w="8020" w:type="dxa"/>
            <w:vAlign w:val="bottom"/>
            <w:gridSpan w:val="4"/>
          </w:tcPr>
          <w:p>
            <w:pPr>
              <w:jc w:val="center"/>
              <w:ind w:left="255"/>
              <w:spacing w:after="0"/>
              <w:rPr>
                <w:sz w:val="20"/>
                <w:szCs w:val="20"/>
                <w:color w:val="auto"/>
              </w:rPr>
            </w:pPr>
            <w:r>
              <w:rPr>
                <w:rFonts w:ascii="Times New Roman" w:cs="Times New Roman" w:eastAsia="Times New Roman" w:hAnsi="Times New Roman"/>
                <w:sz w:val="14"/>
                <w:szCs w:val="14"/>
                <w:b w:val="1"/>
                <w:bCs w:val="1"/>
                <w:color w:val="auto"/>
                <w:w w:val="97"/>
              </w:rPr>
              <w:t>(Name, address, including zip code, and telephone number, including area code, of agent for service)</w:t>
            </w:r>
          </w:p>
        </w:tc>
      </w:tr>
      <w:tr>
        <w:trPr>
          <w:trHeight w:val="22"/>
        </w:trPr>
        <w:tc>
          <w:tcPr>
            <w:tcW w:w="2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46"/>
        </w:trPr>
        <w:tc>
          <w:tcPr>
            <w:tcW w:w="26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0" w:type="dxa"/>
            <w:vAlign w:val="bottom"/>
            <w:gridSpan w:val="2"/>
          </w:tcPr>
          <w:p>
            <w:pPr>
              <w:jc w:val="center"/>
              <w:ind w:right="2854"/>
              <w:spacing w:after="0"/>
              <w:rPr>
                <w:sz w:val="20"/>
                <w:szCs w:val="20"/>
                <w:color w:val="auto"/>
              </w:rPr>
            </w:pPr>
            <w:r>
              <w:rPr>
                <w:rFonts w:ascii="Times New Roman" w:cs="Times New Roman" w:eastAsia="Times New Roman" w:hAnsi="Times New Roman"/>
                <w:sz w:val="14"/>
                <w:szCs w:val="14"/>
                <w:b w:val="1"/>
                <w:bCs w:val="1"/>
                <w:i w:val="1"/>
                <w:iCs w:val="1"/>
                <w:color w:val="auto"/>
                <w:w w:val="96"/>
              </w:rPr>
              <w:t>Copies to:</w:t>
            </w:r>
          </w:p>
        </w:tc>
      </w:tr>
      <w:tr>
        <w:trPr>
          <w:trHeight w:val="159"/>
        </w:trPr>
        <w:tc>
          <w:tcPr>
            <w:tcW w:w="26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Kim Evans</w:t>
            </w:r>
          </w:p>
        </w:tc>
        <w:tc>
          <w:tcPr>
            <w:tcW w:w="5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920" w:type="dxa"/>
            <w:vAlign w:val="bottom"/>
          </w:tcPr>
          <w:p>
            <w:pPr>
              <w:jc w:val="center"/>
              <w:ind w:left="734"/>
              <w:spacing w:after="0" w:line="159" w:lineRule="exact"/>
              <w:rPr>
                <w:sz w:val="20"/>
                <w:szCs w:val="20"/>
                <w:color w:val="auto"/>
              </w:rPr>
            </w:pPr>
            <w:r>
              <w:rPr>
                <w:rFonts w:ascii="Times New Roman" w:cs="Times New Roman" w:eastAsia="Times New Roman" w:hAnsi="Times New Roman"/>
                <w:sz w:val="14"/>
                <w:szCs w:val="14"/>
                <w:b w:val="1"/>
                <w:bCs w:val="1"/>
                <w:color w:val="auto"/>
                <w:w w:val="97"/>
              </w:rPr>
              <w:t>Jonathan Zimmerman</w:t>
            </w:r>
          </w:p>
        </w:tc>
      </w:tr>
      <w:tr>
        <w:trPr>
          <w:trHeight w:val="140"/>
        </w:trPr>
        <w:tc>
          <w:tcPr>
            <w:tcW w:w="264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b w:val="1"/>
                <w:bCs w:val="1"/>
                <w:color w:val="auto"/>
                <w:w w:val="98"/>
              </w:rPr>
              <w:t>General Counsel</w:t>
            </w:r>
          </w:p>
        </w:tc>
        <w:tc>
          <w:tcPr>
            <w:tcW w:w="5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920" w:type="dxa"/>
            <w:vAlign w:val="bottom"/>
          </w:tcPr>
          <w:p>
            <w:pPr>
              <w:jc w:val="center"/>
              <w:ind w:left="714"/>
              <w:spacing w:after="0" w:line="140" w:lineRule="exact"/>
              <w:rPr>
                <w:sz w:val="20"/>
                <w:szCs w:val="20"/>
                <w:color w:val="auto"/>
              </w:rPr>
            </w:pPr>
            <w:r>
              <w:rPr>
                <w:rFonts w:ascii="Times New Roman" w:cs="Times New Roman" w:eastAsia="Times New Roman" w:hAnsi="Times New Roman"/>
                <w:sz w:val="14"/>
                <w:szCs w:val="14"/>
                <w:b w:val="1"/>
                <w:bCs w:val="1"/>
                <w:color w:val="auto"/>
                <w:w w:val="98"/>
              </w:rPr>
              <w:t>Charles Lange</w:t>
            </w:r>
          </w:p>
        </w:tc>
      </w:tr>
      <w:tr>
        <w:trPr>
          <w:trHeight w:val="133"/>
        </w:trPr>
        <w:tc>
          <w:tcPr>
            <w:tcW w:w="26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Blaize Holdings, Inc.</w:t>
            </w:r>
          </w:p>
        </w:tc>
        <w:tc>
          <w:tcPr>
            <w:tcW w:w="5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920" w:type="dxa"/>
            <w:vAlign w:val="bottom"/>
          </w:tcPr>
          <w:p>
            <w:pPr>
              <w:jc w:val="center"/>
              <w:ind w:left="714"/>
              <w:spacing w:after="0" w:line="133" w:lineRule="exact"/>
              <w:rPr>
                <w:sz w:val="20"/>
                <w:szCs w:val="20"/>
                <w:color w:val="auto"/>
              </w:rPr>
            </w:pPr>
            <w:r>
              <w:rPr>
                <w:rFonts w:ascii="Times New Roman" w:cs="Times New Roman" w:eastAsia="Times New Roman" w:hAnsi="Times New Roman"/>
                <w:sz w:val="14"/>
                <w:szCs w:val="14"/>
                <w:b w:val="1"/>
                <w:bCs w:val="1"/>
                <w:color w:val="auto"/>
                <w:w w:val="97"/>
              </w:rPr>
              <w:t>Faegre Drinker Biddle &amp; Reath LLP</w:t>
            </w:r>
          </w:p>
        </w:tc>
      </w:tr>
      <w:tr>
        <w:trPr>
          <w:trHeight w:val="137"/>
        </w:trPr>
        <w:tc>
          <w:tcPr>
            <w:tcW w:w="26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7"/>
              </w:rPr>
              <w:t>4659 Golden Foothill Parkway, Suite 206</w:t>
            </w:r>
          </w:p>
        </w:tc>
        <w:tc>
          <w:tcPr>
            <w:tcW w:w="5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920" w:type="dxa"/>
            <w:vAlign w:val="bottom"/>
          </w:tcPr>
          <w:p>
            <w:pPr>
              <w:jc w:val="center"/>
              <w:ind w:left="714"/>
              <w:spacing w:after="0" w:line="137" w:lineRule="exact"/>
              <w:rPr>
                <w:sz w:val="20"/>
                <w:szCs w:val="20"/>
                <w:color w:val="auto"/>
              </w:rPr>
            </w:pPr>
            <w:r>
              <w:rPr>
                <w:rFonts w:ascii="Times New Roman" w:cs="Times New Roman" w:eastAsia="Times New Roman" w:hAnsi="Times New Roman"/>
                <w:sz w:val="14"/>
                <w:szCs w:val="14"/>
                <w:b w:val="1"/>
                <w:bCs w:val="1"/>
                <w:color w:val="auto"/>
                <w:w w:val="97"/>
              </w:rPr>
              <w:t>90 S 7th St Suite 2200</w:t>
            </w:r>
          </w:p>
        </w:tc>
      </w:tr>
      <w:tr>
        <w:trPr>
          <w:trHeight w:val="180"/>
        </w:trPr>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El Dorado Hills, CA 95762</w:t>
            </w:r>
          </w:p>
        </w:tc>
        <w:tc>
          <w:tcPr>
            <w:tcW w:w="5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920" w:type="dxa"/>
            <w:vAlign w:val="bottom"/>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w w:val="98"/>
              </w:rPr>
              <w:t>Minneapolis, MN 55402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59055</wp:posOffset>
            </wp:positionV>
            <wp:extent cx="11982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8245" cy="6350"/>
                    </a:xfrm>
                    <a:prstGeom prst="rect">
                      <a:avLst/>
                    </a:prstGeom>
                    <a:noFill/>
                  </pic:spPr>
                </pic:pic>
              </a:graphicData>
            </a:graphic>
          </wp:anchor>
        </w:drawing>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of the securities to the public: </w:t>
      </w:r>
      <w:r>
        <w:rPr>
          <w:rFonts w:ascii="Times New Roman" w:cs="Times New Roman" w:eastAsia="Times New Roman" w:hAnsi="Times New Roman"/>
          <w:sz w:val="14"/>
          <w:szCs w:val="14"/>
          <w:color w:val="auto"/>
        </w:rPr>
        <w:t>From time to time after the effective date of this Registration Statement.</w:t>
      </w:r>
    </w:p>
    <w:p>
      <w:pPr>
        <w:spacing w:after="0" w:line="1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74" w:lineRule="exact"/>
        <w:rPr>
          <w:sz w:val="24"/>
          <w:szCs w:val="24"/>
          <w:color w:val="auto"/>
        </w:rPr>
      </w:pPr>
    </w:p>
    <w:p>
      <w:pPr>
        <w:ind w:right="20"/>
        <w:spacing w:after="0" w:line="18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8" w:lineRule="exact"/>
        <w:rPr>
          <w:sz w:val="24"/>
          <w:szCs w:val="24"/>
          <w:color w:val="auto"/>
        </w:rPr>
      </w:pPr>
    </w:p>
    <w:p>
      <w:pPr>
        <w:ind w:right="60"/>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8" w:lineRule="exact"/>
        <w:rPr>
          <w:sz w:val="24"/>
          <w:szCs w:val="24"/>
          <w:color w:val="auto"/>
        </w:rPr>
      </w:pPr>
    </w:p>
    <w:p>
      <w:pPr>
        <w:ind w:right="200"/>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8" w:lineRule="exact"/>
        <w:rPr>
          <w:sz w:val="24"/>
          <w:szCs w:val="24"/>
          <w:color w:val="auto"/>
        </w:rPr>
      </w:pPr>
    </w:p>
    <w:p>
      <w:pPr>
        <w:ind w:right="100"/>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filed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8" w:lineRule="exact"/>
        <w:rPr>
          <w:sz w:val="24"/>
          <w:szCs w:val="24"/>
          <w:color w:val="auto"/>
        </w:rPr>
      </w:pPr>
    </w:p>
    <w:p>
      <w:pPr>
        <w:spacing w:after="0" w:line="181"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8"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p>
      <w:pPr>
        <w:ind w:left="20"/>
        <w:spacing w:after="0" w:line="127" w:lineRule="exact"/>
        <w:tabs>
          <w:tab w:leader="none" w:pos="1980" w:val="left"/>
          <w:tab w:leader="none" w:pos="4180" w:val="left"/>
          <w:tab w:leader="none" w:pos="6420" w:val="left"/>
          <w:tab w:leader="none" w:pos="6660" w:val="left"/>
          <w:tab w:leader="none" w:pos="8720" w:val="left"/>
          <w:tab w:leader="none" w:pos="8960" w:val="left"/>
          <w:tab w:leader="none" w:pos="11000" w:val="left"/>
        </w:tabs>
        <w:rPr>
          <w:sz w:val="20"/>
          <w:szCs w:val="20"/>
          <w:color w:val="auto"/>
        </w:rPr>
      </w:pPr>
      <w:r>
        <w:rPr>
          <w:rFonts w:ascii="Times New Roman" w:cs="Times New Roman" w:eastAsia="Times New Roman" w:hAnsi="Times New Roman"/>
          <w:sz w:val="11"/>
          <w:szCs w:val="11"/>
          <w:color w:val="auto"/>
        </w:rPr>
        <w:t>Large accelerated filer</w:t>
      </w:r>
      <w:r>
        <w:rPr>
          <w:sz w:val="20"/>
          <w:szCs w:val="20"/>
          <w:color w:val="auto"/>
        </w:rPr>
        <w:tab/>
      </w:r>
      <w:r>
        <w:rPr>
          <w:rFonts w:ascii="MS PGothic" w:cs="MS PGothic" w:eastAsia="MS PGothic" w:hAnsi="MS PGothic"/>
          <w:sz w:val="11"/>
          <w:szCs w:val="11"/>
          <w:color w:val="auto"/>
        </w:rPr>
        <w:t xml:space="preserve">☐ </w:t>
      </w:r>
      <w:r>
        <w:rPr>
          <w:rFonts w:ascii="Times New Roman" w:cs="Times New Roman" w:eastAsia="Times New Roman" w:hAnsi="Times New Roman"/>
          <w:sz w:val="11"/>
          <w:szCs w:val="11"/>
          <w:color w:val="auto"/>
        </w:rPr>
        <w:t>Accelerated filer</w:t>
      </w:r>
      <w:r>
        <w:rPr>
          <w:sz w:val="20"/>
          <w:szCs w:val="20"/>
          <w:color w:val="auto"/>
        </w:rPr>
        <w:tab/>
      </w:r>
      <w:r>
        <w:rPr>
          <w:rFonts w:ascii="MS PGothic" w:cs="MS PGothic" w:eastAsia="MS PGothic" w:hAnsi="MS PGothic"/>
          <w:sz w:val="11"/>
          <w:szCs w:val="11"/>
          <w:color w:val="auto"/>
        </w:rPr>
        <w:t xml:space="preserve">☐ </w:t>
      </w:r>
      <w:r>
        <w:rPr>
          <w:rFonts w:ascii="Times New Roman" w:cs="Times New Roman" w:eastAsia="Times New Roman" w:hAnsi="Times New Roman"/>
          <w:sz w:val="11"/>
          <w:szCs w:val="11"/>
          <w:color w:val="auto"/>
        </w:rPr>
        <w:t>Non-accelerated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Smaller reporting company</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48" w:lineRule="exact"/>
        <w:rPr>
          <w:sz w:val="24"/>
          <w:szCs w:val="24"/>
          <w:color w:val="auto"/>
        </w:rPr>
      </w:pPr>
    </w:p>
    <w:p>
      <w:pPr>
        <w:ind w:right="40"/>
        <w:spacing w:after="0" w:line="18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2984500</wp:posOffset>
            </wp:positionH>
            <wp:positionV relativeFrom="paragraph">
              <wp:posOffset>26670</wp:posOffset>
            </wp:positionV>
            <wp:extent cx="11982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8245" cy="6350"/>
                    </a:xfrm>
                    <a:prstGeom prst="rect">
                      <a:avLst/>
                    </a:prstGeom>
                    <a:noFill/>
                  </pic:spPr>
                </pic:pic>
              </a:graphicData>
            </a:graphic>
          </wp:anchor>
        </w:drawing>
      </w:r>
    </w:p>
    <w:p>
      <w:pPr>
        <w:spacing w:after="0" w:line="159"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13295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63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65405</wp:posOffset>
            </wp:positionV>
            <wp:extent cx="713295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6350"/>
                    </a:xfrm>
                    <a:prstGeom prst="rect">
                      <a:avLst/>
                    </a:prstGeom>
                    <a:noFill/>
                  </pic:spPr>
                </pic:pic>
              </a:graphicData>
            </a:graphic>
          </wp:anchor>
        </w:drawing>
      </w:r>
    </w:p>
    <w:p>
      <w:pPr>
        <w:sectPr>
          <w:pgSz w:w="11900" w:h="16838" w:orient="portrait"/>
          <w:cols w:equalWidth="0" w:num="1">
            <w:col w:w="11240"/>
          </w:cols>
          <w:pgMar w:left="300" w:top="513" w:right="359" w:bottom="1440" w:gutter="0" w:footer="0" w:header="0"/>
        </w:sectPr>
      </w:pPr>
    </w:p>
    <w:bookmarkStart w:id="1" w:name="page2"/>
    <w:bookmarkEnd w:id="1"/>
    <w:p>
      <w:pPr>
        <w:ind w:right="160"/>
        <w:spacing w:after="0" w:line="312" w:lineRule="auto"/>
        <w:rPr>
          <w:sz w:val="20"/>
          <w:szCs w:val="20"/>
          <w:color w:val="auto"/>
        </w:rPr>
      </w:pPr>
      <w:r>
        <w:rPr>
          <w:rFonts w:ascii="Times New Roman" w:cs="Times New Roman" w:eastAsia="Times New Roman" w:hAnsi="Times New Roman"/>
          <w:sz w:val="13"/>
          <w:szCs w:val="13"/>
          <w:b w:val="1"/>
          <w:bCs w:val="1"/>
          <w:color w:val="DE1A1E"/>
        </w:rPr>
        <w:t>The information in this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DE1A1E"/>
        </w:rPr>
        <w:t>Subject to Completion, date</w:t>
      </w:r>
      <w:r>
        <w:rPr>
          <w:rFonts w:ascii="Times New Roman" w:cs="Times New Roman" w:eastAsia="Times New Roman" w:hAnsi="Times New Roman"/>
          <w:sz w:val="14"/>
          <w:szCs w:val="14"/>
          <w:b w:val="1"/>
          <w:bCs w:val="1"/>
          <w:color w:val="EE2724"/>
        </w:rPr>
        <w:t>d</w:t>
      </w:r>
      <w:r>
        <w:rPr>
          <w:rFonts w:ascii="Times New Roman" w:cs="Times New Roman" w:eastAsia="Times New Roman" w:hAnsi="Times New Roman"/>
          <w:sz w:val="14"/>
          <w:szCs w:val="14"/>
          <w:b w:val="1"/>
          <w:bCs w:val="1"/>
          <w:color w:val="DE1A1E"/>
        </w:rPr>
        <w:t xml:space="preserve"> January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208280</wp:posOffset>
            </wp:positionV>
            <wp:extent cx="1367790" cy="462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7790" cy="46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Blaize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$250,000,000</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Stock Purchase Contracts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Rights</w:t>
      </w:r>
    </w:p>
    <w:p>
      <w:pPr>
        <w:spacing w:after="0" w:line="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19685</wp:posOffset>
            </wp:positionV>
            <wp:extent cx="132207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2070" cy="6350"/>
                    </a:xfrm>
                    <a:prstGeom prst="rect">
                      <a:avLst/>
                    </a:prstGeom>
                    <a:noFill/>
                  </pic:spPr>
                </pic:pic>
              </a:graphicData>
            </a:graphic>
          </wp:anchor>
        </w:drawing>
      </w:r>
    </w:p>
    <w:p>
      <w:pPr>
        <w:spacing w:after="0" w:line="152"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4"/>
          <w:szCs w:val="14"/>
          <w:color w:val="auto"/>
        </w:rPr>
        <w:t>We may offer and sell up to $250,000,000 in the aggregate of the securities identified above from time to time in one or more offerings. This prospectus provides you with a general description of the securities and the general manner in which these securities will be offered.</w:t>
      </w:r>
    </w:p>
    <w:p>
      <w:pPr>
        <w:spacing w:after="0" w:line="95"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4"/>
          <w:szCs w:val="14"/>
          <w:color w:val="auto"/>
        </w:rPr>
        <w:t>Each time we offer and sell securities, we will provide a supplement to this prospectus that contains specific information about the offering and the amounts, prices and terms of the securities. The prospectus supplement will also describe the specific manner in which these securities will be offered and may also add, update or change information contained in this prospectus with respect to that offering. You should carefully read this prospectus and the applicable prospectus supplement before you invest in any of our securities.</w:t>
      </w:r>
    </w:p>
    <w:p>
      <w:pPr>
        <w:spacing w:after="0" w:line="10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01" w:lineRule="exact"/>
        <w:rPr>
          <w:sz w:val="20"/>
          <w:szCs w:val="20"/>
          <w:color w:val="auto"/>
        </w:rPr>
      </w:pPr>
    </w:p>
    <w:p>
      <w:pPr>
        <w:ind w:right="500"/>
        <w:spacing w:after="0" w:line="272"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SEE THE “</w:t>
      </w:r>
      <w:r>
        <w:rPr>
          <w:rFonts w:ascii="Times New Roman" w:cs="Times New Roman" w:eastAsia="Times New Roman" w:hAnsi="Times New Roman"/>
          <w:sz w:val="14"/>
          <w:szCs w:val="14"/>
          <w:b w:val="1"/>
          <w:bCs w:val="1"/>
          <w:u w:val="single" w:color="auto"/>
          <w:color w:val="0000FF"/>
        </w:rPr>
        <w:t>RISK FACTORS</w:t>
      </w:r>
      <w:r>
        <w:rPr>
          <w:rFonts w:ascii="Times New Roman" w:cs="Times New Roman" w:eastAsia="Times New Roman" w:hAnsi="Times New Roman"/>
          <w:sz w:val="14"/>
          <w:szCs w:val="14"/>
          <w:b w:val="1"/>
          <w:bCs w:val="1"/>
          <w:color w:val="auto"/>
        </w:rPr>
        <w:t xml:space="preserve">” ON PAGE </w:t>
      </w:r>
      <w:r>
        <w:rPr>
          <w:rFonts w:ascii="Times New Roman" w:cs="Times New Roman" w:eastAsia="Times New Roman" w:hAnsi="Times New Roman"/>
          <w:sz w:val="14"/>
          <w:szCs w:val="14"/>
          <w:b w:val="1"/>
          <w:bCs w:val="1"/>
          <w:u w:val="single" w:color="auto"/>
          <w:color w:val="0000FF"/>
        </w:rPr>
        <w:t>6</w:t>
      </w:r>
      <w:r>
        <w:rPr>
          <w:rFonts w:ascii="Times New Roman" w:cs="Times New Roman" w:eastAsia="Times New Roman" w:hAnsi="Times New Roman"/>
          <w:sz w:val="14"/>
          <w:szCs w:val="14"/>
          <w:b w:val="1"/>
          <w:bCs w:val="1"/>
          <w:color w:val="auto"/>
        </w:rPr>
        <w:t xml:space="preserve"> OF THIS PROSPECTUS AND ANY SIMILAR SECTION CONTAINED IN THE APPLICABLE PROSPECTUS SUPPLEMENT CONCERNING FACTORS YOU SHOULD CONSIDER BEFORE INVESTING IN OUR SECURITIES.</w:t>
      </w:r>
    </w:p>
    <w:p>
      <w:pPr>
        <w:spacing w:after="0" w:line="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or Nasdaq, under the symbol “BZAI.” On January 26, 2026, the last reported sale price of our common stock on Nasdaq was $1.74 per share.</w:t>
      </w:r>
    </w:p>
    <w:p>
      <w:pPr>
        <w:spacing w:after="0" w:line="9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4"/>
          <w:szCs w:val="14"/>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95" w:lineRule="exact"/>
        <w:rPr>
          <w:sz w:val="20"/>
          <w:szCs w:val="20"/>
          <w:color w:val="auto"/>
        </w:rPr>
      </w:pPr>
    </w:p>
    <w:tbl>
      <w:tblPr>
        <w:tblLayout w:type="fixed"/>
        <w:tblInd w:w="4380" w:type="dxa"/>
        <w:tblCellMar>
          <w:top w:w="0" w:type="dxa"/>
          <w:left w:w="0" w:type="dxa"/>
          <w:bottom w:w="0" w:type="dxa"/>
          <w:right w:w="0" w:type="dxa"/>
        </w:tblCellMar>
      </w:tblPr>
      <w:tr>
        <w:trPr>
          <w:trHeight w:val="176"/>
        </w:trPr>
        <w:tc>
          <w:tcPr>
            <w:tcW w:w="1880" w:type="dxa"/>
            <w:vAlign w:val="bottom"/>
          </w:tcPr>
          <w:p>
            <w:pPr>
              <w:spacing w:after="0"/>
              <w:rPr>
                <w:sz w:val="20"/>
                <w:szCs w:val="20"/>
                <w:color w:val="auto"/>
              </w:rPr>
            </w:pPr>
            <w:r>
              <w:rPr>
                <w:rFonts w:ascii="Times New Roman" w:cs="Times New Roman" w:eastAsia="Times New Roman" w:hAnsi="Times New Roman"/>
                <w:sz w:val="14"/>
                <w:szCs w:val="14"/>
                <w:color w:val="auto"/>
              </w:rPr>
              <w:t>The date of this prospectus is</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2026.</w:t>
            </w:r>
          </w:p>
        </w:tc>
      </w:tr>
    </w:tbl>
    <w:p>
      <w:pPr>
        <w:sectPr>
          <w:pgSz w:w="11900" w:h="16838" w:orient="portrait"/>
          <w:cols w:equalWidth="0" w:num="1">
            <w:col w:w="11240"/>
          </w:cols>
          <w:pgMar w:left="300" w:top="738" w:right="3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08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88"/>
        </w:trPr>
        <w:tc>
          <w:tcPr>
            <w:tcW w:w="111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ABOUT THIS PROSPECTUS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1</w:t>
            </w:r>
          </w:p>
        </w:tc>
      </w:tr>
      <w:tr>
        <w:trPr>
          <w:trHeight w:val="20"/>
        </w:trPr>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4"/>
        </w:trPr>
        <w:tc>
          <w:tcPr>
            <w:tcW w:w="11120" w:type="dxa"/>
            <w:vAlign w:val="bottom"/>
            <w:gridSpan w:val="15"/>
          </w:tcPr>
          <w:p>
            <w:pPr>
              <w:spacing w:after="0" w:line="155" w:lineRule="exact"/>
              <w:rPr>
                <w:sz w:val="20"/>
                <w:szCs w:val="20"/>
                <w:color w:val="auto"/>
              </w:rPr>
            </w:pPr>
            <w:r>
              <w:rPr>
                <w:rFonts w:ascii="Times New Roman" w:cs="Times New Roman" w:eastAsia="Times New Roman" w:hAnsi="Times New Roman"/>
                <w:sz w:val="14"/>
                <w:szCs w:val="14"/>
                <w:color w:val="0000FF"/>
              </w:rPr>
              <w:t>WHERE YOU CAN FIND MORE INFORMATION; INCORPORATION BY REFERENCE</w:t>
            </w:r>
          </w:p>
        </w:tc>
        <w:tc>
          <w:tcPr>
            <w:tcW w:w="1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rPr>
              <w:t>2</w:t>
            </w:r>
          </w:p>
        </w:tc>
      </w:tr>
      <w:tr>
        <w:trPr>
          <w:trHeight w:val="154"/>
        </w:trPr>
        <w:tc>
          <w:tcPr>
            <w:tcW w:w="5100" w:type="dxa"/>
            <w:vAlign w:val="bottom"/>
            <w:tcBorders>
              <w:top w:val="single" w:sz="8" w:color="0000FF"/>
            </w:tcBorders>
            <w:gridSpan w:val="14"/>
          </w:tcPr>
          <w:p>
            <w:pPr>
              <w:spacing w:after="0" w:line="155" w:lineRule="exact"/>
              <w:rPr>
                <w:sz w:val="20"/>
                <w:szCs w:val="20"/>
                <w:color w:val="auto"/>
              </w:rPr>
            </w:pPr>
            <w:r>
              <w:rPr>
                <w:rFonts w:ascii="Times New Roman" w:cs="Times New Roman" w:eastAsia="Times New Roman" w:hAnsi="Times New Roman"/>
                <w:sz w:val="14"/>
                <w:szCs w:val="14"/>
                <w:color w:val="0000FF"/>
              </w:rPr>
              <w:t>THE COMPANY</w:t>
            </w:r>
          </w:p>
        </w:tc>
        <w:tc>
          <w:tcPr>
            <w:tcW w:w="6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0000FF"/>
            </w:tcBorders>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4</w:t>
            </w:r>
          </w:p>
        </w:tc>
      </w:tr>
      <w:tr>
        <w:trPr>
          <w:trHeight w:val="154"/>
        </w:trPr>
        <w:tc>
          <w:tcPr>
            <w:tcW w:w="960" w:type="dxa"/>
            <w:vAlign w:val="bottom"/>
            <w:tcBorders>
              <w:top w:val="single" w:sz="8" w:color="0000FF"/>
            </w:tcBorders>
            <w:gridSpan w:val="3"/>
          </w:tcPr>
          <w:p>
            <w:pPr>
              <w:spacing w:after="0" w:line="155" w:lineRule="exact"/>
              <w:rPr>
                <w:sz w:val="20"/>
                <w:szCs w:val="20"/>
                <w:color w:val="auto"/>
              </w:rPr>
            </w:pPr>
            <w:r>
              <w:rPr>
                <w:rFonts w:ascii="Times New Roman" w:cs="Times New Roman" w:eastAsia="Times New Roman" w:hAnsi="Times New Roman"/>
                <w:sz w:val="14"/>
                <w:szCs w:val="14"/>
                <w:color w:val="0000FF"/>
                <w:w w:val="95"/>
              </w:rPr>
              <w:t>RISK FACTORS</w:t>
            </w:r>
          </w:p>
        </w:tc>
        <w:tc>
          <w:tcPr>
            <w:tcW w:w="10160" w:type="dxa"/>
            <w:vAlign w:val="bottom"/>
            <w:gridSpan w:val="1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0000FF"/>
            </w:tcBorders>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6</w:t>
            </w:r>
          </w:p>
        </w:tc>
      </w:tr>
      <w:tr>
        <w:trPr>
          <w:trHeight w:val="20"/>
        </w:trPr>
        <w:tc>
          <w:tcPr>
            <w:tcW w:w="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54"/>
        </w:trPr>
        <w:tc>
          <w:tcPr>
            <w:tcW w:w="11120" w:type="dxa"/>
            <w:vAlign w:val="bottom"/>
            <w:gridSpan w:val="15"/>
          </w:tcPr>
          <w:p>
            <w:pPr>
              <w:spacing w:after="0" w:line="155" w:lineRule="exact"/>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1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rPr>
              <w:t>7</w:t>
            </w:r>
          </w:p>
        </w:tc>
      </w:tr>
      <w:tr>
        <w:trPr>
          <w:trHeight w:val="154"/>
        </w:trPr>
        <w:tc>
          <w:tcPr>
            <w:tcW w:w="1200" w:type="dxa"/>
            <w:vAlign w:val="bottom"/>
            <w:tcBorders>
              <w:top w:val="single" w:sz="8" w:color="0000FF"/>
              <w:bottom w:val="single" w:sz="8" w:color="0000FF"/>
            </w:tcBorders>
            <w:gridSpan w:val="5"/>
          </w:tcPr>
          <w:p>
            <w:pPr>
              <w:spacing w:after="0" w:line="155" w:lineRule="exact"/>
              <w:rPr>
                <w:sz w:val="20"/>
                <w:szCs w:val="20"/>
                <w:color w:val="auto"/>
              </w:rPr>
            </w:pPr>
            <w:r>
              <w:rPr>
                <w:rFonts w:ascii="Times New Roman" w:cs="Times New Roman" w:eastAsia="Times New Roman" w:hAnsi="Times New Roman"/>
                <w:sz w:val="14"/>
                <w:szCs w:val="14"/>
                <w:color w:val="0000FF"/>
                <w:w w:val="95"/>
              </w:rPr>
              <w:t>USE OF PROCEEDS</w:t>
            </w:r>
          </w:p>
        </w:tc>
        <w:tc>
          <w:tcPr>
            <w:tcW w:w="2840" w:type="dxa"/>
            <w:vAlign w:val="bottom"/>
            <w:tcBorders>
              <w:top w:val="single" w:sz="8" w:color="0000FF"/>
            </w:tcBorders>
            <w:gridSpan w:val="8"/>
          </w:tcPr>
          <w:p>
            <w:pPr>
              <w:spacing w:after="0"/>
              <w:rPr>
                <w:sz w:val="13"/>
                <w:szCs w:val="13"/>
                <w:color w:val="auto"/>
              </w:rPr>
            </w:pPr>
          </w:p>
        </w:tc>
        <w:tc>
          <w:tcPr>
            <w:tcW w:w="70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8</w:t>
            </w:r>
          </w:p>
        </w:tc>
      </w:tr>
      <w:tr>
        <w:trPr>
          <w:trHeight w:val="154"/>
        </w:trPr>
        <w:tc>
          <w:tcPr>
            <w:tcW w:w="2180" w:type="dxa"/>
            <w:vAlign w:val="bottom"/>
            <w:tcBorders>
              <w:bottom w:val="single" w:sz="8" w:color="0000FF"/>
            </w:tcBorders>
            <w:gridSpan w:val="11"/>
          </w:tcPr>
          <w:p>
            <w:pPr>
              <w:spacing w:after="0" w:line="155" w:lineRule="exact"/>
              <w:rPr>
                <w:sz w:val="20"/>
                <w:szCs w:val="20"/>
                <w:color w:val="auto"/>
              </w:rPr>
            </w:pPr>
            <w:r>
              <w:rPr>
                <w:rFonts w:ascii="Times New Roman" w:cs="Times New Roman" w:eastAsia="Times New Roman" w:hAnsi="Times New Roman"/>
                <w:sz w:val="14"/>
                <w:szCs w:val="14"/>
                <w:color w:val="0000FF"/>
                <w:w w:val="96"/>
              </w:rPr>
              <w:t>DESCRIPTION OF CAPITAL STOCK</w:t>
            </w:r>
          </w:p>
        </w:tc>
        <w:tc>
          <w:tcPr>
            <w:tcW w:w="89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9</w:t>
            </w:r>
          </w:p>
        </w:tc>
      </w:tr>
      <w:tr>
        <w:trPr>
          <w:trHeight w:val="154"/>
        </w:trPr>
        <w:tc>
          <w:tcPr>
            <w:tcW w:w="2300" w:type="dxa"/>
            <w:vAlign w:val="bottom"/>
            <w:tcBorders>
              <w:bottom w:val="single" w:sz="8" w:color="0000FF"/>
            </w:tcBorders>
            <w:gridSpan w:val="12"/>
          </w:tcPr>
          <w:p>
            <w:pPr>
              <w:spacing w:after="0" w:line="155" w:lineRule="exact"/>
              <w:rPr>
                <w:sz w:val="20"/>
                <w:szCs w:val="20"/>
                <w:color w:val="auto"/>
              </w:rPr>
            </w:pPr>
            <w:r>
              <w:rPr>
                <w:rFonts w:ascii="Times New Roman" w:cs="Times New Roman" w:eastAsia="Times New Roman" w:hAnsi="Times New Roman"/>
                <w:sz w:val="14"/>
                <w:szCs w:val="14"/>
                <w:color w:val="0000FF"/>
                <w:w w:val="96"/>
              </w:rPr>
              <w:t>DESCRIPTION OF DEBT SECURITIES</w:t>
            </w:r>
          </w:p>
        </w:tc>
        <w:tc>
          <w:tcPr>
            <w:tcW w:w="8820" w:type="dxa"/>
            <w:vAlign w:val="bottom"/>
            <w:gridSpan w:val="3"/>
          </w:tcPr>
          <w:p>
            <w:pPr>
              <w:spacing w:after="0"/>
              <w:rPr>
                <w:sz w:val="13"/>
                <w:szCs w:val="13"/>
                <w:color w:val="auto"/>
              </w:rPr>
            </w:pPr>
          </w:p>
        </w:tc>
        <w:tc>
          <w:tcPr>
            <w:tcW w:w="140" w:type="dxa"/>
            <w:vAlign w:val="bottom"/>
            <w:tcBorders>
              <w:bottom w:val="single" w:sz="8" w:color="0000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17</w:t>
            </w:r>
          </w:p>
        </w:tc>
      </w:tr>
      <w:tr>
        <w:trPr>
          <w:trHeight w:val="154"/>
        </w:trPr>
        <w:tc>
          <w:tcPr>
            <w:tcW w:w="1880" w:type="dxa"/>
            <w:vAlign w:val="bottom"/>
            <w:tcBorders>
              <w:bottom w:val="single" w:sz="8" w:color="0000FF"/>
            </w:tcBorders>
            <w:gridSpan w:val="10"/>
          </w:tcPr>
          <w:p>
            <w:pPr>
              <w:spacing w:after="0" w:line="155" w:lineRule="exact"/>
              <w:rPr>
                <w:sz w:val="20"/>
                <w:szCs w:val="20"/>
                <w:color w:val="auto"/>
              </w:rPr>
            </w:pPr>
            <w:r>
              <w:rPr>
                <w:rFonts w:ascii="Times New Roman" w:cs="Times New Roman" w:eastAsia="Times New Roman" w:hAnsi="Times New Roman"/>
                <w:sz w:val="14"/>
                <w:szCs w:val="14"/>
                <w:color w:val="0000FF"/>
                <w:w w:val="95"/>
              </w:rPr>
              <w:t>DESCRIPTION OF WARRANTS</w:t>
            </w:r>
          </w:p>
        </w:tc>
        <w:tc>
          <w:tcPr>
            <w:tcW w:w="9240" w:type="dxa"/>
            <w:vAlign w:val="bottom"/>
            <w:gridSpan w:val="5"/>
          </w:tcPr>
          <w:p>
            <w:pPr>
              <w:spacing w:after="0"/>
              <w:rPr>
                <w:sz w:val="13"/>
                <w:szCs w:val="13"/>
                <w:color w:val="auto"/>
              </w:rPr>
            </w:pPr>
          </w:p>
        </w:tc>
        <w:tc>
          <w:tcPr>
            <w:tcW w:w="140" w:type="dxa"/>
            <w:vAlign w:val="bottom"/>
            <w:tcBorders>
              <w:bottom w:val="single" w:sz="8" w:color="0000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25</w:t>
            </w:r>
          </w:p>
        </w:tc>
      </w:tr>
      <w:tr>
        <w:trPr>
          <w:trHeight w:val="154"/>
        </w:trPr>
        <w:tc>
          <w:tcPr>
            <w:tcW w:w="11120" w:type="dxa"/>
            <w:vAlign w:val="bottom"/>
            <w:gridSpan w:val="15"/>
          </w:tcPr>
          <w:p>
            <w:pPr>
              <w:spacing w:after="0" w:line="155" w:lineRule="exact"/>
              <w:rPr>
                <w:sz w:val="20"/>
                <w:szCs w:val="20"/>
                <w:color w:val="auto"/>
              </w:rPr>
            </w:pPr>
            <w:r>
              <w:rPr>
                <w:rFonts w:ascii="Times New Roman" w:cs="Times New Roman" w:eastAsia="Times New Roman" w:hAnsi="Times New Roman"/>
                <w:sz w:val="14"/>
                <w:szCs w:val="14"/>
                <w:color w:val="0000FF"/>
              </w:rPr>
              <w:t>DESCRIPTION OF RIGHTS</w:t>
            </w:r>
          </w:p>
        </w:tc>
        <w:tc>
          <w:tcPr>
            <w:tcW w:w="1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27</w:t>
            </w:r>
          </w:p>
        </w:tc>
      </w:tr>
      <w:tr>
        <w:trPr>
          <w:trHeight w:val="154"/>
        </w:trPr>
        <w:tc>
          <w:tcPr>
            <w:tcW w:w="1540" w:type="dxa"/>
            <w:vAlign w:val="bottom"/>
            <w:tcBorders>
              <w:top w:val="single" w:sz="8" w:color="0000FF"/>
              <w:bottom w:val="single" w:sz="8" w:color="0000FF"/>
            </w:tcBorders>
            <w:gridSpan w:val="7"/>
          </w:tcPr>
          <w:p>
            <w:pPr>
              <w:spacing w:after="0" w:line="155" w:lineRule="exact"/>
              <w:rPr>
                <w:sz w:val="20"/>
                <w:szCs w:val="20"/>
                <w:color w:val="auto"/>
              </w:rPr>
            </w:pPr>
            <w:r>
              <w:rPr>
                <w:rFonts w:ascii="Times New Roman" w:cs="Times New Roman" w:eastAsia="Times New Roman" w:hAnsi="Times New Roman"/>
                <w:sz w:val="14"/>
                <w:szCs w:val="14"/>
                <w:color w:val="0000FF"/>
                <w:w w:val="96"/>
              </w:rPr>
              <w:t>DESCRIPTION OF UNITS</w:t>
            </w:r>
          </w:p>
        </w:tc>
        <w:tc>
          <w:tcPr>
            <w:tcW w:w="140" w:type="dxa"/>
            <w:vAlign w:val="bottom"/>
            <w:tcBorders>
              <w:top w:val="single" w:sz="8" w:color="0000FF"/>
            </w:tcBorders>
            <w:gridSpan w:val="2"/>
          </w:tcPr>
          <w:p>
            <w:pPr>
              <w:spacing w:after="0"/>
              <w:rPr>
                <w:sz w:val="13"/>
                <w:szCs w:val="13"/>
                <w:color w:val="auto"/>
              </w:rPr>
            </w:pPr>
          </w:p>
        </w:tc>
        <w:tc>
          <w:tcPr>
            <w:tcW w:w="9440" w:type="dxa"/>
            <w:vAlign w:val="bottom"/>
            <w:gridSpan w:val="6"/>
          </w:tcPr>
          <w:p>
            <w:pPr>
              <w:spacing w:after="0"/>
              <w:rPr>
                <w:sz w:val="13"/>
                <w:szCs w:val="13"/>
                <w:color w:val="auto"/>
              </w:rPr>
            </w:pPr>
          </w:p>
        </w:tc>
        <w:tc>
          <w:tcPr>
            <w:tcW w:w="140" w:type="dxa"/>
            <w:vAlign w:val="bottom"/>
            <w:tcBorders>
              <w:top w:val="single" w:sz="8" w:color="0000FF"/>
              <w:bottom w:val="single" w:sz="8" w:color="0000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28</w:t>
            </w:r>
          </w:p>
        </w:tc>
      </w:tr>
      <w:tr>
        <w:trPr>
          <w:trHeight w:val="154"/>
        </w:trPr>
        <w:tc>
          <w:tcPr>
            <w:tcW w:w="1360" w:type="dxa"/>
            <w:vAlign w:val="bottom"/>
            <w:tcBorders>
              <w:bottom w:val="single" w:sz="8" w:color="0000FF"/>
            </w:tcBorders>
            <w:gridSpan w:val="6"/>
          </w:tcPr>
          <w:p>
            <w:pPr>
              <w:spacing w:after="0" w:line="155" w:lineRule="exact"/>
              <w:rPr>
                <w:sz w:val="20"/>
                <w:szCs w:val="20"/>
                <w:color w:val="auto"/>
              </w:rPr>
            </w:pPr>
            <w:r>
              <w:rPr>
                <w:rFonts w:ascii="Times New Roman" w:cs="Times New Roman" w:eastAsia="Times New Roman" w:hAnsi="Times New Roman"/>
                <w:sz w:val="14"/>
                <w:szCs w:val="14"/>
                <w:color w:val="0000FF"/>
                <w:w w:val="95"/>
              </w:rPr>
              <w:t>GLOBAL SECURITIES</w:t>
            </w:r>
          </w:p>
        </w:tc>
        <w:tc>
          <w:tcPr>
            <w:tcW w:w="9760" w:type="dxa"/>
            <w:vAlign w:val="bottom"/>
            <w:gridSpan w:val="9"/>
          </w:tcPr>
          <w:p>
            <w:pPr>
              <w:spacing w:after="0"/>
              <w:rPr>
                <w:sz w:val="13"/>
                <w:szCs w:val="13"/>
                <w:color w:val="auto"/>
              </w:rPr>
            </w:pPr>
          </w:p>
        </w:tc>
        <w:tc>
          <w:tcPr>
            <w:tcW w:w="140" w:type="dxa"/>
            <w:vAlign w:val="bottom"/>
            <w:tcBorders>
              <w:bottom w:val="single" w:sz="8" w:color="0000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29</w:t>
            </w:r>
          </w:p>
        </w:tc>
      </w:tr>
      <w:tr>
        <w:trPr>
          <w:trHeight w:val="154"/>
        </w:trPr>
        <w:tc>
          <w:tcPr>
            <w:tcW w:w="1560" w:type="dxa"/>
            <w:vAlign w:val="bottom"/>
            <w:tcBorders>
              <w:bottom w:val="single" w:sz="8" w:color="0000FF"/>
            </w:tcBorders>
            <w:gridSpan w:val="8"/>
          </w:tcPr>
          <w:p>
            <w:pPr>
              <w:spacing w:after="0" w:line="155" w:lineRule="exact"/>
              <w:rPr>
                <w:sz w:val="20"/>
                <w:szCs w:val="20"/>
                <w:color w:val="auto"/>
              </w:rPr>
            </w:pPr>
            <w:r>
              <w:rPr>
                <w:rFonts w:ascii="Times New Roman" w:cs="Times New Roman" w:eastAsia="Times New Roman" w:hAnsi="Times New Roman"/>
                <w:sz w:val="14"/>
                <w:szCs w:val="14"/>
                <w:color w:val="0000FF"/>
                <w:w w:val="96"/>
              </w:rPr>
              <w:t>PLAN OF DISTRIBUTION</w:t>
            </w:r>
          </w:p>
        </w:tc>
        <w:tc>
          <w:tcPr>
            <w:tcW w:w="9560" w:type="dxa"/>
            <w:vAlign w:val="bottom"/>
            <w:gridSpan w:val="7"/>
          </w:tcPr>
          <w:p>
            <w:pPr>
              <w:spacing w:after="0"/>
              <w:rPr>
                <w:sz w:val="13"/>
                <w:szCs w:val="13"/>
                <w:color w:val="auto"/>
              </w:rPr>
            </w:pPr>
          </w:p>
        </w:tc>
        <w:tc>
          <w:tcPr>
            <w:tcW w:w="140" w:type="dxa"/>
            <w:vAlign w:val="bottom"/>
            <w:tcBorders>
              <w:bottom w:val="single" w:sz="8" w:color="0000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33</w:t>
            </w:r>
          </w:p>
        </w:tc>
      </w:tr>
      <w:tr>
        <w:trPr>
          <w:trHeight w:val="154"/>
        </w:trPr>
        <w:tc>
          <w:tcPr>
            <w:tcW w:w="11120" w:type="dxa"/>
            <w:vAlign w:val="bottom"/>
            <w:gridSpan w:val="15"/>
          </w:tcPr>
          <w:p>
            <w:pPr>
              <w:spacing w:after="0" w:line="155" w:lineRule="exact"/>
              <w:rPr>
                <w:sz w:val="20"/>
                <w:szCs w:val="20"/>
                <w:color w:val="auto"/>
              </w:rPr>
            </w:pPr>
            <w:r>
              <w:rPr>
                <w:rFonts w:ascii="Times New Roman" w:cs="Times New Roman" w:eastAsia="Times New Roman" w:hAnsi="Times New Roman"/>
                <w:sz w:val="14"/>
                <w:szCs w:val="14"/>
                <w:color w:val="0000FF"/>
              </w:rPr>
              <w:t>LEGAL MATTERS</w:t>
            </w:r>
          </w:p>
        </w:tc>
        <w:tc>
          <w:tcPr>
            <w:tcW w:w="1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35</w:t>
            </w:r>
          </w:p>
        </w:tc>
      </w:tr>
      <w:tr>
        <w:trPr>
          <w:trHeight w:val="154"/>
        </w:trPr>
        <w:tc>
          <w:tcPr>
            <w:tcW w:w="580" w:type="dxa"/>
            <w:vAlign w:val="bottom"/>
            <w:tcBorders>
              <w:top w:val="single" w:sz="8" w:color="0000FF"/>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w w:val="92"/>
              </w:rPr>
              <w:t>EXPERTS</w:t>
            </w:r>
          </w:p>
        </w:tc>
        <w:tc>
          <w:tcPr>
            <w:tcW w:w="520" w:type="dxa"/>
            <w:vAlign w:val="bottom"/>
            <w:tcBorders>
              <w:top w:val="single" w:sz="8" w:color="0000FF"/>
            </w:tcBorders>
            <w:gridSpan w:val="3"/>
          </w:tcPr>
          <w:p>
            <w:pPr>
              <w:spacing w:after="0"/>
              <w:rPr>
                <w:sz w:val="13"/>
                <w:szCs w:val="13"/>
                <w:color w:val="auto"/>
              </w:rPr>
            </w:pPr>
          </w:p>
        </w:tc>
        <w:tc>
          <w:tcPr>
            <w:tcW w:w="10020" w:type="dxa"/>
            <w:vAlign w:val="bottom"/>
            <w:gridSpan w:val="11"/>
          </w:tcPr>
          <w:p>
            <w:pPr>
              <w:spacing w:after="0"/>
              <w:rPr>
                <w:sz w:val="13"/>
                <w:szCs w:val="13"/>
                <w:color w:val="auto"/>
              </w:rPr>
            </w:pPr>
          </w:p>
        </w:tc>
        <w:tc>
          <w:tcPr>
            <w:tcW w:w="140" w:type="dxa"/>
            <w:vAlign w:val="bottom"/>
            <w:tcBorders>
              <w:top w:val="single" w:sz="8" w:color="0000FF"/>
              <w:bottom w:val="single" w:sz="8" w:color="0000FF"/>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0000FF"/>
                <w:w w:val="85"/>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1260"/>
          </w:cols>
          <w:pgMar w:left="320" w:top="123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3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representations other than those contained in this prospectus, any applicable prospectus supplement or any applicable free writing prospectuses prepared by or on behalf of us or to which we have referred you. We take no responsibility for, and can provide no assurance as to the reliability of, any other information that others may give you.</w:t>
      </w:r>
    </w:p>
    <w:p>
      <w:pPr>
        <w:spacing w:after="0" w:line="10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3"/>
          <w:szCs w:val="13"/>
          <w:color w:val="auto"/>
        </w:rPr>
        <w:t>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98"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4"/>
          <w:szCs w:val="14"/>
          <w:color w:val="auto"/>
        </w:rPr>
        <w:t>As used in this prospectus, unless otherwise indicated or the context otherwise requires, references to “we,” “us,” “our,” the “Company,” “Registrant,” and “Blaize” refer to the consolidated operations of Blaize Holdings, Inc., formerly known as BurTech Acquisition Corporation (“BurTech”), and its subsidiaries. References to “Legacy Blaize” refer to Blaize, Inc., prior to the close of the Business Combination (as defined further herein). All references herein to the “Board” refer to the board of directors of the Company.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231" w:right="31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We file reports, proxy statements and other information with the SEC. The SEC maintains a website that contains reports, proxy and information statements and other information about issuers, such as us, who file electronically with the SEC. The address of that website is https://www.sec.gov.</w:t>
      </w:r>
    </w:p>
    <w:p>
      <w:pPr>
        <w:spacing w:after="0" w:line="9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4"/>
          <w:szCs w:val="14"/>
          <w:color w:val="auto"/>
        </w:rPr>
        <w:t>Our website address is https://www.blaize.com. The information on our website, however, is not, and should not be deemed to be, a part of this prospectus. We have included our website address as an inactive textual reference only.</w:t>
      </w:r>
    </w:p>
    <w:p>
      <w:pPr>
        <w:spacing w:after="0" w:line="9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may be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30"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w:t>
      </w:r>
    </w:p>
    <w:p>
      <w:pPr>
        <w:spacing w:after="0" w:line="102"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4"/>
          <w:szCs w:val="14"/>
          <w:color w:val="auto"/>
        </w:rPr>
        <w:t>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9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 (other than those documents or the portions of those documents not deemed to be filed):</w:t>
      </w:r>
    </w:p>
    <w:p>
      <w:pPr>
        <w:spacing w:after="0" w:line="95" w:lineRule="exact"/>
        <w:rPr>
          <w:sz w:val="20"/>
          <w:szCs w:val="20"/>
          <w:color w:val="auto"/>
        </w:rPr>
      </w:pPr>
    </w:p>
    <w:p>
      <w:pPr>
        <w:ind w:left="500" w:hanging="252"/>
        <w:spacing w:after="0"/>
        <w:tabs>
          <w:tab w:leader="none" w:pos="5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December 31, 2024, filed with the SEC on </w:t>
      </w:r>
      <w:hyperlink r:id="rId16">
        <w:r>
          <w:rPr>
            <w:rFonts w:ascii="Times New Roman" w:cs="Times New Roman" w:eastAsia="Times New Roman" w:hAnsi="Times New Roman"/>
            <w:sz w:val="14"/>
            <w:szCs w:val="14"/>
            <w:u w:val="single" w:color="auto"/>
            <w:color w:val="0000FF"/>
          </w:rPr>
          <w:t>April 15, 2025</w:t>
        </w:r>
      </w:hyperlink>
      <w:r>
        <w:rPr>
          <w:rFonts w:ascii="Times New Roman" w:cs="Times New Roman" w:eastAsia="Times New Roman" w:hAnsi="Times New Roman"/>
          <w:sz w:val="14"/>
          <w:szCs w:val="14"/>
          <w:color w:val="auto"/>
        </w:rPr>
        <w:t>.</w:t>
      </w:r>
    </w:p>
    <w:p>
      <w:pPr>
        <w:spacing w:after="0" w:line="126" w:lineRule="exact"/>
        <w:rPr>
          <w:rFonts w:ascii="Times New Roman" w:cs="Times New Roman" w:eastAsia="Times New Roman" w:hAnsi="Times New Roman"/>
          <w:sz w:val="14"/>
          <w:szCs w:val="14"/>
          <w:color w:val="auto"/>
        </w:rPr>
      </w:pPr>
    </w:p>
    <w:p>
      <w:pPr>
        <w:ind w:left="500" w:right="120" w:hanging="252"/>
        <w:spacing w:after="0" w:line="266" w:lineRule="auto"/>
        <w:tabs>
          <w:tab w:leader="none" w:pos="497"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Form 10-Q for the quarter ended March 31, 2025, filed with the SEC on </w:t>
      </w:r>
      <w:hyperlink r:id="rId17">
        <w:r>
          <w:rPr>
            <w:rFonts w:ascii="Times New Roman" w:cs="Times New Roman" w:eastAsia="Times New Roman" w:hAnsi="Times New Roman"/>
            <w:sz w:val="14"/>
            <w:szCs w:val="14"/>
            <w:u w:val="single" w:color="auto"/>
            <w:color w:val="0000FF"/>
          </w:rPr>
          <w:t>May 14, 2025</w:t>
        </w:r>
      </w:hyperlink>
      <w:r>
        <w:rPr>
          <w:rFonts w:ascii="Times New Roman" w:cs="Times New Roman" w:eastAsia="Times New Roman" w:hAnsi="Times New Roman"/>
          <w:sz w:val="14"/>
          <w:szCs w:val="14"/>
          <w:color w:val="auto"/>
        </w:rPr>
        <w:t xml:space="preserve">, for the quarter ended June 30, 2025, filed with the SEC on </w:t>
      </w:r>
      <w:hyperlink r:id="rId18">
        <w:r>
          <w:rPr>
            <w:rFonts w:ascii="Times New Roman" w:cs="Times New Roman" w:eastAsia="Times New Roman" w:hAnsi="Times New Roman"/>
            <w:sz w:val="14"/>
            <w:szCs w:val="14"/>
            <w:u w:val="single" w:color="auto"/>
            <w:color w:val="0000FF"/>
          </w:rPr>
          <w:t>August 14, 2025</w:t>
        </w:r>
      </w:hyperlink>
      <w:r>
        <w:rPr>
          <w:rFonts w:ascii="Times New Roman" w:cs="Times New Roman" w:eastAsia="Times New Roman" w:hAnsi="Times New Roman"/>
          <w:sz w:val="14"/>
          <w:szCs w:val="14"/>
          <w:color w:val="auto"/>
        </w:rPr>
        <w:t xml:space="preserve">, and for the quarter ended September 30, 2025, filed with the SEC on </w:t>
      </w:r>
      <w:hyperlink r:id="rId19">
        <w:r>
          <w:rPr>
            <w:rFonts w:ascii="Times New Roman" w:cs="Times New Roman" w:eastAsia="Times New Roman" w:hAnsi="Times New Roman"/>
            <w:sz w:val="14"/>
            <w:szCs w:val="14"/>
            <w:u w:val="single" w:color="auto"/>
            <w:color w:val="0000FF"/>
          </w:rPr>
          <w:t>November 13, 2025</w:t>
        </w:r>
      </w:hyperlink>
      <w:r>
        <w:rPr>
          <w:rFonts w:ascii="Times New Roman" w:cs="Times New Roman" w:eastAsia="Times New Roman" w:hAnsi="Times New Roman"/>
          <w:sz w:val="14"/>
          <w:szCs w:val="14"/>
          <w:color w:val="auto"/>
        </w:rPr>
        <w:t>.</w:t>
      </w:r>
    </w:p>
    <w:p>
      <w:pPr>
        <w:spacing w:after="0" w:line="94" w:lineRule="exact"/>
        <w:rPr>
          <w:rFonts w:ascii="Times New Roman" w:cs="Times New Roman" w:eastAsia="Times New Roman" w:hAnsi="Times New Roman"/>
          <w:sz w:val="14"/>
          <w:szCs w:val="14"/>
          <w:color w:val="auto"/>
        </w:rPr>
      </w:pPr>
    </w:p>
    <w:p>
      <w:pPr>
        <w:ind w:left="500" w:right="220" w:hanging="252"/>
        <w:spacing w:after="0" w:line="266" w:lineRule="auto"/>
        <w:tabs>
          <w:tab w:leader="none" w:pos="497" w:val="left"/>
        </w:tabs>
        <w:numPr>
          <w:ilvl w:val="0"/>
          <w:numId w:val="1"/>
        </w:numPr>
        <w:rPr>
          <w:rFonts w:ascii="Times New Roman" w:cs="Times New Roman" w:eastAsia="Times New Roman" w:hAnsi="Times New Roman"/>
          <w:sz w:val="14"/>
          <w:szCs w:val="14"/>
          <w:color w:val="0000FF"/>
        </w:rPr>
      </w:pPr>
      <w:hyperlink r:id="rId20">
        <w:r>
          <w:rPr>
            <w:rFonts w:ascii="Times New Roman" w:cs="Times New Roman" w:eastAsia="Times New Roman" w:hAnsi="Times New Roman"/>
            <w:sz w:val="14"/>
            <w:szCs w:val="14"/>
            <w:color w:val="auto"/>
          </w:rPr>
          <w:t xml:space="preserve">Our Current Reports on Form 8-K or 8-K/A filed with the SEC on </w:t>
        </w:r>
        <w:r>
          <w:rPr>
            <w:rFonts w:ascii="Times New Roman" w:cs="Times New Roman" w:eastAsia="Times New Roman" w:hAnsi="Times New Roman"/>
            <w:sz w:val="14"/>
            <w:szCs w:val="14"/>
            <w:u w:val="single" w:color="auto"/>
            <w:color w:val="0000FF"/>
          </w:rPr>
          <w:t>January 8,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January 13,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January 17,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February 7,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April 15,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June 30,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July 15,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July 16,</w:t>
        </w:r>
      </w:hyperlink>
      <w:r>
        <w:rPr>
          <w:rFonts w:ascii="Times New Roman" w:cs="Times New Roman" w:eastAsia="Times New Roman" w:hAnsi="Times New Roman"/>
          <w:sz w:val="14"/>
          <w:szCs w:val="14"/>
          <w:color w:val="auto"/>
        </w:rPr>
        <w:t xml:space="preserve"> </w:t>
      </w:r>
      <w:hyperlink r:id="rId20">
        <w:r>
          <w:rPr>
            <w:rFonts w:ascii="Times New Roman" w:cs="Times New Roman" w:eastAsia="Times New Roman" w:hAnsi="Times New Roman"/>
            <w:sz w:val="14"/>
            <w:szCs w:val="14"/>
            <w:u w:val="single" w:color="auto"/>
            <w:color w:val="0000FF"/>
          </w:rPr>
          <w:t>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hyperlink>
      <w:hyperlink r:id="rId21">
        <w:r>
          <w:rPr>
            <w:rFonts w:ascii="Times New Roman" w:cs="Times New Roman" w:eastAsia="Times New Roman" w:hAnsi="Times New Roman"/>
            <w:sz w:val="14"/>
            <w:szCs w:val="14"/>
            <w:u w:val="single" w:color="auto"/>
            <w:color w:val="0000FF"/>
          </w:rPr>
          <w:t>September 2, 2025</w:t>
        </w:r>
      </w:hyperlink>
      <w:hyperlink r:id="rId20">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hyperlink>
      <w:hyperlink r:id="rId22">
        <w:r>
          <w:rPr>
            <w:rFonts w:ascii="Times New Roman" w:cs="Times New Roman" w:eastAsia="Times New Roman" w:hAnsi="Times New Roman"/>
            <w:sz w:val="14"/>
            <w:szCs w:val="14"/>
            <w:u w:val="single" w:color="auto"/>
            <w:color w:val="0000FF"/>
          </w:rPr>
          <w:t xml:space="preserve">December 4, 2025 </w:t>
        </w:r>
      </w:hyperlink>
      <w:hyperlink r:id="rId20">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FF"/>
          </w:rPr>
          <w:t xml:space="preserve"> </w:t>
        </w:r>
      </w:hyperlink>
      <w:hyperlink r:id="rId23">
        <w:r>
          <w:rPr>
            <w:rFonts w:ascii="Times New Roman" w:cs="Times New Roman" w:eastAsia="Times New Roman" w:hAnsi="Times New Roman"/>
            <w:sz w:val="14"/>
            <w:szCs w:val="14"/>
            <w:u w:val="single" w:color="auto"/>
            <w:color w:val="0000FF"/>
          </w:rPr>
          <w:t>January 5, 2026</w:t>
        </w:r>
      </w:hyperlink>
      <w:hyperlink r:id="rId20">
        <w:r>
          <w:rPr>
            <w:rFonts w:ascii="Times New Roman" w:cs="Times New Roman" w:eastAsia="Times New Roman" w:hAnsi="Times New Roman"/>
            <w:sz w:val="14"/>
            <w:szCs w:val="14"/>
            <w:color w:val="000000"/>
          </w:rPr>
          <w:t>.</w:t>
        </w:r>
      </w:hyperlink>
    </w:p>
    <w:p>
      <w:pPr>
        <w:spacing w:after="0" w:line="94" w:lineRule="exact"/>
        <w:rPr>
          <w:rFonts w:ascii="Times New Roman" w:cs="Times New Roman" w:eastAsia="Times New Roman" w:hAnsi="Times New Roman"/>
          <w:sz w:val="14"/>
          <w:szCs w:val="14"/>
          <w:color w:val="0000FF"/>
        </w:rPr>
      </w:pPr>
    </w:p>
    <w:p>
      <w:pPr>
        <w:ind w:left="500" w:right="200" w:hanging="252"/>
        <w:spacing w:after="0" w:line="305" w:lineRule="auto"/>
        <w:tabs>
          <w:tab w:leader="none" w:pos="497"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description of our common stock contained in our Registration Statement on Form 8-A12B, filed with the SEC on </w:t>
      </w:r>
      <w:hyperlink r:id="rId24">
        <w:r>
          <w:rPr>
            <w:rFonts w:ascii="Times New Roman" w:cs="Times New Roman" w:eastAsia="Times New Roman" w:hAnsi="Times New Roman"/>
            <w:sz w:val="13"/>
            <w:szCs w:val="13"/>
            <w:u w:val="single" w:color="auto"/>
            <w:color w:val="0000FF"/>
          </w:rPr>
          <w:t>December 8, 2021</w:t>
        </w:r>
      </w:hyperlink>
      <w:r>
        <w:rPr>
          <w:rFonts w:ascii="Times New Roman" w:cs="Times New Roman" w:eastAsia="Times New Roman" w:hAnsi="Times New Roman"/>
          <w:sz w:val="13"/>
          <w:szCs w:val="13"/>
          <w:color w:val="auto"/>
        </w:rPr>
        <w:t xml:space="preserve">, as most recently updated by </w:t>
      </w:r>
      <w:hyperlink r:id="rId25">
        <w:r>
          <w:rPr>
            <w:rFonts w:ascii="Times New Roman" w:cs="Times New Roman" w:eastAsia="Times New Roman" w:hAnsi="Times New Roman"/>
            <w:sz w:val="13"/>
            <w:szCs w:val="13"/>
            <w:u w:val="single" w:color="auto"/>
            <w:color w:val="0000FF"/>
          </w:rPr>
          <w:t>Exhibit 4.4</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to our Annual Report on Form 10-K for the year ended December 31, 2024, filed with the SEC on April 15, 2025, including any amendments or reports filed for the purpose of updating such description.</w:t>
      </w:r>
    </w:p>
    <w:p>
      <w:pPr>
        <w:spacing w:after="0" w:line="71" w:lineRule="exact"/>
        <w:rPr>
          <w:rFonts w:ascii="Times New Roman" w:cs="Times New Roman" w:eastAsia="Times New Roman" w:hAnsi="Times New Roman"/>
          <w:sz w:val="13"/>
          <w:szCs w:val="13"/>
          <w:color w:val="auto"/>
        </w:rPr>
      </w:pPr>
    </w:p>
    <w:p>
      <w:pPr>
        <w:ind w:right="260"/>
        <w:spacing w:after="0" w:line="255" w:lineRule="auto"/>
        <w:rPr>
          <w:sz w:val="20"/>
          <w:szCs w:val="20"/>
          <w:color w:val="auto"/>
        </w:rPr>
      </w:pPr>
      <w:r>
        <w:rPr>
          <w:rFonts w:ascii="Times New Roman" w:cs="Times New Roman" w:eastAsia="Times New Roman" w:hAnsi="Times New Roman"/>
          <w:sz w:val="14"/>
          <w:szCs w:val="14"/>
          <w:color w:val="auto"/>
        </w:rPr>
        <w:t>All reports and other documents we subsequently file pursuant to Sections 13(a), 13(c), 14 or 15(d) of the Securities Exchange Act of 1934, as amended, which we refer to as the “Exchange Act” in this prospectus, on or after the date of the initial filing of the registration statement of which this prospectus is a part and prior to effectiveness of the registration statement, and on or after the date of this prospectus and prior to the termination of the offering under this prospectus and any prospectus supplement, will also be incorporated by reference in this</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400" w:lineRule="exact"/>
        <w:rPr>
          <w:rFonts w:ascii="Times New Roman" w:cs="Times New Roman" w:eastAsia="Times New Roman" w:hAnsi="Times New Roman"/>
          <w:sz w:val="13"/>
          <w:szCs w:val="13"/>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00" w:top="1231" w:right="33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4"/>
          <w:szCs w:val="14"/>
          <w:color w:val="auto"/>
        </w:rPr>
        <w:t>prospectus and deemed to be part of this prospectus from the date of the filing of such reports and documents. We are not, however, incorporating by reference any documents or portions thereof, whether specifically listed above or filed in the future, that are not deemed “filed” with the SEC, including any Compensation Committee report or performance graph or any information furnished pursuant to Items 2.02 or 7.01 of Form 8-K or related exhibits furnished pursuant to Item 9.01 of Form 8-K.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 may request a free copy of any of the documents incorporated by reference in this prospectus by writing or telephoning us at the following address:</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Blaize Holdings, Inc.</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4659 Golden Foothill Parkway, Suite 206</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El Dorado Hills, CA 95762 (916) 347-0050</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(916) 347-0050</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20"/>
          </w:cols>
          <w:pgMar w:left="300" w:top="1235" w:right="37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789305</wp:posOffset>
            </wp:positionV>
            <wp:extent cx="7171690" cy="48196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7171690" cy="4819650"/>
                    </a:xfrm>
                    <a:prstGeom prst="rect">
                      <a:avLst/>
                    </a:prstGeom>
                    <a:noFill/>
                  </pic:spPr>
                </pic:pic>
              </a:graphicData>
            </a:graphic>
          </wp:anchor>
        </w:drawing>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Blaize provides purpose-built, transformative artificial intelligence (“AI”)-enabled edge computing solutions comprised of hardware and software intended to optimize AI from the edge to the core, with a full-stack programmable processor architecture suite and low-code/no-code software platform that enables AI processing solutions for high-performance computing at both the network’s edge and at data centers. Our solutions are intended to deliver real-time insights and decision-making capabilities at low power consumption, high efficiency, minimal size, and low cost.</w:t>
      </w:r>
    </w:p>
    <w:p>
      <w:pPr>
        <w:spacing w:after="0" w:line="1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Customers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Historical Revenue and Growth Expectations</w:t>
      </w:r>
    </w:p>
    <w:p>
      <w:pPr>
        <w:spacing w:after="0" w:line="13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4"/>
          <w:szCs w:val="14"/>
          <w:color w:val="auto"/>
        </w:rPr>
        <w:t>Our revenue is historically derived from significant customers, some of whom may be related parties. During the first nine months of 2025, our revenue was derived from two significant customers. The first significant customer, located in the Asia Pacific region, is not a related party, and comprised 70% of our revenue during the first nine months of 2025. The other significant customer, located in North America, is a related party and comprised 20% of our revenue during the first nine months of 2025. In 2025, all of our revenue was derived from sales of hardware and software products, and no revenue was derived from services.</w:t>
      </w:r>
    </w:p>
    <w:p>
      <w:pPr>
        <w:spacing w:after="0" w:line="1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4"/>
          <w:szCs w:val="14"/>
          <w:color w:val="auto"/>
        </w:rPr>
        <w:t>In 2024, 98% of our revenue was derived from two different customers, located in both North America and Asia Pacific, both of whom were related parties. In 2024, substantially all of our revenue was derived from services revenue, and these development services contracts have expired.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anticipate our growth to continue in the Asia-Pacific, North America, and the Persian Gulf regions, as further described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Since our revenue is currently concentrated among a small number of customers, revenue recognized from any one significant customer may change the geographical mix of our revenue.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Going forward, we expect to derive revenue primarily from sales of hardware and software products and also from professional services.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Order Contract Agreement (the “POCA”) in the Persian Gulf Region</w:t>
      </w:r>
    </w:p>
    <w:p>
      <w:pPr>
        <w:spacing w:after="0" w:line="13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4"/>
          <w:szCs w:val="14"/>
          <w:color w:val="auto"/>
        </w:rPr>
        <w:t>On May 1, 2024, Blaize entered into a Purchase Order Contract Agreement (the “POCA”) with a UAE private company (the “POCA Counterparty”) that provides defense and other solutions to government entities in the Gulf Cooperation Council region. The initial agreement related to solutions for a defense entity in UAE (collectively, the “Customer”). The POCA was amended on October 18, 2024 to add additional detail regarding hardware and software requirements and estimated delivery schedules. Under the POCA, Blaize expects to provide several solutions to the POCA Counterparty that require low latency, low power and high-performance compute in the field. Specifically, the POCA Counterparty, as the Technical Service Provider (“TSP”) licensed by the Department of Economic Development, Abu Dhabi, Government of United Arab Emirates, and Blaize, as the supplier of equipment, software and/or managed services to TSP for the purpose of installation, provision, operations and/or maintenance of TSP’s networks (in such capacity, the “Vendor”), agreed that the Vendor will supply equipment and services for consideration of up to $104.0 million. Blaize will provide its technology platform to TSP on a project-by-project basis. Each of the project offerings includes a specific combination of Blaize’s software and hardware products, as well as customized delivery, development and installation solutions, to be determined by each end user’s specific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280"/>
          </w:cols>
          <w:pgMar w:left="800" w:top="1440" w:right="819" w:bottom="1440" w:gutter="0" w:footer="0" w:header="0"/>
        </w:sectPr>
      </w:pPr>
    </w:p>
    <w:bookmarkStart w:id="7" w:name="page8"/>
    <w:bookmarkEnd w:id="7"/>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188595</wp:posOffset>
            </wp:positionH>
            <wp:positionV relativeFrom="page">
              <wp:posOffset>789305</wp:posOffset>
            </wp:positionV>
            <wp:extent cx="7171690" cy="4090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7171690" cy="4090670"/>
                    </a:xfrm>
                    <a:prstGeom prst="rect">
                      <a:avLst/>
                    </a:prstGeom>
                    <a:noFill/>
                  </pic:spPr>
                </pic:pic>
              </a:graphicData>
            </a:graphic>
          </wp:anchor>
        </w:drawing>
      </w:r>
    </w:p>
    <w:p>
      <w:pPr>
        <w:ind w:right="20"/>
        <w:spacing w:after="0" w:line="255" w:lineRule="auto"/>
        <w:rPr>
          <w:sz w:val="20"/>
          <w:szCs w:val="20"/>
          <w:color w:val="auto"/>
        </w:rPr>
      </w:pPr>
      <w:r>
        <w:rPr>
          <w:rFonts w:ascii="Times New Roman" w:cs="Times New Roman" w:eastAsia="Times New Roman" w:hAnsi="Times New Roman"/>
          <w:sz w:val="14"/>
          <w:szCs w:val="14"/>
          <w:color w:val="auto"/>
        </w:rPr>
        <w:t>The POCA established a timeline for each of the projects, including deadlines for the deliverables that TSP will require, beginning in the third quarter of 2024 through the fourth quarter of 2025. The timelines were predicated on the Customer defining the first field trials based on its data, after which production of the final solutions would commence. The POCA will continue to be in full force and effect unless terminated earlier by TSP.</w:t>
      </w:r>
    </w:p>
    <w:p>
      <w:pPr>
        <w:spacing w:after="0" w:line="102"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3"/>
          <w:szCs w:val="13"/>
          <w:color w:val="auto"/>
        </w:rPr>
        <w:t>Performance of the parties’ obligations under the POCA has been delayed as the Customer changed its initial field trial priorities. As of January 27, 2026, Blaize has not shipped any products or received any payments from the POCA Counterparty. Under the terms of the POCA, Blaize must receive advance payment by the POCA Counterparty before the shipment of any product. Though no revenues have been realized under the terms of the POCA to date, Blaize is expecting to initiate work on field trials once the Customer has identified the specific use cases and provides access to its data. The pace of deployment is contingent on the timing of the Customer’s decisions, and there is no guarantee that field trials will be successful.</w:t>
      </w:r>
    </w:p>
    <w:p>
      <w:pPr>
        <w:spacing w:after="0" w:line="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We believe that the solutions Blaize is currently developing for TSP and the Customer demonstrate Blaize’s capability to create a full-stack solution for the defense and other industries, and we have been in discussions with the POCA Counterparty throughout 2025 about additional potential opportunities, though there can be no guarantee that such discussions will result in any definitive agreement between the parties.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Jefferies LLC v. Blaize Holdings, Inc. (formerly known as BurTech Acquisition Corp.)</w:t>
      </w:r>
    </w:p>
    <w:p>
      <w:pPr>
        <w:spacing w:after="0" w:line="13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As previously disclosed, the Company was involved in litigation with Jefferies LLC (“Jefferies”) in New York state court related to disputed fees and expenses under an Advisory Services Engagement Letter between BurTech Acquisition Corp and Jefferies for the Business Combination. On November 30, 2025, Blaize and Jefferies settled the matter.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Background</w:t>
      </w:r>
    </w:p>
    <w:p>
      <w:pPr>
        <w:spacing w:after="0" w:line="13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On January 13, 2025, subsequent to the end of fiscal year ended December 31, 2024, BurTech completed the previously announced business combination pursuant to that certain Agreement and Plan of Merger, dated as of December 22, 2023 (as amended on April 22, 2024, October 24, 2024, and November 21, 2024, the “Merger Agreement”), by and among BurTech, BurTech Merger Sub Inc., a Delaware corporation and a wholly owned subsidiary of BurTech (“Merger Sub”), Blaize, Inc., a Delaware corporation (“Legacy Blaize”) and for the limited purposes set forth therein, Burkhan Capital LLC, a Delaware limited liability company (“Burkhan”). As contemplated by the Merger Agreement, on January 13, 2025, Merger Sub merged with and into Legacy Blaize, with Legacy Blaize being the surviving company and a wholly owned subsidiary of BurTech (the “Merger”, together with the other transactions contemplated by the Merger Agreement, the “Business Combination”). We changed our name from “BurTech Acquisition Corporation” to “Blaize Holdings, Inc.” in connection with the closing of the Business Combination. The Merger was accounted for as a reverse merger and recapitalization and BurTech was considered the acquired company for financial statement reporting purposes.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Our Common Stock is listed on Nasdaq under the symbol “BZAI.” Our principal executive offices are located at 4659 Golden Foothill Parkway in El Dorado Hills, California, 95762, and our telephone number is (916) 347-0050. Our website address is www.blaize.com. The information contained in, or accessible through, our website does not constitute a part of this prospectus. We have included our website address in this prospectus solely as an inactive textual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280"/>
          </w:cols>
          <w:pgMar w:left="800" w:top="1440" w:right="8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3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4"/>
          <w:szCs w:val="14"/>
          <w:color w:val="auto"/>
        </w:rPr>
        <w:t>Investing in our securities involves a high degree of risk. You should consider the risks, uncertainties and other factors described under the caption "Item 1A. Risk Factors" in our most recent Annual Report on Form 10-K, as supplemented and updated by subsequent Quarterly Reports on Form 10-Q, that we have filed or will file with the SEC, and in other documents which are incorporated by reference in this prospectus, as well as the risk factors and other information contained in or incorporated by reference in any accompanying prospectus supplement, together with all of the other information included in this prospectus. The risks and uncertainties we have described in such documents are not the only risks that we face. Additional risks and uncertainties not presently known to us or that we currently deem immaterial may also affect our operations. If any of these or any unanticipated risks actually occur, our business, financial condition and results of operations could be materially and adversely affected and the trading price of our securities could decline, causing you to lose some or all of your investment in our securities.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actual operating results may differ significantly from any guidance that we may provide.</w:t>
      </w:r>
    </w:p>
    <w:p>
      <w:pPr>
        <w:spacing w:after="0" w:line="13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From time to time, we may release projections or guidance in our quarterly earnings releases, quarterly earnings conference calls, or otherwise regarding our future performance that represents our management’s estimates as of the date of release. Any guidance we provide is based on certain assumptions, which may or may not prove to be correct. Failure to meet announced guidance or market expectations going forward, particularly with respect to our operational and financial results, shareholder returns, and expectations regarding the success of our business initiatives, whether due to our assumptions not being met or the impact of various risks and uncertainties, is likely to result in either or both a decline in or increased volatility in the market price of our stock. In addition, price and volume fluctuations in the stock market as a whole may affect the market price of our stock in ways that may be unrelated to our financial performance.</w:t>
      </w:r>
    </w:p>
    <w:p>
      <w:pPr>
        <w:spacing w:after="0" w:line="10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4"/>
          <w:szCs w:val="14"/>
          <w:b w:val="1"/>
          <w:bCs w:val="1"/>
          <w:i w:val="1"/>
          <w:iCs w:val="1"/>
          <w:color w:val="auto"/>
        </w:rPr>
        <w:t>Our long-term success may in part depend on our ability to expand sales to customers located outside of the United States, and we may experience difficulties in collections of our accounts receivable, or other matters that could adversely affect our revenue.</w:t>
      </w:r>
    </w:p>
    <w:p>
      <w:pPr>
        <w:spacing w:after="0" w:line="90"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4"/>
          <w:szCs w:val="14"/>
          <w:color w:val="auto"/>
        </w:rPr>
        <w:t>A substantial part of our sales is expected to be outside of the United States and some of our customers have some or all of their operations in countries other than the United States, including China and India. Customers located in these markets can present unique challenges compared to other markets, including longer payment cycles, difficulties in enforcing agreements and collecting payments due to us through certain foreign legal systems, higher credit risk, and fluctuations in the timing and amount of purchase orders. For example, several of our current customers have payment terms or payment practices that are longer than customary in the United States, which has delayed our ability to collect amounts due to us. Problems with collections from, or sales to, any one of those customers could materially and adversely affect our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231" w:right="3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3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4"/>
          <w:szCs w:val="14"/>
          <w:color w:val="auto"/>
        </w:rPr>
        <w:t>This prospectus, any applicable prospectus supplement, the documents incorporated by reference herein and therein and any applicable free writing prospectus may contain forward-looking statements. All statements other than statements of historical facts contained in this prospectus, any applicable prospectus supplement, the documents incorporated by reference herein and therein and any applicable free writing prospectus, are forward-looking statements, including statements regarding our future results of operations and financial position, business strategy, financial results and financial position, prospective products, product approvals, research and development costs, timing and likelihood of success, and the plans and objectives of management for future operations.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any applicable prospectus supplement, the documents incorporated by reference herein and therein and any applicable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0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prospectus, any applicable prospectus supplement, the documents incorporated by reference herein and therein and any applicable free writing prospectus are only predictions and are based largely on our current expectations and projections about future events and financial trends that we believe may affect our business, financial condition, and results of operations. These forward-looking statements speak only as of the respective dates of this prospectus, any applicable prospectus supplement, the documents incorporated by reference herein and therein and any applicable free writing prospectus, as applicable, and are subject to a number of known and unknown risks, uncertainties and assumptions, including, but not limited to, those described under “Risk Factors” and elsewhere in this prospectus, any applicable prospectus supplement, the documents incorporated by reference herein and therein, and any applicable free writing prospectus.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any applicable prospectus supplement, the documents incorporated by reference herein and therein and any applicable free writing prospectus,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60"/>
          </w:cols>
          <w:pgMar w:left="300" w:top="1231" w:right="339" w:bottom="1440" w:gutter="0" w:footer="0" w:header="0"/>
        </w:sectPr>
      </w:pPr>
    </w:p>
    <w:bookmarkStart w:id="10" w:name="page11"/>
    <w:bookmarkEnd w:id="10"/>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1231" w:right="1440" w:bottom="1440" w:gutter="0" w:footer="0" w:header="0"/>
        </w:sectPr>
      </w:pPr>
    </w:p>
    <w:bookmarkStart w:id="11" w:name="page12"/>
    <w:bookmarkEnd w:id="11"/>
    <w:p>
      <w:pPr>
        <w:ind w:left="448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date of this prospectus, we had two classes of securities registered pursuant to Section 12 of the Exchange Act: our common stock and our Public Warrants (as defined below).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following description summarizes some of the terms of our certificate of incorporation and bylaws and the Delaware General Corporation Law (“DGCL”). This description is summarized from, and qualified in its entirety by reference to, our certificate of incorporation and bylaws, each of which has been publicly filed with the SEC and attached hereto as Exhibits 3.1 and 3.2, respectively, as well as the relevant provisions of the DGCL.</w:t>
      </w:r>
    </w:p>
    <w:p>
      <w:pPr>
        <w:spacing w:after="0" w:line="102"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4"/>
          <w:szCs w:val="14"/>
          <w:color w:val="auto"/>
        </w:rPr>
        <w:t>Our purpose is to engage in any lawful act or activity for which corporations may now or hereafter be organized under the DGCL. Our authorized capital stock consists of 600,000,000 shares of Common Stock, par value $0.0001 per share, and 20,000,000 shares of preferred stock, par value $0.0001 per share. No shares of preferred stock are issued or outstanding. Unless our board of directors determines otherwise, we will issue all shares of our capital stock in uncertificated form.</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Voting Power</w:t>
      </w:r>
    </w:p>
    <w:p>
      <w:pPr>
        <w:spacing w:after="0" w:line="13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Except as otherwise required by law, as otherwise provided in our certificate of incorporation (as may be amended from time to time) or as otherwise provided in any certificate of designation for any series of preferred stock, the holders of shares of our Common Stock possess all voting power for the election of directors and all other matters requiring stockholder action. Holders of shares of our Common Stock are entitled to one vote for each share held on all matters to be voted on by stockholders.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13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Subject to applicable law, the rights and preferences of the holders of our preferred stock and any other provisions of our certificate of incorporation, as it may be amended from time to time, holders of our Common Stock are entitled to receive such dividends and other distributions in cash, stock or property of Blaize when, as and if declared thereon by our Board, in its discretion, from time to time out of assets or funds of Blaize legally available therefor.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Liquidation, Dissolution and Winding Up</w:t>
      </w:r>
    </w:p>
    <w:p>
      <w:pPr>
        <w:spacing w:after="0" w:line="13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4"/>
          <w:szCs w:val="14"/>
          <w:color w:val="auto"/>
        </w:rPr>
        <w:t>Subject to the rights of holders of our preferred stock, in the event of any liquidation, dissolution or winding up of our affairs, whether voluntary or involuntary, after payment or provision for payment of our debts and any other payments required by law and amounts payable upon shares of our preferred stock ranking senior to the shares of our Common Stock upon such dissolution, liquidation or winding up, if any, our remaining net assets will be distributed to the holders of our Common Stock and the holders of any other class or series of capital stock ranking equally with our Common Stock upon such dissolution, liquidation or winding up, equally on a per share basis.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Preemptive or Other Rights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stockholders have no preemptive or other subscription rights. No sinking fund provisions are applicable to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13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Our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and the number of shares constituting any series or the designation of any series, all to the fullest extent now or hereafter permitted by the DGCL. The issuance of our preferred stock could have the effect of</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231" w:right="319" w:bottom="1440" w:gutter="0" w:footer="0" w:header="0"/>
        </w:sectPr>
      </w:pPr>
    </w:p>
    <w:bookmarkStart w:id="12" w:name="page13"/>
    <w:bookmarkEnd w:id="12"/>
    <w:p>
      <w:pPr>
        <w:spacing w:after="0" w:line="266" w:lineRule="auto"/>
        <w:rPr>
          <w:sz w:val="20"/>
          <w:szCs w:val="20"/>
          <w:color w:val="auto"/>
        </w:rPr>
      </w:pPr>
      <w:r>
        <w:rPr>
          <w:rFonts w:ascii="Times New Roman" w:cs="Times New Roman" w:eastAsia="Times New Roman" w:hAnsi="Times New Roman"/>
          <w:sz w:val="14"/>
          <w:szCs w:val="14"/>
          <w:color w:val="auto"/>
        </w:rPr>
        <w:t>decreasing the trading price of our Common Stock, restricting dividends on the capital stock of Blaize, diluting the voting power of our Common Stock, impairing the liquidation rights of the capital stock of Blaize, or delaying or preventing a change in control of Blaize.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Election of Directors and Vacancies</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Subject to the rights of the holders of any one or more series of preferred stock to elect additional directors under specified circumstances and the terms, the number of directors of our Board is fixed solely and exclusively by our Board, but it currently consists of seven (7) directors.</w:t>
      </w:r>
    </w:p>
    <w:p>
      <w:pPr>
        <w:spacing w:after="0" w:line="9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4"/>
          <w:szCs w:val="14"/>
          <w:color w:val="auto"/>
        </w:rPr>
        <w:t>Under the Bylaws and except as otherwise provided by the Charter, at all meetings of stockholders called for the election of directors at which a quorum is present, a plurality of the votes properly cast is sufficient to elect such directors to the Board.</w:t>
      </w:r>
    </w:p>
    <w:p>
      <w:pPr>
        <w:spacing w:after="0" w:line="9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Except as the DGCL may otherwise require and subject to the rights, if any, of the holders of any one or more series of our preferred stock, newly created directorships and any vacancies on our Board, including unfilled vacancies resulting from the removal of directors, may be filled only by the affirmative vote of a majority of the remaining directors then in office, although less than a quorum, or by the sole remaining director (other than any directors elected by the separate vote of one or more outstanding series of preferred stock), and shall not be filled by the stockholders. All directors will hold office until the expiration of their respective terms of office and until their successors will have been elected and qualified or until their earlier death, resignation, disqualification or removal. A director elected or appointed to fill a vacancy resulting from the death, resignation or removal of a director or a newly created directorship will serve for a term expiring at the next annual meeting of the stockholders of Blaize and until his or her successor will have been elected and qualified or until such director’s earlier death, resignation, disqualification or removal.</w:t>
      </w:r>
    </w:p>
    <w:p>
      <w:pPr>
        <w:spacing w:after="0" w:line="106"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4"/>
          <w:szCs w:val="14"/>
          <w:color w:val="auto"/>
        </w:rPr>
        <w:t>Subject to the rights, if any, of the holders of any one or more series of our preferred stock, any director may be removed from office only for cause and only by the affirmative vote of the holders of not less than sixty-six and two-thirds percent (66</w:t>
      </w:r>
      <w:r>
        <w:rPr>
          <w:rFonts w:ascii="Times New Roman" w:cs="Times New Roman" w:eastAsia="Times New Roman" w:hAnsi="Times New Roman"/>
          <w:sz w:val="17"/>
          <w:szCs w:val="17"/>
          <w:color w:val="auto"/>
          <w:vertAlign w:val="superscript"/>
        </w:rPr>
        <w:t>2/3</w:t>
      </w:r>
      <w:r>
        <w:rPr>
          <w:rFonts w:ascii="Times New Roman" w:cs="Times New Roman" w:eastAsia="Times New Roman" w:hAnsi="Times New Roman"/>
          <w:sz w:val="14"/>
          <w:szCs w:val="14"/>
          <w:color w:val="auto"/>
        </w:rPr>
        <w:t>%) of the outstanding capital stock of Blaize then entitled to vote generally in the election of directors.</w:t>
      </w:r>
    </w:p>
    <w:p>
      <w:pPr>
        <w:spacing w:after="0" w:line="28"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4"/>
          <w:szCs w:val="14"/>
          <w:color w:val="auto"/>
        </w:rPr>
        <w:t>In addition to the powers and authorities hereinbefore or by statute expressly conferred upon them, the directors are hereby empowered to exercise all such powers and do all such acts and things as may be exercised or done by Blaize, subject, nevertheless, to the provisions of the DGCL, our certificate of incorporation and our bylaws; provided, however, that no bylaw so adopted will invalidate any prior act of the directors which would have been valid if such bylaw had not been adopted.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Quorum; Voting</w:t>
      </w:r>
    </w:p>
    <w:p>
      <w:pPr>
        <w:spacing w:after="0" w:line="13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3"/>
          <w:szCs w:val="13"/>
          <w:color w:val="auto"/>
        </w:rPr>
        <w:t>The holders of a majority of the voting power of the capital stock issued and outstanding and entitled to vote thereat, present in person, or by remote communication, if applicable, or represented by proxy, constitutes a quorum at all meetings of the stockholders for the transaction of business except as otherwise required by law or provided by our certificate of incorporation and bylaws. If, however, such quorum will not be present or represented at any meeting of the stockholders, the person presiding over the meeting or holders of a majority of the voting power present in person, or by remote communication, if applicable, or represented by proxy, has the power to recess or adjourn the meeting from time to time, without notice other than announcement at the meeting or in any other manner permitted by the DGCL, until a quorum will be present or represented. At such recessed or adjourned meeting at which a quorum will be present or represented, any business may be transacted which might have been transacted at the meeting as originally noticed. If the adjournment is for more than thirty (30) days, a notice of the adjourned meeting will be given to each stockholder of record entitled to vote at such adjourned meeting. If after the adjournment a new record date for determination of stockholders entitled to vote is fixed for the adjourned meeting, our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 The stockholders present at a duly called or convened meeting, at which a quorum is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80"/>
          </w:cols>
          <w:pgMar w:left="300" w:top="123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t>present, may continue to transact business until adjournment, notwithstanding the withdrawal of enough stockholders to leave less than a quorum.</w:t>
      </w:r>
    </w:p>
    <w:p>
      <w:pPr>
        <w:spacing w:after="0" w:line="12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4"/>
          <w:szCs w:val="14"/>
          <w:color w:val="auto"/>
        </w:rPr>
        <w:t>Unless a different or minimum vote is required by statute or by the applicable stock exchange rules, or by our certificate of incorporation or our bylaws, in which case such different or minimum vote shall be the applicable vote on the matter, in all matters other than the election of directors, the affirmative vote of a majority of the voting power of the shares present in person, by remote communication, if applicable, or represented by proxy at the meeting and voting affirmatively or negatively (excluding abstentions and broker non-votes) on such matter shall be the act of the stockholders. Except as otherwise provided by statute, our certificate of incorporation or our bylaws, directors shall be elected by a plurality of the votes of the shares present in person, by remote communication, if applicable, or represented by proxy at the meeting and entitled to vote in the election of directors. Where a separate vote by a class or classes or series is required, except where otherwise provided by statute or by our certificate of incorporation or our bylaws or any applicable stock exchange rules, the holders of a majority of the voting power of the outstanding shares of such class or classes or series, present in person, by remote communication, if applicable, or represented by proxy, shall constitute a quorum entitled to take action with respect to that vote on that matter. Except where otherwise provided by statute or by our certificate of incorporation or our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Anti-takeover Effects of the Charter and the Bylaws</w:t>
      </w:r>
    </w:p>
    <w:p>
      <w:pPr>
        <w:spacing w:after="0" w:line="13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4"/>
          <w:szCs w:val="14"/>
          <w:color w:val="auto"/>
        </w:rPr>
        <w:t>Our certificate of incorporation or our bylaws contain provisions that may delay, defer or discourage another party from acquiring control of us. We expect that these provisions, which are summarized above, will discourage coercive takeover practices or inadequate takeover bids. These provisions are also designed to encourage persons seeking to acquire control of us to first negotiate with our Board, which we believe may result in an improvement of the terms of any such acquisition in favor of our stockholders. However, they also give our Board the power to discourage acquisitions that some stockholders may favor.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Authorized but Unissued Capital Stock</w:t>
      </w:r>
    </w:p>
    <w:p>
      <w:pPr>
        <w:spacing w:after="0" w:line="1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Delaware law does not require stockholder approval for any issuance of authorized shares. However, the listing requirements of the Nasdaq, which would apply if and so long as our Common Stock (or units or Warrants) remains listed on the Nasdaq, require stockholder approval of certain issuances equal to or exceeding 20% of the then outstanding voting power or then outstanding number of shares of our Common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shares that may be issued in the future may be used for a variety of corporate purposes, including future public offerings, to raise additional capital or to facilitate acquisitions.</w:t>
      </w:r>
    </w:p>
    <w:p>
      <w:pPr>
        <w:spacing w:after="0" w:line="126"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may be to enable our Board to issue shares to persons friendly to current management, which issuance could render more difficult or discourage an attempt to obtain control of Blaize by means of a merger, tender offer, proxy contest or otherwise and thereby protect the continuity of management and possibly deprive stockholders of opportunities to sell their shares of our Common Stock at prices higher than prevailing market prices.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Special Meeting, Action by Written Consent and Advance Notice Requirements for Stockholder Proposals</w:t>
      </w:r>
    </w:p>
    <w:p>
      <w:pPr>
        <w:spacing w:after="0" w:line="13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Unless otherwise required by law, and subject to the rights, if any, of the holders of any one or more series of our preferred stock, special meetings of the stockholders of Blaize, for any purpose or purposes, may be called only by (a) the Chairperson of our Board, (b) the Chief Executive Officer, (c) our Board or (d) the President.</w:t>
      </w:r>
    </w:p>
    <w:p>
      <w:pPr>
        <w:spacing w:after="0" w:line="95"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4"/>
          <w:szCs w:val="14"/>
          <w:color w:val="auto"/>
        </w:rPr>
        <w:t>Unless otherwise required by law, written notice of a special meeting of stockholders, stating the place, date and time of the meeting, the means of remote communication by which stockholders and proxy holders may be deemed to be present in person and vote at such meeting, and purpose or purposes thereof, shall be given to each stockholder entitled to vote at such meeting, not less than ten (10) or more than sixty (60) days before the date fixed for the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23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meeting. Business transacted at any special meeting of stockholders will be limited to the purposes stated in the notice.</w:t>
      </w:r>
    </w:p>
    <w:p>
      <w:pPr>
        <w:spacing w:after="0" w:line="126"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4"/>
          <w:szCs w:val="14"/>
          <w:color w:val="auto"/>
        </w:rPr>
        <w:t>Our bylaws also provide that unless otherwise restricted by our certificate of incorporation or our bylaws, any action required or permitted to be taken at any meeting of our Board or of any committee thereof may be taken without a meeting, if all members of our Board or of such committee, as the case may be, consent thereto in writing or by electronic transmission, and the writing or writings or electronic transmission or transmissions are filed with the minutes of proceedings of our Board or committee.</w:t>
      </w:r>
    </w:p>
    <w:p>
      <w:pPr>
        <w:spacing w:after="0" w:line="10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Chairperson of our Board or our Board,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03" w:lineRule="exact"/>
        <w:rPr>
          <w:sz w:val="20"/>
          <w:szCs w:val="20"/>
          <w:color w:val="auto"/>
        </w:rPr>
      </w:pPr>
    </w:p>
    <w:p>
      <w:pPr>
        <w:ind w:right="320"/>
        <w:spacing w:after="0" w:line="428" w:lineRule="auto"/>
        <w:rPr>
          <w:sz w:val="20"/>
          <w:szCs w:val="20"/>
          <w:color w:val="auto"/>
        </w:rPr>
      </w:pPr>
      <w:r>
        <w:rPr>
          <w:rFonts w:ascii="Times New Roman" w:cs="Times New Roman" w:eastAsia="Times New Roman" w:hAnsi="Times New Roman"/>
          <w:sz w:val="14"/>
          <w:szCs w:val="14"/>
          <w:color w:val="auto"/>
        </w:rPr>
        <w:t xml:space="preserve">These provisions could have the effect of delaying until the next stockholder meeting any stockholder actions, even if they are favored by the holders of a majority of our outstanding voting securities. </w:t>
      </w:r>
      <w:r>
        <w:rPr>
          <w:rFonts w:ascii="Times New Roman" w:cs="Times New Roman" w:eastAsia="Times New Roman" w:hAnsi="Times New Roman"/>
          <w:sz w:val="14"/>
          <w:szCs w:val="14"/>
          <w:b w:val="1"/>
          <w:bCs w:val="1"/>
          <w:color w:val="auto"/>
        </w:rPr>
        <w:t>Amendment to Certificate of Incorporation and Bylaws</w:t>
      </w:r>
    </w:p>
    <w:p>
      <w:pPr>
        <w:ind w:right="80"/>
        <w:spacing w:after="0" w:line="266" w:lineRule="auto"/>
        <w:rPr>
          <w:sz w:val="20"/>
          <w:szCs w:val="20"/>
          <w:color w:val="auto"/>
        </w:rPr>
      </w:pPr>
      <w:r>
        <w:rPr>
          <w:rFonts w:ascii="Times New Roman" w:cs="Times New Roman" w:eastAsia="Times New Roman" w:hAnsi="Times New Roman"/>
          <w:sz w:val="14"/>
          <w:szCs w:val="14"/>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95" w:lineRule="exact"/>
        <w:rPr>
          <w:sz w:val="20"/>
          <w:szCs w:val="20"/>
          <w:color w:val="auto"/>
        </w:rPr>
      </w:pPr>
    </w:p>
    <w:p>
      <w:pPr>
        <w:spacing w:after="0" w:line="318" w:lineRule="auto"/>
        <w:rPr>
          <w:sz w:val="20"/>
          <w:szCs w:val="20"/>
          <w:color w:val="auto"/>
        </w:rPr>
      </w:pPr>
      <w:r>
        <w:rPr>
          <w:rFonts w:ascii="Times New Roman" w:cs="Times New Roman" w:eastAsia="Times New Roman" w:hAnsi="Times New Roman"/>
          <w:sz w:val="13"/>
          <w:szCs w:val="13"/>
          <w:color w:val="auto"/>
        </w:rPr>
        <w:t>Our certificate of incorporation provides, however, in addition to the votes required by law, that the following provisions therein may be amended, altered, repealed or rescinded only by the affirmative vote of the holders of at least sixty-six and two-thirds percent (66</w:t>
      </w:r>
      <w:r>
        <w:rPr>
          <w:rFonts w:ascii="Times New Roman" w:cs="Times New Roman" w:eastAsia="Times New Roman" w:hAnsi="Times New Roman"/>
          <w:sz w:val="16"/>
          <w:szCs w:val="16"/>
          <w:color w:val="auto"/>
          <w:vertAlign w:val="superscript"/>
        </w:rPr>
        <w:t>2/3</w:t>
      </w:r>
      <w:r>
        <w:rPr>
          <w:rFonts w:ascii="Times New Roman" w:cs="Times New Roman" w:eastAsia="Times New Roman" w:hAnsi="Times New Roman"/>
          <w:sz w:val="13"/>
          <w:szCs w:val="13"/>
          <w:color w:val="auto"/>
        </w:rPr>
        <w:t>%) of the voting power of all of the then-outstanding shares of capital stock of Blaize entitled to thereon, voting together as a single class:</w:t>
      </w:r>
    </w:p>
    <w:p>
      <w:pPr>
        <w:spacing w:after="0" w:line="10" w:lineRule="exact"/>
        <w:rPr>
          <w:sz w:val="20"/>
          <w:szCs w:val="20"/>
          <w:color w:val="auto"/>
        </w:rPr>
      </w:pPr>
    </w:p>
    <w:p>
      <w:pPr>
        <w:ind w:left="500" w:right="120" w:hanging="252"/>
        <w:spacing w:after="0" w:line="266" w:lineRule="auto"/>
        <w:tabs>
          <w:tab w:leader="none" w:pos="49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the two classes of capital stock of Blaize and the designations and the powers, privileges and rights, and the qualifications, limitations or restrictions thereof in respect of each class of capital stock;</w:t>
      </w:r>
    </w:p>
    <w:p>
      <w:pPr>
        <w:spacing w:after="0" w:line="94" w:lineRule="exact"/>
        <w:rPr>
          <w:rFonts w:ascii="Times New Roman" w:cs="Times New Roman" w:eastAsia="Times New Roman" w:hAnsi="Times New Roman"/>
          <w:sz w:val="14"/>
          <w:szCs w:val="14"/>
          <w:color w:val="auto"/>
        </w:rPr>
      </w:pPr>
    </w:p>
    <w:p>
      <w:pPr>
        <w:ind w:left="500" w:right="280" w:hanging="252"/>
        <w:spacing w:after="0" w:line="266" w:lineRule="auto"/>
        <w:tabs>
          <w:tab w:leader="none" w:pos="49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the management of Blaize, the size of our Board, the election and removal of directors to our Board, the filling of vacancies, preferred stockholder election rights, and bylaw amendments;</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the actions of stockholders of Blaize, advance notice of business to be brought by stockholders and special meetings of stockholders;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the limited liability of directors or officers of Blaize;</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the indemnification of the current and former officers, directors, employees and agents of Blaize;</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exclusive forums for certain actions; and</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regarding amending our certificate of incorporation.</w:t>
      </w:r>
    </w:p>
    <w:p>
      <w:pPr>
        <w:spacing w:after="0" w:line="12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4"/>
          <w:szCs w:val="14"/>
          <w:color w:val="auto"/>
        </w:rPr>
        <w:t>Subject to our certificate of incorporation, our Board is expressly empowered to adopt, amend or repeal our bylaws. The stockholders also shall have power to adopt, amend or repeal our bylaws; provided, however, that, in addition to any vote of the holders of any class or series of stock of Blaize required by applicable law or by our certificate of incorporation (including any certificate of designation relating to any series of preferred stock), such action by stockholders shall require the affirmative vote of the holders of sixty-six and two-thirds percent (66</w:t>
      </w:r>
      <w:r>
        <w:rPr>
          <w:rFonts w:ascii="Times New Roman" w:cs="Times New Roman" w:eastAsia="Times New Roman" w:hAnsi="Times New Roman"/>
          <w:sz w:val="17"/>
          <w:szCs w:val="17"/>
          <w:color w:val="auto"/>
          <w:vertAlign w:val="superscript"/>
        </w:rPr>
        <w:t>2/3</w:t>
      </w:r>
      <w:r>
        <w:rPr>
          <w:rFonts w:ascii="Times New Roman" w:cs="Times New Roman" w:eastAsia="Times New Roman" w:hAnsi="Times New Roman"/>
          <w:sz w:val="14"/>
          <w:szCs w:val="14"/>
          <w:color w:val="auto"/>
        </w:rPr>
        <w:t>%) of the voting power of all of the then-outstanding shares of the capital stock of Blaize entitled to vote thereon,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20"/>
          </w:cols>
          <w:pgMar w:left="300" w:top="1235"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of Officers and Directors</w:t>
      </w:r>
    </w:p>
    <w:p>
      <w:pPr>
        <w:spacing w:after="0" w:line="13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4"/>
          <w:szCs w:val="14"/>
          <w:color w:val="auto"/>
        </w:rPr>
        <w:t>Our certificate of incorporation limits the liability of the directors and officers of Blaize to the fullest extent permitted by law, and our bylaws provide that we will indemnify them to the fullest extent permitted by such law. We have entered and expect to continue to enter into agreements to indemnify our directors, executive officers and other employees as determined by our Board.</w:t>
      </w:r>
    </w:p>
    <w:p>
      <w:pPr>
        <w:spacing w:after="0" w:line="9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3"/>
          <w:szCs w:val="13"/>
          <w:color w:val="auto"/>
        </w:rPr>
        <w:t>Under the terms of such indemnification agreements, we are required to, among other things, indemnify each of our directors and officers for certain expenses, including attorneys’ fees, judgments, fines, ERISA excise taxes or penalties and settlement amounts, to the fullest extent permitted by applicable law, if the basis of the indemnitee’s involvement was by reason of the fact that the indemnitee, or a person for whom he or she is the legal representative, is or was a director or officer of Blaize or any of its subsidiaries or is or was serving at our request as a director, officer, employee or agent for another entity. The indemnification agreements also require us, to the fullest extent not prohibited by law and if so requested, to advance within thirty (30) days of such request all expenses that any of the indemnitees incurred, provided that such indemnitee will return any such advance if it is ultimately determined that such indemnitee is not entitled to indemnification by us. Any claims for indemnification by our directors and officers may reduce our available funds to satisfy successful third-party claims against us and may reduce the amount of money available to us.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Exclusive Forum of Certain Actions</w:t>
      </w:r>
    </w:p>
    <w:p>
      <w:pPr>
        <w:spacing w:after="0" w:line="13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Under our certificate of incorporation, unless we consent in writing to the selection of an alternative forum, the Court of Chancery of the State of Delaware (or, in the event that the Court of Chancery of the State of Delaware does not have jurisdiction, the federal district court for the District of Delaware or other state courts of the State of Delaware) and any appellate court therefrom shall be the sole and exclusive forum for the following claims or causes of action under Delaware statutory or common law: (A) any derivative action, suit or proceeding brought on behalf of Blaize; (B) any action, suit or proceeding asserting a claim of breach of a fiduciary duty owed by any director, officer or stockholder of Blaize, to Blaize or its stockholders; (C) any action, suit or proceeding arising out of or pursuant to any provision of the DGCL, our certificate of incorporation or our bylaws; and (D) any action, suit or proceeding asserting a claim against Blaize governed by the internal affairs doctrine, in all cases to the fullest extent permitted by law. Unless we consent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including all causes of action asserted against any defendant named in such complaint.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addition, Section 27 of the Exchange Act creates exclusive federal jurisdiction over all suits brought to enforce any duty or liability created by the Exchange Act or the rules and regulations thereunder.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a result, this provision will not apply to claims or suits brought to enforce any duty or liability created by the Exchange Act or any other claim for which the federal courts have exclusive jurisdiction.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Any person or entity holding, owning or otherwise acquiring any interest in any security of Blaize shall be deemed to have notice of and consented to the provisions of our certificate of incorporation.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Public Warrants</w:t>
      </w:r>
    </w:p>
    <w:p>
      <w:pPr>
        <w:spacing w:after="0" w:line="13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4"/>
          <w:szCs w:val="14"/>
          <w:color w:val="auto"/>
        </w:rPr>
        <w:t>Upon the consummation of the Merger, BurTech’s 28,750,000 legacy public warrants issued in BurTech’s initial public offering and 898,250 legacy private warrants outstanding immediately prior to the Merger became warrants to purchase the Company’s common stock. All of these warrants are now public warrants (each, a “Public Warrant”) and trade under the ticker symbol “BZAIW”.</w:t>
      </w:r>
    </w:p>
    <w:p>
      <w:pPr>
        <w:spacing w:after="0" w:line="9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Each Public Warrant entitles the registered holder to purchase one share of Common Stock at a price of $11.50 per share, subject to adjustment as discussed below. Pursuant to the warrant agreement, a Public Warrant holder may exercise its Public Warrants only for a whole number of shares of Common Stock. This means that only a whole Public Warrant may be exercised at any given time by a Public Warrant holder, and only whole Public Warrants will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220"/>
          </w:cols>
          <w:pgMar w:left="300" w:top="123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trade. The Public Warrants will expire five years after the Closing, at 5:00 p.m., New York City time, or earlier upon redemption or liquidation.</w:t>
      </w:r>
    </w:p>
    <w:p>
      <w:pPr>
        <w:spacing w:after="0" w:line="1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We will not be obligated to deliver any shares of Common Stock pursuant to the exercise of a Public Warrant and will have no obligation to settle such Public Warrant exercise unless a registration statement under the Securities Act with respect to the shares of Common Stock underlying the Public Warrants is then effective and a prospectus relating thereto is current, subject to us satisfying our obligations described below with respect to registration. No Public Warrant will be exercisable and we will not be obligated to issue shares of Common Stock upon exercise of a Public Warrant unless Common Stock issuable upon such Public Warrant exercise has been registered, qualified or deemed to be exempt under the securities laws of the state of residence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warrant.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Redemption of Public Warrants when the price per share of Common Stock equals or exceeds $18.00</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call the Public Warrants for redemption for cash:</w:t>
      </w:r>
    </w:p>
    <w:p>
      <w:pPr>
        <w:spacing w:after="0" w:line="126" w:lineRule="exact"/>
        <w:rPr>
          <w:sz w:val="20"/>
          <w:szCs w:val="20"/>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whole and not in part;</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price of $0.01 per Public Warrant;</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not less than 30 days’ prior written notice of redemption given after the Public Warrants become exercisable (the “30-day redemption period”) to each Public Warrant holder;</w:t>
      </w:r>
    </w:p>
    <w:p>
      <w:pPr>
        <w:spacing w:after="0" w:line="126" w:lineRule="exact"/>
        <w:rPr>
          <w:rFonts w:ascii="Times New Roman" w:cs="Times New Roman" w:eastAsia="Times New Roman" w:hAnsi="Times New Roman"/>
          <w:sz w:val="14"/>
          <w:szCs w:val="14"/>
          <w:color w:val="auto"/>
        </w:rPr>
      </w:pPr>
    </w:p>
    <w:p>
      <w:pPr>
        <w:jc w:val="both"/>
        <w:ind w:left="500" w:right="60" w:hanging="252"/>
        <w:spacing w:after="0" w:line="255" w:lineRule="auto"/>
        <w:tabs>
          <w:tab w:leader="none" w:pos="49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 reported last sale price of Common Stock equals or exceeds $18.00 per share (as adjusted for stock splits, stock capitalizations, reorganizations, recapitalizations and the like) for any 20 trading days within a 30-trading day period commencing once the Public Warrants become exercisable and ending three business days before we send the notice of redemption to the Public Warrant holders; and</w:t>
      </w:r>
    </w:p>
    <w:p>
      <w:pPr>
        <w:spacing w:after="0" w:line="102"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only if, there is a current registration statement in effect with respect to the shares of Common Stock underlying such Warrants.</w:t>
      </w:r>
    </w:p>
    <w:p>
      <w:pPr>
        <w:spacing w:after="0" w:line="126" w:lineRule="exact"/>
        <w:rPr>
          <w:sz w:val="20"/>
          <w:szCs w:val="20"/>
          <w:color w:val="auto"/>
        </w:rPr>
      </w:pPr>
    </w:p>
    <w:p>
      <w:pPr>
        <w:jc w:val="both"/>
        <w:ind w:right="220"/>
        <w:spacing w:after="0" w:line="252" w:lineRule="auto"/>
        <w:rPr>
          <w:sz w:val="20"/>
          <w:szCs w:val="20"/>
          <w:color w:val="auto"/>
        </w:rPr>
      </w:pPr>
      <w:r>
        <w:rPr>
          <w:rFonts w:ascii="Times New Roman" w:cs="Times New Roman" w:eastAsia="Times New Roman" w:hAnsi="Times New Roman"/>
          <w:sz w:val="14"/>
          <w:szCs w:val="14"/>
          <w:color w:val="auto"/>
        </w:rPr>
        <w:t>We have established the last of the redemption criteria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its Public Warrant prior to the scheduled redemption date. However, the price of Common Stock may stay below the $18.00 redemption trigger price (as adjusted for stock splits, stock dividends, reorganizations, recapitalizations and the like) as well as the $11.50 (for whole shares) warrant exercise price after the redemption notice is issued.</w:t>
      </w:r>
    </w:p>
    <w:p>
      <w:pPr>
        <w:spacing w:after="0" w:line="10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If we call the Public Warrants for redemption as described above, we will have the option to require any holder that wishes to exercise its Public Warrant to do so on a “cashless basis.” In determining whether to require all holders to exercise their Public Warrants on a “cashless basis,” we will consider, among other factors, our cash position, the number of Public Warrants that are outstanding and the dilutive effect on our stockholders of issuing the maximum number of shares of Common Stock issuable upon the exercise of the Public Warrants. If we take advantage of this option, all holders of Public Warrants would pay the exercise price by surrendering their Public Warrants for that number of shares of Common Stock equal to the quotient obtained by dividing (x) the product of the number of shares of Common Stock underlying the Public Warrants, multiplied by the difference between exercise price of the Price Warrants and the “fair market value” of Common Stock (defined below) by (y) the fair market value. The “fair market value” means the average reported last sale price of Common Stock for the 5 trading days ending on the third trading day prior to the date on which the notice of redemption is sent to the holders of Public Warrants. If we take advantage of this option, the notice of redemption will contain the information necessary to calculate the number of shares of Common Stock to be received upon exercise of the Public Warrants,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60"/>
          </w:cols>
          <w:pgMar w:left="300" w:top="1235" w:right="339" w:bottom="1440" w:gutter="0" w:footer="0" w:header="0"/>
        </w:sectPr>
      </w:pPr>
    </w:p>
    <w:bookmarkStart w:id="17" w:name="page18"/>
    <w:bookmarkEnd w:id="17"/>
    <w:p>
      <w:pPr>
        <w:ind w:right="500"/>
        <w:spacing w:after="0" w:line="428" w:lineRule="auto"/>
        <w:rPr>
          <w:sz w:val="20"/>
          <w:szCs w:val="20"/>
          <w:color w:val="auto"/>
        </w:rPr>
      </w:pPr>
      <w:r>
        <w:rPr>
          <w:rFonts w:ascii="Times New Roman" w:cs="Times New Roman" w:eastAsia="Times New Roman" w:hAnsi="Times New Roman"/>
          <w:sz w:val="14"/>
          <w:szCs w:val="14"/>
          <w:color w:val="auto"/>
        </w:rPr>
        <w:t xml:space="preserve">the “fair market value” in such case. Requiring a cashless exercise in this manner will reduce the number of shares to be issued and thereby lessen the dilutive effect of a Public Warrant redemption. </w:t>
      </w:r>
      <w:r>
        <w:rPr>
          <w:rFonts w:ascii="Times New Roman" w:cs="Times New Roman" w:eastAsia="Times New Roman" w:hAnsi="Times New Roman"/>
          <w:sz w:val="14"/>
          <w:szCs w:val="14"/>
          <w:b w:val="1"/>
          <w:bCs w:val="1"/>
          <w:i w:val="1"/>
          <w:iCs w:val="1"/>
          <w:color w:val="auto"/>
        </w:rPr>
        <w:t>Redemption Procedures</w:t>
      </w:r>
    </w:p>
    <w:p>
      <w:pPr>
        <w:spacing w:after="0" w:line="255" w:lineRule="auto"/>
        <w:rPr>
          <w:sz w:val="20"/>
          <w:szCs w:val="20"/>
          <w:color w:val="auto"/>
        </w:rPr>
      </w:pPr>
      <w:r>
        <w:rPr>
          <w:rFonts w:ascii="Times New Roman" w:cs="Times New Roman" w:eastAsia="Times New Roman" w:hAnsi="Times New Roman"/>
          <w:sz w:val="14"/>
          <w:szCs w:val="14"/>
          <w:color w:val="auto"/>
        </w:rPr>
        <w:t>A holder of a Public Warrant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of Common Stock outstanding immediately after giving effect to such exercise.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Anti-Dilution Adjustments</w:t>
      </w:r>
    </w:p>
    <w:p>
      <w:pPr>
        <w:spacing w:after="0" w:line="13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If the number of outstanding shares of Common Stock is increased by a capitalization or share dividend payable in Common Stock, or by a split-up of shares of Common Stock or other similar event, then, on the effective date of such stock dividend, split-up or similar event, the number of shares of Common Stock issuable on exercise of each whole Public Warrant will be increased in proportion to such increase in the outstanding ordinary stock.</w:t>
      </w:r>
    </w:p>
    <w:p>
      <w:pPr>
        <w:spacing w:after="0" w:line="10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If the number of outstanding shares of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Whenever the number of shares of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02"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4"/>
          <w:szCs w:val="14"/>
          <w:color w:val="auto"/>
        </w:rPr>
        <w:t>In case of any reclassification or reorganization of the outstanding shares of Common Stock (other than those described above or that solely affects the par value of such shares of Common Stock), or in the case of any merger or consolidation of Blaize with or into another corporation (other than a consolidation or merger in which Blaize is the continuing corporation and that does not result in any reclassification or reorganization of the outstanding shares of Common Stock), or in the case of any sale or conveyance to another corporation or entity of the assets or other property of Blaize as an entirety or substantially as an entirety in connection with which Blaize is dissolved, the holders of the Public Warrants will thereafter have the right to purchase and receive, upon the basis and upon the terms and conditions specified in the Public Warrants and in lieu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Terms</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The Public Warrants are issued in registered form under a warrant agreement between Continental Stock Transfer &amp; Trust Company, as warrant agent, and Blaize. 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02"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4"/>
          <w:szCs w:val="14"/>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Blaize, for the number of Public Warrants being exercised. The Public Warrant holders do not have the rights or privileges of holders of Common Stock and any voting rights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80"/>
          </w:cols>
          <w:pgMar w:left="300" w:top="1235" w:right="319" w:bottom="1440" w:gutter="0" w:footer="0" w:header="0"/>
        </w:sectPr>
      </w:pPr>
    </w:p>
    <w:bookmarkStart w:id="18" w:name="page19"/>
    <w:bookmarkEnd w:id="18"/>
    <w:p>
      <w:pPr>
        <w:ind w:right="60"/>
        <w:spacing w:after="0" w:line="266" w:lineRule="auto"/>
        <w:rPr>
          <w:sz w:val="20"/>
          <w:szCs w:val="20"/>
          <w:color w:val="auto"/>
        </w:rPr>
      </w:pPr>
      <w:r>
        <w:rPr>
          <w:rFonts w:ascii="Times New Roman" w:cs="Times New Roman" w:eastAsia="Times New Roman" w:hAnsi="Times New Roman"/>
          <w:sz w:val="14"/>
          <w:szCs w:val="14"/>
          <w:color w:val="auto"/>
        </w:rPr>
        <w:t>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No fractional shares will be issued upon exercise of the Public Warrants. If, upon exercise of the Public Warrants, a holder would be entitled to receive a fractional interest in a share, we will, upon exercise, round up to the nearest whole number of shares of Common Stock to be issued to the warrant holder.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Agent and Warrant Agent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transfer agent for our Common Stock and warrant agent for the Public Warrants is Continental Stock Transfer &amp; Trust Company.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 and Market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Common Stock and Public Warrants are listed on the Nasdaq Global Market under the symbol “BZAI” and “BZAIW,”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20"/>
          </w:cols>
          <w:pgMar w:left="300" w:top="1235" w:right="37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3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0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0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02" w:lineRule="exact"/>
        <w:rPr>
          <w:sz w:val="20"/>
          <w:szCs w:val="20"/>
          <w:color w:val="auto"/>
        </w:rPr>
      </w:pPr>
    </w:p>
    <w:p>
      <w:pPr>
        <w:ind w:right="1780"/>
        <w:spacing w:after="0" w:line="428" w:lineRule="auto"/>
        <w:rPr>
          <w:sz w:val="20"/>
          <w:szCs w:val="20"/>
          <w:color w:val="auto"/>
        </w:rPr>
      </w:pPr>
      <w:r>
        <w:rPr>
          <w:rFonts w:ascii="Times New Roman" w:cs="Times New Roman" w:eastAsia="Times New Roman" w:hAnsi="Times New Roman"/>
          <w:sz w:val="14"/>
          <w:szCs w:val="14"/>
          <w:color w:val="auto"/>
        </w:rPr>
        <w:t xml:space="preserve">As used in this section only, “Blaize,” “we,” “our” or “us” refer to Blaize Holdings, Inc., excluding our subsidiaries, unless expressly stated or the context otherwise requires. </w:t>
      </w:r>
      <w:r>
        <w:rPr>
          <w:rFonts w:ascii="Times New Roman" w:cs="Times New Roman" w:eastAsia="Times New Roman" w:hAnsi="Times New Roman"/>
          <w:sz w:val="14"/>
          <w:szCs w:val="14"/>
          <w:b w:val="1"/>
          <w:bCs w:val="1"/>
          <w:color w:val="auto"/>
        </w:rPr>
        <w:t>General</w:t>
      </w:r>
    </w:p>
    <w:p>
      <w:pPr>
        <w:ind w:right="200"/>
        <w:spacing w:after="0" w:line="255"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02" w:lineRule="exact"/>
        <w:rPr>
          <w:sz w:val="20"/>
          <w:szCs w:val="20"/>
          <w:color w:val="auto"/>
        </w:rPr>
      </w:pPr>
    </w:p>
    <w:p>
      <w:pPr>
        <w:ind w:left="500" w:hanging="252"/>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126" w:lineRule="exact"/>
        <w:rPr>
          <w:rFonts w:ascii="Times New Roman" w:cs="Times New Roman" w:eastAsia="Times New Roman" w:hAnsi="Times New Roman"/>
          <w:sz w:val="14"/>
          <w:szCs w:val="14"/>
          <w:color w:val="auto"/>
        </w:rPr>
      </w:pPr>
    </w:p>
    <w:p>
      <w:pPr>
        <w:jc w:val="both"/>
        <w:ind w:left="500" w:right="20" w:hanging="252"/>
        <w:spacing w:after="0" w:line="255" w:lineRule="auto"/>
        <w:tabs>
          <w:tab w:leader="none" w:pos="49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02" w:lineRule="exact"/>
        <w:rPr>
          <w:rFonts w:ascii="Times New Roman" w:cs="Times New Roman" w:eastAsia="Times New Roman" w:hAnsi="Times New Roman"/>
          <w:sz w:val="14"/>
          <w:szCs w:val="14"/>
          <w:color w:val="auto"/>
        </w:rPr>
      </w:pPr>
    </w:p>
    <w:p>
      <w:pPr>
        <w:ind w:left="500" w:right="380" w:hanging="252"/>
        <w:spacing w:after="0" w:line="266" w:lineRule="auto"/>
        <w:tabs>
          <w:tab w:leader="none" w:pos="49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we may redeem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80"/>
          </w:cols>
          <w:pgMar w:left="300" w:top="1231" w:right="319" w:bottom="1440" w:gutter="0" w:footer="0" w:header="0"/>
        </w:sectPr>
      </w:pPr>
    </w:p>
    <w:bookmarkStart w:id="20" w:name="page21"/>
    <w:bookmarkEnd w:id="20"/>
    <w:p>
      <w:pPr>
        <w:ind w:left="500" w:right="20" w:hanging="252"/>
        <w:spacing w:after="0" w:line="266"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94" w:lineRule="exact"/>
        <w:rPr>
          <w:rFonts w:ascii="Times New Roman" w:cs="Times New Roman" w:eastAsia="Times New Roman" w:hAnsi="Times New Roman"/>
          <w:sz w:val="14"/>
          <w:szCs w:val="14"/>
          <w:color w:val="auto"/>
        </w:rPr>
      </w:pPr>
    </w:p>
    <w:p>
      <w:pPr>
        <w:ind w:left="500" w:right="340" w:hanging="252"/>
        <w:spacing w:after="0" w:line="266"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126" w:lineRule="exact"/>
        <w:rPr>
          <w:rFonts w:ascii="Times New Roman" w:cs="Times New Roman" w:eastAsia="Times New Roman" w:hAnsi="Times New Roman"/>
          <w:sz w:val="14"/>
          <w:szCs w:val="14"/>
          <w:color w:val="auto"/>
        </w:rPr>
      </w:pPr>
    </w:p>
    <w:p>
      <w:pPr>
        <w:ind w:left="500" w:right="380" w:hanging="252"/>
        <w:spacing w:after="0" w:line="266"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and premium and interest on, the debt securities will be made;</w:t>
      </w:r>
    </w:p>
    <w:p>
      <w:pPr>
        <w:spacing w:after="0" w:line="126" w:lineRule="exact"/>
        <w:rPr>
          <w:rFonts w:ascii="Times New Roman" w:cs="Times New Roman" w:eastAsia="Times New Roman" w:hAnsi="Times New Roman"/>
          <w:sz w:val="14"/>
          <w:szCs w:val="14"/>
          <w:color w:val="auto"/>
        </w:rPr>
      </w:pPr>
    </w:p>
    <w:p>
      <w:pPr>
        <w:ind w:left="500" w:right="620" w:hanging="252"/>
        <w:spacing w:after="0" w:line="266"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94" w:lineRule="exact"/>
        <w:rPr>
          <w:rFonts w:ascii="Times New Roman" w:cs="Times New Roman" w:eastAsia="Times New Roman" w:hAnsi="Times New Roman"/>
          <w:sz w:val="14"/>
          <w:szCs w:val="14"/>
          <w:color w:val="auto"/>
        </w:rPr>
      </w:pPr>
    </w:p>
    <w:p>
      <w:pPr>
        <w:ind w:left="500" w:right="80" w:hanging="252"/>
        <w:spacing w:after="0" w:line="266"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or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126" w:lineRule="exact"/>
        <w:rPr>
          <w:rFonts w:ascii="Times New Roman" w:cs="Times New Roman" w:eastAsia="Times New Roman" w:hAnsi="Times New Roman"/>
          <w:sz w:val="14"/>
          <w:szCs w:val="14"/>
          <w:color w:val="auto"/>
        </w:rPr>
      </w:pPr>
    </w:p>
    <w:p>
      <w:pPr>
        <w:ind w:left="500" w:right="380" w:hanging="252"/>
        <w:spacing w:after="0" w:line="266"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covenants described in this prospectus or in the indenture with respect to the debt securities;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126" w:lineRule="exact"/>
        <w:rPr>
          <w:rFonts w:ascii="Times New Roman" w:cs="Times New Roman" w:eastAsia="Times New Roman" w:hAnsi="Times New Roman"/>
          <w:sz w:val="14"/>
          <w:szCs w:val="14"/>
          <w:color w:val="auto"/>
        </w:rPr>
      </w:pPr>
    </w:p>
    <w:p>
      <w:pPr>
        <w:ind w:left="500" w:right="480" w:hanging="252"/>
        <w:spacing w:after="0" w:line="266"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94" w:lineRule="exact"/>
        <w:rPr>
          <w:rFonts w:ascii="Times New Roman" w:cs="Times New Roman" w:eastAsia="Times New Roman" w:hAnsi="Times New Roman"/>
          <w:sz w:val="14"/>
          <w:szCs w:val="14"/>
          <w:color w:val="auto"/>
        </w:rPr>
      </w:pPr>
    </w:p>
    <w:p>
      <w:pPr>
        <w:ind w:left="500" w:right="80" w:hanging="252"/>
        <w:spacing w:after="0" w:line="266" w:lineRule="auto"/>
        <w:tabs>
          <w:tab w:leader="none" w:pos="49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of that series, including the terms of subordination, if any, of such guarantees.</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40"/>
          </w:cols>
          <w:pgMar w:left="300" w:top="1235"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color w:val="auto"/>
        </w:rPr>
        <w:t>you with information on certain U.S. federal income tax considerations and other special considerations applicable to any of these debt securities in the applicable prospectus supplement.</w:t>
      </w:r>
    </w:p>
    <w:p>
      <w:pPr>
        <w:spacing w:after="0" w:line="12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4"/>
          <w:szCs w:val="14"/>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certain U.S. federal income tax considerations, specific terms and other information with respect to that issue of debt securities and such foreign currency or currencies or foreign currency unit or units in the applicable prospectus supplement.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13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Certificated Debt Securities</w:t>
      </w:r>
    </w:p>
    <w:p>
      <w:pPr>
        <w:spacing w:after="0" w:line="130" w:lineRule="exact"/>
        <w:rPr>
          <w:sz w:val="20"/>
          <w:szCs w:val="20"/>
          <w:color w:val="auto"/>
        </w:rPr>
      </w:pPr>
    </w:p>
    <w:p>
      <w:pPr>
        <w:ind w:right="520"/>
        <w:spacing w:after="0" w:line="305" w:lineRule="auto"/>
        <w:rPr>
          <w:sz w:val="20"/>
          <w:szCs w:val="20"/>
          <w:color w:val="auto"/>
        </w:rPr>
      </w:pPr>
      <w:r>
        <w:rPr>
          <w:rFonts w:ascii="Times New Roman" w:cs="Times New Roman" w:eastAsia="Times New Roman" w:hAnsi="Times New Roman"/>
          <w:sz w:val="13"/>
          <w:szCs w:val="13"/>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Global Debt Securities and Book-Entry System</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Each global debt security representing book-entry debt securities will be deposited with, or on behalf of, the Depositary, and registered in the name of the Depositary or a nominee of the Depositary. Please see “Global Securities.”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in Control</w:t>
      </w:r>
    </w:p>
    <w:p>
      <w:pPr>
        <w:spacing w:after="0" w:line="13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may not consolidate with or merge with or into, or convey, transfer or lease all or substantially all of our properties and assets to, any person (a “successor person”) unless:</w:t>
      </w:r>
    </w:p>
    <w:p>
      <w:pPr>
        <w:spacing w:after="0" w:line="126" w:lineRule="exact"/>
        <w:rPr>
          <w:sz w:val="20"/>
          <w:szCs w:val="20"/>
          <w:color w:val="auto"/>
        </w:rPr>
      </w:pPr>
    </w:p>
    <w:p>
      <w:pPr>
        <w:ind w:left="500" w:hanging="252"/>
        <w:spacing w:after="0" w:line="266" w:lineRule="auto"/>
        <w:tabs>
          <w:tab w:leader="none" w:pos="49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corporation or the successor person (if other than Blaize) is a corporation organized and validly existing under the laws of any U.S. domestic jurisdiction and expressly assumes our obligations on the debt securities and under the indenture; and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60"/>
          </w:cols>
          <w:pgMar w:left="300" w:top="1235" w:right="339" w:bottom="1440" w:gutter="0" w:footer="0" w:header="0"/>
        </w:sectPr>
      </w:pPr>
    </w:p>
    <w:bookmarkStart w:id="22" w:name="page23"/>
    <w:bookmarkEnd w:id="22"/>
    <w:p>
      <w:pPr>
        <w:ind w:right="4200" w:firstLine="248"/>
        <w:spacing w:after="0" w:line="457" w:lineRule="auto"/>
        <w:tabs>
          <w:tab w:leader="none" w:pos="489"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giving effect to the transaction, no Default or Event of Default, shall have occurred and be continuing. Notwithstanding the above, any of our subsidiaries may consolidate with, merge into or transfer all or part of its properties to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126" w:lineRule="exact"/>
        <w:rPr>
          <w:sz w:val="20"/>
          <w:szCs w:val="20"/>
          <w:color w:val="auto"/>
        </w:rPr>
      </w:pPr>
    </w:p>
    <w:p>
      <w:pPr>
        <w:ind w:left="500" w:right="20" w:hanging="252"/>
        <w:spacing w:after="0" w:line="266" w:lineRule="auto"/>
        <w:tabs>
          <w:tab w:leader="none" w:pos="49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w:t>
      </w:r>
    </w:p>
    <w:p>
      <w:pPr>
        <w:spacing w:after="0" w:line="126" w:lineRule="exact"/>
        <w:rPr>
          <w:rFonts w:ascii="Times New Roman" w:cs="Times New Roman" w:eastAsia="Times New Roman" w:hAnsi="Times New Roman"/>
          <w:sz w:val="14"/>
          <w:szCs w:val="14"/>
          <w:color w:val="auto"/>
        </w:rPr>
      </w:pPr>
    </w:p>
    <w:p>
      <w:pPr>
        <w:ind w:left="500" w:right="200" w:hanging="252"/>
        <w:spacing w:after="0" w:line="255" w:lineRule="auto"/>
        <w:tabs>
          <w:tab w:leader="none" w:pos="49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Blaize and the trustee receives written notice from the holders of not less than 25% in principal amount of the outstanding debt securities of that series as provided in the indenture;</w:t>
      </w:r>
    </w:p>
    <w:p>
      <w:pPr>
        <w:spacing w:after="0" w:line="102"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Blaize; or</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w:t>
      </w:r>
    </w:p>
    <w:p>
      <w:pPr>
        <w:spacing w:after="0" w:line="12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02"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4"/>
          <w:szCs w:val="14"/>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9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(other than an Event of Default resulting from certain events of bankruptcy, insolvency or reorganization),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0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4"/>
          <w:szCs w:val="14"/>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1280"/>
          </w:cols>
          <w:pgMar w:left="300" w:top="1235" w:right="319" w:bottom="1440" w:gutter="0" w:footer="0" w:header="0"/>
        </w:sectPr>
      </w:pPr>
    </w:p>
    <w:bookmarkStart w:id="23" w:name="page24"/>
    <w:bookmarkEnd w:id="23"/>
    <w:p>
      <w:pPr>
        <w:spacing w:after="0" w:line="266" w:lineRule="auto"/>
        <w:rPr>
          <w:sz w:val="20"/>
          <w:szCs w:val="20"/>
          <w:color w:val="auto"/>
        </w:rPr>
      </w:pPr>
      <w:r>
        <w:rPr>
          <w:rFonts w:ascii="Times New Roman" w:cs="Times New Roman" w:eastAsia="Times New Roman" w:hAnsi="Times New Roman"/>
          <w:sz w:val="14"/>
          <w:szCs w:val="14"/>
          <w:color w:val="auto"/>
        </w:rPr>
        <w:t>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9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95" w:lineRule="exact"/>
        <w:rPr>
          <w:sz w:val="20"/>
          <w:szCs w:val="20"/>
          <w:color w:val="auto"/>
        </w:rPr>
      </w:pPr>
    </w:p>
    <w:p>
      <w:pPr>
        <w:ind w:left="500" w:hanging="252"/>
        <w:spacing w:after="0"/>
        <w:tabs>
          <w:tab w:leader="none" w:pos="5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126" w:lineRule="exact"/>
        <w:rPr>
          <w:rFonts w:ascii="Times New Roman" w:cs="Times New Roman" w:eastAsia="Times New Roman" w:hAnsi="Times New Roman"/>
          <w:sz w:val="14"/>
          <w:szCs w:val="14"/>
          <w:color w:val="auto"/>
        </w:rPr>
      </w:pPr>
    </w:p>
    <w:p>
      <w:pPr>
        <w:ind w:left="500" w:right="140" w:hanging="252"/>
        <w:spacing w:after="0" w:line="255" w:lineRule="auto"/>
        <w:tabs>
          <w:tab w:leader="none" w:pos="497"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0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and premium and any interest on, that debt security on or after the due dates expressed in that debt security and to institute suit for the enforcement of payment.</w:t>
      </w:r>
    </w:p>
    <w:p>
      <w:pPr>
        <w:spacing w:after="0" w:line="95"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and the trustee may modify, amend or supplement the indenture or the debt securities of any series without the consent of any holder of any debt security:</w:t>
      </w:r>
    </w:p>
    <w:p>
      <w:pPr>
        <w:spacing w:after="0" w:line="126" w:lineRule="exact"/>
        <w:rPr>
          <w:sz w:val="20"/>
          <w:szCs w:val="20"/>
          <w:color w:val="auto"/>
        </w:rPr>
      </w:pPr>
    </w:p>
    <w:p>
      <w:pPr>
        <w:ind w:left="500" w:hanging="252"/>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any series or secure debt securities of any series;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debt securities of any series;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debt securities of any series as permitted by the indenture;</w:t>
      </w:r>
    </w:p>
    <w:p>
      <w:pPr>
        <w:spacing w:after="0" w:line="126" w:lineRule="exact"/>
        <w:rPr>
          <w:rFonts w:ascii="Times New Roman" w:cs="Times New Roman" w:eastAsia="Times New Roman" w:hAnsi="Times New Roman"/>
          <w:sz w:val="14"/>
          <w:szCs w:val="14"/>
          <w:color w:val="auto"/>
        </w:rPr>
      </w:pPr>
    </w:p>
    <w:p>
      <w:pPr>
        <w:ind w:left="500" w:right="740" w:hanging="252"/>
        <w:spacing w:after="0" w:line="266" w:lineRule="auto"/>
        <w:tabs>
          <w:tab w:leader="none" w:pos="497"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20"/>
          </w:cols>
          <w:pgMar w:left="300" w:top="1235" w:right="379" w:bottom="1440" w:gutter="0" w:footer="0" w:header="0"/>
        </w:sectPr>
      </w:pPr>
    </w:p>
    <w:bookmarkStart w:id="24" w:name="page25"/>
    <w:bookmarkEnd w:id="24"/>
    <w:p>
      <w:pPr>
        <w:ind w:left="500" w:hanging="252"/>
        <w:spacing w:after="0"/>
        <w:tabs>
          <w:tab w:leader="none" w:pos="5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 of 1939, as amended.</w:t>
      </w:r>
    </w:p>
    <w:p>
      <w:pPr>
        <w:spacing w:after="0" w:line="12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4"/>
          <w:szCs w:val="14"/>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95" w:lineRule="exact"/>
        <w:rPr>
          <w:sz w:val="20"/>
          <w:szCs w:val="20"/>
          <w:color w:val="auto"/>
        </w:rPr>
      </w:pPr>
    </w:p>
    <w:p>
      <w:pPr>
        <w:ind w:left="500" w:hanging="25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126" w:lineRule="exact"/>
        <w:rPr>
          <w:rFonts w:ascii="Times New Roman" w:cs="Times New Roman" w:eastAsia="Times New Roman" w:hAnsi="Times New Roman"/>
          <w:sz w:val="14"/>
          <w:szCs w:val="14"/>
          <w:color w:val="auto"/>
        </w:rPr>
      </w:pPr>
    </w:p>
    <w:p>
      <w:pPr>
        <w:ind w:left="500" w:right="360" w:hanging="252"/>
        <w:spacing w:after="0" w:line="266" w:lineRule="auto"/>
        <w:tabs>
          <w:tab w:leader="none" w:pos="49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126" w:lineRule="exact"/>
        <w:rPr>
          <w:rFonts w:ascii="Times New Roman" w:cs="Times New Roman" w:eastAsia="Times New Roman" w:hAnsi="Times New Roman"/>
          <w:sz w:val="14"/>
          <w:szCs w:val="14"/>
          <w:color w:val="auto"/>
        </w:rPr>
      </w:pPr>
    </w:p>
    <w:p>
      <w:pPr>
        <w:ind w:left="500" w:right="260" w:hanging="252"/>
        <w:spacing w:after="0" w:line="266" w:lineRule="auto"/>
        <w:tabs>
          <w:tab w:leader="none" w:pos="49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126" w:lineRule="exact"/>
        <w:rPr>
          <w:rFonts w:ascii="Times New Roman" w:cs="Times New Roman" w:eastAsia="Times New Roman" w:hAnsi="Times New Roman"/>
          <w:sz w:val="14"/>
          <w:szCs w:val="14"/>
          <w:color w:val="auto"/>
        </w:rPr>
      </w:pPr>
    </w:p>
    <w:p>
      <w:pPr>
        <w:ind w:left="500" w:right="180" w:hanging="252"/>
        <w:spacing w:after="0" w:line="266" w:lineRule="auto"/>
        <w:tabs>
          <w:tab w:leader="none" w:pos="497"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w:t>
      </w:r>
    </w:p>
    <w:p>
      <w:pPr>
        <w:spacing w:after="0" w:line="12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Defeasance</w:t>
      </w:r>
    </w:p>
    <w:p>
      <w:pPr>
        <w:spacing w:after="0" w:line="13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20"/>
          </w:cols>
          <w:pgMar w:left="300" w:top="1235" w:right="379" w:bottom="1440" w:gutter="0" w:footer="0" w:header="0"/>
        </w:sectPr>
      </w:pPr>
    </w:p>
    <w:bookmarkStart w:id="25" w:name="page26"/>
    <w:bookmarkEnd w:id="25"/>
    <w:p>
      <w:pPr>
        <w:ind w:right="60"/>
        <w:spacing w:after="0" w:line="250"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Defeasance of Certain Covenants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indenture provides that, unless otherwise provided by the terms of the applicable series of debt securities, upon compliance with certain conditions:</w:t>
      </w:r>
    </w:p>
    <w:p>
      <w:pPr>
        <w:spacing w:after="0" w:line="126" w:lineRule="exact"/>
        <w:rPr>
          <w:sz w:val="20"/>
          <w:szCs w:val="20"/>
          <w:color w:val="auto"/>
        </w:rPr>
      </w:pPr>
    </w:p>
    <w:p>
      <w:pPr>
        <w:ind w:left="500" w:right="160" w:hanging="252"/>
        <w:spacing w:after="0" w:line="266" w:lineRule="auto"/>
        <w:tabs>
          <w:tab w:leader="none" w:pos="497"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(“covenant defeasance”).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conditions include:</w:t>
      </w:r>
    </w:p>
    <w:p>
      <w:pPr>
        <w:spacing w:after="0" w:line="126" w:lineRule="exact"/>
        <w:rPr>
          <w:sz w:val="20"/>
          <w:szCs w:val="20"/>
          <w:color w:val="auto"/>
        </w:rPr>
      </w:pPr>
    </w:p>
    <w:p>
      <w:pPr>
        <w:ind w:left="500" w:right="220" w:hanging="252"/>
        <w:spacing w:after="0" w:line="277" w:lineRule="auto"/>
        <w:tabs>
          <w:tab w:leader="none" w:pos="497"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89" w:lineRule="exact"/>
        <w:rPr>
          <w:rFonts w:ascii="Times New Roman" w:cs="Times New Roman" w:eastAsia="Times New Roman" w:hAnsi="Times New Roman"/>
          <w:sz w:val="13"/>
          <w:szCs w:val="13"/>
          <w:color w:val="auto"/>
        </w:rPr>
      </w:pPr>
    </w:p>
    <w:p>
      <w:pPr>
        <w:jc w:val="both"/>
        <w:ind w:left="500" w:right="100" w:hanging="252"/>
        <w:spacing w:after="0" w:line="255" w:lineRule="auto"/>
        <w:tabs>
          <w:tab w:leader="none" w:pos="49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or Securityholders</w:t>
      </w:r>
    </w:p>
    <w:p>
      <w:pPr>
        <w:spacing w:after="0" w:line="13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securities, will be governed by the laws of the State of New York.</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80"/>
          </w:cols>
          <w:pgMar w:left="300" w:top="1235" w:right="319" w:bottom="1440" w:gutter="0" w:footer="0" w:header="0"/>
        </w:sectPr>
      </w:pPr>
    </w:p>
    <w:bookmarkStart w:id="26" w:name="page27"/>
    <w:bookmarkEnd w:id="26"/>
    <w:p>
      <w:pPr>
        <w:spacing w:after="0" w:line="248" w:lineRule="auto"/>
        <w:rPr>
          <w:sz w:val="20"/>
          <w:szCs w:val="20"/>
          <w:color w:val="auto"/>
        </w:rPr>
      </w:pPr>
      <w:r>
        <w:rPr>
          <w:rFonts w:ascii="Times New Roman" w:cs="Times New Roman" w:eastAsia="Times New Roman" w:hAnsi="Times New Roman"/>
          <w:sz w:val="14"/>
          <w:szCs w:val="14"/>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1280"/>
          </w:cols>
          <w:pgMar w:left="300" w:top="1235" w:right="31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30"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4"/>
          <w:szCs w:val="14"/>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particular terms of any issue of warrants will be described in the prospectus supplement relating to the issue. Those terms may include:</w:t>
      </w:r>
    </w:p>
    <w:p>
      <w:pPr>
        <w:spacing w:after="0" w:line="126" w:lineRule="exact"/>
        <w:rPr>
          <w:sz w:val="20"/>
          <w:szCs w:val="20"/>
          <w:color w:val="auto"/>
        </w:rPr>
      </w:pPr>
    </w:p>
    <w:p>
      <w:pPr>
        <w:ind w:left="500" w:right="160" w:hanging="252"/>
        <w:spacing w:after="0" w:line="266" w:lineRule="auto"/>
        <w:tabs>
          <w:tab w:leader="none" w:pos="49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or preferred stock purchasable upon the exercise of warrants to purchase such shares and the price at which such number of shares may be purchased upon such exercise;</w:t>
      </w:r>
    </w:p>
    <w:p>
      <w:pPr>
        <w:spacing w:after="0" w:line="94" w:lineRule="exact"/>
        <w:rPr>
          <w:rFonts w:ascii="Times New Roman" w:cs="Times New Roman" w:eastAsia="Times New Roman" w:hAnsi="Times New Roman"/>
          <w:sz w:val="14"/>
          <w:szCs w:val="14"/>
          <w:color w:val="auto"/>
        </w:rPr>
      </w:pPr>
    </w:p>
    <w:p>
      <w:pPr>
        <w:ind w:left="500" w:right="140" w:hanging="252"/>
        <w:spacing w:after="0" w:line="266" w:lineRule="auto"/>
        <w:tabs>
          <w:tab w:leader="none" w:pos="49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stated value and terms (including, without limitation, liquidation, dividend, conversion and voting rights) of the series of preferred stock purchasable upon exercise of warrants to purchase preferred stock;</w:t>
      </w:r>
    </w:p>
    <w:p>
      <w:pPr>
        <w:spacing w:after="0" w:line="94"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amount of debt securities that may be purchased upon exercise of a debt warrant and the exercise price for the warrants, which may be payable in cash, securities or other property;</w:t>
      </w:r>
    </w:p>
    <w:p>
      <w:pPr>
        <w:spacing w:after="0" w:line="137" w:lineRule="exact"/>
        <w:rPr>
          <w:rFonts w:ascii="Times New Roman" w:cs="Times New Roman" w:eastAsia="Times New Roman" w:hAnsi="Times New Roman"/>
          <w:sz w:val="13"/>
          <w:szCs w:val="13"/>
          <w:color w:val="auto"/>
        </w:rPr>
      </w:pPr>
    </w:p>
    <w:p>
      <w:pPr>
        <w:ind w:left="500" w:hanging="25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warrants and the related debt securities, preferred stock or common stock will be separately transferable;</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commence and the date on which the right will expire;</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United States federal income tax considerations applicable to the warrants; and</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exercise and settlement of the warrants.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of equity warrants will not be entitled:</w:t>
      </w:r>
    </w:p>
    <w:p>
      <w:pPr>
        <w:spacing w:after="0" w:line="126" w:lineRule="exact"/>
        <w:rPr>
          <w:sz w:val="20"/>
          <w:szCs w:val="20"/>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vote, consent or receive dividends;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notice as shareholders with respect to any meeting of shareholders for the election of our directors or any other matter; or</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any rights as shareholders of the Company.</w:t>
      </w:r>
    </w:p>
    <w:p>
      <w:pPr>
        <w:spacing w:after="0" w:line="126"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4"/>
          <w:szCs w:val="14"/>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0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60"/>
          </w:cols>
          <w:pgMar w:left="300" w:top="1231" w:right="339" w:bottom="1440" w:gutter="0" w:footer="0" w:header="0"/>
        </w:sectPr>
      </w:pPr>
    </w:p>
    <w:bookmarkStart w:id="28" w:name="page29"/>
    <w:bookmarkEnd w:id="28"/>
    <w:p>
      <w:pPr>
        <w:jc w:val="both"/>
        <w:spacing w:after="0" w:line="255" w:lineRule="auto"/>
        <w:rPr>
          <w:sz w:val="20"/>
          <w:szCs w:val="20"/>
          <w:color w:val="auto"/>
        </w:rPr>
      </w:pPr>
      <w:r>
        <w:rPr>
          <w:rFonts w:ascii="Times New Roman" w:cs="Times New Roman" w:eastAsia="Times New Roman" w:hAnsi="Times New Roman"/>
          <w:sz w:val="14"/>
          <w:szCs w:val="14"/>
          <w:color w:val="auto"/>
        </w:rPr>
        <w:t>upon exercise, including any rights to receive payments of principal of, or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060"/>
          </w:cols>
          <w:pgMar w:left="300" w:top="1235" w:right="5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RIGHTS</w:t>
      </w:r>
    </w:p>
    <w:p>
      <w:pPr>
        <w:spacing w:after="0" w:line="13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We may issue rights to purchase our common stock.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prospectus supplement and any incorporated documents relating to any rights that we offer will include specific terms relating to the offering, including, among other matters:</w:t>
      </w:r>
    </w:p>
    <w:p>
      <w:pPr>
        <w:spacing w:after="0" w:line="126" w:lineRule="exact"/>
        <w:rPr>
          <w:sz w:val="20"/>
          <w:szCs w:val="20"/>
          <w:color w:val="auto"/>
        </w:rPr>
      </w:pPr>
    </w:p>
    <w:p>
      <w:pPr>
        <w:ind w:left="500" w:hanging="25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of determining the security holders entitled to the rights distribution;</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rights issued and the aggregate number of shares of common stock purchasable upon exercise of the rights;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to completion of the rights offering;</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rights will commence and the date on which the rights will expire; and</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United States federal income tax consequences applicable to the rights offering.</w:t>
      </w:r>
    </w:p>
    <w:p>
      <w:pPr>
        <w:spacing w:after="0" w:line="126"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3"/>
          <w:szCs w:val="13"/>
          <w:color w:val="auto"/>
        </w:rPr>
        <w:t>Each right would entitle the holder of the rights to purchase for cash shares of common stock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7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4"/>
          <w:szCs w:val="14"/>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1231"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30" w:lineRule="exact"/>
        <w:rPr>
          <w:sz w:val="20"/>
          <w:szCs w:val="20"/>
          <w:color w:val="auto"/>
        </w:rPr>
      </w:pPr>
    </w:p>
    <w:p>
      <w:pPr>
        <w:jc w:val="both"/>
        <w:ind w:right="140"/>
        <w:spacing w:after="0" w:line="252"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included in any applicable prospectus supplement, summarizes the general features of the units that we may offer under this prospectus. You should read any prospectus supplement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we offer any units, certain terms of that series of units will be described in the applicable prospectus supplement, including, without limitation, the following, as applicable:</w:t>
      </w:r>
    </w:p>
    <w:p>
      <w:pPr>
        <w:spacing w:after="0" w:line="126" w:lineRule="exact"/>
        <w:rPr>
          <w:sz w:val="20"/>
          <w:szCs w:val="20"/>
          <w:color w:val="auto"/>
        </w:rPr>
      </w:pPr>
    </w:p>
    <w:p>
      <w:pPr>
        <w:ind w:left="500" w:hanging="25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of units;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identification and description of the separate constituent securities comprising the units;</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the units will be issued;</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the constituent securities comprising the units will be separately transferable;</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United States federal income tax considerations applicable to the units; and</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80"/>
          </w:cols>
          <w:pgMar w:left="300" w:top="1231" w:right="31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GLOBAL SECURITIES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Book-Entry, Delivery and Form</w:t>
      </w:r>
    </w:p>
    <w:p>
      <w:pPr>
        <w:spacing w:after="0" w:line="130"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DTC has advised us that it is:</w:t>
      </w:r>
    </w:p>
    <w:p>
      <w:pPr>
        <w:spacing w:after="0" w:line="126" w:lineRule="exact"/>
        <w:rPr>
          <w:sz w:val="20"/>
          <w:szCs w:val="20"/>
          <w:color w:val="auto"/>
        </w:rPr>
      </w:pPr>
    </w:p>
    <w:p>
      <w:pPr>
        <w:ind w:left="500" w:hanging="25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corporation” within the meaning of the New York Uniform Commercial Code; and</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2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4"/>
          <w:szCs w:val="14"/>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06"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3"/>
          <w:szCs w:val="13"/>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9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4"/>
          <w:szCs w:val="14"/>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1231"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color w:val="auto"/>
        </w:rPr>
        <w:t>respect of the securities and the indenture may be delivered to us and where certificated securities may be surrendered for payment, registration of transfer or exchange.</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9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0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0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4"/>
          <w:szCs w:val="14"/>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under the limited circumstances described below, purchasers of securities will not be entitled to have securities registered in their names and will not receive physical delivery of securities.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Accordingly, each beneficial owner must rely on the procedures of DTC and its participants to exercise any rights under the securities and the indenture.</w:t>
      </w:r>
    </w:p>
    <w:p>
      <w:pPr>
        <w:spacing w:after="0" w:line="11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4"/>
          <w:szCs w:val="14"/>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95"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4"/>
          <w:szCs w:val="14"/>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noted above, beneficial owners of a particular series of securities generally will not receive certificates representing their ownership interests in those securities. However, if:</w:t>
      </w:r>
    </w:p>
    <w:p>
      <w:pPr>
        <w:spacing w:after="0" w:line="126" w:lineRule="exact"/>
        <w:rPr>
          <w:sz w:val="20"/>
          <w:szCs w:val="20"/>
          <w:color w:val="auto"/>
        </w:rPr>
      </w:pPr>
    </w:p>
    <w:p>
      <w:pPr>
        <w:ind w:left="500" w:right="40" w:hanging="252"/>
        <w:spacing w:after="0" w:line="266" w:lineRule="auto"/>
        <w:tabs>
          <w:tab w:leader="none" w:pos="497"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80"/>
          </w:cols>
          <w:pgMar w:left="300" w:top="1235" w:right="319" w:bottom="1440" w:gutter="0" w:footer="0" w:header="0"/>
        </w:sectPr>
      </w:pPr>
    </w:p>
    <w:bookmarkStart w:id="33" w:name="page34"/>
    <w:bookmarkEnd w:id="33"/>
    <w:p>
      <w:pPr>
        <w:ind w:left="500"/>
        <w:spacing w:after="0"/>
        <w:rPr>
          <w:sz w:val="20"/>
          <w:szCs w:val="20"/>
          <w:color w:val="auto"/>
        </w:rPr>
      </w:pPr>
      <w:r>
        <w:rPr>
          <w:rFonts w:ascii="Times New Roman" w:cs="Times New Roman" w:eastAsia="Times New Roman" w:hAnsi="Times New Roman"/>
          <w:sz w:val="14"/>
          <w:szCs w:val="14"/>
          <w:color w:val="auto"/>
        </w:rPr>
        <w:t>within 90 days of the notification to us or of our becoming aware of DTC’s ceasing to be so registered, as the case may be;</w:t>
      </w:r>
    </w:p>
    <w:p>
      <w:pPr>
        <w:spacing w:after="0" w:line="126" w:lineRule="exact"/>
        <w:rPr>
          <w:sz w:val="20"/>
          <w:szCs w:val="20"/>
          <w:color w:val="auto"/>
        </w:rPr>
      </w:pPr>
    </w:p>
    <w:p>
      <w:pPr>
        <w:ind w:left="500" w:hanging="252"/>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 in our sole discretion, not to have such securities represented by one or more global securities; or</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Event of Default has occurred and is continuing with respect to such series of securities,</w:t>
      </w:r>
    </w:p>
    <w:p>
      <w:pPr>
        <w:spacing w:after="0" w:line="12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4"/>
          <w:szCs w:val="14"/>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Euroclear and Clearstream</w:t>
      </w:r>
    </w:p>
    <w:p>
      <w:pPr>
        <w:spacing w:after="0" w:line="130"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4"/>
          <w:szCs w:val="14"/>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95"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3"/>
          <w:szCs w:val="13"/>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71" w:lineRule="exact"/>
        <w:rPr>
          <w:sz w:val="20"/>
          <w:szCs w:val="20"/>
          <w:color w:val="auto"/>
        </w:rPr>
      </w:pPr>
    </w:p>
    <w:p>
      <w:pPr>
        <w:jc w:val="both"/>
        <w:ind w:right="120"/>
        <w:spacing w:after="0" w:line="305" w:lineRule="auto"/>
        <w:rPr>
          <w:sz w:val="20"/>
          <w:szCs w:val="20"/>
          <w:color w:val="auto"/>
        </w:rPr>
      </w:pPr>
      <w:r>
        <w:rPr>
          <w:rFonts w:ascii="Times New Roman" w:cs="Times New Roman" w:eastAsia="Times New Roman" w:hAnsi="Times New Roman"/>
          <w:sz w:val="13"/>
          <w:szCs w:val="13"/>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7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 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Participants in Euroclear or Clearstream may not deliver instructions directly to their respective U.S. depositaries.</w:t>
      </w:r>
    </w:p>
    <w:p>
      <w:pPr>
        <w:spacing w:after="0" w:line="126"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4"/>
          <w:szCs w:val="14"/>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80"/>
          </w:cols>
          <w:pgMar w:left="300" w:top="1235" w:right="319" w:bottom="1440" w:gutter="0" w:footer="0" w:header="0"/>
        </w:sectPr>
      </w:pPr>
    </w:p>
    <w:bookmarkStart w:id="34" w:name="page35"/>
    <w:bookmarkEnd w:id="34"/>
    <w:p>
      <w:pPr>
        <w:ind w:right="580"/>
        <w:spacing w:after="0" w:line="305" w:lineRule="auto"/>
        <w:rPr>
          <w:sz w:val="20"/>
          <w:szCs w:val="20"/>
          <w:color w:val="auto"/>
        </w:rPr>
      </w:pPr>
      <w:r>
        <w:rPr>
          <w:rFonts w:ascii="Times New Roman" w:cs="Times New Roman" w:eastAsia="Times New Roman" w:hAnsi="Times New Roman"/>
          <w:sz w:val="13"/>
          <w:szCs w:val="13"/>
          <w:color w:val="auto"/>
        </w:rPr>
        <w:t>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3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80"/>
          </w:cols>
          <w:pgMar w:left="300" w:top="1235" w:right="31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3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4"/>
          <w:szCs w:val="14"/>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95" w:lineRule="exact"/>
        <w:rPr>
          <w:sz w:val="20"/>
          <w:szCs w:val="20"/>
          <w:color w:val="auto"/>
        </w:rPr>
      </w:pPr>
    </w:p>
    <w:p>
      <w:pPr>
        <w:ind w:left="500" w:hanging="252"/>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which may be changed;</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26" w:lineRule="exact"/>
        <w:rPr>
          <w:rFonts w:ascii="Times New Roman" w:cs="Times New Roman" w:eastAsia="Times New Roman" w:hAnsi="Times New Roman"/>
          <w:sz w:val="14"/>
          <w:szCs w:val="14"/>
          <w:color w:val="auto"/>
        </w:rPr>
      </w:pPr>
    </w:p>
    <w:p>
      <w:pPr>
        <w:ind w:left="500" w:hanging="252"/>
        <w:spacing w:after="0"/>
        <w:tabs>
          <w:tab w:leader="none" w:pos="5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2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4"/>
          <w:szCs w:val="14"/>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9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9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9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0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4"/>
          <w:szCs w:val="14"/>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0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3"/>
          <w:szCs w:val="13"/>
          <w:color w:val="auto"/>
        </w:rPr>
        <w:t>Any common stock will be listed on Nasdaq,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80"/>
          </w:cols>
          <w:pgMar w:left="300" w:top="1231" w:right="319" w:bottom="1440" w:gutter="0" w:footer="0" w:header="0"/>
        </w:sectPr>
      </w:pPr>
    </w:p>
    <w:bookmarkStart w:id="36" w:name="page37"/>
    <w:bookmarkEnd w:id="36"/>
    <w:p>
      <w:pPr>
        <w:ind w:right="100"/>
        <w:spacing w:after="0" w:line="266" w:lineRule="auto"/>
        <w:rPr>
          <w:sz w:val="20"/>
          <w:szCs w:val="20"/>
          <w:color w:val="auto"/>
        </w:rPr>
      </w:pPr>
      <w:r>
        <w:rPr>
          <w:rFonts w:ascii="Times New Roman" w:cs="Times New Roman" w:eastAsia="Times New Roman" w:hAnsi="Times New Roman"/>
          <w:sz w:val="14"/>
          <w:szCs w:val="14"/>
          <w:color w:val="auto"/>
        </w:rPr>
        <w:t>of these transactions may be to stabilize or maintain the market price of the securities at a level above that which might otherwise prevail in the open market. These transactions may be discontinued at any time.</w:t>
      </w:r>
    </w:p>
    <w:p>
      <w:pPr>
        <w:spacing w:after="0" w:line="9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specific terms of any lock-up provisions in respect of any given offering will be described in the applicable prospectus supplement.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60"/>
          </w:cols>
          <w:pgMar w:left="300" w:top="1235"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30"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4"/>
          <w:szCs w:val="14"/>
          <w:color w:val="auto"/>
        </w:rPr>
        <w:t>The validity of the issuance of securities offered hereby will be passed upon for us by Faegre Drinker Biddle &amp; Reath LLP. Certain legal matters in connection with the securities offered hereby may be passed upon for any underwriters, dealers or agents by counsel named in the applicable prospectus supplement.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3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The consolidated financial statements of Blaize, Inc. and Subsidiaries as of December 31, 2024 and 2023, and for each of the years in the two-year period ended December 31, 2024 incorporated into this prospectus by reference in this Registration Statement, have been audited by UHY LLP, an independent registered public accounting firm, as set forth in their report (which contains an explanatory paragraph relating to Blaize Inc.’s ability to continue as a going concern), which is incorporated herein by reference. Such consolidated financial statements are incorporated by reference in reliance upon the report of such firm given their authority as experts in accounting and auditing.</w:t>
      </w:r>
    </w:p>
    <w:p>
      <w:pPr>
        <w:spacing w:after="0" w:line="10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The consolidated financial statements of Blaize Holdings, Inc. as of December 31, 2024 and 2023, and for each of the years in the two-year period ended December 31 2024 incorporated into this prospectus by reference in this Registration Statement, have been audited by Marcum LLP, an independent registered public accounting firm, as set forth in their report thereon (which contains an explanatory paragraph relating to substantial doubt about the ability of Blaize Holdings, Inc. to continue as a going concern as described in Note 1 to the financial statements), which is incorporated herein by reference in reliance 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80"/>
          </w:cols>
          <w:pgMar w:left="300" w:top="1231" w:right="31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831215</wp:posOffset>
            </wp:positionV>
            <wp:extent cx="716534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65340" cy="6350"/>
                    </a:xfrm>
                    <a:prstGeom prst="rect">
                      <a:avLst/>
                    </a:prstGeom>
                    <a:noFill/>
                  </pic:spPr>
                </pic:pic>
              </a:graphicData>
            </a:graphic>
          </wp:anchor>
        </w:drawing>
        <w:drawing>
          <wp:anchor simplePos="0" relativeHeight="251657728" behindDoc="1" locked="0" layoutInCell="0" allowOverlap="1">
            <wp:simplePos x="0" y="0"/>
            <wp:positionH relativeFrom="page">
              <wp:posOffset>3090545</wp:posOffset>
            </wp:positionH>
            <wp:positionV relativeFrom="page">
              <wp:posOffset>1248410</wp:posOffset>
            </wp:positionV>
            <wp:extent cx="1367790" cy="462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67790" cy="46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Blaize Holdings, Inc.</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$250,000,000</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Common Stock</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Preferred Stock</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Debt Securities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Stock Purchase Contracts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Warrants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Rights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163195</wp:posOffset>
            </wp:positionV>
            <wp:extent cx="716534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-721995</wp:posOffset>
            </wp:positionH>
            <wp:positionV relativeFrom="paragraph">
              <wp:posOffset>194945</wp:posOffset>
            </wp:positionV>
            <wp:extent cx="716534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6534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 2026</w:t>
      </w:r>
    </w:p>
    <w:p>
      <w:pPr>
        <w:sectPr>
          <w:pgSz w:w="11900" w:h="16838" w:orient="portrait"/>
          <w:cols w:equalWidth="0" w:num="1">
            <w:col w:w="9019"/>
          </w:cols>
          <w:pgMar w:left="1440" w:top="1440"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0"/>
        </w:trPr>
        <w:tc>
          <w:tcPr>
            <w:tcW w:w="9700" w:type="dxa"/>
            <w:vAlign w:val="bottom"/>
          </w:tcPr>
          <w:p>
            <w:pPr>
              <w:ind w:left="540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7"/>
        </w:trPr>
        <w:tc>
          <w:tcPr>
            <w:tcW w:w="9700" w:type="dxa"/>
            <w:vAlign w:val="bottom"/>
          </w:tcPr>
          <w:p>
            <w:pPr>
              <w:ind w:left="402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9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14. Other Expenses of Issuance and Distribution.</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970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sets forth the fees and expenses payable by us in connection with the securities being registered hereby.</w:t>
            </w: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9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 filing fee</w:t>
            </w:r>
          </w:p>
        </w:tc>
        <w:tc>
          <w:tcPr>
            <w:tcW w:w="42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34,525</w:t>
            </w:r>
          </w:p>
        </w:tc>
        <w:tc>
          <w:tcPr>
            <w:tcW w:w="0" w:type="dxa"/>
            <w:vAlign w:val="bottom"/>
          </w:tcPr>
          <w:p>
            <w:pPr>
              <w:spacing w:after="0"/>
              <w:rPr>
                <w:sz w:val="1"/>
                <w:szCs w:val="1"/>
                <w:color w:val="auto"/>
              </w:rPr>
            </w:pPr>
          </w:p>
        </w:tc>
      </w:tr>
      <w:tr>
        <w:trPr>
          <w:trHeight w:val="174"/>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FINRA fee</w:t>
            </w:r>
          </w:p>
        </w:tc>
        <w:tc>
          <w:tcPr>
            <w:tcW w:w="420" w:type="dxa"/>
            <w:vAlign w:val="bottom"/>
          </w:tcPr>
          <w:p>
            <w:pPr>
              <w:spacing w:after="0"/>
              <w:rPr>
                <w:sz w:val="15"/>
                <w:szCs w:val="15"/>
                <w:color w:val="auto"/>
              </w:rPr>
            </w:pPr>
          </w:p>
        </w:tc>
        <w:tc>
          <w:tcPr>
            <w:tcW w:w="116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Printing fees and expenses</w:t>
            </w: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Legal fees and expenses</w:t>
            </w:r>
          </w:p>
        </w:tc>
        <w:tc>
          <w:tcPr>
            <w:tcW w:w="420" w:type="dxa"/>
            <w:vAlign w:val="bottom"/>
          </w:tcPr>
          <w:p>
            <w:pPr>
              <w:spacing w:after="0"/>
              <w:rPr>
                <w:sz w:val="15"/>
                <w:szCs w:val="15"/>
                <w:color w:val="auto"/>
              </w:rPr>
            </w:pPr>
          </w:p>
        </w:tc>
        <w:tc>
          <w:tcPr>
            <w:tcW w:w="1160" w:type="dxa"/>
            <w:vAlign w:val="bottom"/>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4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4"/>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Miscellaneous expenses</w:t>
            </w: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9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w:t>
            </w: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7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40" w:hanging="238"/>
        <w:spacing w:after="0"/>
        <w:tabs>
          <w:tab w:leader="none" w:pos="240" w:val="left"/>
        </w:tabs>
        <w:numPr>
          <w:ilvl w:val="0"/>
          <w:numId w:val="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Other than the SEC filing fee, these fees and expenses will be calculated based on number and manner of issuances and the amount of securities offered and therefore cannot be estimated at this time.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Indemnification of Directors and Officers.</w:t>
      </w:r>
    </w:p>
    <w:p>
      <w:pPr>
        <w:spacing w:after="0" w:line="130"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4"/>
          <w:szCs w:val="14"/>
          <w:color w:val="auto"/>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0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3"/>
          <w:szCs w:val="13"/>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9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1280"/>
          </w:cols>
          <w:pgMar w:left="300" w:top="1231" w:right="319" w:bottom="1440" w:gutter="0" w:footer="0" w:header="0"/>
        </w:sectPr>
      </w:pPr>
    </w:p>
    <w:bookmarkStart w:id="40" w:name="page41"/>
    <w:bookmarkEnd w:id="40"/>
    <w:p>
      <w:pPr>
        <w:jc w:val="both"/>
        <w:spacing w:after="0" w:line="255" w:lineRule="auto"/>
        <w:rPr>
          <w:sz w:val="20"/>
          <w:szCs w:val="20"/>
          <w:color w:val="auto"/>
        </w:rPr>
      </w:pPr>
      <w:r>
        <w:rPr>
          <w:rFonts w:ascii="Times New Roman" w:cs="Times New Roman" w:eastAsia="Times New Roman" w:hAnsi="Times New Roman"/>
          <w:sz w:val="14"/>
          <w:szCs w:val="14"/>
          <w:color w:val="auto"/>
        </w:rPr>
        <w:t>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0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4"/>
          <w:szCs w:val="14"/>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of a director or officer (i) for any breach of the director’s or officer’s duty of loyalty to the corporation or its stockholders, (ii) for acts or omissions not in good faith or which involve intentional misconduct or a knowing violation of law, (iii) in the case of a director, under Section 174 of the DGCL, (iv) for any transaction from which the director or officer derived an improper personal benefit, or (v) in the case of an officer, in any action by or in the right of the corporation.</w:t>
      </w:r>
    </w:p>
    <w:p>
      <w:pPr>
        <w:spacing w:after="0" w:line="105"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3"/>
          <w:szCs w:val="13"/>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w:t>
      </w:r>
    </w:p>
    <w:p>
      <w:pPr>
        <w:spacing w:after="0" w:line="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executive officers in which we have agreed to indemnify, defend and hold harmless, and also advance expenses as incurred, to the fullest extent permitted under applicable law, from damage arising from the fact that such person is or was an officer or director of our company or our subsidiaries.</w:t>
      </w:r>
    </w:p>
    <w:p>
      <w:pPr>
        <w:spacing w:after="0" w:line="9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The indemnification rights set forth above shall not be exclusive of any other right which an indemnified person may have or hereafter acquire under any statute, our certificate of incorporation, our bylaws, any agreement, any vote of stockholders or disinterested directors or otherwise.</w:t>
      </w:r>
    </w:p>
    <w:p>
      <w:pPr>
        <w:spacing w:after="0" w:line="9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We expect to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9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4"/>
          <w:szCs w:val="14"/>
          <w:color w:val="auto"/>
        </w:rPr>
        <w:t>We have purchased and intend to maintain insurance on behalf of the Company and any person who is or was a director or officer against any loss arising from any claim asserted against him or her and incurred by him or her in that capacity, subject to certain exclusions and limits of the amount of coverage.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1240"/>
          </w:cols>
          <w:pgMar w:left="300" w:top="1235"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w w:val="99"/>
              </w:rPr>
              <w:t>Incorporated by Reference</w:t>
            </w:r>
          </w:p>
        </w:tc>
        <w:tc>
          <w:tcPr>
            <w:tcW w:w="920" w:type="dxa"/>
            <w:vAlign w:val="bottom"/>
            <w:tcBorders>
              <w:bottom w:val="single" w:sz="8" w:color="auto"/>
            </w:tcBorders>
          </w:tcPr>
          <w:p>
            <w:pPr>
              <w:spacing w:after="0"/>
              <w:rPr>
                <w:sz w:val="11"/>
                <w:szCs w:val="11"/>
                <w:color w:val="auto"/>
              </w:rPr>
            </w:pPr>
          </w:p>
        </w:tc>
      </w:tr>
      <w:tr>
        <w:trPr>
          <w:trHeight w:val="129"/>
        </w:trPr>
        <w:tc>
          <w:tcPr>
            <w:tcW w:w="880" w:type="dxa"/>
            <w:vAlign w:val="bottom"/>
          </w:tcPr>
          <w:p>
            <w:pPr>
              <w:ind w:left="30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1"/>
              </w:rPr>
              <w:t>Form</w:t>
            </w: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920" w:type="dxa"/>
            <w:vAlign w:val="bottom"/>
          </w:tcPr>
          <w:p>
            <w:pPr>
              <w:ind w:left="120"/>
              <w:spacing w:after="0"/>
              <w:rPr>
                <w:sz w:val="20"/>
                <w:szCs w:val="20"/>
                <w:color w:val="auto"/>
              </w:rPr>
            </w:pPr>
            <w:r>
              <w:rPr>
                <w:rFonts w:ascii="Times New Roman" w:cs="Times New Roman" w:eastAsia="Times New Roman" w:hAnsi="Times New Roman"/>
                <w:sz w:val="10"/>
                <w:szCs w:val="10"/>
                <w:b w:val="1"/>
                <w:bCs w:val="1"/>
                <w:color w:val="auto"/>
              </w:rPr>
              <w:t>Filing Date</w:t>
            </w:r>
          </w:p>
        </w:tc>
      </w:tr>
      <w:tr>
        <w:trPr>
          <w:trHeight w:val="184"/>
        </w:trPr>
        <w:tc>
          <w:tcPr>
            <w:tcW w:w="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Pr>
          <w:p>
            <w:pPr>
              <w:spacing w:after="0"/>
              <w:rPr>
                <w:sz w:val="16"/>
                <w:szCs w:val="16"/>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auto"/>
              </w:rPr>
              <w:t>Form of Underwriting Agreement</w:t>
            </w: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179"/>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5"/>
                <w:szCs w:val="15"/>
                <w:color w:val="auto"/>
              </w:rPr>
            </w:pPr>
          </w:p>
        </w:tc>
        <w:tc>
          <w:tcPr>
            <w:tcW w:w="7240" w:type="dxa"/>
            <w:vAlign w:val="bottom"/>
            <w:gridSpan w:val="38"/>
          </w:tcPr>
          <w:p>
            <w:pPr>
              <w:spacing w:after="0"/>
              <w:rPr>
                <w:rFonts w:ascii="Times New Roman" w:cs="Times New Roman" w:eastAsia="Times New Roman" w:hAnsi="Times New Roman"/>
                <w:sz w:val="12"/>
                <w:szCs w:val="12"/>
                <w:color w:val="0000FF"/>
              </w:rPr>
            </w:pPr>
            <w:hyperlink r:id="rId32">
              <w:r>
                <w:rPr>
                  <w:rFonts w:ascii="Times New Roman" w:cs="Times New Roman" w:eastAsia="Times New Roman" w:hAnsi="Times New Roman"/>
                  <w:sz w:val="12"/>
                  <w:szCs w:val="12"/>
                  <w:color w:val="0000FF"/>
                </w:rPr>
                <w:t>Agreement and Plan of Merger, dated as of December 22, 2023, by and among BurTech Acquisition Corp., BurTech Merger Sub, Inc., Blaize,</w:t>
              </w:r>
            </w:hyperlink>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2.1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7/19/2024</w:t>
            </w:r>
          </w:p>
        </w:tc>
      </w:tr>
      <w:tr>
        <w:trPr>
          <w:trHeight w:val="103"/>
        </w:trPr>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00" w:type="dxa"/>
            <w:vAlign w:val="bottom"/>
            <w:tcBorders>
              <w:top w:val="single" w:sz="8" w:color="0000FF"/>
            </w:tcBorders>
            <w:gridSpan w:val="15"/>
          </w:tcPr>
          <w:p>
            <w:pPr>
              <w:spacing w:after="0" w:line="103" w:lineRule="exact"/>
              <w:rPr>
                <w:rFonts w:ascii="Times New Roman" w:cs="Times New Roman" w:eastAsia="Times New Roman" w:hAnsi="Times New Roman"/>
                <w:sz w:val="11"/>
                <w:szCs w:val="11"/>
                <w:color w:val="0000FF"/>
              </w:rPr>
            </w:pPr>
            <w:hyperlink r:id="rId32">
              <w:r>
                <w:rPr>
                  <w:rFonts w:ascii="Times New Roman" w:cs="Times New Roman" w:eastAsia="Times New Roman" w:hAnsi="Times New Roman"/>
                  <w:sz w:val="11"/>
                  <w:szCs w:val="11"/>
                  <w:color w:val="0000FF"/>
                </w:rPr>
                <w:t>Inc. and for the limited purposes set forth therein, Burkhan Capital</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80" w:type="dxa"/>
            <w:vAlign w:val="bottom"/>
            <w:tcBorders>
              <w:top w:val="single" w:sz="8" w:color="0000FF"/>
            </w:tcBorders>
            <w:gridSpan w:val="13"/>
          </w:tcPr>
          <w:p>
            <w:pPr>
              <w:spacing w:after="0" w:line="103" w:lineRule="exact"/>
              <w:rPr>
                <w:rFonts w:ascii="Times New Roman" w:cs="Times New Roman" w:eastAsia="Times New Roman" w:hAnsi="Times New Roman"/>
                <w:sz w:val="11"/>
                <w:szCs w:val="11"/>
                <w:color w:val="0000FF"/>
              </w:rPr>
            </w:pPr>
            <w:hyperlink r:id="rId32">
              <w:r>
                <w:rPr>
                  <w:rFonts w:ascii="Times New Roman" w:cs="Times New Roman" w:eastAsia="Times New Roman" w:hAnsi="Times New Roman"/>
                  <w:sz w:val="11"/>
                  <w:szCs w:val="11"/>
                  <w:color w:val="0000FF"/>
                </w:rPr>
                <w:t>LLC.</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00" w:type="dxa"/>
            <w:vAlign w:val="bottom"/>
            <w:tcBorders>
              <w:top w:val="single" w:sz="8" w:color="0000FF"/>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tcPr>
          <w:p>
            <w:pPr>
              <w:spacing w:after="0"/>
              <w:rPr>
                <w:sz w:val="16"/>
                <w:szCs w:val="16"/>
                <w:color w:val="auto"/>
              </w:rPr>
            </w:pPr>
          </w:p>
        </w:tc>
        <w:tc>
          <w:tcPr>
            <w:tcW w:w="7240" w:type="dxa"/>
            <w:vAlign w:val="bottom"/>
            <w:gridSpan w:val="38"/>
          </w:tcPr>
          <w:p>
            <w:pPr>
              <w:spacing w:after="0"/>
              <w:rPr>
                <w:rFonts w:ascii="Times New Roman" w:cs="Times New Roman" w:eastAsia="Times New Roman" w:hAnsi="Times New Roman"/>
                <w:sz w:val="12"/>
                <w:szCs w:val="12"/>
                <w:color w:val="0000FF"/>
              </w:rPr>
            </w:pPr>
            <w:hyperlink r:id="rId33">
              <w:r>
                <w:rPr>
                  <w:rFonts w:ascii="Times New Roman" w:cs="Times New Roman" w:eastAsia="Times New Roman" w:hAnsi="Times New Roman"/>
                  <w:sz w:val="12"/>
                  <w:szCs w:val="12"/>
                  <w:color w:val="0000FF"/>
                </w:rPr>
                <w:t>Amendment to Agreement and Plan of Merger, dated as of April 22, 2024, by and among BurTech Acquisition Corp., BurTech Merger Sub, Inc.,</w:t>
              </w:r>
            </w:hyperlink>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7/19/2024</w:t>
            </w:r>
          </w:p>
        </w:tc>
      </w:tr>
      <w:tr>
        <w:trPr>
          <w:trHeight w:val="103"/>
        </w:trPr>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60" w:type="dxa"/>
            <w:vAlign w:val="bottom"/>
            <w:tcBorders>
              <w:top w:val="single" w:sz="8" w:color="0000FF"/>
            </w:tcBorders>
            <w:gridSpan w:val="18"/>
          </w:tcPr>
          <w:p>
            <w:pPr>
              <w:spacing w:after="0" w:line="103" w:lineRule="exact"/>
              <w:rPr>
                <w:rFonts w:ascii="Times New Roman" w:cs="Times New Roman" w:eastAsia="Times New Roman" w:hAnsi="Times New Roman"/>
                <w:sz w:val="11"/>
                <w:szCs w:val="11"/>
                <w:color w:val="0000FF"/>
              </w:rPr>
            </w:pPr>
            <w:hyperlink r:id="rId33">
              <w:r>
                <w:rPr>
                  <w:rFonts w:ascii="Times New Roman" w:cs="Times New Roman" w:eastAsia="Times New Roman" w:hAnsi="Times New Roman"/>
                  <w:sz w:val="11"/>
                  <w:szCs w:val="11"/>
                  <w:color w:val="0000FF"/>
                </w:rPr>
                <w:t>Blaize, Inc. and for the limited purposes set forth therein, Burkhan</w:t>
              </w:r>
            </w:hyperlink>
          </w:p>
        </w:tc>
        <w:tc>
          <w:tcPr>
            <w:tcW w:w="40" w:type="dxa"/>
            <w:vAlign w:val="bottom"/>
          </w:tcPr>
          <w:p>
            <w:pPr>
              <w:spacing w:after="0"/>
              <w:rPr>
                <w:sz w:val="8"/>
                <w:szCs w:val="8"/>
                <w:color w:val="auto"/>
              </w:rPr>
            </w:pPr>
          </w:p>
        </w:tc>
        <w:tc>
          <w:tcPr>
            <w:tcW w:w="3240" w:type="dxa"/>
            <w:vAlign w:val="bottom"/>
            <w:tcBorders>
              <w:top w:val="single" w:sz="8" w:color="0000FF"/>
            </w:tcBorders>
            <w:gridSpan w:val="12"/>
          </w:tcPr>
          <w:p>
            <w:pPr>
              <w:spacing w:after="0" w:line="103" w:lineRule="exact"/>
              <w:rPr>
                <w:rFonts w:ascii="Times New Roman" w:cs="Times New Roman" w:eastAsia="Times New Roman" w:hAnsi="Times New Roman"/>
                <w:sz w:val="11"/>
                <w:szCs w:val="11"/>
                <w:color w:val="0000FF"/>
              </w:rPr>
            </w:pPr>
            <w:hyperlink r:id="rId33">
              <w:r>
                <w:rPr>
                  <w:rFonts w:ascii="Times New Roman" w:cs="Times New Roman" w:eastAsia="Times New Roman" w:hAnsi="Times New Roman"/>
                  <w:sz w:val="11"/>
                  <w:szCs w:val="11"/>
                  <w:color w:val="0000FF"/>
                </w:rPr>
                <w:t>Capital LLC.</w:t>
              </w:r>
            </w:hyperlink>
          </w:p>
        </w:tc>
        <w:tc>
          <w:tcPr>
            <w:tcW w:w="40" w:type="dxa"/>
            <w:vAlign w:val="bottom"/>
            <w:gridSpan w:val="2"/>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280" w:type="dxa"/>
            <w:vAlign w:val="bottom"/>
            <w:tcBorders>
              <w:top w:val="single" w:sz="8" w:color="0000FF"/>
            </w:tcBorders>
            <w:gridSpan w:val="2"/>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6"/>
                <w:szCs w:val="16"/>
                <w:color w:val="auto"/>
              </w:rPr>
            </w:pPr>
          </w:p>
        </w:tc>
        <w:tc>
          <w:tcPr>
            <w:tcW w:w="7240" w:type="dxa"/>
            <w:vAlign w:val="bottom"/>
            <w:gridSpan w:val="38"/>
          </w:tcPr>
          <w:p>
            <w:pPr>
              <w:spacing w:after="0"/>
              <w:rPr>
                <w:rFonts w:ascii="Times New Roman" w:cs="Times New Roman" w:eastAsia="Times New Roman" w:hAnsi="Times New Roman"/>
                <w:sz w:val="12"/>
                <w:szCs w:val="12"/>
                <w:color w:val="0000FF"/>
              </w:rPr>
            </w:pPr>
            <w:hyperlink r:id="rId34">
              <w:r>
                <w:rPr>
                  <w:rFonts w:ascii="Times New Roman" w:cs="Times New Roman" w:eastAsia="Times New Roman" w:hAnsi="Times New Roman"/>
                  <w:sz w:val="12"/>
                  <w:szCs w:val="12"/>
                  <w:color w:val="0000FF"/>
                </w:rPr>
                <w:t>Amendment No. 2 to Agreement and Plan of Merger, dated as of October 24, 2024, by and among BurTech Acquisition Corp., BurTech Merger</w:t>
              </w:r>
            </w:hyperlink>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rPr>
              <w:t>10/30/2024</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03"/>
        </w:trPr>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40" w:type="dxa"/>
            <w:vAlign w:val="bottom"/>
            <w:gridSpan w:val="38"/>
          </w:tcPr>
          <w:p>
            <w:pPr>
              <w:spacing w:after="0" w:line="103" w:lineRule="exact"/>
              <w:rPr>
                <w:rFonts w:ascii="Times New Roman" w:cs="Times New Roman" w:eastAsia="Times New Roman" w:hAnsi="Times New Roman"/>
                <w:sz w:val="11"/>
                <w:szCs w:val="11"/>
                <w:color w:val="0000FF"/>
              </w:rPr>
            </w:pPr>
            <w:hyperlink r:id="rId34">
              <w:r>
                <w:rPr>
                  <w:rFonts w:ascii="Times New Roman" w:cs="Times New Roman" w:eastAsia="Times New Roman" w:hAnsi="Times New Roman"/>
                  <w:sz w:val="11"/>
                  <w:szCs w:val="11"/>
                  <w:color w:val="0000FF"/>
                </w:rPr>
                <w:t>Sub, Inc., Blaize, Inc. and for the limited purposes set forth therein, Burkhan Capital LLC.</w:t>
              </w:r>
            </w:hyperlink>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6"/>
                <w:szCs w:val="16"/>
                <w:color w:val="auto"/>
              </w:rPr>
            </w:pPr>
          </w:p>
        </w:tc>
        <w:tc>
          <w:tcPr>
            <w:tcW w:w="7240" w:type="dxa"/>
            <w:vAlign w:val="bottom"/>
            <w:gridSpan w:val="38"/>
          </w:tcPr>
          <w:p>
            <w:pPr>
              <w:spacing w:after="0"/>
              <w:rPr>
                <w:rFonts w:ascii="Times New Roman" w:cs="Times New Roman" w:eastAsia="Times New Roman" w:hAnsi="Times New Roman"/>
                <w:sz w:val="12"/>
                <w:szCs w:val="12"/>
                <w:color w:val="0000FF"/>
              </w:rPr>
            </w:pPr>
            <w:hyperlink r:id="rId35">
              <w:r>
                <w:rPr>
                  <w:rFonts w:ascii="Times New Roman" w:cs="Times New Roman" w:eastAsia="Times New Roman" w:hAnsi="Times New Roman"/>
                  <w:sz w:val="12"/>
                  <w:szCs w:val="12"/>
                  <w:color w:val="0000FF"/>
                </w:rPr>
                <w:t>Amendment No. 3 to Agreement and Plan of Merger, dated as of November 21, 2024, by and among BurTech Acquisition Corp., BurTech</w:t>
              </w:r>
            </w:hyperlink>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S-4</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rPr>
              <w:t>11/26/2024</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03"/>
        </w:trPr>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40" w:type="dxa"/>
            <w:vAlign w:val="bottom"/>
            <w:gridSpan w:val="38"/>
          </w:tcPr>
          <w:p>
            <w:pPr>
              <w:spacing w:after="0" w:line="103" w:lineRule="exact"/>
              <w:rPr>
                <w:rFonts w:ascii="Times New Roman" w:cs="Times New Roman" w:eastAsia="Times New Roman" w:hAnsi="Times New Roman"/>
                <w:sz w:val="11"/>
                <w:szCs w:val="11"/>
                <w:color w:val="0000FF"/>
              </w:rPr>
            </w:pPr>
            <w:hyperlink r:id="rId35">
              <w:r>
                <w:rPr>
                  <w:rFonts w:ascii="Times New Roman" w:cs="Times New Roman" w:eastAsia="Times New Roman" w:hAnsi="Times New Roman"/>
                  <w:sz w:val="11"/>
                  <w:szCs w:val="11"/>
                  <w:color w:val="0000FF"/>
                </w:rPr>
                <w:t>Merger Sub, Inc., Blaize, Inc. and for the limited purposes set forth therein, Burkhan Capital LLC.</w:t>
              </w:r>
            </w:hyperlink>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2400" w:type="dxa"/>
            <w:vAlign w:val="bottom"/>
            <w:gridSpan w:val="1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16"/>
                <w:szCs w:val="16"/>
                <w:color w:val="auto"/>
              </w:rPr>
            </w:pPr>
          </w:p>
        </w:tc>
        <w:tc>
          <w:tcPr>
            <w:tcW w:w="7240" w:type="dxa"/>
            <w:vAlign w:val="bottom"/>
            <w:gridSpan w:val="38"/>
          </w:tcPr>
          <w:p>
            <w:pPr>
              <w:spacing w:after="0"/>
              <w:rPr>
                <w:rFonts w:ascii="Times New Roman" w:cs="Times New Roman" w:eastAsia="Times New Roman" w:hAnsi="Times New Roman"/>
                <w:sz w:val="12"/>
                <w:szCs w:val="12"/>
                <w:color w:val="0000FF"/>
              </w:rPr>
            </w:pPr>
            <w:hyperlink r:id="rId36">
              <w:r>
                <w:rPr>
                  <w:rFonts w:ascii="Times New Roman" w:cs="Times New Roman" w:eastAsia="Times New Roman" w:hAnsi="Times New Roman"/>
                  <w:sz w:val="12"/>
                  <w:szCs w:val="12"/>
                  <w:color w:val="0000FF"/>
                </w:rPr>
                <w:t>Third Amended and Restated Certificate of Incorporation of Blaize Holdings, Inc.</w:t>
              </w:r>
            </w:hyperlink>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1/17/2025</w:t>
            </w:r>
          </w:p>
        </w:tc>
      </w:tr>
      <w:tr>
        <w:trPr>
          <w:trHeight w:val="18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16"/>
                <w:szCs w:val="16"/>
                <w:color w:val="auto"/>
              </w:rPr>
            </w:pPr>
          </w:p>
        </w:tc>
        <w:tc>
          <w:tcPr>
            <w:tcW w:w="2820" w:type="dxa"/>
            <w:vAlign w:val="bottom"/>
            <w:tcBorders>
              <w:top w:val="single" w:sz="8" w:color="0000FF"/>
              <w:bottom w:val="single" w:sz="8" w:color="0000FF"/>
            </w:tcBorders>
            <w:gridSpan w:val="9"/>
          </w:tcPr>
          <w:p>
            <w:pPr>
              <w:spacing w:after="0"/>
              <w:rPr>
                <w:rFonts w:ascii="Times New Roman" w:cs="Times New Roman" w:eastAsia="Times New Roman" w:hAnsi="Times New Roman"/>
                <w:sz w:val="12"/>
                <w:szCs w:val="12"/>
                <w:color w:val="0000FF"/>
              </w:rPr>
            </w:pPr>
            <w:hyperlink r:id="rId37">
              <w:r>
                <w:rPr>
                  <w:rFonts w:ascii="Times New Roman" w:cs="Times New Roman" w:eastAsia="Times New Roman" w:hAnsi="Times New Roman"/>
                  <w:sz w:val="12"/>
                  <w:szCs w:val="12"/>
                  <w:color w:val="0000FF"/>
                </w:rPr>
                <w:t>Amended and Restated Bylaws of Blaize Holdings, Inc.</w:t>
              </w:r>
            </w:hyperlink>
          </w:p>
        </w:tc>
        <w:tc>
          <w:tcPr>
            <w:tcW w:w="500" w:type="dxa"/>
            <w:vAlign w:val="bottom"/>
            <w:tcBorders>
              <w:top w:val="single" w:sz="8" w:color="0000FF"/>
            </w:tcBorders>
            <w:gridSpan w:val="7"/>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Borders>
              <w:top w:val="single" w:sz="8" w:color="0000FF"/>
            </w:tcBorders>
            <w:gridSpan w:val="6"/>
          </w:tcPr>
          <w:p>
            <w:pPr>
              <w:spacing w:after="0"/>
              <w:rPr>
                <w:sz w:val="16"/>
                <w:szCs w:val="16"/>
                <w:color w:val="auto"/>
              </w:rPr>
            </w:pPr>
          </w:p>
        </w:tc>
        <w:tc>
          <w:tcPr>
            <w:tcW w:w="3200" w:type="dxa"/>
            <w:vAlign w:val="bottom"/>
            <w:gridSpan w:val="15"/>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8-K</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60"/>
              <w:spacing w:after="0"/>
              <w:rPr>
                <w:sz w:val="20"/>
                <w:szCs w:val="20"/>
                <w:color w:val="auto"/>
              </w:rPr>
            </w:pPr>
            <w:r>
              <w:rPr>
                <w:rFonts w:ascii="Times New Roman" w:cs="Times New Roman" w:eastAsia="Times New Roman" w:hAnsi="Times New Roman"/>
                <w:sz w:val="12"/>
                <w:szCs w:val="12"/>
                <w:color w:val="auto"/>
              </w:rPr>
              <w:t>1/17/2025</w:t>
            </w:r>
          </w:p>
        </w:tc>
      </w:tr>
      <w:tr>
        <w:trPr>
          <w:trHeight w:val="18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16"/>
                <w:szCs w:val="16"/>
                <w:color w:val="auto"/>
              </w:rPr>
            </w:pPr>
          </w:p>
        </w:tc>
        <w:tc>
          <w:tcPr>
            <w:tcW w:w="7240" w:type="dxa"/>
            <w:vAlign w:val="bottom"/>
            <w:gridSpan w:val="38"/>
          </w:tcPr>
          <w:p>
            <w:pPr>
              <w:spacing w:after="0"/>
              <w:rPr>
                <w:rFonts w:ascii="Times New Roman" w:cs="Times New Roman" w:eastAsia="Times New Roman" w:hAnsi="Times New Roman"/>
                <w:sz w:val="12"/>
                <w:szCs w:val="12"/>
                <w:color w:val="0000FF"/>
              </w:rPr>
            </w:pPr>
            <w:hyperlink r:id="rId38">
              <w:r>
                <w:rPr>
                  <w:rFonts w:ascii="Times New Roman" w:cs="Times New Roman" w:eastAsia="Times New Roman" w:hAnsi="Times New Roman"/>
                  <w:sz w:val="12"/>
                  <w:szCs w:val="12"/>
                  <w:color w:val="0000FF"/>
                </w:rPr>
                <w:t>Specimen Common Stock Certificate.</w:t>
              </w:r>
            </w:hyperlink>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S-1/A</w:t>
            </w: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4.2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rPr>
              <w:t>11/19/2021</w:t>
            </w: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gridSpan w:val="1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0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1"/>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Pr>
          <w:p>
            <w:pPr>
              <w:spacing w:after="0"/>
              <w:rPr>
                <w:sz w:val="18"/>
                <w:szCs w:val="18"/>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auto"/>
              </w:rPr>
              <w:t>Specimen Certificate Representing Preferred Stock.</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79"/>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5"/>
                <w:szCs w:val="15"/>
                <w:color w:val="auto"/>
              </w:rPr>
            </w:pPr>
          </w:p>
        </w:tc>
        <w:tc>
          <w:tcPr>
            <w:tcW w:w="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0000FF"/>
              </w:rPr>
              <w:t>Form of Indenture.</w:t>
            </w:r>
          </w:p>
        </w:tc>
        <w:tc>
          <w:tcPr>
            <w:tcW w:w="6300" w:type="dxa"/>
            <w:vAlign w:val="bottom"/>
            <w:gridSpan w:val="36"/>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1"/>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Pr>
          <w:p>
            <w:pPr>
              <w:spacing w:after="0"/>
              <w:rPr>
                <w:sz w:val="18"/>
                <w:szCs w:val="18"/>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auto"/>
              </w:rPr>
              <w:t>Form of Debt Security.</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tcPr>
          <w:p>
            <w:pPr>
              <w:spacing w:after="0"/>
              <w:rPr>
                <w:sz w:val="17"/>
                <w:szCs w:val="17"/>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auto"/>
              </w:rPr>
              <w:t>Form of Warrant.</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4.6*</w:t>
            </w:r>
          </w:p>
        </w:tc>
        <w:tc>
          <w:tcPr>
            <w:tcW w:w="100" w:type="dxa"/>
            <w:vAlign w:val="bottom"/>
          </w:tcPr>
          <w:p>
            <w:pPr>
              <w:spacing w:after="0"/>
              <w:rPr>
                <w:sz w:val="17"/>
                <w:szCs w:val="17"/>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auto"/>
              </w:rPr>
              <w:t>Form of Warrant Agreement.</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4.7*</w:t>
            </w:r>
          </w:p>
        </w:tc>
        <w:tc>
          <w:tcPr>
            <w:tcW w:w="100" w:type="dxa"/>
            <w:vAlign w:val="bottom"/>
          </w:tcPr>
          <w:p>
            <w:pPr>
              <w:spacing w:after="0"/>
              <w:rPr>
                <w:sz w:val="17"/>
                <w:szCs w:val="17"/>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auto"/>
              </w:rPr>
              <w:t>Form of Stock Purchase Contract.</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Pr>
          <w:p>
            <w:pPr>
              <w:spacing w:after="0"/>
              <w:rPr>
                <w:sz w:val="17"/>
                <w:szCs w:val="17"/>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auto"/>
              </w:rPr>
              <w:t>Form of Rights Agent Agreement.</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4.9*</w:t>
            </w:r>
          </w:p>
        </w:tc>
        <w:tc>
          <w:tcPr>
            <w:tcW w:w="100" w:type="dxa"/>
            <w:vAlign w:val="bottom"/>
          </w:tcPr>
          <w:p>
            <w:pPr>
              <w:spacing w:after="0"/>
              <w:rPr>
                <w:sz w:val="17"/>
                <w:szCs w:val="17"/>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auto"/>
              </w:rPr>
              <w:t>Form of Unit Agreement.</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79"/>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5"/>
                <w:szCs w:val="15"/>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0000FF"/>
              </w:rPr>
              <w:t>Opinion of Faegre Drinker Biddle &amp; Reath LLP.</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23.1**</w:t>
            </w:r>
          </w:p>
        </w:tc>
        <w:tc>
          <w:tcPr>
            <w:tcW w:w="100" w:type="dxa"/>
            <w:vAlign w:val="bottom"/>
          </w:tcPr>
          <w:p>
            <w:pPr>
              <w:spacing w:after="0"/>
              <w:rPr>
                <w:sz w:val="16"/>
                <w:szCs w:val="16"/>
                <w:color w:val="auto"/>
              </w:rPr>
            </w:pPr>
          </w:p>
        </w:tc>
        <w:tc>
          <w:tcPr>
            <w:tcW w:w="23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2"/>
                <w:szCs w:val="12"/>
                <w:color w:val="0000FF"/>
              </w:rPr>
              <w:t>Consent of UHY LLP.</w:t>
            </w:r>
          </w:p>
        </w:tc>
        <w:tc>
          <w:tcPr>
            <w:tcW w:w="4860" w:type="dxa"/>
            <w:vAlign w:val="bottom"/>
            <w:gridSpan w:val="32"/>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17"/>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0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23.2**</w:t>
            </w:r>
          </w:p>
        </w:tc>
        <w:tc>
          <w:tcPr>
            <w:tcW w:w="100" w:type="dxa"/>
            <w:vAlign w:val="bottom"/>
          </w:tcPr>
          <w:p>
            <w:pPr>
              <w:spacing w:after="0"/>
              <w:rPr>
                <w:sz w:val="16"/>
                <w:szCs w:val="16"/>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0000FF"/>
              </w:rPr>
              <w:t>Consent of Marcum LLP.</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380" w:type="dxa"/>
            <w:vAlign w:val="bottom"/>
            <w:gridSpan w:val="17"/>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0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23.3**</w:t>
            </w:r>
          </w:p>
        </w:tc>
        <w:tc>
          <w:tcPr>
            <w:tcW w:w="100" w:type="dxa"/>
            <w:vAlign w:val="bottom"/>
          </w:tcPr>
          <w:p>
            <w:pPr>
              <w:spacing w:after="0"/>
              <w:rPr>
                <w:sz w:val="16"/>
                <w:szCs w:val="16"/>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0000FF"/>
              </w:rPr>
              <w:t>Consent of Faegre Drinker Biddle &amp; Reath LLP (included in Exhibit 5.1).</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800" w:type="dxa"/>
            <w:vAlign w:val="bottom"/>
            <w:gridSpan w:val="20"/>
            <w:shd w:val="clear" w:color="auto" w:fill="0000FF"/>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400" w:type="dxa"/>
            <w:vAlign w:val="bottom"/>
            <w:gridSpan w:val="1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24.1**</w:t>
            </w:r>
          </w:p>
        </w:tc>
        <w:tc>
          <w:tcPr>
            <w:tcW w:w="100" w:type="dxa"/>
            <w:vAlign w:val="bottom"/>
          </w:tcPr>
          <w:p>
            <w:pPr>
              <w:spacing w:after="0"/>
              <w:rPr>
                <w:sz w:val="16"/>
                <w:szCs w:val="16"/>
                <w:color w:val="auto"/>
              </w:rPr>
            </w:pPr>
          </w:p>
        </w:tc>
        <w:tc>
          <w:tcPr>
            <w:tcW w:w="48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2"/>
                <w:szCs w:val="12"/>
                <w:color w:val="0000FF"/>
              </w:rPr>
              <w:t>Power of Attorney (included on signature page of the initial filing of this Registration Statement).</w:t>
            </w:r>
          </w:p>
        </w:tc>
        <w:tc>
          <w:tcPr>
            <w:tcW w:w="2400" w:type="dxa"/>
            <w:vAlign w:val="bottom"/>
            <w:gridSpan w:val="13"/>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75"/>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25.1***</w:t>
            </w:r>
          </w:p>
        </w:tc>
        <w:tc>
          <w:tcPr>
            <w:tcW w:w="100" w:type="dxa"/>
            <w:vAlign w:val="bottom"/>
          </w:tcPr>
          <w:p>
            <w:pPr>
              <w:spacing w:after="0"/>
              <w:rPr>
                <w:sz w:val="15"/>
                <w:szCs w:val="15"/>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auto"/>
              </w:rPr>
              <w:t>Statement of Eligibility on Form T-1 under the Trust Indenture Act of 1939, as amended, of Debt Trustee as trustee under the indenture filed as</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60"/>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40" w:type="dxa"/>
            <w:vAlign w:val="bottom"/>
            <w:gridSpan w:val="38"/>
          </w:tcPr>
          <w:p>
            <w:pPr>
              <w:spacing w:after="0"/>
              <w:rPr>
                <w:sz w:val="20"/>
                <w:szCs w:val="20"/>
                <w:color w:val="auto"/>
              </w:rPr>
            </w:pPr>
            <w:r>
              <w:rPr>
                <w:rFonts w:ascii="Times New Roman" w:cs="Times New Roman" w:eastAsia="Times New Roman" w:hAnsi="Times New Roman"/>
                <w:sz w:val="12"/>
                <w:szCs w:val="12"/>
                <w:color w:val="auto"/>
              </w:rPr>
              <w:t>Exhibit 4.3 above (to be filed prior to any issuance of Debt Securities).</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79"/>
        </w:trPr>
        <w:tc>
          <w:tcPr>
            <w:tcW w:w="8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Pr>
          <w:p>
            <w:pPr>
              <w:spacing w:after="0"/>
              <w:rPr>
                <w:sz w:val="15"/>
                <w:szCs w:val="15"/>
                <w:color w:val="auto"/>
              </w:rPr>
            </w:pPr>
          </w:p>
        </w:tc>
        <w:tc>
          <w:tcPr>
            <w:tcW w:w="8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9"/>
              </w:rPr>
              <w:t>Filing Fee Table.</w:t>
            </w:r>
          </w:p>
        </w:tc>
        <w:tc>
          <w:tcPr>
            <w:tcW w:w="6400" w:type="dxa"/>
            <w:vAlign w:val="bottom"/>
            <w:gridSpan w:val="37"/>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9" w:lineRule="exact"/>
        <w:rPr>
          <w:sz w:val="20"/>
          <w:szCs w:val="20"/>
          <w:color w:val="auto"/>
        </w:rPr>
      </w:pPr>
    </w:p>
    <w:p>
      <w:pPr>
        <w:ind w:right="1100" w:firstLine="2"/>
        <w:spacing w:after="0" w:line="249" w:lineRule="auto"/>
        <w:tabs>
          <w:tab w:leader="none" w:pos="239" w:val="left"/>
        </w:tabs>
        <w:numPr>
          <w:ilvl w:val="0"/>
          <w:numId w:val="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Certain of the exhibits and schedules to this Exhibit have been omitted in accordance with Regulation S-K Item 601(a)(5). The Company agrees to furnish a copy of all omitted exhibits and schedules to the SEC upon its request. * To be filed, as applicable, by amendment to this Form S-3 Registration Statement or as an exhibit to a Current Report on Form 8-K and incorporated herein by reference in connection with an offering of securities.</w:t>
      </w: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Filed herewith.</w:t>
      </w:r>
    </w:p>
    <w:p>
      <w:pPr>
        <w:spacing w:after="0" w:line="6" w:lineRule="exact"/>
        <w:rPr>
          <w:rFonts w:ascii="Times New Roman" w:cs="Times New Roman" w:eastAsia="Times New Roman" w:hAnsi="Times New Roman"/>
          <w:sz w:val="11"/>
          <w:szCs w:val="11"/>
          <w:color w:val="auto"/>
        </w:rPr>
      </w:pP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To be filed in accordance with the requirements of Section 305(b)(2) of the Trust Indenture Act of 1939, as amended.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1280"/>
          </w:cols>
          <w:pgMar w:left="300" w:top="1231"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130" w:lineRule="exact"/>
        <w:rPr>
          <w:sz w:val="20"/>
          <w:szCs w:val="20"/>
          <w:color w:val="auto"/>
        </w:rPr>
      </w:pPr>
    </w:p>
    <w:p>
      <w:pPr>
        <w:ind w:left="180" w:hanging="178"/>
        <w:spacing w:after="0"/>
        <w:tabs>
          <w:tab w:leader="none" w:pos="1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26" w:lineRule="exact"/>
        <w:rPr>
          <w:rFonts w:ascii="Times New Roman" w:cs="Times New Roman" w:eastAsia="Times New Roman" w:hAnsi="Times New Roman"/>
          <w:sz w:val="14"/>
          <w:szCs w:val="14"/>
          <w:color w:val="auto"/>
        </w:rPr>
      </w:pPr>
    </w:p>
    <w:p>
      <w:pPr>
        <w:ind w:left="480" w:hanging="232"/>
        <w:spacing w:after="0"/>
        <w:tabs>
          <w:tab w:leader="none" w:pos="480" w:val="left"/>
        </w:tabs>
        <w:numPr>
          <w:ilvl w:val="1"/>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26"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26" w:lineRule="exact"/>
        <w:rPr>
          <w:rFonts w:ascii="Times New Roman" w:cs="Times New Roman" w:eastAsia="Times New Roman" w:hAnsi="Times New Roman"/>
          <w:sz w:val="14"/>
          <w:szCs w:val="14"/>
          <w:color w:val="auto"/>
        </w:rPr>
      </w:pPr>
    </w:p>
    <w:p>
      <w:pPr>
        <w:ind w:left="980" w:hanging="486"/>
        <w:spacing w:after="0" w:line="250" w:lineRule="auto"/>
        <w:tabs>
          <w:tab w:leader="none" w:pos="973"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05" w:lineRule="exact"/>
        <w:rPr>
          <w:rFonts w:ascii="Times New Roman" w:cs="Times New Roman" w:eastAsia="Times New Roman" w:hAnsi="Times New Roman"/>
          <w:sz w:val="14"/>
          <w:szCs w:val="14"/>
          <w:color w:val="auto"/>
        </w:rPr>
      </w:pPr>
    </w:p>
    <w:p>
      <w:pPr>
        <w:ind w:left="980" w:right="480" w:hanging="486"/>
        <w:spacing w:after="0" w:line="266" w:lineRule="auto"/>
        <w:tabs>
          <w:tab w:leader="none" w:pos="980" w:val="left"/>
        </w:tabs>
        <w:numPr>
          <w:ilvl w:val="2"/>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91" w:lineRule="exact"/>
        <w:rPr>
          <w:sz w:val="20"/>
          <w:szCs w:val="20"/>
          <w:color w:val="auto"/>
        </w:rPr>
      </w:pPr>
    </w:p>
    <w:p>
      <w:pPr>
        <w:ind w:left="500" w:right="60"/>
        <w:spacing w:after="0" w:line="258"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paragraphs (1)(i), (1)(ii) and (1)(iii) of this section do not apply if the information required to be included in a post-effective amendment by those paragraphs is contained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100" w:lineRule="exact"/>
        <w:rPr>
          <w:sz w:val="20"/>
          <w:szCs w:val="20"/>
          <w:color w:val="auto"/>
        </w:rPr>
      </w:pPr>
    </w:p>
    <w:p>
      <w:pPr>
        <w:ind w:left="500" w:right="100" w:hanging="252"/>
        <w:spacing w:after="0" w:line="266" w:lineRule="auto"/>
        <w:tabs>
          <w:tab w:leader="none" w:pos="49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4" w:lineRule="exact"/>
        <w:rPr>
          <w:rFonts w:ascii="Times New Roman" w:cs="Times New Roman" w:eastAsia="Times New Roman" w:hAnsi="Times New Roman"/>
          <w:sz w:val="14"/>
          <w:szCs w:val="14"/>
          <w:color w:val="auto"/>
        </w:rPr>
      </w:pPr>
    </w:p>
    <w:p>
      <w:pPr>
        <w:ind w:left="480" w:hanging="232"/>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126" w:lineRule="exact"/>
        <w:rPr>
          <w:rFonts w:ascii="Times New Roman" w:cs="Times New Roman" w:eastAsia="Times New Roman" w:hAnsi="Times New Roman"/>
          <w:sz w:val="14"/>
          <w:szCs w:val="14"/>
          <w:color w:val="auto"/>
        </w:rPr>
      </w:pPr>
    </w:p>
    <w:p>
      <w:pPr>
        <w:ind w:left="480" w:hanging="232"/>
        <w:spacing w:after="0"/>
        <w:tabs>
          <w:tab w:leader="none" w:pos="4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to any purchaser</w:t>
      </w:r>
    </w:p>
    <w:p>
      <w:pPr>
        <w:spacing w:after="0" w:line="126" w:lineRule="exact"/>
        <w:rPr>
          <w:rFonts w:ascii="Times New Roman" w:cs="Times New Roman" w:eastAsia="Times New Roman" w:hAnsi="Times New Roman"/>
          <w:sz w:val="14"/>
          <w:szCs w:val="14"/>
          <w:color w:val="auto"/>
        </w:rPr>
      </w:pPr>
    </w:p>
    <w:p>
      <w:pPr>
        <w:ind w:left="980" w:right="420" w:hanging="486"/>
        <w:spacing w:after="0" w:line="266" w:lineRule="auto"/>
        <w:tabs>
          <w:tab w:leader="none" w:pos="976"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rFonts w:ascii="Times New Roman" w:cs="Times New Roman" w:eastAsia="Times New Roman" w:hAnsi="Times New Roman"/>
          <w:sz w:val="14"/>
          <w:szCs w:val="14"/>
          <w:color w:val="auto"/>
        </w:rPr>
      </w:pPr>
    </w:p>
    <w:p>
      <w:pPr>
        <w:ind w:left="980" w:right="60" w:hanging="486"/>
        <w:spacing w:after="0" w:line="249" w:lineRule="auto"/>
        <w:tabs>
          <w:tab w:leader="none" w:pos="973"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w:t>
      </w:r>
    </w:p>
    <w:p>
      <w:pPr>
        <w:spacing w:after="0" w:line="102" w:lineRule="exact"/>
        <w:rPr>
          <w:sz w:val="20"/>
          <w:szCs w:val="20"/>
          <w:color w:val="auto"/>
        </w:rPr>
      </w:pPr>
    </w:p>
    <w:p>
      <w:pPr>
        <w:ind w:left="500" w:right="520"/>
        <w:spacing w:after="0" w:line="272" w:lineRule="auto"/>
        <w:rPr>
          <w:sz w:val="20"/>
          <w:szCs w:val="20"/>
          <w:color w:val="auto"/>
        </w:rPr>
      </w:pP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statement made in a registration statement or prospectus that is part of the registration statement or made in a document incorporated or deemed incorporated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reference into the registration statement or prospectus that is part of the registration statement will, as to a purchaser with 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1280"/>
          </w:cols>
          <w:pgMar w:left="300" w:top="1231" w:right="319" w:bottom="1440" w:gutter="0" w:footer="0" w:header="0"/>
        </w:sectPr>
      </w:pPr>
    </w:p>
    <w:bookmarkStart w:id="43" w:name="page44"/>
    <w:bookmarkEnd w:id="43"/>
    <w:p>
      <w:pPr>
        <w:ind w:left="500"/>
        <w:spacing w:after="0" w:line="266" w:lineRule="auto"/>
        <w:rPr>
          <w:sz w:val="20"/>
          <w:szCs w:val="20"/>
          <w:color w:val="auto"/>
        </w:rPr>
      </w:pPr>
      <w:r>
        <w:rPr>
          <w:rFonts w:ascii="Times New Roman" w:cs="Times New Roman" w:eastAsia="Times New Roman" w:hAnsi="Times New Roman"/>
          <w:sz w:val="14"/>
          <w:szCs w:val="14"/>
          <w:color w:val="auto"/>
        </w:rPr>
        <w:t>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5" w:lineRule="exact"/>
        <w:rPr>
          <w:sz w:val="20"/>
          <w:szCs w:val="20"/>
          <w:color w:val="auto"/>
        </w:rPr>
      </w:pPr>
    </w:p>
    <w:p>
      <w:pPr>
        <w:ind w:left="500" w:right="20" w:hanging="252"/>
        <w:spacing w:after="0" w:line="252" w:lineRule="auto"/>
        <w:tabs>
          <w:tab w:leader="none" w:pos="495"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3"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126"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126" w:lineRule="exact"/>
        <w:rPr>
          <w:rFonts w:ascii="Times New Roman" w:cs="Times New Roman" w:eastAsia="Times New Roman" w:hAnsi="Times New Roman"/>
          <w:sz w:val="14"/>
          <w:szCs w:val="14"/>
          <w:color w:val="auto"/>
        </w:rPr>
      </w:pPr>
    </w:p>
    <w:p>
      <w:pPr>
        <w:ind w:left="980" w:right="180" w:hanging="486"/>
        <w:spacing w:after="0" w:line="266" w:lineRule="auto"/>
        <w:tabs>
          <w:tab w:leader="none" w:pos="980"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94"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2"/>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26" w:lineRule="exact"/>
        <w:rPr>
          <w:rFonts w:ascii="Times New Roman" w:cs="Times New Roman" w:eastAsia="Times New Roman" w:hAnsi="Times New Roman"/>
          <w:sz w:val="14"/>
          <w:szCs w:val="14"/>
          <w:color w:val="auto"/>
        </w:rPr>
      </w:pPr>
    </w:p>
    <w:p>
      <w:pPr>
        <w:ind w:right="200" w:firstLine="2"/>
        <w:spacing w:after="0" w:line="252" w:lineRule="auto"/>
        <w:tabs>
          <w:tab w:leader="none" w:pos="19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Section 15(d) of the Exchange Act of 1934 (and, where applicable, each filing of an employee benefit plan’s annual report pursuant to Section 15(d) of the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03" w:lineRule="exact"/>
        <w:rPr>
          <w:sz w:val="20"/>
          <w:szCs w:val="20"/>
          <w:color w:val="auto"/>
        </w:rPr>
      </w:pPr>
    </w:p>
    <w:p>
      <w:pPr>
        <w:ind w:right="20" w:firstLine="2"/>
        <w:spacing w:after="0" w:line="249" w:lineRule="auto"/>
        <w:tabs>
          <w:tab w:leader="none" w:pos="19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6" w:lineRule="exact"/>
        <w:rPr>
          <w:sz w:val="20"/>
          <w:szCs w:val="20"/>
          <w:color w:val="auto"/>
        </w:rPr>
      </w:pPr>
    </w:p>
    <w:p>
      <w:pPr>
        <w:ind w:right="320" w:firstLine="2"/>
        <w:spacing w:after="0" w:line="266" w:lineRule="auto"/>
        <w:tabs>
          <w:tab w:leader="none" w:pos="163"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1280"/>
          </w:cols>
          <w:pgMar w:left="300" w:top="1235"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El Dorado Hills, California, on January 27, 2026.</w:t>
      </w:r>
    </w:p>
    <w:p>
      <w:pPr>
        <w:spacing w:after="0" w:line="12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color w:val="auto"/>
        </w:rPr>
        <w:t>BLAIZE HOLDINGS, INC.</w:t>
      </w:r>
    </w:p>
    <w:p>
      <w:pPr>
        <w:spacing w:after="0" w:line="178" w:lineRule="exact"/>
        <w:rPr>
          <w:sz w:val="20"/>
          <w:szCs w:val="20"/>
          <w:color w:val="auto"/>
        </w:rPr>
      </w:pPr>
    </w:p>
    <w:tbl>
      <w:tblPr>
        <w:tblLayout w:type="fixed"/>
        <w:tblInd w:w="6240" w:type="dxa"/>
        <w:tblCellMar>
          <w:top w:w="0" w:type="dxa"/>
          <w:left w:w="0" w:type="dxa"/>
          <w:bottom w:w="0" w:type="dxa"/>
          <w:right w:w="0" w:type="dxa"/>
        </w:tblCellMar>
      </w:tblPr>
      <w:tr>
        <w:trPr>
          <w:trHeight w:val="176"/>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4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/s/ Dinakar Munagala</w:t>
            </w:r>
          </w:p>
        </w:tc>
      </w:tr>
      <w:tr>
        <w:trPr>
          <w:trHeight w:val="163"/>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4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Dinakar Munagala</w:t>
            </w:r>
          </w:p>
        </w:tc>
      </w:tr>
      <w:tr>
        <w:trPr>
          <w:trHeight w:val="176"/>
        </w:trPr>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4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Chief Executive Officer, Director</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13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4"/>
          <w:szCs w:val="14"/>
          <w:color w:val="auto"/>
        </w:rPr>
        <w:t>KNOW ALL PERSONS BY THESE PRESENTS, that each person whose signature appears below constitutes and appoints Dinakar Munagala and Harminder Sehmi, and each of them, as the true and lawful attorney-in-fact and agent with full power of substitution and resubstitution, for them and in their name, place and stead, in any and all capacities to sign any and all amendments to this Registration Statement (including post-effective amendments, or any abbreviated registration statement and any amendments thereto filed pursuant to Rule 462(b) and otherwise), and to file the same, with all exhibits thereto, and other documents in connection therewith, with the Securities and Exchange Commission granting unto said attorney-in-fact and agent the full power and authority to do and perform each and every act and thing requisite and necessary to be done in and about the foregoing, as to all intents and purposes as either of them might or could do in person, hereby ratifying and confirming all that said attorney-in-fact and agent, or his substitute, may lawfully do or cause to be done by virtue hereof.</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following persons have signed this Registration Statement in the capacities and on the date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4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100" w:type="dxa"/>
            <w:vAlign w:val="bottom"/>
          </w:tcPr>
          <w:p>
            <w:pPr>
              <w:spacing w:after="0"/>
              <w:rPr>
                <w:sz w:val="13"/>
                <w:szCs w:val="13"/>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c>
          <w:tcPr>
            <w:tcW w:w="80" w:type="dxa"/>
            <w:vAlign w:val="bottom"/>
          </w:tcPr>
          <w:p>
            <w:pPr>
              <w:spacing w:after="0"/>
              <w:rPr>
                <w:sz w:val="13"/>
                <w:szCs w:val="13"/>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20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Dinakar Munagala</w:t>
            </w:r>
          </w:p>
        </w:tc>
        <w:tc>
          <w:tcPr>
            <w:tcW w:w="100" w:type="dxa"/>
            <w:vAlign w:val="bottom"/>
          </w:tcPr>
          <w:p>
            <w:pPr>
              <w:spacing w:after="0"/>
              <w:rPr>
                <w:sz w:val="17"/>
                <w:szCs w:val="17"/>
                <w:color w:val="auto"/>
              </w:rPr>
            </w:pPr>
          </w:p>
        </w:tc>
        <w:tc>
          <w:tcPr>
            <w:tcW w:w="4340" w:type="dxa"/>
            <w:vAlign w:val="bottom"/>
            <w:gridSpan w:val="2"/>
          </w:tcPr>
          <w:p>
            <w:pPr>
              <w:ind w:left="110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27, 2026</w:t>
            </w:r>
          </w:p>
        </w:tc>
        <w:tc>
          <w:tcPr>
            <w:tcW w:w="0" w:type="dxa"/>
            <w:vAlign w:val="bottom"/>
          </w:tcPr>
          <w:p>
            <w:pPr>
              <w:spacing w:after="0"/>
              <w:rPr>
                <w:sz w:val="1"/>
                <w:szCs w:val="1"/>
                <w:color w:val="auto"/>
              </w:rPr>
            </w:pPr>
          </w:p>
        </w:tc>
      </w:tr>
      <w:tr>
        <w:trPr>
          <w:trHeight w:val="31"/>
        </w:trPr>
        <w:tc>
          <w:tcPr>
            <w:tcW w:w="424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w w:val="97"/>
              </w:rPr>
              <w:t>(Principal Executive Officer)</w:t>
            </w: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Dinakar Munagala</w:t>
            </w:r>
          </w:p>
        </w:tc>
        <w:tc>
          <w:tcPr>
            <w:tcW w:w="100" w:type="dxa"/>
            <w:vAlign w:val="bottom"/>
            <w:vMerge w:val="continue"/>
          </w:tcPr>
          <w:p>
            <w:pPr>
              <w:spacing w:after="0"/>
              <w:rPr>
                <w:sz w:val="14"/>
                <w:szCs w:val="14"/>
                <w:color w:val="auto"/>
              </w:rPr>
            </w:pPr>
          </w:p>
        </w:tc>
        <w:tc>
          <w:tcPr>
            <w:tcW w:w="4340" w:type="dxa"/>
            <w:vAlign w:val="bottom"/>
            <w:gridSpan w:val="2"/>
            <w:vMerge w:val="continue"/>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Harminder Sehmi</w:t>
            </w:r>
          </w:p>
        </w:tc>
        <w:tc>
          <w:tcPr>
            <w:tcW w:w="100" w:type="dxa"/>
            <w:vAlign w:val="bottom"/>
          </w:tcPr>
          <w:p>
            <w:pPr>
              <w:spacing w:after="0"/>
              <w:rPr>
                <w:sz w:val="22"/>
                <w:szCs w:val="22"/>
                <w:color w:val="auto"/>
              </w:rPr>
            </w:pPr>
          </w:p>
        </w:tc>
        <w:tc>
          <w:tcPr>
            <w:tcW w:w="4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Chief Financial Officer (Principal Financial Officer and Principal</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27, 2026</w:t>
            </w:r>
          </w:p>
        </w:tc>
        <w:tc>
          <w:tcPr>
            <w:tcW w:w="0" w:type="dxa"/>
            <w:vAlign w:val="bottom"/>
          </w:tcPr>
          <w:p>
            <w:pPr>
              <w:spacing w:after="0"/>
              <w:rPr>
                <w:sz w:val="1"/>
                <w:szCs w:val="1"/>
                <w:color w:val="auto"/>
              </w:rPr>
            </w:pPr>
          </w:p>
        </w:tc>
      </w:tr>
      <w:tr>
        <w:trPr>
          <w:trHeight w:val="188"/>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Harminder Sehmi</w:t>
            </w:r>
          </w:p>
        </w:tc>
        <w:tc>
          <w:tcPr>
            <w:tcW w:w="100" w:type="dxa"/>
            <w:vAlign w:val="bottom"/>
          </w:tcPr>
          <w:p>
            <w:pPr>
              <w:spacing w:after="0"/>
              <w:rPr>
                <w:sz w:val="16"/>
                <w:szCs w:val="16"/>
                <w:color w:val="auto"/>
              </w:rPr>
            </w:pPr>
          </w:p>
        </w:tc>
        <w:tc>
          <w:tcPr>
            <w:tcW w:w="4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Accounting Officer)</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Edward Frank</w:t>
            </w:r>
          </w:p>
        </w:tc>
        <w:tc>
          <w:tcPr>
            <w:tcW w:w="100" w:type="dxa"/>
            <w:vAlign w:val="bottom"/>
          </w:tcPr>
          <w:p>
            <w:pPr>
              <w:spacing w:after="0"/>
              <w:rPr>
                <w:sz w:val="24"/>
                <w:szCs w:val="24"/>
                <w:color w:val="auto"/>
              </w:rPr>
            </w:pPr>
          </w:p>
        </w:tc>
        <w:tc>
          <w:tcPr>
            <w:tcW w:w="4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27, 2026</w:t>
            </w:r>
          </w:p>
        </w:tc>
        <w:tc>
          <w:tcPr>
            <w:tcW w:w="0" w:type="dxa"/>
            <w:vAlign w:val="bottom"/>
          </w:tcPr>
          <w:p>
            <w:pPr>
              <w:spacing w:after="0"/>
              <w:rPr>
                <w:sz w:val="1"/>
                <w:szCs w:val="1"/>
                <w:color w:val="auto"/>
              </w:rPr>
            </w:pP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Edward Frank</w:t>
            </w:r>
          </w:p>
        </w:tc>
        <w:tc>
          <w:tcPr>
            <w:tcW w:w="1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Lane Bess</w:t>
            </w:r>
          </w:p>
        </w:tc>
        <w:tc>
          <w:tcPr>
            <w:tcW w:w="100" w:type="dxa"/>
            <w:vAlign w:val="bottom"/>
          </w:tcPr>
          <w:p>
            <w:pPr>
              <w:spacing w:after="0"/>
              <w:rPr>
                <w:sz w:val="19"/>
                <w:szCs w:val="19"/>
                <w:color w:val="auto"/>
              </w:rPr>
            </w:pPr>
          </w:p>
        </w:tc>
        <w:tc>
          <w:tcPr>
            <w:tcW w:w="4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27, 2026</w:t>
            </w:r>
          </w:p>
        </w:tc>
        <w:tc>
          <w:tcPr>
            <w:tcW w:w="0" w:type="dxa"/>
            <w:vAlign w:val="bottom"/>
          </w:tcPr>
          <w:p>
            <w:pPr>
              <w:spacing w:after="0"/>
              <w:rPr>
                <w:sz w:val="1"/>
                <w:szCs w:val="1"/>
                <w:color w:val="auto"/>
              </w:rPr>
            </w:pP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Lane Bess</w:t>
            </w:r>
          </w:p>
        </w:tc>
        <w:tc>
          <w:tcPr>
            <w:tcW w:w="1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Juergen Hambrecht</w:t>
            </w:r>
          </w:p>
        </w:tc>
        <w:tc>
          <w:tcPr>
            <w:tcW w:w="100" w:type="dxa"/>
            <w:vAlign w:val="bottom"/>
          </w:tcPr>
          <w:p>
            <w:pPr>
              <w:spacing w:after="0"/>
              <w:rPr>
                <w:sz w:val="19"/>
                <w:szCs w:val="19"/>
                <w:color w:val="auto"/>
              </w:rPr>
            </w:pPr>
          </w:p>
        </w:tc>
        <w:tc>
          <w:tcPr>
            <w:tcW w:w="4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27, 2026</w:t>
            </w:r>
          </w:p>
        </w:tc>
        <w:tc>
          <w:tcPr>
            <w:tcW w:w="0" w:type="dxa"/>
            <w:vAlign w:val="bottom"/>
          </w:tcPr>
          <w:p>
            <w:pPr>
              <w:spacing w:after="0"/>
              <w:rPr>
                <w:sz w:val="1"/>
                <w:szCs w:val="1"/>
                <w:color w:val="auto"/>
              </w:rPr>
            </w:pP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Juergen Hambrecht</w:t>
            </w:r>
          </w:p>
        </w:tc>
        <w:tc>
          <w:tcPr>
            <w:tcW w:w="1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Tony Cannestra</w:t>
            </w:r>
          </w:p>
        </w:tc>
        <w:tc>
          <w:tcPr>
            <w:tcW w:w="100" w:type="dxa"/>
            <w:vAlign w:val="bottom"/>
          </w:tcPr>
          <w:p>
            <w:pPr>
              <w:spacing w:after="0"/>
              <w:rPr>
                <w:sz w:val="19"/>
                <w:szCs w:val="19"/>
                <w:color w:val="auto"/>
              </w:rPr>
            </w:pPr>
          </w:p>
        </w:tc>
        <w:tc>
          <w:tcPr>
            <w:tcW w:w="4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27, 2026</w:t>
            </w:r>
          </w:p>
        </w:tc>
        <w:tc>
          <w:tcPr>
            <w:tcW w:w="0" w:type="dxa"/>
            <w:vAlign w:val="bottom"/>
          </w:tcPr>
          <w:p>
            <w:pPr>
              <w:spacing w:after="0"/>
              <w:rPr>
                <w:sz w:val="1"/>
                <w:szCs w:val="1"/>
                <w:color w:val="auto"/>
              </w:rPr>
            </w:pP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Tony Cannestra</w:t>
            </w:r>
          </w:p>
        </w:tc>
        <w:tc>
          <w:tcPr>
            <w:tcW w:w="1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George de Urioste</w:t>
            </w:r>
          </w:p>
        </w:tc>
        <w:tc>
          <w:tcPr>
            <w:tcW w:w="100" w:type="dxa"/>
            <w:vAlign w:val="bottom"/>
          </w:tcPr>
          <w:p>
            <w:pPr>
              <w:spacing w:after="0"/>
              <w:rPr>
                <w:sz w:val="19"/>
                <w:szCs w:val="19"/>
                <w:color w:val="auto"/>
              </w:rPr>
            </w:pPr>
          </w:p>
        </w:tc>
        <w:tc>
          <w:tcPr>
            <w:tcW w:w="4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27, 2026</w:t>
            </w:r>
          </w:p>
        </w:tc>
        <w:tc>
          <w:tcPr>
            <w:tcW w:w="0" w:type="dxa"/>
            <w:vAlign w:val="bottom"/>
          </w:tcPr>
          <w:p>
            <w:pPr>
              <w:spacing w:after="0"/>
              <w:rPr>
                <w:sz w:val="1"/>
                <w:szCs w:val="1"/>
                <w:color w:val="auto"/>
              </w:rPr>
            </w:pP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George de Urioste</w:t>
            </w:r>
          </w:p>
        </w:tc>
        <w:tc>
          <w:tcPr>
            <w:tcW w:w="1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 Yoshiaki Fujimori</w:t>
            </w:r>
          </w:p>
        </w:tc>
        <w:tc>
          <w:tcPr>
            <w:tcW w:w="100" w:type="dxa"/>
            <w:vAlign w:val="bottom"/>
          </w:tcPr>
          <w:p>
            <w:pPr>
              <w:spacing w:after="0"/>
              <w:rPr>
                <w:sz w:val="19"/>
                <w:szCs w:val="19"/>
                <w:color w:val="auto"/>
              </w:rPr>
            </w:pPr>
          </w:p>
        </w:tc>
        <w:tc>
          <w:tcPr>
            <w:tcW w:w="4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Director</w:t>
            </w:r>
          </w:p>
        </w:tc>
        <w:tc>
          <w:tcPr>
            <w:tcW w:w="2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January 27, 2026</w:t>
            </w:r>
          </w:p>
        </w:tc>
        <w:tc>
          <w:tcPr>
            <w:tcW w:w="0" w:type="dxa"/>
            <w:vAlign w:val="bottom"/>
          </w:tcPr>
          <w:p>
            <w:pPr>
              <w:spacing w:after="0"/>
              <w:rPr>
                <w:sz w:val="1"/>
                <w:szCs w:val="1"/>
                <w:color w:val="auto"/>
              </w:rPr>
            </w:pPr>
          </w:p>
        </w:tc>
      </w:tr>
      <w:tr>
        <w:trPr>
          <w:trHeight w:val="22"/>
        </w:trPr>
        <w:tc>
          <w:tcPr>
            <w:tcW w:w="4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Yoshiaki Fujimori</w:t>
            </w:r>
          </w:p>
        </w:tc>
        <w:tc>
          <w:tcPr>
            <w:tcW w:w="10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1280"/>
          </w:cols>
          <w:pgMar w:left="300" w:top="1231" w:right="319" w:bottom="1440" w:gutter="0" w:footer="0" w:header="0"/>
        </w:sectPr>
      </w:pPr>
    </w:p>
    <w:bookmarkStart w:id="45" w:name="page46"/>
    <w:bookmarkEnd w:id="45"/>
    <w:p>
      <w:pPr>
        <w:spacing w:after="0" w:line="62" w:lineRule="exact"/>
        <w:rPr>
          <w:sz w:val="20"/>
          <w:szCs w:val="20"/>
          <w:color w:val="auto"/>
        </w:rPr>
      </w:pPr>
    </w:p>
    <w:p>
      <w:pPr>
        <w:ind w:left="3540"/>
        <w:spacing w:after="0"/>
        <w:rPr>
          <w:sz w:val="20"/>
          <w:szCs w:val="20"/>
          <w:color w:val="auto"/>
        </w:rPr>
      </w:pPr>
      <w:r>
        <w:rPr>
          <w:rFonts w:ascii="Arial" w:cs="Arial" w:eastAsia="Arial" w:hAnsi="Arial"/>
          <w:sz w:val="27"/>
          <w:szCs w:val="27"/>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7"/>
          <w:szCs w:val="27"/>
          <w:b w:val="1"/>
          <w:bCs w:val="1"/>
          <w:color w:val="auto"/>
        </w:rPr>
        <w:t>S-3</w:t>
      </w:r>
    </w:p>
    <w:p>
      <w:pPr>
        <w:spacing w:after="0" w:line="100" w:lineRule="exact"/>
        <w:rPr>
          <w:sz w:val="20"/>
          <w:szCs w:val="20"/>
          <w:color w:val="auto"/>
        </w:rPr>
      </w:pPr>
    </w:p>
    <w:p>
      <w:pPr>
        <w:jc w:val="center"/>
        <w:ind w:right="200"/>
        <w:spacing w:after="0"/>
        <w:rPr>
          <w:sz w:val="20"/>
          <w:szCs w:val="20"/>
          <w:color w:val="auto"/>
        </w:rPr>
      </w:pPr>
      <w:r>
        <w:rPr>
          <w:rFonts w:ascii="Arial" w:cs="Arial" w:eastAsia="Arial" w:hAnsi="Arial"/>
          <w:sz w:val="27"/>
          <w:szCs w:val="27"/>
          <w:b w:val="1"/>
          <w:bCs w:val="1"/>
          <w:color w:val="auto"/>
        </w:rPr>
        <w:t>Blaize Holdings, Inc.</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4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8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gridSpan w:val="2"/>
          </w:tcPr>
          <w:p>
            <w:pPr>
              <w:ind w:left="28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Filing Fee</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Previously</w:t>
            </w: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Fee</w:t>
            </w:r>
          </w:p>
        </w:tc>
        <w:tc>
          <w:tcPr>
            <w:tcW w:w="880" w:type="dxa"/>
            <w:vAlign w:val="bottom"/>
          </w:tcPr>
          <w:p>
            <w:pPr>
              <w:spacing w:after="0"/>
              <w:rPr>
                <w:sz w:val="16"/>
                <w:szCs w:val="16"/>
                <w:color w:val="auto"/>
              </w:rPr>
            </w:pPr>
          </w:p>
        </w:tc>
        <w:tc>
          <w:tcPr>
            <w:tcW w:w="8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Proposed</w:t>
            </w: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Carry</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Paid in</w:t>
            </w:r>
          </w:p>
        </w:tc>
        <w:tc>
          <w:tcPr>
            <w:tcW w:w="0" w:type="dxa"/>
            <w:vAlign w:val="bottom"/>
          </w:tcPr>
          <w:p>
            <w:pPr>
              <w:spacing w:after="0"/>
              <w:rPr>
                <w:sz w:val="1"/>
                <w:szCs w:val="1"/>
                <w:color w:val="auto"/>
              </w:rPr>
            </w:pPr>
          </w:p>
        </w:tc>
      </w:tr>
      <w:tr>
        <w:trPr>
          <w:trHeight w:val="165"/>
        </w:trPr>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7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Carry</w:t>
            </w:r>
          </w:p>
        </w:tc>
        <w:tc>
          <w:tcPr>
            <w:tcW w:w="720" w:type="dxa"/>
            <w:vAlign w:val="bottom"/>
            <w:vMerge w:val="continue"/>
          </w:tcPr>
          <w:p>
            <w:pPr>
              <w:spacing w:after="0"/>
              <w:rPr>
                <w:sz w:val="14"/>
                <w:szCs w:val="14"/>
                <w:color w:val="auto"/>
              </w:rPr>
            </w:pP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Connection</w:t>
            </w:r>
          </w:p>
        </w:tc>
        <w:tc>
          <w:tcPr>
            <w:tcW w:w="0" w:type="dxa"/>
            <w:vAlign w:val="bottom"/>
          </w:tcPr>
          <w:p>
            <w:pPr>
              <w:spacing w:after="0"/>
              <w:rPr>
                <w:sz w:val="1"/>
                <w:szCs w:val="1"/>
                <w:color w:val="auto"/>
              </w:rPr>
            </w:pPr>
          </w:p>
        </w:tc>
      </w:tr>
      <w:tr>
        <w:trPr>
          <w:trHeight w:val="185"/>
        </w:trPr>
        <w:tc>
          <w:tcPr>
            <w:tcW w:w="1840" w:type="dxa"/>
            <w:vAlign w:val="bottom"/>
          </w:tcPr>
          <w:p>
            <w:pPr>
              <w:jc w:val="center"/>
              <w:ind w:left="898"/>
              <w:spacing w:after="0"/>
              <w:rPr>
                <w:sz w:val="20"/>
                <w:szCs w:val="20"/>
                <w:color w:val="auto"/>
              </w:rPr>
            </w:pPr>
            <w:r>
              <w:rPr>
                <w:rFonts w:ascii="Arial" w:cs="Arial" w:eastAsia="Arial" w:hAnsi="Arial"/>
                <w:sz w:val="16"/>
                <w:szCs w:val="16"/>
                <w:b w:val="1"/>
                <w:bCs w:val="1"/>
                <w:color w:val="auto"/>
              </w:rPr>
              <w:t>Security</w:t>
            </w:r>
          </w:p>
        </w:tc>
        <w:tc>
          <w:tcPr>
            <w:tcW w:w="1740" w:type="dxa"/>
            <w:vAlign w:val="bottom"/>
            <w:gridSpan w:val="2"/>
          </w:tcPr>
          <w:p>
            <w:pPr>
              <w:ind w:left="80"/>
              <w:spacing w:after="0"/>
              <w:rPr>
                <w:sz w:val="20"/>
                <w:szCs w:val="20"/>
                <w:color w:val="auto"/>
              </w:rPr>
            </w:pPr>
            <w:r>
              <w:rPr>
                <w:rFonts w:ascii="Arial" w:cs="Arial" w:eastAsia="Arial" w:hAnsi="Arial"/>
                <w:sz w:val="16"/>
                <w:szCs w:val="16"/>
                <w:b w:val="1"/>
                <w:bCs w:val="1"/>
                <w:color w:val="auto"/>
              </w:rPr>
              <w:t>Security Calculation</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Amount</w:t>
            </w: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rPr>
              <w:t>Maximum</w:t>
            </w:r>
          </w:p>
        </w:tc>
        <w:tc>
          <w:tcPr>
            <w:tcW w:w="1820" w:type="dxa"/>
            <w:vAlign w:val="bottom"/>
          </w:tcPr>
          <w:p>
            <w:pPr>
              <w:jc w:val="center"/>
              <w:ind w:left="723"/>
              <w:spacing w:after="0"/>
              <w:rPr>
                <w:sz w:val="20"/>
                <w:szCs w:val="20"/>
                <w:color w:val="auto"/>
              </w:rPr>
            </w:pPr>
            <w:r>
              <w:rPr>
                <w:rFonts w:ascii="Arial" w:cs="Arial" w:eastAsia="Arial" w:hAnsi="Arial"/>
                <w:sz w:val="16"/>
                <w:szCs w:val="16"/>
                <w:b w:val="1"/>
                <w:bCs w:val="1"/>
                <w:color w:val="auto"/>
              </w:rPr>
              <w:t>Amount of</w:t>
            </w: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 Forward</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Forward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12"/>
        </w:trPr>
        <w:tc>
          <w:tcPr>
            <w:tcW w:w="1840" w:type="dxa"/>
            <w:vAlign w:val="bottom"/>
            <w:vMerge w:val="restart"/>
          </w:tcPr>
          <w:p>
            <w:pPr>
              <w:jc w:val="center"/>
              <w:ind w:left="898"/>
              <w:spacing w:after="0"/>
              <w:rPr>
                <w:sz w:val="20"/>
                <w:szCs w:val="20"/>
                <w:color w:val="auto"/>
              </w:rPr>
            </w:pPr>
            <w:r>
              <w:rPr>
                <w:rFonts w:ascii="Arial" w:cs="Arial" w:eastAsia="Arial" w:hAnsi="Arial"/>
                <w:sz w:val="16"/>
                <w:szCs w:val="16"/>
                <w:b w:val="1"/>
                <w:bCs w:val="1"/>
                <w:color w:val="auto"/>
              </w:rPr>
              <w:t>Type</w:t>
            </w:r>
          </w:p>
        </w:tc>
        <w:tc>
          <w:tcPr>
            <w:tcW w:w="7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Class</w:t>
            </w:r>
          </w:p>
        </w:tc>
        <w:tc>
          <w:tcPr>
            <w:tcW w:w="9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or Carry</w:t>
            </w: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Registered</w:t>
            </w:r>
          </w:p>
        </w:tc>
        <w:tc>
          <w:tcPr>
            <w:tcW w:w="8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Offering</w:t>
            </w:r>
          </w:p>
        </w:tc>
        <w:tc>
          <w:tcPr>
            <w:tcW w:w="11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Aggregate</w:t>
            </w:r>
          </w:p>
        </w:tc>
        <w:tc>
          <w:tcPr>
            <w:tcW w:w="1820" w:type="dxa"/>
            <w:vAlign w:val="bottom"/>
          </w:tcPr>
          <w:p>
            <w:pPr>
              <w:ind w:left="60"/>
              <w:spacing w:after="0" w:line="113" w:lineRule="exact"/>
              <w:rPr>
                <w:sz w:val="20"/>
                <w:szCs w:val="20"/>
                <w:color w:val="auto"/>
              </w:rPr>
            </w:pPr>
            <w:r>
              <w:rPr>
                <w:rFonts w:ascii="Arial" w:cs="Arial" w:eastAsia="Arial" w:hAnsi="Arial"/>
                <w:sz w:val="13"/>
                <w:szCs w:val="13"/>
                <w:b w:val="1"/>
                <w:bCs w:val="1"/>
                <w:color w:val="auto"/>
              </w:rPr>
              <w:t>Fee Rate Registration</w:t>
            </w: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Form</w:t>
            </w:r>
          </w:p>
        </w:tc>
        <w:tc>
          <w:tcPr>
            <w:tcW w:w="7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File</w:t>
            </w:r>
          </w:p>
        </w:tc>
        <w:tc>
          <w:tcPr>
            <w:tcW w:w="7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Initial</w:t>
            </w: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Unsold</w:t>
            </w:r>
          </w:p>
        </w:tc>
        <w:tc>
          <w:tcPr>
            <w:tcW w:w="0" w:type="dxa"/>
            <w:vAlign w:val="bottom"/>
          </w:tcPr>
          <w:p>
            <w:pPr>
              <w:spacing w:after="0"/>
              <w:rPr>
                <w:sz w:val="1"/>
                <w:szCs w:val="1"/>
                <w:color w:val="auto"/>
              </w:rPr>
            </w:pPr>
          </w:p>
        </w:tc>
      </w:tr>
      <w:tr>
        <w:trPr>
          <w:trHeight w:val="165"/>
        </w:trPr>
        <w:tc>
          <w:tcPr>
            <w:tcW w:w="1840" w:type="dxa"/>
            <w:vAlign w:val="bottom"/>
            <w:vMerge w:val="continue"/>
          </w:tcPr>
          <w:p>
            <w:pPr>
              <w:spacing w:after="0"/>
              <w:rPr>
                <w:sz w:val="14"/>
                <w:szCs w:val="14"/>
                <w:color w:val="auto"/>
              </w:rPr>
            </w:pPr>
          </w:p>
        </w:tc>
        <w:tc>
          <w:tcPr>
            <w:tcW w:w="7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Title</w:t>
            </w:r>
          </w:p>
        </w:tc>
        <w:tc>
          <w:tcPr>
            <w:tcW w:w="9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Forward</w:t>
            </w:r>
          </w:p>
        </w:tc>
        <w:tc>
          <w:tcPr>
            <w:tcW w:w="880" w:type="dxa"/>
            <w:vAlign w:val="bottom"/>
            <w:vMerge w:val="continue"/>
          </w:tcPr>
          <w:p>
            <w:pPr>
              <w:spacing w:after="0"/>
              <w:rPr>
                <w:sz w:val="14"/>
                <w:szCs w:val="14"/>
                <w:color w:val="auto"/>
              </w:rPr>
            </w:pPr>
          </w:p>
        </w:tc>
        <w:tc>
          <w:tcPr>
            <w:tcW w:w="8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Price Per</w:t>
            </w:r>
          </w:p>
        </w:tc>
        <w:tc>
          <w:tcPr>
            <w:tcW w:w="11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Offering Price</w:t>
            </w:r>
          </w:p>
        </w:tc>
        <w:tc>
          <w:tcPr>
            <w:tcW w:w="1820" w:type="dxa"/>
            <w:vAlign w:val="bottom"/>
          </w:tcPr>
          <w:p>
            <w:pPr>
              <w:jc w:val="center"/>
              <w:ind w:left="743"/>
              <w:spacing w:after="0" w:line="165" w:lineRule="exact"/>
              <w:rPr>
                <w:sz w:val="20"/>
                <w:szCs w:val="20"/>
                <w:color w:val="auto"/>
              </w:rPr>
            </w:pPr>
            <w:r>
              <w:rPr>
                <w:rFonts w:ascii="Arial" w:cs="Arial" w:eastAsia="Arial" w:hAnsi="Arial"/>
                <w:sz w:val="16"/>
                <w:szCs w:val="16"/>
                <w:b w:val="1"/>
                <w:bCs w:val="1"/>
                <w:color w:val="auto"/>
              </w:rPr>
              <w:t>Fee</w:t>
            </w:r>
          </w:p>
        </w:tc>
        <w:tc>
          <w:tcPr>
            <w:tcW w:w="6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Effective</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Rule</w:t>
            </w:r>
          </w:p>
        </w:tc>
        <w:tc>
          <w:tcPr>
            <w:tcW w:w="880" w:type="dxa"/>
            <w:vAlign w:val="bottom"/>
          </w:tcPr>
          <w:p>
            <w:pPr>
              <w:spacing w:after="0"/>
              <w:rPr>
                <w:sz w:val="16"/>
                <w:szCs w:val="16"/>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Unit</w:t>
            </w:r>
          </w:p>
        </w:tc>
        <w:tc>
          <w:tcPr>
            <w:tcW w:w="1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rPr>
              <w:t>Type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Date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Securities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-882015</wp:posOffset>
            </wp:positionV>
            <wp:extent cx="7215505" cy="5634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7215505" cy="5634355"/>
                    </a:xfrm>
                    <a:prstGeom prst="rect">
                      <a:avLst/>
                    </a:prstGeom>
                    <a:noFill/>
                  </pic:spPr>
                </pic:pic>
              </a:graphicData>
            </a:graphic>
          </wp:anchor>
        </w:drawing>
      </w:r>
    </w:p>
    <w:p>
      <w:pPr>
        <w:jc w:val="center"/>
        <w:ind w:left="10460"/>
        <w:spacing w:after="0" w:line="191" w:lineRule="auto"/>
        <w:rPr>
          <w:sz w:val="20"/>
          <w:szCs w:val="20"/>
          <w:color w:val="auto"/>
        </w:rPr>
      </w:pPr>
      <w:r>
        <w:rPr>
          <w:rFonts w:ascii="Arial" w:cs="Arial" w:eastAsia="Arial" w:hAnsi="Arial"/>
          <w:sz w:val="14"/>
          <w:szCs w:val="14"/>
          <w:b w:val="1"/>
          <w:bCs w:val="1"/>
          <w:color w:val="auto"/>
        </w:rPr>
        <w:t>to be</w:t>
      </w:r>
    </w:p>
    <w:p>
      <w:pPr>
        <w:jc w:val="center"/>
        <w:ind w:left="10460"/>
        <w:spacing w:after="0"/>
        <w:rPr>
          <w:sz w:val="20"/>
          <w:szCs w:val="20"/>
          <w:color w:val="auto"/>
        </w:rPr>
      </w:pPr>
      <w:r>
        <w:rPr>
          <w:rFonts w:ascii="Arial" w:cs="Arial" w:eastAsia="Arial" w:hAnsi="Arial"/>
          <w:sz w:val="16"/>
          <w:szCs w:val="16"/>
          <w:b w:val="1"/>
          <w:bCs w:val="1"/>
          <w:color w:val="auto"/>
        </w:rPr>
        <w:t>Carried</w:t>
      </w:r>
    </w:p>
    <w:p>
      <w:pPr>
        <w:spacing w:after="0" w:line="1" w:lineRule="exact"/>
        <w:rPr>
          <w:sz w:val="20"/>
          <w:szCs w:val="20"/>
          <w:color w:val="auto"/>
        </w:rPr>
      </w:pPr>
    </w:p>
    <w:p>
      <w:pPr>
        <w:jc w:val="center"/>
        <w:ind w:left="10460"/>
        <w:spacing w:after="0"/>
        <w:rPr>
          <w:sz w:val="20"/>
          <w:szCs w:val="20"/>
          <w:color w:val="auto"/>
        </w:rPr>
      </w:pPr>
      <w:r>
        <w:rPr>
          <w:rFonts w:ascii="Arial" w:cs="Arial" w:eastAsia="Arial" w:hAnsi="Arial"/>
          <w:sz w:val="16"/>
          <w:szCs w:val="16"/>
          <w:b w:val="1"/>
          <w:bCs w:val="1"/>
          <w:color w:val="auto"/>
        </w:rPr>
        <w:t>Forward</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Newly Registered Securities</w:t>
      </w:r>
    </w:p>
    <w:p>
      <w:pPr>
        <w:spacing w:after="0" w:line="4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Common</w:t>
      </w:r>
    </w:p>
    <w:p>
      <w:pPr>
        <w:spacing w:after="0" w:line="1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Stock,</w:t>
      </w:r>
    </w:p>
    <w:p>
      <w:pPr>
        <w:spacing w:after="0" w:line="1" w:lineRule="exact"/>
        <w:rPr>
          <w:sz w:val="20"/>
          <w:szCs w:val="20"/>
          <w:color w:val="auto"/>
        </w:rPr>
      </w:pPr>
    </w:p>
    <w:p>
      <w:pPr>
        <w:jc w:val="center"/>
        <w:ind w:right="6840"/>
        <w:spacing w:after="0"/>
        <w:tabs>
          <w:tab w:leader="none" w:pos="220" w:val="left"/>
          <w:tab w:leader="none" w:pos="280" w:val="left"/>
        </w:tabs>
        <w:rPr>
          <w:sz w:val="20"/>
          <w:szCs w:val="20"/>
          <w:color w:val="auto"/>
        </w:rPr>
      </w:pPr>
      <w:r>
        <w:rPr>
          <w:rFonts w:ascii="Arial" w:cs="Arial" w:eastAsia="Arial" w:hAnsi="Arial"/>
          <w:sz w:val="16"/>
          <w:szCs w:val="16"/>
          <w:color w:val="auto"/>
        </w:rPr>
        <w:t>Equity</w:t>
        <w:tab/>
        <w:t>par value</w:t>
      </w:r>
      <w:r>
        <w:rPr>
          <w:sz w:val="20"/>
          <w:szCs w:val="20"/>
          <w:color w:val="auto"/>
        </w:rPr>
        <w:tab/>
      </w:r>
      <w:r>
        <w:rPr>
          <w:rFonts w:ascii="Arial" w:cs="Arial" w:eastAsia="Arial" w:hAnsi="Arial"/>
          <w:sz w:val="16"/>
          <w:szCs w:val="16"/>
          <w:color w:val="auto"/>
        </w:rPr>
        <w:t>457(o)</w:t>
      </w:r>
    </w:p>
    <w:p>
      <w:pPr>
        <w:spacing w:after="0" w:line="1" w:lineRule="exact"/>
        <w:rPr>
          <w:sz w:val="20"/>
          <w:szCs w:val="20"/>
          <w:color w:val="auto"/>
        </w:rPr>
      </w:pPr>
    </w:p>
    <w:p>
      <w:pPr>
        <w:jc w:val="center"/>
        <w:ind w:right="6860"/>
        <w:spacing w:after="0"/>
        <w:rPr>
          <w:sz w:val="20"/>
          <w:szCs w:val="20"/>
          <w:color w:val="auto"/>
        </w:rPr>
      </w:pPr>
      <w:r>
        <w:rPr>
          <w:rFonts w:ascii="Arial" w:cs="Arial" w:eastAsia="Arial" w:hAnsi="Arial"/>
          <w:sz w:val="16"/>
          <w:szCs w:val="16"/>
          <w:color w:val="auto"/>
        </w:rPr>
        <w:t>$0.01 per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share</w:t>
      </w:r>
    </w:p>
    <w:p>
      <w:pPr>
        <w:spacing w:after="0" w:line="2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Preferred</w:t>
      </w:r>
    </w:p>
    <w:p>
      <w:pPr>
        <w:spacing w:after="0" w:line="1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Stock,</w:t>
      </w:r>
    </w:p>
    <w:p>
      <w:pPr>
        <w:spacing w:after="0" w:line="1" w:lineRule="exact"/>
        <w:rPr>
          <w:sz w:val="20"/>
          <w:szCs w:val="20"/>
          <w:color w:val="auto"/>
        </w:rPr>
      </w:pPr>
    </w:p>
    <w:p>
      <w:pPr>
        <w:jc w:val="center"/>
        <w:ind w:right="6840"/>
        <w:spacing w:after="0"/>
        <w:tabs>
          <w:tab w:leader="none" w:pos="220" w:val="left"/>
          <w:tab w:leader="none" w:pos="280" w:val="left"/>
        </w:tabs>
        <w:rPr>
          <w:sz w:val="20"/>
          <w:szCs w:val="20"/>
          <w:color w:val="auto"/>
        </w:rPr>
      </w:pPr>
      <w:r>
        <w:rPr>
          <w:rFonts w:ascii="Arial" w:cs="Arial" w:eastAsia="Arial" w:hAnsi="Arial"/>
          <w:sz w:val="16"/>
          <w:szCs w:val="16"/>
          <w:color w:val="auto"/>
        </w:rPr>
        <w:t>Equity</w:t>
        <w:tab/>
        <w:t>par value</w:t>
      </w:r>
      <w:r>
        <w:rPr>
          <w:sz w:val="20"/>
          <w:szCs w:val="20"/>
          <w:color w:val="auto"/>
        </w:rPr>
        <w:tab/>
      </w:r>
      <w:r>
        <w:rPr>
          <w:rFonts w:ascii="Arial" w:cs="Arial" w:eastAsia="Arial" w:hAnsi="Arial"/>
          <w:sz w:val="16"/>
          <w:szCs w:val="16"/>
          <w:color w:val="auto"/>
        </w:rPr>
        <w:t>457(o)</w:t>
      </w:r>
    </w:p>
    <w:p>
      <w:pPr>
        <w:spacing w:after="0" w:line="1" w:lineRule="exact"/>
        <w:rPr>
          <w:sz w:val="20"/>
          <w:szCs w:val="20"/>
          <w:color w:val="auto"/>
        </w:rPr>
      </w:pPr>
    </w:p>
    <w:p>
      <w:pPr>
        <w:jc w:val="center"/>
        <w:ind w:right="6860"/>
        <w:spacing w:after="0"/>
        <w:rPr>
          <w:sz w:val="20"/>
          <w:szCs w:val="20"/>
          <w:color w:val="auto"/>
        </w:rPr>
      </w:pPr>
      <w:r>
        <w:rPr>
          <w:rFonts w:ascii="Arial" w:cs="Arial" w:eastAsia="Arial" w:hAnsi="Arial"/>
          <w:sz w:val="16"/>
          <w:szCs w:val="16"/>
          <w:color w:val="auto"/>
        </w:rPr>
        <w:t>$0.01 per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share</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Debt</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0"/>
                <w:szCs w:val="10"/>
                <w:color w:val="auto"/>
              </w:rPr>
            </w:pPr>
          </w:p>
        </w:tc>
        <w:tc>
          <w:tcPr>
            <w:tcW w:w="9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Stock</w:t>
            </w: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Purchase</w:t>
            </w:r>
          </w:p>
        </w:tc>
        <w:tc>
          <w:tcPr>
            <w:tcW w:w="20" w:type="dxa"/>
            <w:vAlign w:val="bottom"/>
          </w:tcPr>
          <w:p>
            <w:pPr>
              <w:spacing w:after="0"/>
              <w:rPr>
                <w:sz w:val="16"/>
                <w:szCs w:val="16"/>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Contracts</w:t>
            </w: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Warrants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Rights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Units</w:t>
            </w:r>
          </w:p>
        </w:tc>
        <w:tc>
          <w:tcPr>
            <w:tcW w:w="20" w:type="dxa"/>
            <w:vAlign w:val="bottom"/>
          </w:tcPr>
          <w:p>
            <w:pPr>
              <w:spacing w:after="0"/>
              <w:rPr>
                <w:sz w:val="17"/>
                <w:szCs w:val="17"/>
                <w:color w:val="auto"/>
              </w:rPr>
            </w:pPr>
          </w:p>
        </w:tc>
        <w:tc>
          <w:tcPr>
            <w:tcW w:w="920" w:type="dxa"/>
            <w:vAlign w:val="bottom"/>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vMerge w:val="continue"/>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ind w:left="20"/>
              <w:spacing w:after="0" w:line="174" w:lineRule="exact"/>
              <w:rPr>
                <w:sz w:val="20"/>
                <w:szCs w:val="20"/>
                <w:color w:val="auto"/>
              </w:rPr>
            </w:pPr>
            <w:r>
              <w:rPr>
                <w:rFonts w:ascii="Arial" w:cs="Arial" w:eastAsia="Arial" w:hAnsi="Arial"/>
                <w:sz w:val="16"/>
                <w:szCs w:val="16"/>
                <w:color w:val="auto"/>
              </w:rPr>
              <w:t>Unallocated</w:t>
            </w: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7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8"/>
                <w:szCs w:val="8"/>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457(o)</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0.0001381</w:t>
            </w:r>
          </w:p>
        </w:tc>
        <w:tc>
          <w:tcPr>
            <w:tcW w:w="20" w:type="dxa"/>
            <w:vAlign w:val="bottom"/>
          </w:tcPr>
          <w:p>
            <w:pPr>
              <w:spacing w:after="0"/>
              <w:rPr>
                <w:sz w:val="8"/>
                <w:szCs w:val="8"/>
                <w:color w:val="auto"/>
              </w:rPr>
            </w:pPr>
          </w:p>
        </w:tc>
        <w:tc>
          <w:tcPr>
            <w:tcW w:w="10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$ 34,525.00</w:t>
            </w:r>
          </w:p>
        </w:tc>
        <w:tc>
          <w:tcPr>
            <w:tcW w:w="0" w:type="dxa"/>
            <w:vAlign w:val="bottom"/>
          </w:tcPr>
          <w:p>
            <w:pPr>
              <w:spacing w:after="0"/>
              <w:rPr>
                <w:sz w:val="1"/>
                <w:szCs w:val="1"/>
                <w:color w:val="auto"/>
              </w:rPr>
            </w:pPr>
          </w:p>
        </w:tc>
      </w:tr>
      <w:tr>
        <w:trPr>
          <w:trHeight w:val="165"/>
        </w:trPr>
        <w:tc>
          <w:tcPr>
            <w:tcW w:w="780" w:type="dxa"/>
            <w:vAlign w:val="bottom"/>
            <w:shd w:val="clear" w:color="auto" w:fill="E7E7E2"/>
          </w:tcPr>
          <w:p>
            <w:pPr>
              <w:spacing w:after="0" w:line="165"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shd w:val="clear" w:color="auto" w:fill="E7E7E2"/>
          </w:tcPr>
          <w:p>
            <w:pPr>
              <w:jc w:val="right"/>
              <w:spacing w:after="0" w:line="165" w:lineRule="exact"/>
              <w:rPr>
                <w:sz w:val="20"/>
                <w:szCs w:val="20"/>
                <w:color w:val="auto"/>
              </w:rPr>
            </w:pPr>
            <w:r>
              <w:rPr>
                <w:rFonts w:ascii="Arial" w:cs="Arial" w:eastAsia="Arial" w:hAnsi="Arial"/>
                <w:sz w:val="16"/>
                <w:szCs w:val="16"/>
                <w:color w:val="auto"/>
              </w:rPr>
              <w:t>250,000,000.00</w:t>
            </w: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vMerge w:val="continue"/>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shd w:val="clear" w:color="auto" w:fill="E7E7E2"/>
          </w:tcPr>
          <w:p>
            <w:pPr>
              <w:ind w:left="20"/>
              <w:spacing w:after="0" w:line="144" w:lineRule="exact"/>
              <w:rPr>
                <w:sz w:val="20"/>
                <w:szCs w:val="20"/>
                <w:color w:val="auto"/>
              </w:rPr>
            </w:pPr>
            <w:r>
              <w:rPr>
                <w:rFonts w:ascii="Arial" w:cs="Arial" w:eastAsia="Arial" w:hAnsi="Arial"/>
                <w:sz w:val="16"/>
                <w:szCs w:val="16"/>
                <w:color w:val="auto"/>
              </w:rPr>
              <w:t>Shelf</w:t>
            </w:r>
          </w:p>
        </w:tc>
        <w:tc>
          <w:tcPr>
            <w:tcW w:w="20" w:type="dxa"/>
            <w:vAlign w:val="bottom"/>
          </w:tcPr>
          <w:p>
            <w:pPr>
              <w:spacing w:after="0"/>
              <w:rPr>
                <w:sz w:val="12"/>
                <w:szCs w:val="12"/>
                <w:color w:val="auto"/>
              </w:rPr>
            </w:pPr>
          </w:p>
        </w:tc>
        <w:tc>
          <w:tcPr>
            <w:tcW w:w="7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shd w:val="clear" w:color="auto" w:fill="E7E7E2"/>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Previously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right"/>
              <w:ind w:right="518"/>
              <w:spacing w:after="0"/>
              <w:rPr>
                <w:sz w:val="20"/>
                <w:szCs w:val="20"/>
                <w:color w:val="auto"/>
              </w:rPr>
            </w:pPr>
            <w:r>
              <w:rPr>
                <w:rFonts w:ascii="Arial" w:cs="Arial" w:eastAsia="Arial" w:hAnsi="Arial"/>
                <w:sz w:val="16"/>
                <w:szCs w:val="16"/>
                <w:b w:val="1"/>
                <w:bCs w:val="1"/>
                <w:color w:val="auto"/>
              </w:rPr>
              <w:t>Carry Forward Securities</w:t>
            </w: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Total Offering Amounts:</w:t>
            </w: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$ 34,525.00</w:t>
            </w:r>
          </w:p>
        </w:tc>
        <w:tc>
          <w:tcPr>
            <w:tcW w:w="0" w:type="dxa"/>
            <w:vAlign w:val="bottom"/>
          </w:tcPr>
          <w:p>
            <w:pPr>
              <w:spacing w:after="0"/>
              <w:rPr>
                <w:sz w:val="1"/>
                <w:szCs w:val="1"/>
                <w:color w:val="auto"/>
              </w:rPr>
            </w:pPr>
          </w:p>
        </w:tc>
      </w:tr>
      <w:tr>
        <w:trPr>
          <w:trHeight w:val="217"/>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6"/>
                <w:szCs w:val="16"/>
                <w:color w:val="auto"/>
              </w:rPr>
              <w:t>250,000,000.00</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80" w:type="dxa"/>
            <w:vAlign w:val="bottom"/>
            <w:gridSpan w:val="5"/>
          </w:tcPr>
          <w:p>
            <w:pPr>
              <w:jc w:val="right"/>
              <w:ind w:right="20"/>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0" w:type="dxa"/>
            <w:vAlign w:val="bottom"/>
          </w:tcPr>
          <w:p>
            <w:pPr>
              <w:spacing w:after="0"/>
              <w:rPr>
                <w:sz w:val="1"/>
                <w:szCs w:val="1"/>
                <w:color w:val="auto"/>
              </w:rPr>
            </w:pPr>
          </w:p>
        </w:tc>
      </w:tr>
      <w:tr>
        <w:trPr>
          <w:trHeight w:val="226"/>
        </w:trPr>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6"/>
                <w:szCs w:val="16"/>
                <w:color w:val="auto"/>
              </w:rPr>
              <w:t>Net Fee Due:</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$ 34,525.00</w:t>
            </w: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0"/>
          <w:szCs w:val="10"/>
          <w:color w:val="auto"/>
        </w:rPr>
        <w:t>1</w:t>
      </w:r>
    </w:p>
    <w:p>
      <w:pPr>
        <w:spacing w:after="0" w:line="59" w:lineRule="exact"/>
        <w:rPr>
          <w:sz w:val="20"/>
          <w:szCs w:val="20"/>
          <w:color w:val="auto"/>
        </w:rPr>
      </w:pPr>
    </w:p>
    <w:p>
      <w:pPr>
        <w:ind w:left="200" w:right="480"/>
        <w:spacing w:after="0" w:line="283" w:lineRule="auto"/>
        <w:rPr>
          <w:sz w:val="20"/>
          <w:szCs w:val="20"/>
          <w:color w:val="auto"/>
        </w:rPr>
      </w:pPr>
      <w:r>
        <w:rPr>
          <w:rFonts w:ascii="Arial" w:cs="Arial" w:eastAsia="Arial" w:hAnsi="Arial"/>
          <w:sz w:val="16"/>
          <w:szCs w:val="16"/>
          <w:color w:val="auto"/>
        </w:rPr>
        <w:t>1a. In accordance with Rule 416 under the Securities Act of 1933, as amended (the "Securities Act"), this registration statement shall be deemed to cover an indeterminate number of additional securities to be offered or issued from stock splits, stock dividends or similar transactions.</w:t>
      </w:r>
    </w:p>
    <w:p>
      <w:pPr>
        <w:spacing w:after="0" w:line="120" w:lineRule="exact"/>
        <w:rPr>
          <w:sz w:val="20"/>
          <w:szCs w:val="20"/>
          <w:color w:val="auto"/>
        </w:rPr>
      </w:pPr>
    </w:p>
    <w:p>
      <w:pPr>
        <w:jc w:val="both"/>
        <w:ind w:left="200" w:right="360"/>
        <w:spacing w:after="0" w:line="251" w:lineRule="auto"/>
        <w:rPr>
          <w:sz w:val="20"/>
          <w:szCs w:val="20"/>
          <w:color w:val="auto"/>
        </w:rPr>
      </w:pPr>
      <w:r>
        <w:rPr>
          <w:rFonts w:ascii="Arial" w:cs="Arial" w:eastAsia="Arial" w:hAnsi="Arial"/>
          <w:sz w:val="16"/>
          <w:szCs w:val="16"/>
          <w:color w:val="auto"/>
        </w:rPr>
        <w:t>1b. There are being registered hereunder such indeterminate number of shares of common stock, such indeterminate number of shares of preferred stock, such indeterminate principal amount of debt securities, such indeterminate number of stock purchase contracts to purchase common stock or other securities, such indeterminate number of warrants to purchase common stock, preferred stock or debt securities, such indeterminate number of rights and such indeterminate number of units as shall have an aggregate initial offering price not to exceed $250,000,000. Any securities registered hereunder may be sold separately or in combination with the other securities registered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53975</wp:posOffset>
            </wp:positionV>
            <wp:extent cx="715137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151370" cy="3873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34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4"/>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Security</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Unsold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vMerge w:val="restart"/>
            <w:shd w:val="clear" w:color="auto" w:fill="9ADAF6"/>
          </w:tcPr>
          <w:p>
            <w:pPr>
              <w:jc w:val="right"/>
              <w:ind w:right="98"/>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4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9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Filing</w:t>
            </w:r>
          </w:p>
        </w:tc>
        <w:tc>
          <w:tcPr>
            <w:tcW w:w="40" w:type="dxa"/>
            <w:vAlign w:val="bottom"/>
          </w:tcPr>
          <w:p>
            <w:pPr>
              <w:spacing w:after="0"/>
              <w:rPr>
                <w:sz w:val="8"/>
                <w:szCs w:val="8"/>
                <w:color w:val="auto"/>
              </w:rPr>
            </w:pPr>
          </w:p>
        </w:tc>
        <w:tc>
          <w:tcPr>
            <w:tcW w:w="6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restart"/>
            <w:shd w:val="clear" w:color="auto" w:fill="9ADAF6"/>
          </w:tcPr>
          <w:p>
            <w:pPr>
              <w:jc w:val="right"/>
              <w:ind w:right="18"/>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9ADAF6"/>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0" w:type="dxa"/>
            <w:vAlign w:val="bottom"/>
            <w:tcBorders>
              <w:left w:val="single" w:sz="8" w:color="auto"/>
            </w:tcBorders>
          </w:tcPr>
          <w:p>
            <w:pPr>
              <w:spacing w:after="0"/>
              <w:rPr>
                <w:sz w:val="14"/>
                <w:szCs w:val="14"/>
                <w:color w:val="auto"/>
              </w:rPr>
            </w:pPr>
          </w:p>
        </w:tc>
        <w:tc>
          <w:tcPr>
            <w:tcW w:w="9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Filing</w:t>
            </w: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Date</w:t>
            </w: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4"/>
                <w:szCs w:val="14"/>
                <w:color w:val="auto"/>
              </w:rPr>
            </w:pPr>
          </w:p>
        </w:tc>
        <w:tc>
          <w:tcPr>
            <w:tcW w:w="9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w w:val="99"/>
              </w:rPr>
              <w:t>with Fee</w:t>
            </w:r>
          </w:p>
        </w:tc>
        <w:tc>
          <w:tcPr>
            <w:tcW w:w="40" w:type="dxa"/>
            <w:vAlign w:val="bottom"/>
          </w:tcPr>
          <w:p>
            <w:pPr>
              <w:spacing w:after="0"/>
              <w:rPr>
                <w:sz w:val="14"/>
                <w:szCs w:val="14"/>
                <w:color w:val="auto"/>
              </w:rPr>
            </w:pPr>
          </w:p>
        </w:tc>
        <w:tc>
          <w:tcPr>
            <w:tcW w:w="90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4"/>
                <w:szCs w:val="14"/>
                <w:color w:val="auto"/>
              </w:rPr>
            </w:pPr>
          </w:p>
        </w:tc>
        <w:tc>
          <w:tcPr>
            <w:tcW w:w="9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65"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Date</w:t>
            </w: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6"/>
                <w:szCs w:val="16"/>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Offset</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9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vMerge w:val="continue"/>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0" w:type="dxa"/>
            <w:vAlign w:val="bottom"/>
            <w:tcBorders>
              <w:left w:val="single" w:sz="8" w:color="auto"/>
            </w:tcBorders>
          </w:tcPr>
          <w:p>
            <w:pPr>
              <w:spacing w:after="0"/>
              <w:rPr>
                <w:sz w:val="16"/>
                <w:szCs w:val="16"/>
                <w:color w:val="auto"/>
              </w:rPr>
            </w:pPr>
          </w:p>
        </w:tc>
        <w:tc>
          <w:tcPr>
            <w:tcW w:w="9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40" w:type="dxa"/>
            <w:vAlign w:val="bottom"/>
          </w:tcPr>
          <w:p>
            <w:pPr>
              <w:spacing w:after="0"/>
              <w:rPr>
                <w:sz w:val="16"/>
                <w:szCs w:val="16"/>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6"/>
                <w:szCs w:val="16"/>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Borders>
              <w:left w:val="single" w:sz="8" w:color="auto"/>
            </w:tcBorders>
          </w:tcPr>
          <w:p>
            <w:pPr>
              <w:spacing w:after="0"/>
              <w:rPr>
                <w:sz w:val="18"/>
                <w:szCs w:val="18"/>
                <w:color w:val="auto"/>
              </w:rPr>
            </w:pPr>
          </w:p>
        </w:tc>
        <w:tc>
          <w:tcPr>
            <w:tcW w:w="9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Claimed</w:t>
            </w: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gridSpan w:val="7"/>
          </w:tcPr>
          <w:p>
            <w:pPr>
              <w:jc w:val="center"/>
              <w:ind w:left="318"/>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900" w:type="dxa"/>
            <w:vAlign w:val="bottom"/>
            <w:vMerge w:val="restart"/>
            <w:shd w:val="clear" w:color="auto" w:fill="E7E7E2"/>
          </w:tcPr>
          <w:p>
            <w:pPr>
              <w:ind w:left="60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74"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900" w:type="dxa"/>
            <w:vAlign w:val="bottom"/>
            <w:vMerge w:val="restart"/>
            <w:shd w:val="clear" w:color="auto" w:fill="E7E7E2"/>
          </w:tcPr>
          <w:p>
            <w:pPr>
              <w:ind w:left="60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center"/>
              <w:ind w:left="238"/>
              <w:spacing w:after="0"/>
              <w:rPr>
                <w:sz w:val="20"/>
                <w:szCs w:val="20"/>
                <w:color w:val="auto"/>
              </w:rPr>
            </w:pPr>
            <w:r>
              <w:rPr>
                <w:rFonts w:ascii="Arial" w:cs="Arial" w:eastAsia="Arial" w:hAnsi="Arial"/>
                <w:sz w:val="16"/>
                <w:szCs w:val="16"/>
                <w:b w:val="1"/>
                <w:bCs w:val="1"/>
                <w:color w:val="auto"/>
              </w:rPr>
              <w:t>Rule 457(p)</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shd w:val="clear" w:color="auto" w:fill="E7E7E2"/>
          </w:tcPr>
          <w:p>
            <w:pPr>
              <w:spacing w:after="0" w:line="180"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5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5"/>
                <w:szCs w:val="15"/>
                <w:color w:val="auto"/>
              </w:rPr>
            </w:pPr>
          </w:p>
        </w:tc>
        <w:tc>
          <w:tcPr>
            <w:tcW w:w="900" w:type="dxa"/>
            <w:vAlign w:val="bottom"/>
            <w:vMerge w:val="restart"/>
            <w:shd w:val="clear" w:color="auto" w:fill="E7E7E2"/>
          </w:tcPr>
          <w:p>
            <w:pPr>
              <w:ind w:left="60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960" w:type="dxa"/>
            <w:vAlign w:val="bottom"/>
            <w:vMerge w:val="restart"/>
            <w:shd w:val="clear" w:color="auto" w:fill="E7E7E2"/>
          </w:tcPr>
          <w:p>
            <w:pPr>
              <w:ind w:left="6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9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1" w:right="239" w:bottom="0" w:gutter="0" w:footer="0" w:header="0"/>
        </w:sectPr>
      </w:pPr>
    </w:p>
    <w:bookmarkStart w:id="46" w:name="page47"/>
    <w:bookmarkEnd w:id="4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80" w:type="dxa"/>
            <w:vAlign w:val="bottom"/>
            <w:vMerge w:val="restart"/>
            <w:shd w:val="clear" w:color="auto" w:fill="E7E7E2"/>
          </w:tcPr>
          <w:p>
            <w:pPr>
              <w:ind w:left="2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82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ind w:left="1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540" w:type="dxa"/>
            <w:vAlign w:val="bottom"/>
            <w:vMerge w:val="restart"/>
            <w:shd w:val="clear" w:color="auto" w:fill="E7E7E2"/>
          </w:tcPr>
          <w:p>
            <w:pPr>
              <w:ind w:left="40"/>
              <w:spacing w:after="0"/>
              <w:rPr>
                <w:sz w:val="20"/>
                <w:szCs w:val="20"/>
                <w:color w:val="auto"/>
              </w:rPr>
            </w:pPr>
            <w:r>
              <w:rPr>
                <w:rFonts w:ascii="Arial" w:cs="Arial" w:eastAsia="Arial" w:hAnsi="Arial"/>
                <w:sz w:val="16"/>
                <w:szCs w:val="16"/>
                <w:color w:val="auto"/>
              </w:rPr>
              <w:t>N/A</w:t>
            </w:r>
          </w:p>
        </w:tc>
        <w:tc>
          <w:tcPr>
            <w:tcW w:w="60" w:type="dxa"/>
            <w:vAlign w:val="bottom"/>
            <w:tcBorders>
              <w:right w:val="single" w:sz="8" w:color="E7E7E2"/>
            </w:tcBorders>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560" w:type="dxa"/>
            <w:vAlign w:val="bottom"/>
            <w:vMerge w:val="restart"/>
            <w:shd w:val="clear" w:color="auto" w:fill="E7E7E2"/>
          </w:tcPr>
          <w:p>
            <w:pPr>
              <w:ind w:left="1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6"/>
                <w:szCs w:val="16"/>
                <w:color w:val="auto"/>
              </w:rPr>
            </w:pPr>
          </w:p>
        </w:tc>
        <w:tc>
          <w:tcPr>
            <w:tcW w:w="620" w:type="dxa"/>
            <w:vAlign w:val="bottom"/>
            <w:vMerge w:val="restart"/>
            <w:shd w:val="clear" w:color="auto" w:fill="E7E7E2"/>
          </w:tcPr>
          <w:p>
            <w:pPr>
              <w:ind w:left="1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3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20" w:type="dxa"/>
            <w:vAlign w:val="bottom"/>
            <w:vMerge w:val="restart"/>
            <w:shd w:val="clear" w:color="auto" w:fill="E7E7E2"/>
          </w:tcPr>
          <w:p>
            <w:pPr>
              <w:ind w:left="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9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9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40" w:type="dxa"/>
            <w:vAlign w:val="bottom"/>
          </w:tcPr>
          <w:p>
            <w:pPr>
              <w:spacing w:after="0"/>
              <w:rPr>
                <w:sz w:val="16"/>
                <w:szCs w:val="16"/>
                <w:color w:val="auto"/>
              </w:rPr>
            </w:pPr>
          </w:p>
        </w:tc>
        <w:tc>
          <w:tcPr>
            <w:tcW w:w="5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vMerge w:val="restart"/>
            <w:shd w:val="clear" w:color="auto" w:fill="E7E7E2"/>
          </w:tcPr>
          <w:p>
            <w:pPr>
              <w:ind w:left="6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300" w:type="dxa"/>
            <w:vAlign w:val="bottom"/>
            <w:gridSpan w:val="3"/>
            <w:vMerge w:val="restart"/>
            <w:shd w:val="clear" w:color="auto" w:fill="E7E7E2"/>
          </w:tcPr>
          <w:p>
            <w:pPr>
              <w:ind w:left="2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0" w:type="dxa"/>
            <w:vAlign w:val="bottom"/>
            <w:tcBorders>
              <w:left w:val="single" w:sz="8" w:color="auto"/>
            </w:tcBorders>
          </w:tcPr>
          <w:p>
            <w:pPr>
              <w:spacing w:after="0"/>
              <w:rPr>
                <w:sz w:val="10"/>
                <w:szCs w:val="10"/>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vMerge w:val="continue"/>
            <w:shd w:val="clear" w:color="auto" w:fill="E7E7E2"/>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E7E7E2"/>
          </w:tcPr>
          <w:p>
            <w:pPr>
              <w:spacing w:after="0"/>
              <w:rPr>
                <w:sz w:val="10"/>
                <w:szCs w:val="10"/>
                <w:color w:val="auto"/>
              </w:rPr>
            </w:pPr>
          </w:p>
        </w:tc>
        <w:tc>
          <w:tcPr>
            <w:tcW w:w="540" w:type="dxa"/>
            <w:vAlign w:val="bottom"/>
            <w:vMerge w:val="continue"/>
            <w:shd w:val="clear" w:color="auto" w:fill="E7E7E2"/>
          </w:tcPr>
          <w:p>
            <w:pPr>
              <w:spacing w:after="0"/>
              <w:rPr>
                <w:sz w:val="10"/>
                <w:szCs w:val="10"/>
                <w:color w:val="auto"/>
              </w:rPr>
            </w:pPr>
          </w:p>
        </w:tc>
        <w:tc>
          <w:tcPr>
            <w:tcW w:w="60" w:type="dxa"/>
            <w:vAlign w:val="bottom"/>
            <w:tcBorders>
              <w:right w:val="single" w:sz="8" w:color="E7E7E2"/>
            </w:tcBorders>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56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shd w:val="clear" w:color="auto" w:fill="E7E7E2"/>
          </w:tcPr>
          <w:p>
            <w:pPr>
              <w:spacing w:after="0"/>
              <w:rPr>
                <w:sz w:val="10"/>
                <w:szCs w:val="10"/>
                <w:color w:val="auto"/>
              </w:rPr>
            </w:pPr>
          </w:p>
        </w:tc>
        <w:tc>
          <w:tcPr>
            <w:tcW w:w="20" w:type="dxa"/>
            <w:vAlign w:val="bottom"/>
            <w:shd w:val="clear" w:color="auto" w:fill="E7E7E2"/>
          </w:tcPr>
          <w:p>
            <w:pPr>
              <w:spacing w:after="0"/>
              <w:rPr>
                <w:sz w:val="10"/>
                <w:szCs w:val="10"/>
                <w:color w:val="auto"/>
              </w:rPr>
            </w:pPr>
          </w:p>
        </w:tc>
        <w:tc>
          <w:tcPr>
            <w:tcW w:w="3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300" w:type="dxa"/>
            <w:vAlign w:val="bottom"/>
            <w:gridSpan w:val="3"/>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7"/>
                <w:szCs w:val="7"/>
                <w:color w:val="auto"/>
              </w:rPr>
            </w:pPr>
          </w:p>
        </w:tc>
        <w:tc>
          <w:tcPr>
            <w:tcW w:w="980" w:type="dxa"/>
            <w:vAlign w:val="bottom"/>
            <w:gridSpan w:val="3"/>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80" w:type="dxa"/>
            <w:vAlign w:val="bottom"/>
            <w:shd w:val="clear" w:color="auto" w:fill="E7E7E2"/>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540" w:type="dxa"/>
            <w:vAlign w:val="bottom"/>
            <w:shd w:val="clear" w:color="auto" w:fill="E7E7E2"/>
          </w:tcPr>
          <w:p>
            <w:pPr>
              <w:spacing w:after="0"/>
              <w:rPr>
                <w:sz w:val="7"/>
                <w:szCs w:val="7"/>
                <w:color w:val="auto"/>
              </w:rPr>
            </w:pPr>
          </w:p>
        </w:tc>
        <w:tc>
          <w:tcPr>
            <w:tcW w:w="60" w:type="dxa"/>
            <w:vAlign w:val="bottom"/>
            <w:tcBorders>
              <w:right w:val="single" w:sz="8" w:color="E7E7E2"/>
            </w:tcBorders>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56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120" w:type="dxa"/>
            <w:vAlign w:val="bottom"/>
            <w:shd w:val="clear" w:color="auto" w:fill="E7E7E2"/>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3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80" w:type="dxa"/>
            <w:vAlign w:val="bottom"/>
            <w:shd w:val="clear" w:color="auto" w:fill="E7E7E2"/>
          </w:tcPr>
          <w:p>
            <w:pPr>
              <w:spacing w:after="0"/>
              <w:rPr>
                <w:sz w:val="7"/>
                <w:szCs w:val="7"/>
                <w:color w:val="auto"/>
              </w:rPr>
            </w:pPr>
          </w:p>
        </w:tc>
        <w:tc>
          <w:tcPr>
            <w:tcW w:w="20" w:type="dxa"/>
            <w:vAlign w:val="bottom"/>
            <w:shd w:val="clear" w:color="auto" w:fill="E7E7E2"/>
          </w:tcPr>
          <w:p>
            <w:pPr>
              <w:spacing w:after="0"/>
              <w:rPr>
                <w:sz w:val="7"/>
                <w:szCs w:val="7"/>
                <w:color w:val="auto"/>
              </w:rPr>
            </w:pPr>
          </w:p>
        </w:tc>
        <w:tc>
          <w:tcPr>
            <w:tcW w:w="2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2660" w:type="dxa"/>
            <w:vAlign w:val="bottom"/>
            <w:tcBorders>
              <w:bottom w:val="single" w:sz="8" w:color="auto"/>
            </w:tcBorders>
            <w:gridSpan w:val="10"/>
          </w:tcPr>
          <w:p>
            <w:pPr>
              <w:ind w:left="40"/>
              <w:spacing w:after="0"/>
              <w:rPr>
                <w:sz w:val="20"/>
                <w:szCs w:val="20"/>
                <w:color w:val="auto"/>
              </w:rPr>
            </w:pPr>
            <w:r>
              <w:rPr>
                <w:rFonts w:ascii="Arial" w:cs="Arial" w:eastAsia="Arial" w:hAnsi="Arial"/>
                <w:sz w:val="16"/>
                <w:szCs w:val="16"/>
                <w:b w:val="1"/>
                <w:bCs w:val="1"/>
                <w:color w:val="auto"/>
              </w:rPr>
              <w:t>Table 3: Combined Prospectuses</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ind w:left="36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6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3"/>
            <w:shd w:val="clear" w:color="auto" w:fill="9ADAF6"/>
          </w:tcPr>
          <w:p>
            <w:pPr>
              <w:ind w:left="360"/>
              <w:spacing w:after="0"/>
              <w:rPr>
                <w:sz w:val="20"/>
                <w:szCs w:val="20"/>
                <w:color w:val="auto"/>
              </w:rPr>
            </w:pPr>
            <w:r>
              <w:rPr>
                <w:rFonts w:ascii="Arial" w:cs="Arial" w:eastAsia="Arial" w:hAnsi="Arial"/>
                <w:sz w:val="16"/>
                <w:szCs w:val="16"/>
                <w:b w:val="1"/>
                <w:bCs w:val="1"/>
                <w:color w:val="auto"/>
              </w:rPr>
              <w:t>Amount of</w:t>
            </w:r>
          </w:p>
        </w:tc>
        <w:tc>
          <w:tcPr>
            <w:tcW w:w="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6"/>
                <w:szCs w:val="16"/>
                <w:b w:val="1"/>
                <w:bCs w:val="1"/>
                <w:color w:val="auto"/>
              </w:rPr>
              <w:t>Maximum Aggregate</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80" w:type="dxa"/>
            <w:vAlign w:val="bottom"/>
            <w:gridSpan w:val="2"/>
            <w:vMerge w:val="restart"/>
            <w:shd w:val="clear" w:color="auto" w:fill="9ADAF6"/>
          </w:tcPr>
          <w:p>
            <w:pPr>
              <w:jc w:val="center"/>
              <w:ind w:right="240"/>
              <w:spacing w:after="0"/>
              <w:rPr>
                <w:sz w:val="20"/>
                <w:szCs w:val="20"/>
                <w:color w:val="auto"/>
              </w:rPr>
            </w:pPr>
            <w:r>
              <w:rPr>
                <w:rFonts w:ascii="Arial" w:cs="Arial" w:eastAsia="Arial" w:hAnsi="Arial"/>
                <w:sz w:val="16"/>
                <w:szCs w:val="16"/>
                <w:b w:val="1"/>
                <w:bCs w:val="1"/>
                <w:color w:val="auto"/>
              </w:rPr>
              <w:t>Initial</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80"/>
              <w:spacing w:after="0"/>
              <w:rPr>
                <w:sz w:val="20"/>
                <w:szCs w:val="20"/>
                <w:color w:val="auto"/>
              </w:rPr>
            </w:pPr>
            <w:r>
              <w:rPr>
                <w:rFonts w:ascii="Arial" w:cs="Arial" w:eastAsia="Arial" w:hAnsi="Arial"/>
                <w:sz w:val="16"/>
                <w:szCs w:val="16"/>
                <w:b w:val="1"/>
                <w:bCs w:val="1"/>
                <w:color w:val="auto"/>
              </w:rPr>
              <w:t>Securities</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restart"/>
            <w:shd w:val="clear" w:color="auto" w:fill="9ADAF6"/>
          </w:tcPr>
          <w:p>
            <w:pPr>
              <w:jc w:val="center"/>
              <w:ind w:right="238"/>
              <w:spacing w:after="0"/>
              <w:rPr>
                <w:sz w:val="20"/>
                <w:szCs w:val="20"/>
                <w:color w:val="auto"/>
              </w:rPr>
            </w:pPr>
            <w:r>
              <w:rPr>
                <w:rFonts w:ascii="Arial" w:cs="Arial" w:eastAsia="Arial" w:hAnsi="Arial"/>
                <w:sz w:val="16"/>
                <w:szCs w:val="16"/>
                <w:b w:val="1"/>
                <w:bCs w:val="1"/>
                <w:color w:val="auto"/>
              </w:rPr>
              <w:t>Offering Price of</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restart"/>
            <w:shd w:val="clear" w:color="auto" w:fill="9ADAF6"/>
          </w:tcPr>
          <w:p>
            <w:pPr>
              <w:jc w:val="center"/>
              <w:ind w:right="38"/>
              <w:spacing w:after="0"/>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gridSpan w:val="2"/>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3"/>
            <w:vMerge w:val="restart"/>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1620" w:type="dxa"/>
            <w:vAlign w:val="bottom"/>
            <w:gridSpan w:val="5"/>
            <w:vMerge w:val="restart"/>
            <w:shd w:val="clear" w:color="auto" w:fill="9ADAF6"/>
          </w:tcPr>
          <w:p>
            <w:pPr>
              <w:ind w:left="60"/>
              <w:spacing w:after="0"/>
              <w:rPr>
                <w:sz w:val="20"/>
                <w:szCs w:val="20"/>
                <w:color w:val="auto"/>
              </w:rPr>
            </w:pPr>
            <w:r>
              <w:rPr>
                <w:rFonts w:ascii="Arial" w:cs="Arial" w:eastAsia="Arial" w:hAnsi="Arial"/>
                <w:sz w:val="16"/>
                <w:szCs w:val="16"/>
                <w:b w:val="1"/>
                <w:bCs w:val="1"/>
                <w:color w:val="auto"/>
              </w:rPr>
              <w:t>Security Class Title</w:t>
            </w:r>
          </w:p>
        </w:tc>
        <w:tc>
          <w:tcPr>
            <w:tcW w:w="5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2"/>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3"/>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File Number</w:t>
            </w: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4"/>
            <w:vMerge w:val="restart"/>
            <w:shd w:val="clear" w:color="auto" w:fill="9ADAF6"/>
          </w:tcPr>
          <w:p>
            <w:pPr>
              <w:jc w:val="center"/>
              <w:ind w:right="20"/>
              <w:spacing w:after="0"/>
              <w:rPr>
                <w:sz w:val="20"/>
                <w:szCs w:val="20"/>
                <w:color w:val="auto"/>
              </w:rPr>
            </w:pPr>
            <w:r>
              <w:rPr>
                <w:rFonts w:ascii="Arial" w:cs="Arial" w:eastAsia="Arial" w:hAnsi="Arial"/>
                <w:sz w:val="16"/>
                <w:szCs w:val="16"/>
                <w:b w:val="1"/>
                <w:bCs w:val="1"/>
                <w:color w:val="auto"/>
              </w:rPr>
              <w:t>Effective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1620" w:type="dxa"/>
            <w:vAlign w:val="bottom"/>
            <w:gridSpan w:val="5"/>
            <w:vMerge w:val="continue"/>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Previously</w:t>
            </w: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vMerge w:val="restart"/>
            <w:shd w:val="clear" w:color="auto" w:fill="9ADAF6"/>
          </w:tcPr>
          <w:p>
            <w:pPr>
              <w:jc w:val="center"/>
              <w:ind w:right="78"/>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8"/>
                <w:szCs w:val="8"/>
                <w:color w:val="auto"/>
              </w:rPr>
            </w:pPr>
          </w:p>
        </w:tc>
        <w:tc>
          <w:tcPr>
            <w:tcW w:w="10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4"/>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3"/>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80" w:type="dxa"/>
            <w:vAlign w:val="bottom"/>
            <w:gridSpan w:val="2"/>
            <w:vMerge w:val="restart"/>
            <w:shd w:val="clear" w:color="auto" w:fill="9ADAF6"/>
          </w:tcPr>
          <w:p>
            <w:pPr>
              <w:jc w:val="center"/>
              <w:ind w:right="240"/>
              <w:spacing w:after="0"/>
              <w:rPr>
                <w:sz w:val="20"/>
                <w:szCs w:val="20"/>
                <w:color w:val="auto"/>
              </w:rPr>
            </w:pPr>
            <w:r>
              <w:rPr>
                <w:rFonts w:ascii="Arial" w:cs="Arial" w:eastAsia="Arial" w:hAnsi="Arial"/>
                <w:sz w:val="16"/>
                <w:szCs w:val="16"/>
                <w:b w:val="1"/>
                <w:bCs w:val="1"/>
                <w:color w:val="auto"/>
              </w:rPr>
              <w:t>Date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540" w:type="dxa"/>
            <w:vAlign w:val="bottom"/>
            <w:shd w:val="clear" w:color="auto" w:fill="9ADAF6"/>
          </w:tcPr>
          <w:p>
            <w:pPr>
              <w:spacing w:after="0"/>
              <w:rPr>
                <w:sz w:val="11"/>
                <w:szCs w:val="11"/>
                <w:color w:val="auto"/>
              </w:rPr>
            </w:pPr>
          </w:p>
        </w:tc>
        <w:tc>
          <w:tcPr>
            <w:tcW w:w="60" w:type="dxa"/>
            <w:vAlign w:val="bottom"/>
            <w:tcBorders>
              <w:right w:val="single" w:sz="8" w:color="9ADAF6"/>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3"/>
            <w:vMerge w:val="restart"/>
            <w:shd w:val="clear" w:color="auto" w:fill="9ADAF6"/>
          </w:tcPr>
          <w:p>
            <w:pPr>
              <w:ind w:left="360"/>
              <w:spacing w:after="0"/>
              <w:rPr>
                <w:sz w:val="20"/>
                <w:szCs w:val="20"/>
                <w:color w:val="auto"/>
              </w:rPr>
            </w:pPr>
            <w:r>
              <w:rPr>
                <w:rFonts w:ascii="Arial" w:cs="Arial" w:eastAsia="Arial" w:hAnsi="Arial"/>
                <w:sz w:val="16"/>
                <w:szCs w:val="16"/>
                <w:b w:val="1"/>
                <w:bCs w:val="1"/>
                <w:color w:val="auto"/>
              </w:rPr>
              <w:t>Registered</w:t>
            </w:r>
          </w:p>
        </w:tc>
        <w:tc>
          <w:tcPr>
            <w:tcW w:w="20" w:type="dxa"/>
            <w:vAlign w:val="bottom"/>
            <w:shd w:val="clear" w:color="auto" w:fill="9ADAF6"/>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80" w:type="dxa"/>
            <w:vAlign w:val="bottom"/>
            <w:gridSpan w:val="3"/>
            <w:vMerge w:val="restart"/>
            <w:shd w:val="clear" w:color="auto" w:fill="9ADAF6"/>
          </w:tcPr>
          <w:p>
            <w:pPr>
              <w:jc w:val="center"/>
              <w:ind w:right="238"/>
              <w:spacing w:after="0"/>
              <w:rPr>
                <w:sz w:val="20"/>
                <w:szCs w:val="20"/>
                <w:color w:val="auto"/>
              </w:rPr>
            </w:pPr>
            <w:r>
              <w:rPr>
                <w:rFonts w:ascii="Arial" w:cs="Arial" w:eastAsia="Arial" w:hAnsi="Arial"/>
                <w:sz w:val="16"/>
                <w:szCs w:val="16"/>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80" w:type="dxa"/>
            <w:vAlign w:val="bottom"/>
            <w:gridSpan w:val="2"/>
            <w:vMerge w:val="continue"/>
            <w:shd w:val="clear" w:color="auto" w:fill="9ADAF6"/>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540" w:type="dxa"/>
            <w:vAlign w:val="bottom"/>
            <w:shd w:val="clear" w:color="auto" w:fill="9ADAF6"/>
          </w:tcPr>
          <w:p>
            <w:pPr>
              <w:spacing w:after="0"/>
              <w:rPr>
                <w:sz w:val="7"/>
                <w:szCs w:val="7"/>
                <w:color w:val="auto"/>
              </w:rPr>
            </w:pPr>
          </w:p>
        </w:tc>
        <w:tc>
          <w:tcPr>
            <w:tcW w:w="60" w:type="dxa"/>
            <w:vAlign w:val="bottom"/>
            <w:tcBorders>
              <w:right w:val="single" w:sz="8" w:color="9ADAF6"/>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vMerge w:val="continue"/>
          </w:tcPr>
          <w:p>
            <w:pPr>
              <w:spacing w:after="0"/>
              <w:rPr>
                <w:sz w:val="17"/>
                <w:szCs w:val="17"/>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7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6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1240" w:type="dxa"/>
            <w:vAlign w:val="bottom"/>
            <w:gridSpan w:val="3"/>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760" w:type="dxa"/>
            <w:vAlign w:val="bottom"/>
            <w:shd w:val="clear" w:color="auto" w:fill="E7E7E2"/>
          </w:tcPr>
          <w:p>
            <w:pPr>
              <w:ind w:left="480"/>
              <w:spacing w:after="0"/>
              <w:rPr>
                <w:sz w:val="20"/>
                <w:szCs w:val="20"/>
                <w:color w:val="auto"/>
              </w:rPr>
            </w:pPr>
            <w:r>
              <w:rPr>
                <w:rFonts w:ascii="Arial" w:cs="Arial" w:eastAsia="Arial" w:hAnsi="Arial"/>
                <w:sz w:val="16"/>
                <w:szCs w:val="16"/>
                <w:color w:val="auto"/>
                <w:w w:val="97"/>
              </w:rPr>
              <w:t>N/A</w:t>
            </w:r>
          </w:p>
        </w:tc>
        <w:tc>
          <w:tcPr>
            <w:tcW w:w="20" w:type="dxa"/>
            <w:vAlign w:val="bottom"/>
            <w:vMerge w:val="continue"/>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40" w:type="dxa"/>
            <w:vAlign w:val="bottom"/>
            <w:shd w:val="clear" w:color="auto" w:fill="E7E7E2"/>
          </w:tcPr>
          <w:p>
            <w:pPr>
              <w:spacing w:after="0"/>
              <w:rPr>
                <w:sz w:val="17"/>
                <w:szCs w:val="17"/>
                <w:color w:val="auto"/>
              </w:rPr>
            </w:pPr>
          </w:p>
        </w:tc>
        <w:tc>
          <w:tcPr>
            <w:tcW w:w="520" w:type="dxa"/>
            <w:vAlign w:val="bottom"/>
            <w:shd w:val="clear" w:color="auto" w:fill="E7E7E2"/>
          </w:tcPr>
          <w:p>
            <w:pPr>
              <w:jc w:val="center"/>
              <w:ind w:right="78"/>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60" w:type="dxa"/>
            <w:vAlign w:val="bottom"/>
            <w:shd w:val="clear" w:color="auto" w:fill="E7E7E2"/>
          </w:tcPr>
          <w:p>
            <w:pPr>
              <w:ind w:left="40"/>
              <w:spacing w:after="0"/>
              <w:rPr>
                <w:sz w:val="20"/>
                <w:szCs w:val="20"/>
                <w:color w:val="auto"/>
              </w:rPr>
            </w:pPr>
            <w:r>
              <w:rPr>
                <w:rFonts w:ascii="Arial" w:cs="Arial" w:eastAsia="Arial" w:hAnsi="Arial"/>
                <w:sz w:val="16"/>
                <w:szCs w:val="16"/>
                <w:color w:val="auto"/>
              </w:rPr>
              <w:t>N/A</w:t>
            </w:r>
          </w:p>
        </w:tc>
        <w:tc>
          <w:tcPr>
            <w:tcW w:w="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680" w:type="dxa"/>
            <w:vAlign w:val="bottom"/>
            <w:gridSpan w:val="2"/>
            <w:shd w:val="clear" w:color="auto" w:fill="E7E7E2"/>
          </w:tcPr>
          <w:p>
            <w:pPr>
              <w:jc w:val="center"/>
              <w:ind w:right="240"/>
              <w:spacing w:after="0"/>
              <w:rPr>
                <w:sz w:val="20"/>
                <w:szCs w:val="20"/>
                <w:color w:val="auto"/>
              </w:rPr>
            </w:pPr>
            <w:r>
              <w:rPr>
                <w:rFonts w:ascii="Arial" w:cs="Arial" w:eastAsia="Arial" w:hAnsi="Arial"/>
                <w:sz w:val="16"/>
                <w:szCs w:val="16"/>
                <w:color w:val="auto"/>
              </w:rPr>
              <w:t>N/A</w:t>
            </w:r>
          </w:p>
        </w:tc>
        <w:tc>
          <w:tcPr>
            <w:tcW w:w="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40" w:right="29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4"/>
          <w:szCs w:val="14"/>
          <w:b w:val="1"/>
          <w:bCs w:val="1"/>
          <w:color w:val="auto"/>
        </w:rPr>
        <w:t>Blaize Holdings, Inc.</w:t>
      </w:r>
    </w:p>
    <w:p>
      <w:pPr>
        <w:spacing w:after="0" w:line="16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INDENTURE</w:t>
      </w:r>
    </w:p>
    <w:p>
      <w:pPr>
        <w:spacing w:after="0" w:line="171" w:lineRule="exact"/>
        <w:rPr>
          <w:sz w:val="20"/>
          <w:szCs w:val="20"/>
          <w:color w:val="auto"/>
        </w:rPr>
      </w:pPr>
    </w:p>
    <w:tbl>
      <w:tblPr>
        <w:tblLayout w:type="fixed"/>
        <w:tblInd w:w="4860" w:type="dxa"/>
        <w:tblCellMar>
          <w:top w:w="0" w:type="dxa"/>
          <w:left w:w="0" w:type="dxa"/>
          <w:bottom w:w="0" w:type="dxa"/>
          <w:right w:w="0" w:type="dxa"/>
        </w:tblCellMar>
      </w:tblPr>
      <w:tr>
        <w:trPr>
          <w:trHeight w:val="176"/>
        </w:trPr>
        <w:tc>
          <w:tcPr>
            <w:tcW w:w="980" w:type="dxa"/>
            <w:vAlign w:val="bottom"/>
          </w:tcPr>
          <w:p>
            <w:pPr>
              <w:spacing w:after="0"/>
              <w:rPr>
                <w:sz w:val="20"/>
                <w:szCs w:val="20"/>
                <w:color w:val="auto"/>
              </w:rPr>
            </w:pPr>
            <w:r>
              <w:rPr>
                <w:rFonts w:ascii="Times New Roman" w:cs="Times New Roman" w:eastAsia="Times New Roman" w:hAnsi="Times New Roman"/>
                <w:sz w:val="14"/>
                <w:szCs w:val="14"/>
                <w:color w:val="auto"/>
              </w:rPr>
              <w:t>Dated as of</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w:t>
            </w:r>
          </w:p>
        </w:tc>
      </w:tr>
    </w:tbl>
    <w:p>
      <w:pPr>
        <w:spacing w:after="0" w:line="148" w:lineRule="exact"/>
        <w:rPr>
          <w:sz w:val="20"/>
          <w:szCs w:val="20"/>
          <w:color w:val="auto"/>
        </w:rPr>
      </w:pPr>
    </w:p>
    <w:p>
      <w:pPr>
        <w:jc w:val="center"/>
        <w:ind w:left="1340"/>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17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4"/>
          <w:szCs w:val="14"/>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74930</wp:posOffset>
            </wp:positionV>
            <wp:extent cx="706755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067550" cy="6350"/>
                    </a:xfrm>
                    <a:prstGeom prst="rect">
                      <a:avLst/>
                    </a:prstGeom>
                    <a:noFill/>
                  </pic:spPr>
                </pic:pic>
              </a:graphicData>
            </a:graphic>
          </wp:anchor>
        </w:drawing>
      </w:r>
    </w:p>
    <w:p>
      <w:pPr>
        <w:spacing w:after="0" w:line="195" w:lineRule="exact"/>
        <w:rPr>
          <w:sz w:val="20"/>
          <w:szCs w:val="20"/>
          <w:color w:val="auto"/>
        </w:rPr>
      </w:pPr>
    </w:p>
    <w:p>
      <w:pPr>
        <w:jc w:val="right"/>
        <w:ind w:right="354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 I. DEFINITIONS AND INCORPORATION BY REFERENCE</w:t>
      </w:r>
    </w:p>
    <w:p>
      <w:pPr>
        <w:spacing w:after="0" w:line="2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1.1.</w:t>
      </w:r>
      <w:r>
        <w:rPr>
          <w:sz w:val="20"/>
          <w:szCs w:val="20"/>
          <w:color w:val="auto"/>
        </w:rPr>
        <w:tab/>
      </w:r>
      <w:r>
        <w:rPr>
          <w:rFonts w:ascii="Times New Roman" w:cs="Times New Roman" w:eastAsia="Times New Roman" w:hAnsi="Times New Roman"/>
          <w:sz w:val="13"/>
          <w:szCs w:val="13"/>
          <w:color w:val="auto"/>
        </w:rPr>
        <w:t>Definitions.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1.2.</w:t>
      </w:r>
      <w:r>
        <w:rPr>
          <w:sz w:val="20"/>
          <w:szCs w:val="20"/>
          <w:color w:val="auto"/>
        </w:rPr>
        <w:tab/>
      </w:r>
      <w:r>
        <w:rPr>
          <w:rFonts w:ascii="Times New Roman" w:cs="Times New Roman" w:eastAsia="Times New Roman" w:hAnsi="Times New Roman"/>
          <w:sz w:val="13"/>
          <w:szCs w:val="13"/>
          <w:color w:val="auto"/>
        </w:rPr>
        <w:t>Other Definitions.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1.3.</w:t>
      </w:r>
      <w:r>
        <w:rPr>
          <w:sz w:val="20"/>
          <w:szCs w:val="20"/>
          <w:color w:val="auto"/>
        </w:rPr>
        <w:tab/>
      </w:r>
      <w:r>
        <w:rPr>
          <w:rFonts w:ascii="Times New Roman" w:cs="Times New Roman" w:eastAsia="Times New Roman" w:hAnsi="Times New Roman"/>
          <w:sz w:val="13"/>
          <w:szCs w:val="13"/>
          <w:color w:val="auto"/>
        </w:rPr>
        <w:t>Incorporation by Reference of Trust Indenture Act.</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1.4.</w:t>
      </w:r>
      <w:r>
        <w:rPr>
          <w:sz w:val="20"/>
          <w:szCs w:val="20"/>
          <w:color w:val="auto"/>
        </w:rPr>
        <w:tab/>
      </w:r>
      <w:r>
        <w:rPr>
          <w:rFonts w:ascii="Times New Roman" w:cs="Times New Roman" w:eastAsia="Times New Roman" w:hAnsi="Times New Roman"/>
          <w:sz w:val="13"/>
          <w:szCs w:val="13"/>
          <w:color w:val="auto"/>
        </w:rPr>
        <w:t>Rules of Construction.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 II. THE SECURITIES</w:t>
      </w:r>
    </w:p>
    <w:p>
      <w:pPr>
        <w:spacing w:after="0" w:line="2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2.1.</w:t>
      </w:r>
      <w:r>
        <w:rPr>
          <w:sz w:val="20"/>
          <w:szCs w:val="20"/>
          <w:color w:val="auto"/>
        </w:rPr>
        <w:tab/>
      </w:r>
      <w:r>
        <w:rPr>
          <w:rFonts w:ascii="Times New Roman" w:cs="Times New Roman" w:eastAsia="Times New Roman" w:hAnsi="Times New Roman"/>
          <w:sz w:val="13"/>
          <w:szCs w:val="13"/>
          <w:color w:val="auto"/>
        </w:rPr>
        <w:t>Issuable in Series.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2.2.</w:t>
      </w:r>
      <w:r>
        <w:rPr>
          <w:sz w:val="20"/>
          <w:szCs w:val="20"/>
          <w:color w:val="auto"/>
        </w:rPr>
        <w:tab/>
      </w:r>
      <w:r>
        <w:rPr>
          <w:rFonts w:ascii="Times New Roman" w:cs="Times New Roman" w:eastAsia="Times New Roman" w:hAnsi="Times New Roman"/>
          <w:sz w:val="13"/>
          <w:szCs w:val="13"/>
          <w:color w:val="auto"/>
        </w:rPr>
        <w:t>Establishment of Terms of Series of Securities.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2.3.</w:t>
      </w:r>
      <w:r>
        <w:rPr>
          <w:sz w:val="20"/>
          <w:szCs w:val="20"/>
          <w:color w:val="auto"/>
        </w:rPr>
        <w:tab/>
      </w:r>
      <w:r>
        <w:rPr>
          <w:rFonts w:ascii="Times New Roman" w:cs="Times New Roman" w:eastAsia="Times New Roman" w:hAnsi="Times New Roman"/>
          <w:sz w:val="13"/>
          <w:szCs w:val="13"/>
          <w:color w:val="auto"/>
        </w:rPr>
        <w:t>Execution and Authentication.</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2.4.</w:t>
      </w:r>
      <w:r>
        <w:rPr>
          <w:sz w:val="20"/>
          <w:szCs w:val="20"/>
          <w:color w:val="auto"/>
        </w:rPr>
        <w:tab/>
      </w:r>
      <w:r>
        <w:rPr>
          <w:rFonts w:ascii="Times New Roman" w:cs="Times New Roman" w:eastAsia="Times New Roman" w:hAnsi="Times New Roman"/>
          <w:sz w:val="13"/>
          <w:szCs w:val="13"/>
          <w:color w:val="auto"/>
        </w:rPr>
        <w:t>Registrar and Paying Agent.</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2.5.</w:t>
      </w:r>
      <w:r>
        <w:rPr>
          <w:sz w:val="20"/>
          <w:szCs w:val="20"/>
          <w:color w:val="auto"/>
        </w:rPr>
        <w:tab/>
      </w:r>
      <w:r>
        <w:rPr>
          <w:rFonts w:ascii="Times New Roman" w:cs="Times New Roman" w:eastAsia="Times New Roman" w:hAnsi="Times New Roman"/>
          <w:sz w:val="13"/>
          <w:szCs w:val="13"/>
          <w:color w:val="auto"/>
        </w:rPr>
        <w:t>Paying Agent to Hold Money in Trust.</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2.6.</w:t>
      </w:r>
      <w:r>
        <w:rPr>
          <w:sz w:val="20"/>
          <w:szCs w:val="20"/>
          <w:color w:val="auto"/>
        </w:rPr>
        <w:tab/>
      </w:r>
      <w:r>
        <w:rPr>
          <w:rFonts w:ascii="Times New Roman" w:cs="Times New Roman" w:eastAsia="Times New Roman" w:hAnsi="Times New Roman"/>
          <w:sz w:val="13"/>
          <w:szCs w:val="13"/>
          <w:color w:val="auto"/>
        </w:rPr>
        <w:t>Securityholder Lists.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2.7.</w:t>
      </w:r>
      <w:r>
        <w:rPr>
          <w:sz w:val="20"/>
          <w:szCs w:val="20"/>
          <w:color w:val="auto"/>
        </w:rPr>
        <w:tab/>
      </w:r>
      <w:r>
        <w:rPr>
          <w:rFonts w:ascii="Times New Roman" w:cs="Times New Roman" w:eastAsia="Times New Roman" w:hAnsi="Times New Roman"/>
          <w:sz w:val="13"/>
          <w:szCs w:val="13"/>
          <w:color w:val="auto"/>
        </w:rPr>
        <w:t>Transfer and Exchange.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2.8.</w:t>
      </w:r>
      <w:r>
        <w:rPr>
          <w:sz w:val="20"/>
          <w:szCs w:val="20"/>
          <w:color w:val="auto"/>
        </w:rPr>
        <w:tab/>
      </w:r>
      <w:r>
        <w:rPr>
          <w:rFonts w:ascii="Times New Roman" w:cs="Times New Roman" w:eastAsia="Times New Roman" w:hAnsi="Times New Roman"/>
          <w:sz w:val="13"/>
          <w:szCs w:val="13"/>
          <w:color w:val="auto"/>
        </w:rPr>
        <w:t>Mutilated, Destroyed, Lost and Stolen Securities.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2.9.</w:t>
      </w:r>
      <w:r>
        <w:rPr>
          <w:sz w:val="20"/>
          <w:szCs w:val="20"/>
          <w:color w:val="auto"/>
        </w:rPr>
        <w:tab/>
      </w:r>
      <w:r>
        <w:rPr>
          <w:rFonts w:ascii="Times New Roman" w:cs="Times New Roman" w:eastAsia="Times New Roman" w:hAnsi="Times New Roman"/>
          <w:sz w:val="13"/>
          <w:szCs w:val="13"/>
          <w:color w:val="auto"/>
        </w:rPr>
        <w:t>Outstanding Securities.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2.10.</w:t>
      </w:r>
      <w:r>
        <w:rPr>
          <w:sz w:val="20"/>
          <w:szCs w:val="20"/>
          <w:color w:val="auto"/>
        </w:rPr>
        <w:tab/>
      </w:r>
      <w:r>
        <w:rPr>
          <w:rFonts w:ascii="Times New Roman" w:cs="Times New Roman" w:eastAsia="Times New Roman" w:hAnsi="Times New Roman"/>
          <w:sz w:val="13"/>
          <w:szCs w:val="13"/>
          <w:color w:val="auto"/>
        </w:rPr>
        <w:t>Treasury Securities.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2.11.</w:t>
      </w:r>
      <w:r>
        <w:rPr>
          <w:sz w:val="20"/>
          <w:szCs w:val="20"/>
          <w:color w:val="auto"/>
        </w:rPr>
        <w:tab/>
      </w:r>
      <w:r>
        <w:rPr>
          <w:rFonts w:ascii="Times New Roman" w:cs="Times New Roman" w:eastAsia="Times New Roman" w:hAnsi="Times New Roman"/>
          <w:sz w:val="13"/>
          <w:szCs w:val="13"/>
          <w:color w:val="auto"/>
        </w:rPr>
        <w:t>Temporary Securities.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2.12.</w:t>
      </w:r>
      <w:r>
        <w:rPr>
          <w:sz w:val="20"/>
          <w:szCs w:val="20"/>
          <w:color w:val="auto"/>
        </w:rPr>
        <w:tab/>
      </w:r>
      <w:r>
        <w:rPr>
          <w:rFonts w:ascii="Times New Roman" w:cs="Times New Roman" w:eastAsia="Times New Roman" w:hAnsi="Times New Roman"/>
          <w:sz w:val="13"/>
          <w:szCs w:val="13"/>
          <w:color w:val="auto"/>
        </w:rPr>
        <w:t>Cancellation.</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2.13.</w:t>
      </w:r>
      <w:r>
        <w:rPr>
          <w:sz w:val="20"/>
          <w:szCs w:val="20"/>
          <w:color w:val="auto"/>
        </w:rPr>
        <w:tab/>
      </w:r>
      <w:r>
        <w:rPr>
          <w:rFonts w:ascii="Times New Roman" w:cs="Times New Roman" w:eastAsia="Times New Roman" w:hAnsi="Times New Roman"/>
          <w:sz w:val="13"/>
          <w:szCs w:val="13"/>
          <w:color w:val="auto"/>
        </w:rPr>
        <w:t>Defaulted Interest.</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2.14.</w:t>
      </w:r>
      <w:r>
        <w:rPr>
          <w:sz w:val="20"/>
          <w:szCs w:val="20"/>
          <w:color w:val="auto"/>
        </w:rPr>
        <w:tab/>
      </w:r>
      <w:r>
        <w:rPr>
          <w:rFonts w:ascii="Times New Roman" w:cs="Times New Roman" w:eastAsia="Times New Roman" w:hAnsi="Times New Roman"/>
          <w:sz w:val="13"/>
          <w:szCs w:val="13"/>
          <w:color w:val="auto"/>
        </w:rPr>
        <w:t>Global Securities.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2.15.</w:t>
      </w:r>
      <w:r>
        <w:rPr>
          <w:sz w:val="20"/>
          <w:szCs w:val="20"/>
          <w:color w:val="auto"/>
        </w:rPr>
        <w:tab/>
      </w:r>
      <w:r>
        <w:rPr>
          <w:rFonts w:ascii="Times New Roman" w:cs="Times New Roman" w:eastAsia="Times New Roman" w:hAnsi="Times New Roman"/>
          <w:sz w:val="13"/>
          <w:szCs w:val="13"/>
          <w:color w:val="auto"/>
        </w:rPr>
        <w:t>CUSIP Numbers.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 III. REDEMPTION</w:t>
      </w:r>
    </w:p>
    <w:p>
      <w:pPr>
        <w:spacing w:after="0" w:line="2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3.1.</w:t>
      </w:r>
      <w:r>
        <w:rPr>
          <w:sz w:val="20"/>
          <w:szCs w:val="20"/>
          <w:color w:val="auto"/>
        </w:rPr>
        <w:tab/>
      </w:r>
      <w:r>
        <w:rPr>
          <w:rFonts w:ascii="Times New Roman" w:cs="Times New Roman" w:eastAsia="Times New Roman" w:hAnsi="Times New Roman"/>
          <w:sz w:val="13"/>
          <w:szCs w:val="13"/>
          <w:color w:val="auto"/>
        </w:rPr>
        <w:t>Notice to Trustee.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3.2.</w:t>
      </w:r>
      <w:r>
        <w:rPr>
          <w:sz w:val="20"/>
          <w:szCs w:val="20"/>
          <w:color w:val="auto"/>
        </w:rPr>
        <w:tab/>
      </w:r>
      <w:r>
        <w:rPr>
          <w:rFonts w:ascii="Times New Roman" w:cs="Times New Roman" w:eastAsia="Times New Roman" w:hAnsi="Times New Roman"/>
          <w:sz w:val="13"/>
          <w:szCs w:val="13"/>
          <w:color w:val="auto"/>
        </w:rPr>
        <w:t>Selection of Securities to be Redeemed.</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3.3.</w:t>
      </w:r>
      <w:r>
        <w:rPr>
          <w:sz w:val="20"/>
          <w:szCs w:val="20"/>
          <w:color w:val="auto"/>
        </w:rPr>
        <w:tab/>
      </w:r>
      <w:r>
        <w:rPr>
          <w:rFonts w:ascii="Times New Roman" w:cs="Times New Roman" w:eastAsia="Times New Roman" w:hAnsi="Times New Roman"/>
          <w:sz w:val="13"/>
          <w:szCs w:val="13"/>
          <w:color w:val="auto"/>
        </w:rPr>
        <w:t>Notice of Redemption.</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3.4.</w:t>
      </w:r>
      <w:r>
        <w:rPr>
          <w:sz w:val="20"/>
          <w:szCs w:val="20"/>
          <w:color w:val="auto"/>
        </w:rPr>
        <w:tab/>
      </w:r>
      <w:r>
        <w:rPr>
          <w:rFonts w:ascii="Times New Roman" w:cs="Times New Roman" w:eastAsia="Times New Roman" w:hAnsi="Times New Roman"/>
          <w:sz w:val="13"/>
          <w:szCs w:val="13"/>
          <w:color w:val="auto"/>
        </w:rPr>
        <w:t>Effect of Notice of Redemption.</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3.5.</w:t>
      </w:r>
      <w:r>
        <w:rPr>
          <w:sz w:val="20"/>
          <w:szCs w:val="20"/>
          <w:color w:val="auto"/>
        </w:rPr>
        <w:tab/>
      </w:r>
      <w:r>
        <w:rPr>
          <w:rFonts w:ascii="Times New Roman" w:cs="Times New Roman" w:eastAsia="Times New Roman" w:hAnsi="Times New Roman"/>
          <w:sz w:val="13"/>
          <w:szCs w:val="13"/>
          <w:color w:val="auto"/>
        </w:rPr>
        <w:t>Deposit of Redemption Price.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3.6.</w:t>
      </w:r>
      <w:r>
        <w:rPr>
          <w:sz w:val="20"/>
          <w:szCs w:val="20"/>
          <w:color w:val="auto"/>
        </w:rPr>
        <w:tab/>
      </w:r>
      <w:r>
        <w:rPr>
          <w:rFonts w:ascii="Times New Roman" w:cs="Times New Roman" w:eastAsia="Times New Roman" w:hAnsi="Times New Roman"/>
          <w:sz w:val="13"/>
          <w:szCs w:val="13"/>
          <w:color w:val="auto"/>
        </w:rPr>
        <w:t>Securities Redeemed in Part.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 IV. COVENANTS</w:t>
      </w:r>
    </w:p>
    <w:p>
      <w:pPr>
        <w:spacing w:after="0" w:line="2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4.1.</w:t>
      </w:r>
      <w:r>
        <w:rPr>
          <w:sz w:val="20"/>
          <w:szCs w:val="20"/>
          <w:color w:val="auto"/>
        </w:rPr>
        <w:tab/>
      </w:r>
      <w:r>
        <w:rPr>
          <w:rFonts w:ascii="Times New Roman" w:cs="Times New Roman" w:eastAsia="Times New Roman" w:hAnsi="Times New Roman"/>
          <w:sz w:val="13"/>
          <w:szCs w:val="13"/>
          <w:color w:val="auto"/>
        </w:rPr>
        <w:t>Payment of Principal and Interest.</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4.2.</w:t>
      </w:r>
      <w:r>
        <w:rPr>
          <w:sz w:val="20"/>
          <w:szCs w:val="20"/>
          <w:color w:val="auto"/>
        </w:rPr>
        <w:tab/>
      </w:r>
      <w:r>
        <w:rPr>
          <w:rFonts w:ascii="Times New Roman" w:cs="Times New Roman" w:eastAsia="Times New Roman" w:hAnsi="Times New Roman"/>
          <w:sz w:val="13"/>
          <w:szCs w:val="13"/>
          <w:color w:val="auto"/>
        </w:rPr>
        <w:t>SEC Reports.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4.3.</w:t>
      </w:r>
      <w:r>
        <w:rPr>
          <w:sz w:val="20"/>
          <w:szCs w:val="20"/>
          <w:color w:val="auto"/>
        </w:rPr>
        <w:tab/>
      </w:r>
      <w:r>
        <w:rPr>
          <w:rFonts w:ascii="Times New Roman" w:cs="Times New Roman" w:eastAsia="Times New Roman" w:hAnsi="Times New Roman"/>
          <w:sz w:val="13"/>
          <w:szCs w:val="13"/>
          <w:color w:val="auto"/>
        </w:rPr>
        <w:t>Compliance 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21590</wp:posOffset>
            </wp:positionV>
            <wp:extent cx="377825"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377825" cy="6350"/>
                    </a:xfrm>
                    <a:prstGeom prst="rect">
                      <a:avLst/>
                    </a:prstGeom>
                    <a:noFill/>
                  </pic:spPr>
                </pic:pic>
              </a:graphicData>
            </a:graphic>
          </wp:anchor>
        </w:drawing>
      </w:r>
    </w:p>
    <w:p>
      <w:pPr>
        <w:spacing w:after="0" w:line="1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w:t>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1</w:t>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4</w:t>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4</w:t>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color w:val="auto"/>
        </w:rPr>
        <w:t>4</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11</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12</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12</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12</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12</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13</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13</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13</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13</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13</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13</w:t>
      </w:r>
    </w:p>
    <w:p>
      <w:pPr>
        <w:spacing w:after="0" w:line="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2">
            <w:col w:w="9900" w:space="720"/>
            <w:col w:w="640"/>
          </w:cols>
          <w:pgMar w:left="320" w:top="123" w:right="319" w:bottom="1440" w:gutter="0" w:footer="0" w:header="0"/>
        </w:sectPr>
      </w:pPr>
    </w:p>
    <w:bookmarkStart w:id="48" w:name="page49"/>
    <w:bookmarkEnd w:id="48"/>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4.4.</w:t>
      </w:r>
      <w:r>
        <w:rPr>
          <w:sz w:val="20"/>
          <w:szCs w:val="20"/>
          <w:color w:val="auto"/>
        </w:rPr>
        <w:tab/>
      </w:r>
      <w:r>
        <w:rPr>
          <w:rFonts w:ascii="Times New Roman" w:cs="Times New Roman" w:eastAsia="Times New Roman" w:hAnsi="Times New Roman"/>
          <w:sz w:val="13"/>
          <w:szCs w:val="13"/>
          <w:color w:val="auto"/>
        </w:rPr>
        <w:t>Stay, Extension and Usury Laws.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 V. SUCCESSORS</w:t>
      </w:r>
    </w:p>
    <w:p>
      <w:pPr>
        <w:spacing w:after="0" w:line="2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5.1.</w:t>
      </w:r>
      <w:r>
        <w:rPr>
          <w:sz w:val="20"/>
          <w:szCs w:val="20"/>
          <w:color w:val="auto"/>
        </w:rPr>
        <w:tab/>
      </w:r>
      <w:r>
        <w:rPr>
          <w:rFonts w:ascii="Times New Roman" w:cs="Times New Roman" w:eastAsia="Times New Roman" w:hAnsi="Times New Roman"/>
          <w:sz w:val="13"/>
          <w:szCs w:val="13"/>
          <w:color w:val="auto"/>
        </w:rPr>
        <w:t>When Company May Merge, Etc.</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5.2.</w:t>
      </w:r>
      <w:r>
        <w:rPr>
          <w:sz w:val="20"/>
          <w:szCs w:val="20"/>
          <w:color w:val="auto"/>
        </w:rPr>
        <w:tab/>
      </w:r>
      <w:r>
        <w:rPr>
          <w:rFonts w:ascii="Times New Roman" w:cs="Times New Roman" w:eastAsia="Times New Roman" w:hAnsi="Times New Roman"/>
          <w:sz w:val="13"/>
          <w:szCs w:val="13"/>
          <w:color w:val="auto"/>
        </w:rPr>
        <w:t>Successor Corporation Substituted.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 VI. DEFAULTS AND REMEDIES</w:t>
      </w:r>
    </w:p>
    <w:p>
      <w:pPr>
        <w:spacing w:after="0" w:line="2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6.1.</w:t>
      </w:r>
      <w:r>
        <w:rPr>
          <w:sz w:val="20"/>
          <w:szCs w:val="20"/>
          <w:color w:val="auto"/>
        </w:rPr>
        <w:tab/>
      </w:r>
      <w:r>
        <w:rPr>
          <w:rFonts w:ascii="Times New Roman" w:cs="Times New Roman" w:eastAsia="Times New Roman" w:hAnsi="Times New Roman"/>
          <w:sz w:val="13"/>
          <w:szCs w:val="13"/>
          <w:color w:val="auto"/>
        </w:rPr>
        <w:t>Events of Default.</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6.2.</w:t>
      </w:r>
      <w:r>
        <w:rPr>
          <w:sz w:val="20"/>
          <w:szCs w:val="20"/>
          <w:color w:val="auto"/>
        </w:rPr>
        <w:tab/>
      </w:r>
      <w:r>
        <w:rPr>
          <w:rFonts w:ascii="Times New Roman" w:cs="Times New Roman" w:eastAsia="Times New Roman" w:hAnsi="Times New Roman"/>
          <w:sz w:val="13"/>
          <w:szCs w:val="13"/>
          <w:color w:val="auto"/>
        </w:rPr>
        <w:t>Acceleration of Maturity; Rescission and Annulment.</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6.3.</w:t>
      </w:r>
      <w:r>
        <w:rPr>
          <w:sz w:val="20"/>
          <w:szCs w:val="20"/>
          <w:color w:val="auto"/>
        </w:rPr>
        <w:tab/>
      </w:r>
      <w:r>
        <w:rPr>
          <w:rFonts w:ascii="Times New Roman" w:cs="Times New Roman" w:eastAsia="Times New Roman" w:hAnsi="Times New Roman"/>
          <w:sz w:val="13"/>
          <w:szCs w:val="13"/>
          <w:color w:val="auto"/>
        </w:rPr>
        <w:t>Collection of Indebtedness and Suits for Enforcement by Trustee.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6.4.</w:t>
      </w:r>
      <w:r>
        <w:rPr>
          <w:sz w:val="20"/>
          <w:szCs w:val="20"/>
          <w:color w:val="auto"/>
        </w:rPr>
        <w:tab/>
      </w:r>
      <w:r>
        <w:rPr>
          <w:rFonts w:ascii="Times New Roman" w:cs="Times New Roman" w:eastAsia="Times New Roman" w:hAnsi="Times New Roman"/>
          <w:sz w:val="13"/>
          <w:szCs w:val="13"/>
          <w:color w:val="auto"/>
        </w:rPr>
        <w:t>Trustee May File Proofs of Claim.</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6.5.</w:t>
      </w:r>
      <w:r>
        <w:rPr>
          <w:sz w:val="20"/>
          <w:szCs w:val="20"/>
          <w:color w:val="auto"/>
        </w:rPr>
        <w:tab/>
      </w:r>
      <w:r>
        <w:rPr>
          <w:rFonts w:ascii="Times New Roman" w:cs="Times New Roman" w:eastAsia="Times New Roman" w:hAnsi="Times New Roman"/>
          <w:sz w:val="13"/>
          <w:szCs w:val="13"/>
          <w:color w:val="auto"/>
        </w:rPr>
        <w:t>Trustee May Enforce Claims Without Possession of Securities.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6.6.</w:t>
      </w:r>
      <w:r>
        <w:rPr>
          <w:sz w:val="20"/>
          <w:szCs w:val="20"/>
          <w:color w:val="auto"/>
        </w:rPr>
        <w:tab/>
      </w:r>
      <w:r>
        <w:rPr>
          <w:rFonts w:ascii="Times New Roman" w:cs="Times New Roman" w:eastAsia="Times New Roman" w:hAnsi="Times New Roman"/>
          <w:sz w:val="13"/>
          <w:szCs w:val="13"/>
          <w:color w:val="auto"/>
        </w:rPr>
        <w:t>Application of Money Collected.</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6.7.</w:t>
      </w:r>
      <w:r>
        <w:rPr>
          <w:sz w:val="20"/>
          <w:szCs w:val="20"/>
          <w:color w:val="auto"/>
        </w:rPr>
        <w:tab/>
      </w:r>
      <w:r>
        <w:rPr>
          <w:rFonts w:ascii="Times New Roman" w:cs="Times New Roman" w:eastAsia="Times New Roman" w:hAnsi="Times New Roman"/>
          <w:sz w:val="13"/>
          <w:szCs w:val="13"/>
          <w:color w:val="auto"/>
        </w:rPr>
        <w:t>Limitation on Suits.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6.8.</w:t>
      </w:r>
      <w:r>
        <w:rPr>
          <w:sz w:val="20"/>
          <w:szCs w:val="20"/>
          <w:color w:val="auto"/>
        </w:rPr>
        <w:tab/>
      </w:r>
      <w:r>
        <w:rPr>
          <w:rFonts w:ascii="Times New Roman" w:cs="Times New Roman" w:eastAsia="Times New Roman" w:hAnsi="Times New Roman"/>
          <w:sz w:val="13"/>
          <w:szCs w:val="13"/>
          <w:color w:val="auto"/>
        </w:rPr>
        <w:t>Unconditional Right of Holders to Receive Principal and Interest.</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6.9.</w:t>
      </w:r>
      <w:r>
        <w:rPr>
          <w:sz w:val="20"/>
          <w:szCs w:val="20"/>
          <w:color w:val="auto"/>
        </w:rPr>
        <w:tab/>
      </w:r>
      <w:r>
        <w:rPr>
          <w:rFonts w:ascii="Times New Roman" w:cs="Times New Roman" w:eastAsia="Times New Roman" w:hAnsi="Times New Roman"/>
          <w:sz w:val="13"/>
          <w:szCs w:val="13"/>
          <w:color w:val="auto"/>
        </w:rPr>
        <w:t>Restoration of Rights and Remedies.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6.10.</w:t>
      </w:r>
      <w:r>
        <w:rPr>
          <w:sz w:val="20"/>
          <w:szCs w:val="20"/>
          <w:color w:val="auto"/>
        </w:rPr>
        <w:tab/>
      </w:r>
      <w:r>
        <w:rPr>
          <w:rFonts w:ascii="Times New Roman" w:cs="Times New Roman" w:eastAsia="Times New Roman" w:hAnsi="Times New Roman"/>
          <w:sz w:val="13"/>
          <w:szCs w:val="13"/>
          <w:color w:val="auto"/>
        </w:rPr>
        <w:t>Rights and Remedies Cumulative.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6.11.</w:t>
      </w:r>
      <w:r>
        <w:rPr>
          <w:sz w:val="20"/>
          <w:szCs w:val="20"/>
          <w:color w:val="auto"/>
        </w:rPr>
        <w:tab/>
      </w:r>
      <w:r>
        <w:rPr>
          <w:rFonts w:ascii="Times New Roman" w:cs="Times New Roman" w:eastAsia="Times New Roman" w:hAnsi="Times New Roman"/>
          <w:sz w:val="13"/>
          <w:szCs w:val="13"/>
          <w:color w:val="auto"/>
        </w:rPr>
        <w:t>Delay or Omission Not Waiver.</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6.12.</w:t>
      </w:r>
      <w:r>
        <w:rPr>
          <w:sz w:val="20"/>
          <w:szCs w:val="20"/>
          <w:color w:val="auto"/>
        </w:rPr>
        <w:tab/>
      </w:r>
      <w:r>
        <w:rPr>
          <w:rFonts w:ascii="Times New Roman" w:cs="Times New Roman" w:eastAsia="Times New Roman" w:hAnsi="Times New Roman"/>
          <w:sz w:val="13"/>
          <w:szCs w:val="13"/>
          <w:color w:val="auto"/>
        </w:rPr>
        <w:t>Control by Holders.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6.13.</w:t>
      </w:r>
      <w:r>
        <w:rPr>
          <w:sz w:val="20"/>
          <w:szCs w:val="20"/>
          <w:color w:val="auto"/>
        </w:rPr>
        <w:tab/>
      </w:r>
      <w:r>
        <w:rPr>
          <w:rFonts w:ascii="Times New Roman" w:cs="Times New Roman" w:eastAsia="Times New Roman" w:hAnsi="Times New Roman"/>
          <w:sz w:val="13"/>
          <w:szCs w:val="13"/>
          <w:color w:val="auto"/>
        </w:rPr>
        <w:t>Waiver of Past Defaults.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6.14.</w:t>
      </w:r>
      <w:r>
        <w:rPr>
          <w:sz w:val="20"/>
          <w:szCs w:val="20"/>
          <w:color w:val="auto"/>
        </w:rPr>
        <w:tab/>
      </w:r>
      <w:r>
        <w:rPr>
          <w:rFonts w:ascii="Times New Roman" w:cs="Times New Roman" w:eastAsia="Times New Roman" w:hAnsi="Times New Roman"/>
          <w:sz w:val="13"/>
          <w:szCs w:val="13"/>
          <w:color w:val="auto"/>
        </w:rPr>
        <w:t>Undertaking for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 VII. TRUSTEE</w:t>
      </w:r>
    </w:p>
    <w:p>
      <w:pPr>
        <w:spacing w:after="0" w:line="2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7.1.</w:t>
      </w:r>
      <w:r>
        <w:rPr>
          <w:sz w:val="20"/>
          <w:szCs w:val="20"/>
          <w:color w:val="auto"/>
        </w:rPr>
        <w:tab/>
      </w:r>
      <w:r>
        <w:rPr>
          <w:rFonts w:ascii="Times New Roman" w:cs="Times New Roman" w:eastAsia="Times New Roman" w:hAnsi="Times New Roman"/>
          <w:sz w:val="13"/>
          <w:szCs w:val="13"/>
          <w:color w:val="auto"/>
        </w:rPr>
        <w:t>Duties of Trustee.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7.2.</w:t>
      </w:r>
      <w:r>
        <w:rPr>
          <w:sz w:val="20"/>
          <w:szCs w:val="20"/>
          <w:color w:val="auto"/>
        </w:rPr>
        <w:tab/>
      </w:r>
      <w:r>
        <w:rPr>
          <w:rFonts w:ascii="Times New Roman" w:cs="Times New Roman" w:eastAsia="Times New Roman" w:hAnsi="Times New Roman"/>
          <w:sz w:val="13"/>
          <w:szCs w:val="13"/>
          <w:color w:val="auto"/>
        </w:rPr>
        <w:t>Rights of Trustee.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7.3.</w:t>
      </w:r>
      <w:r>
        <w:rPr>
          <w:sz w:val="20"/>
          <w:szCs w:val="20"/>
          <w:color w:val="auto"/>
        </w:rPr>
        <w:tab/>
      </w:r>
      <w:r>
        <w:rPr>
          <w:rFonts w:ascii="Times New Roman" w:cs="Times New Roman" w:eastAsia="Times New Roman" w:hAnsi="Times New Roman"/>
          <w:sz w:val="13"/>
          <w:szCs w:val="13"/>
          <w:color w:val="auto"/>
        </w:rPr>
        <w:t>Individual Rights of Trustee.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7.4.</w:t>
      </w:r>
      <w:r>
        <w:rPr>
          <w:sz w:val="20"/>
          <w:szCs w:val="20"/>
          <w:color w:val="auto"/>
        </w:rPr>
        <w:tab/>
      </w:r>
      <w:r>
        <w:rPr>
          <w:rFonts w:ascii="Times New Roman" w:cs="Times New Roman" w:eastAsia="Times New Roman" w:hAnsi="Times New Roman"/>
          <w:sz w:val="13"/>
          <w:szCs w:val="13"/>
          <w:color w:val="auto"/>
        </w:rPr>
        <w:t>Trustee’s Disclaimer.</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7.5.</w:t>
      </w:r>
      <w:r>
        <w:rPr>
          <w:sz w:val="20"/>
          <w:szCs w:val="20"/>
          <w:color w:val="auto"/>
        </w:rPr>
        <w:tab/>
      </w:r>
      <w:r>
        <w:rPr>
          <w:rFonts w:ascii="Times New Roman" w:cs="Times New Roman" w:eastAsia="Times New Roman" w:hAnsi="Times New Roman"/>
          <w:sz w:val="13"/>
          <w:szCs w:val="13"/>
          <w:color w:val="auto"/>
        </w:rPr>
        <w:t>Notice of Defaults.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7.6.</w:t>
      </w:r>
      <w:r>
        <w:rPr>
          <w:sz w:val="20"/>
          <w:szCs w:val="20"/>
          <w:color w:val="auto"/>
        </w:rPr>
        <w:tab/>
      </w:r>
      <w:r>
        <w:rPr>
          <w:rFonts w:ascii="Times New Roman" w:cs="Times New Roman" w:eastAsia="Times New Roman" w:hAnsi="Times New Roman"/>
          <w:sz w:val="13"/>
          <w:szCs w:val="13"/>
          <w:color w:val="auto"/>
        </w:rPr>
        <w:t>Reports by Trustee to Holders.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7.7.</w:t>
      </w:r>
      <w:r>
        <w:rPr>
          <w:sz w:val="20"/>
          <w:szCs w:val="20"/>
          <w:color w:val="auto"/>
        </w:rPr>
        <w:tab/>
      </w:r>
      <w:r>
        <w:rPr>
          <w:rFonts w:ascii="Times New Roman" w:cs="Times New Roman" w:eastAsia="Times New Roman" w:hAnsi="Times New Roman"/>
          <w:sz w:val="13"/>
          <w:szCs w:val="13"/>
          <w:color w:val="auto"/>
        </w:rPr>
        <w:t>Compensation and Indemnity.</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7.8.</w:t>
      </w:r>
      <w:r>
        <w:rPr>
          <w:sz w:val="20"/>
          <w:szCs w:val="20"/>
          <w:color w:val="auto"/>
        </w:rPr>
        <w:tab/>
      </w:r>
      <w:r>
        <w:rPr>
          <w:rFonts w:ascii="Times New Roman" w:cs="Times New Roman" w:eastAsia="Times New Roman" w:hAnsi="Times New Roman"/>
          <w:sz w:val="13"/>
          <w:szCs w:val="13"/>
          <w:color w:val="auto"/>
        </w:rPr>
        <w:t>Replacement of Trustee.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7.9.</w:t>
      </w:r>
      <w:r>
        <w:rPr>
          <w:sz w:val="20"/>
          <w:szCs w:val="20"/>
          <w:color w:val="auto"/>
        </w:rPr>
        <w:tab/>
      </w:r>
      <w:r>
        <w:rPr>
          <w:rFonts w:ascii="Times New Roman" w:cs="Times New Roman" w:eastAsia="Times New Roman" w:hAnsi="Times New Roman"/>
          <w:sz w:val="13"/>
          <w:szCs w:val="13"/>
          <w:color w:val="auto"/>
        </w:rPr>
        <w:t>Successor Trustee by Merger, Etc.</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7.10.</w:t>
      </w:r>
      <w:r>
        <w:rPr>
          <w:sz w:val="20"/>
          <w:szCs w:val="20"/>
          <w:color w:val="auto"/>
        </w:rPr>
        <w:tab/>
      </w:r>
      <w:r>
        <w:rPr>
          <w:rFonts w:ascii="Times New Roman" w:cs="Times New Roman" w:eastAsia="Times New Roman" w:hAnsi="Times New Roman"/>
          <w:sz w:val="13"/>
          <w:szCs w:val="13"/>
          <w:color w:val="auto"/>
        </w:rPr>
        <w:t>Eligibility; Disqualification.</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7.11.</w:t>
      </w:r>
      <w:r>
        <w:rPr>
          <w:sz w:val="20"/>
          <w:szCs w:val="20"/>
          <w:color w:val="auto"/>
        </w:rPr>
        <w:tab/>
      </w:r>
      <w:r>
        <w:rPr>
          <w:rFonts w:ascii="Times New Roman" w:cs="Times New Roman" w:eastAsia="Times New Roman" w:hAnsi="Times New Roman"/>
          <w:sz w:val="13"/>
          <w:szCs w:val="13"/>
          <w:color w:val="auto"/>
        </w:rPr>
        <w:t>Preferential Collection of Claims Against Company.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 VIII. SATISFACTION AND DISCHARGE; DEFEASANCE</w:t>
      </w:r>
    </w:p>
    <w:p>
      <w:pPr>
        <w:spacing w:after="0" w:line="2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8.1.</w:t>
      </w:r>
      <w:r>
        <w:rPr>
          <w:sz w:val="20"/>
          <w:szCs w:val="20"/>
          <w:color w:val="auto"/>
        </w:rPr>
        <w:tab/>
      </w:r>
      <w:r>
        <w:rPr>
          <w:rFonts w:ascii="Times New Roman" w:cs="Times New Roman" w:eastAsia="Times New Roman" w:hAnsi="Times New Roman"/>
          <w:sz w:val="13"/>
          <w:szCs w:val="13"/>
          <w:color w:val="auto"/>
        </w:rPr>
        <w:t>Satisfaction and Discharge of Indenture.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8.2.</w:t>
      </w:r>
      <w:r>
        <w:rPr>
          <w:sz w:val="20"/>
          <w:szCs w:val="20"/>
          <w:color w:val="auto"/>
        </w:rPr>
        <w:tab/>
      </w:r>
      <w:r>
        <w:rPr>
          <w:rFonts w:ascii="Times New Roman" w:cs="Times New Roman" w:eastAsia="Times New Roman" w:hAnsi="Times New Roman"/>
          <w:sz w:val="13"/>
          <w:szCs w:val="13"/>
          <w:color w:val="auto"/>
        </w:rPr>
        <w:t>Application of Trust Funds; Indemnification.</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8.3.</w:t>
      </w:r>
      <w:r>
        <w:rPr>
          <w:sz w:val="20"/>
          <w:szCs w:val="20"/>
          <w:color w:val="auto"/>
        </w:rPr>
        <w:tab/>
      </w:r>
      <w:r>
        <w:rPr>
          <w:rFonts w:ascii="Times New Roman" w:cs="Times New Roman" w:eastAsia="Times New Roman" w:hAnsi="Times New Roman"/>
          <w:sz w:val="13"/>
          <w:szCs w:val="13"/>
          <w:color w:val="auto"/>
        </w:rPr>
        <w:t>Legal Defeasance of Securities of any Series.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8.4.</w:t>
      </w:r>
      <w:r>
        <w:rPr>
          <w:sz w:val="20"/>
          <w:szCs w:val="20"/>
          <w:color w:val="auto"/>
        </w:rPr>
        <w:tab/>
      </w:r>
      <w:r>
        <w:rPr>
          <w:rFonts w:ascii="Times New Roman" w:cs="Times New Roman" w:eastAsia="Times New Roman" w:hAnsi="Times New Roman"/>
          <w:sz w:val="13"/>
          <w:szCs w:val="13"/>
          <w:color w:val="auto"/>
        </w:rPr>
        <w:t>Covenant Defeasance.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8.5.</w:t>
      </w:r>
      <w:r>
        <w:rPr>
          <w:sz w:val="20"/>
          <w:szCs w:val="20"/>
          <w:color w:val="auto"/>
        </w:rPr>
        <w:tab/>
      </w:r>
      <w:r>
        <w:rPr>
          <w:rFonts w:ascii="Times New Roman" w:cs="Times New Roman" w:eastAsia="Times New Roman" w:hAnsi="Times New Roman"/>
          <w:sz w:val="13"/>
          <w:szCs w:val="13"/>
          <w:color w:val="auto"/>
        </w:rPr>
        <w:t>Repayment to Company.</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8.6.</w:t>
      </w:r>
      <w:r>
        <w:rPr>
          <w:sz w:val="20"/>
          <w:szCs w:val="20"/>
          <w:color w:val="auto"/>
        </w:rPr>
        <w:tab/>
      </w:r>
      <w:r>
        <w:rPr>
          <w:rFonts w:ascii="Times New Roman" w:cs="Times New Roman" w:eastAsia="Times New Roman" w:hAnsi="Times New Roman"/>
          <w:sz w:val="13"/>
          <w:szCs w:val="13"/>
          <w:color w:val="auto"/>
        </w:rPr>
        <w:t>Reinstatement.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 IX. AMENDMENTS AND WAIVERS</w:t>
      </w:r>
    </w:p>
    <w:p>
      <w:pPr>
        <w:spacing w:after="0" w:line="2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9.1.</w:t>
      </w:r>
      <w:r>
        <w:rPr>
          <w:sz w:val="20"/>
          <w:szCs w:val="20"/>
          <w:color w:val="auto"/>
        </w:rPr>
        <w:tab/>
      </w:r>
      <w:r>
        <w:rPr>
          <w:rFonts w:ascii="Times New Roman" w:cs="Times New Roman" w:eastAsia="Times New Roman" w:hAnsi="Times New Roman"/>
          <w:sz w:val="13"/>
          <w:szCs w:val="13"/>
          <w:color w:val="auto"/>
        </w:rPr>
        <w:t>Without Consent of Holders.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9.2.</w:t>
      </w:r>
      <w:r>
        <w:rPr>
          <w:sz w:val="20"/>
          <w:szCs w:val="20"/>
          <w:color w:val="auto"/>
        </w:rPr>
        <w:tab/>
      </w:r>
      <w:r>
        <w:rPr>
          <w:rFonts w:ascii="Times New Roman" w:cs="Times New Roman" w:eastAsia="Times New Roman" w:hAnsi="Times New Roman"/>
          <w:sz w:val="13"/>
          <w:szCs w:val="13"/>
          <w:color w:val="auto"/>
        </w:rPr>
        <w:t>With Consent of Holders.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9.3.</w:t>
      </w:r>
      <w:r>
        <w:rPr>
          <w:sz w:val="20"/>
          <w:szCs w:val="20"/>
          <w:color w:val="auto"/>
        </w:rPr>
        <w:tab/>
      </w:r>
      <w:r>
        <w:rPr>
          <w:rFonts w:ascii="Times New Roman" w:cs="Times New Roman" w:eastAsia="Times New Roman" w:hAnsi="Times New Roman"/>
          <w:sz w:val="13"/>
          <w:szCs w:val="13"/>
          <w:color w:val="auto"/>
        </w:rPr>
        <w:t>Limitations.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9.4.</w:t>
      </w:r>
      <w:r>
        <w:rPr>
          <w:sz w:val="20"/>
          <w:szCs w:val="20"/>
          <w:color w:val="auto"/>
        </w:rPr>
        <w:tab/>
      </w:r>
      <w:r>
        <w:rPr>
          <w:rFonts w:ascii="Times New Roman" w:cs="Times New Roman" w:eastAsia="Times New Roman" w:hAnsi="Times New Roman"/>
          <w:sz w:val="13"/>
          <w:szCs w:val="13"/>
          <w:color w:val="auto"/>
        </w:rPr>
        <w:t>Compliance with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300"/>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15</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27</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2">
            <w:col w:w="9960" w:space="720"/>
            <w:col w:w="580"/>
          </w:cols>
          <w:pgMar w:left="320" w:top="1153" w:right="319" w:bottom="1440" w:gutter="0" w:footer="0" w:header="0"/>
        </w:sectPr>
      </w:pPr>
    </w:p>
    <w:bookmarkStart w:id="49" w:name="page50"/>
    <w:bookmarkEnd w:id="49"/>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9.5.</w:t>
      </w:r>
      <w:r>
        <w:rPr>
          <w:sz w:val="20"/>
          <w:szCs w:val="20"/>
          <w:color w:val="auto"/>
        </w:rPr>
        <w:tab/>
      </w:r>
      <w:r>
        <w:rPr>
          <w:rFonts w:ascii="Times New Roman" w:cs="Times New Roman" w:eastAsia="Times New Roman" w:hAnsi="Times New Roman"/>
          <w:sz w:val="13"/>
          <w:szCs w:val="13"/>
          <w:color w:val="auto"/>
        </w:rPr>
        <w:t>Revocation and Effect of Consents.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9.6.</w:t>
      </w:r>
      <w:r>
        <w:rPr>
          <w:sz w:val="20"/>
          <w:szCs w:val="20"/>
          <w:color w:val="auto"/>
        </w:rPr>
        <w:tab/>
      </w:r>
      <w:r>
        <w:rPr>
          <w:rFonts w:ascii="Times New Roman" w:cs="Times New Roman" w:eastAsia="Times New Roman" w:hAnsi="Times New Roman"/>
          <w:sz w:val="13"/>
          <w:szCs w:val="13"/>
          <w:color w:val="auto"/>
        </w:rPr>
        <w:t>Notation on or Exchange of Securities.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9.7.</w:t>
      </w:r>
      <w:r>
        <w:rPr>
          <w:sz w:val="20"/>
          <w:szCs w:val="20"/>
          <w:color w:val="auto"/>
        </w:rPr>
        <w:tab/>
      </w:r>
      <w:r>
        <w:rPr>
          <w:rFonts w:ascii="Times New Roman" w:cs="Times New Roman" w:eastAsia="Times New Roman" w:hAnsi="Times New Roman"/>
          <w:sz w:val="13"/>
          <w:szCs w:val="13"/>
          <w:color w:val="auto"/>
        </w:rPr>
        <w:t>Trustee Protected.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 X. MISCELLANEOUS</w:t>
      </w:r>
    </w:p>
    <w:p>
      <w:pPr>
        <w:spacing w:after="0" w:line="2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10.1.</w:t>
      </w:r>
      <w:r>
        <w:rPr>
          <w:sz w:val="20"/>
          <w:szCs w:val="20"/>
          <w:color w:val="auto"/>
        </w:rPr>
        <w:tab/>
      </w:r>
      <w:r>
        <w:rPr>
          <w:rFonts w:ascii="Times New Roman" w:cs="Times New Roman" w:eastAsia="Times New Roman" w:hAnsi="Times New Roman"/>
          <w:sz w:val="13"/>
          <w:szCs w:val="13"/>
          <w:color w:val="auto"/>
        </w:rPr>
        <w:t>Trust Indenture Act Controls.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10.2.</w:t>
      </w:r>
      <w:r>
        <w:rPr>
          <w:sz w:val="20"/>
          <w:szCs w:val="20"/>
          <w:color w:val="auto"/>
        </w:rPr>
        <w:tab/>
      </w:r>
      <w:r>
        <w:rPr>
          <w:rFonts w:ascii="Times New Roman" w:cs="Times New Roman" w:eastAsia="Times New Roman" w:hAnsi="Times New Roman"/>
          <w:sz w:val="13"/>
          <w:szCs w:val="13"/>
          <w:color w:val="auto"/>
        </w:rPr>
        <w:t>Notices.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10.3.</w:t>
      </w:r>
      <w:r>
        <w:rPr>
          <w:sz w:val="20"/>
          <w:szCs w:val="20"/>
          <w:color w:val="auto"/>
        </w:rPr>
        <w:tab/>
      </w:r>
      <w:r>
        <w:rPr>
          <w:rFonts w:ascii="Times New Roman" w:cs="Times New Roman" w:eastAsia="Times New Roman" w:hAnsi="Times New Roman"/>
          <w:sz w:val="13"/>
          <w:szCs w:val="13"/>
          <w:color w:val="auto"/>
        </w:rPr>
        <w:t>Communication by Holders with Other Holders.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10.4.</w:t>
      </w:r>
      <w:r>
        <w:rPr>
          <w:sz w:val="20"/>
          <w:szCs w:val="20"/>
          <w:color w:val="auto"/>
        </w:rPr>
        <w:tab/>
      </w:r>
      <w:r>
        <w:rPr>
          <w:rFonts w:ascii="Times New Roman" w:cs="Times New Roman" w:eastAsia="Times New Roman" w:hAnsi="Times New Roman"/>
          <w:sz w:val="13"/>
          <w:szCs w:val="13"/>
          <w:color w:val="auto"/>
        </w:rPr>
        <w:t>Certificate and Opinion as to Conditions Precedent.</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10.5.</w:t>
      </w:r>
      <w:r>
        <w:rPr>
          <w:sz w:val="20"/>
          <w:szCs w:val="20"/>
          <w:color w:val="auto"/>
        </w:rPr>
        <w:tab/>
      </w:r>
      <w:r>
        <w:rPr>
          <w:rFonts w:ascii="Times New Roman" w:cs="Times New Roman" w:eastAsia="Times New Roman" w:hAnsi="Times New Roman"/>
          <w:sz w:val="13"/>
          <w:szCs w:val="13"/>
          <w:color w:val="auto"/>
        </w:rPr>
        <w:t>Statements Required in Certificate or Opinion.</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10.6.</w:t>
      </w:r>
      <w:r>
        <w:rPr>
          <w:sz w:val="20"/>
          <w:szCs w:val="20"/>
          <w:color w:val="auto"/>
        </w:rPr>
        <w:tab/>
      </w:r>
      <w:r>
        <w:rPr>
          <w:rFonts w:ascii="Times New Roman" w:cs="Times New Roman" w:eastAsia="Times New Roman" w:hAnsi="Times New Roman"/>
          <w:sz w:val="13"/>
          <w:szCs w:val="13"/>
          <w:color w:val="auto"/>
        </w:rPr>
        <w:t>Rules by Trustee and Agents.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10.7.</w:t>
      </w:r>
      <w:r>
        <w:rPr>
          <w:sz w:val="20"/>
          <w:szCs w:val="20"/>
          <w:color w:val="auto"/>
        </w:rPr>
        <w:tab/>
      </w:r>
      <w:r>
        <w:rPr>
          <w:rFonts w:ascii="Times New Roman" w:cs="Times New Roman" w:eastAsia="Times New Roman" w:hAnsi="Times New Roman"/>
          <w:sz w:val="13"/>
          <w:szCs w:val="13"/>
          <w:color w:val="auto"/>
        </w:rPr>
        <w:t>Legal Holidays.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10.8.</w:t>
      </w:r>
      <w:r>
        <w:rPr>
          <w:sz w:val="20"/>
          <w:szCs w:val="20"/>
          <w:color w:val="auto"/>
        </w:rPr>
        <w:tab/>
      </w:r>
      <w:r>
        <w:rPr>
          <w:rFonts w:ascii="Times New Roman" w:cs="Times New Roman" w:eastAsia="Times New Roman" w:hAnsi="Times New Roman"/>
          <w:sz w:val="13"/>
          <w:szCs w:val="13"/>
          <w:color w:val="auto"/>
        </w:rPr>
        <w:t>No Recourse Against Others.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10.9.</w:t>
      </w:r>
      <w:r>
        <w:rPr>
          <w:sz w:val="20"/>
          <w:szCs w:val="20"/>
          <w:color w:val="auto"/>
        </w:rPr>
        <w:tab/>
      </w:r>
      <w:r>
        <w:rPr>
          <w:rFonts w:ascii="Times New Roman" w:cs="Times New Roman" w:eastAsia="Times New Roman" w:hAnsi="Times New Roman"/>
          <w:sz w:val="13"/>
          <w:szCs w:val="13"/>
          <w:color w:val="auto"/>
        </w:rPr>
        <w:t>Counterparts.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10.10.</w:t>
      </w:r>
      <w:r>
        <w:rPr>
          <w:sz w:val="20"/>
          <w:szCs w:val="20"/>
          <w:color w:val="auto"/>
        </w:rPr>
        <w:tab/>
      </w:r>
      <w:r>
        <w:rPr>
          <w:rFonts w:ascii="Times New Roman" w:cs="Times New Roman" w:eastAsia="Times New Roman" w:hAnsi="Times New Roman"/>
          <w:sz w:val="13"/>
          <w:szCs w:val="13"/>
          <w:color w:val="auto"/>
        </w:rPr>
        <w:t>Governing Law; Waiver of Jury Trial; Consent to Jurisdiction.</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10.11.</w:t>
      </w:r>
      <w:r>
        <w:rPr>
          <w:sz w:val="20"/>
          <w:szCs w:val="20"/>
          <w:color w:val="auto"/>
        </w:rPr>
        <w:tab/>
      </w:r>
      <w:r>
        <w:rPr>
          <w:rFonts w:ascii="Times New Roman" w:cs="Times New Roman" w:eastAsia="Times New Roman" w:hAnsi="Times New Roman"/>
          <w:sz w:val="13"/>
          <w:szCs w:val="13"/>
          <w:color w:val="auto"/>
        </w:rPr>
        <w:t>No Adverse Interpretation of Other Agreements.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10.12.</w:t>
      </w:r>
      <w:r>
        <w:rPr>
          <w:sz w:val="20"/>
          <w:szCs w:val="20"/>
          <w:color w:val="auto"/>
        </w:rPr>
        <w:tab/>
      </w:r>
      <w:r>
        <w:rPr>
          <w:rFonts w:ascii="Times New Roman" w:cs="Times New Roman" w:eastAsia="Times New Roman" w:hAnsi="Times New Roman"/>
          <w:sz w:val="13"/>
          <w:szCs w:val="13"/>
          <w:color w:val="auto"/>
        </w:rPr>
        <w:t>Successors.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10.13.</w:t>
      </w:r>
      <w:r>
        <w:rPr>
          <w:sz w:val="20"/>
          <w:szCs w:val="20"/>
          <w:color w:val="auto"/>
        </w:rPr>
        <w:tab/>
      </w:r>
      <w:r>
        <w:rPr>
          <w:rFonts w:ascii="Times New Roman" w:cs="Times New Roman" w:eastAsia="Times New Roman" w:hAnsi="Times New Roman"/>
          <w:sz w:val="13"/>
          <w:szCs w:val="13"/>
          <w:color w:val="auto"/>
        </w:rPr>
        <w:t>Severability.</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10.14.</w:t>
      </w:r>
      <w:r>
        <w:rPr>
          <w:sz w:val="20"/>
          <w:szCs w:val="20"/>
          <w:color w:val="auto"/>
        </w:rPr>
        <w:tab/>
      </w:r>
      <w:r>
        <w:rPr>
          <w:rFonts w:ascii="Times New Roman" w:cs="Times New Roman" w:eastAsia="Times New Roman" w:hAnsi="Times New Roman"/>
          <w:sz w:val="13"/>
          <w:szCs w:val="13"/>
          <w:color w:val="auto"/>
        </w:rPr>
        <w:t>Table of Contents, Headings, Etc.</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10.15.</w:t>
      </w:r>
      <w:r>
        <w:rPr>
          <w:sz w:val="20"/>
          <w:szCs w:val="20"/>
          <w:color w:val="auto"/>
        </w:rPr>
        <w:tab/>
      </w:r>
      <w:r>
        <w:rPr>
          <w:rFonts w:ascii="Times New Roman" w:cs="Times New Roman" w:eastAsia="Times New Roman" w:hAnsi="Times New Roman"/>
          <w:sz w:val="13"/>
          <w:szCs w:val="13"/>
          <w:color w:val="auto"/>
        </w:rPr>
        <w:t>Securities in a Foreign Currency.</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10.16.</w:t>
      </w:r>
      <w:r>
        <w:rPr>
          <w:sz w:val="20"/>
          <w:szCs w:val="20"/>
          <w:color w:val="auto"/>
        </w:rPr>
        <w:tab/>
      </w:r>
      <w:r>
        <w:rPr>
          <w:rFonts w:ascii="Times New Roman" w:cs="Times New Roman" w:eastAsia="Times New Roman" w:hAnsi="Times New Roman"/>
          <w:sz w:val="13"/>
          <w:szCs w:val="13"/>
          <w:color w:val="auto"/>
        </w:rPr>
        <w:t>Judgment Currency.</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10.17.</w:t>
      </w:r>
      <w:r>
        <w:rPr>
          <w:sz w:val="20"/>
          <w:szCs w:val="20"/>
          <w:color w:val="auto"/>
        </w:rPr>
        <w:tab/>
      </w:r>
      <w:r>
        <w:rPr>
          <w:rFonts w:ascii="Times New Roman" w:cs="Times New Roman" w:eastAsia="Times New Roman" w:hAnsi="Times New Roman"/>
          <w:sz w:val="13"/>
          <w:szCs w:val="13"/>
          <w:color w:val="auto"/>
        </w:rPr>
        <w:t>Force Majeure.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10.18.</w:t>
      </w:r>
      <w:r>
        <w:rPr>
          <w:sz w:val="20"/>
          <w:szCs w:val="20"/>
          <w:color w:val="auto"/>
        </w:rPr>
        <w:tab/>
      </w:r>
      <w:r>
        <w:rPr>
          <w:rFonts w:ascii="Times New Roman" w:cs="Times New Roman" w:eastAsia="Times New Roman" w:hAnsi="Times New Roman"/>
          <w:sz w:val="13"/>
          <w:szCs w:val="13"/>
          <w:color w:val="auto"/>
        </w:rPr>
        <w:t>U.S.A. Patriot 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ARTICLE XI. SINKING FUNDS</w:t>
      </w:r>
    </w:p>
    <w:p>
      <w:pPr>
        <w:spacing w:after="0" w:line="2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11.1.</w:t>
      </w:r>
      <w:r>
        <w:rPr>
          <w:sz w:val="20"/>
          <w:szCs w:val="20"/>
          <w:color w:val="auto"/>
        </w:rPr>
        <w:tab/>
      </w:r>
      <w:r>
        <w:rPr>
          <w:rFonts w:ascii="Times New Roman" w:cs="Times New Roman" w:eastAsia="Times New Roman" w:hAnsi="Times New Roman"/>
          <w:sz w:val="13"/>
          <w:szCs w:val="13"/>
          <w:color w:val="auto"/>
        </w:rPr>
        <w:t>Applicability of Article.</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11.2.</w:t>
      </w:r>
      <w:r>
        <w:rPr>
          <w:sz w:val="20"/>
          <w:szCs w:val="20"/>
          <w:color w:val="auto"/>
        </w:rPr>
        <w:tab/>
      </w:r>
      <w:r>
        <w:rPr>
          <w:rFonts w:ascii="Times New Roman" w:cs="Times New Roman" w:eastAsia="Times New Roman" w:hAnsi="Times New Roman"/>
          <w:sz w:val="13"/>
          <w:szCs w:val="13"/>
          <w:color w:val="auto"/>
        </w:rPr>
        <w:t>Satisfaction of Sinking Fund Payments with Securities.</w:t>
      </w:r>
    </w:p>
    <w:p>
      <w:pPr>
        <w:spacing w:after="0" w:line="44" w:lineRule="exact"/>
        <w:rPr>
          <w:sz w:val="20"/>
          <w:szCs w:val="20"/>
          <w:color w:val="auto"/>
        </w:rPr>
      </w:pPr>
    </w:p>
    <w:p>
      <w:pPr>
        <w:ind w:left="240"/>
        <w:spacing w:after="0"/>
        <w:tabs>
          <w:tab w:leader="none" w:pos="1980" w:val="left"/>
        </w:tabs>
        <w:rPr>
          <w:sz w:val="20"/>
          <w:szCs w:val="20"/>
          <w:color w:val="auto"/>
        </w:rPr>
      </w:pPr>
      <w:r>
        <w:rPr>
          <w:rFonts w:ascii="Times New Roman" w:cs="Times New Roman" w:eastAsia="Times New Roman" w:hAnsi="Times New Roman"/>
          <w:sz w:val="14"/>
          <w:szCs w:val="14"/>
          <w:color w:val="auto"/>
        </w:rPr>
        <w:t>Section 11.3.</w:t>
      </w:r>
      <w:r>
        <w:rPr>
          <w:sz w:val="20"/>
          <w:szCs w:val="20"/>
          <w:color w:val="auto"/>
        </w:rPr>
        <w:tab/>
      </w:r>
      <w:r>
        <w:rPr>
          <w:rFonts w:ascii="Times New Roman" w:cs="Times New Roman" w:eastAsia="Times New Roman" w:hAnsi="Times New Roman"/>
          <w:sz w:val="13"/>
          <w:szCs w:val="13"/>
          <w:color w:val="auto"/>
        </w:rPr>
        <w:t>Redemption of Securities for Sinking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280"/>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34</w:t>
      </w:r>
    </w:p>
    <w:p>
      <w:pPr>
        <w:spacing w:after="0" w:line="1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2">
            <w:col w:w="9960" w:space="720"/>
            <w:col w:w="580"/>
          </w:cols>
          <w:pgMar w:left="320" w:top="1153" w:right="319" w:bottom="1440" w:gutter="0" w:footer="0" w:header="0"/>
        </w:sectPr>
      </w:pPr>
    </w:p>
    <w:bookmarkStart w:id="50" w:name="page51"/>
    <w:bookmarkEnd w:id="50"/>
    <w:p>
      <w:pPr>
        <w:jc w:val="center"/>
        <w:ind w:left="2640"/>
        <w:spacing w:after="0"/>
        <w:rPr>
          <w:sz w:val="20"/>
          <w:szCs w:val="20"/>
          <w:color w:val="auto"/>
        </w:rPr>
      </w:pPr>
      <w:r>
        <w:rPr>
          <w:rFonts w:ascii="Times New Roman" w:cs="Times New Roman" w:eastAsia="Times New Roman" w:hAnsi="Times New Roman"/>
          <w:sz w:val="14"/>
          <w:szCs w:val="14"/>
          <w:b w:val="1"/>
          <w:bCs w:val="1"/>
          <w:color w:val="auto"/>
        </w:rPr>
        <w:t>Blaize Holdings, Inc.</w:t>
      </w:r>
    </w:p>
    <w:p>
      <w:pPr>
        <w:spacing w:after="0" w:line="171"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4"/>
          <w:szCs w:val="14"/>
          <w:color w:val="auto"/>
        </w:rPr>
        <w:t>Reconciliation and tie between Trust Indenture Act of 1939 and</w:t>
      </w:r>
    </w:p>
    <w:p>
      <w:pPr>
        <w:spacing w:after="0" w:line="167" w:lineRule="exact"/>
        <w:rPr>
          <w:sz w:val="20"/>
          <w:szCs w:val="20"/>
          <w:color w:val="auto"/>
        </w:rPr>
      </w:pPr>
    </w:p>
    <w:tbl>
      <w:tblPr>
        <w:tblLayout w:type="fixed"/>
        <w:tblInd w:w="4660" w:type="dxa"/>
        <w:tblCellMar>
          <w:top w:w="0" w:type="dxa"/>
          <w:left w:w="0" w:type="dxa"/>
          <w:bottom w:w="0" w:type="dxa"/>
          <w:right w:w="0" w:type="dxa"/>
        </w:tblCellMar>
      </w:tblPr>
      <w:tr>
        <w:trPr>
          <w:trHeight w:val="17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Indenture, dated as of</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20</w:t>
            </w:r>
          </w:p>
        </w:tc>
      </w:tr>
    </w:tbl>
    <w:p>
      <w:pPr>
        <w:spacing w:after="0" w:line="29" w:lineRule="exact"/>
        <w:rPr>
          <w:sz w:val="20"/>
          <w:szCs w:val="20"/>
          <w:color w:val="auto"/>
        </w:rPr>
      </w:pPr>
    </w:p>
    <w:p>
      <w:pPr>
        <w:ind w:left="1620" w:hanging="106"/>
        <w:spacing w:after="0"/>
        <w:tabs>
          <w:tab w:leader="none" w:pos="16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310(a)(1)</w:t>
      </w:r>
    </w:p>
    <w:p>
      <w:pPr>
        <w:spacing w:after="0" w:line="44"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(a)(2)</w:t>
      </w:r>
    </w:p>
    <w:p>
      <w:pPr>
        <w:spacing w:after="0" w:line="44"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(a)(3)</w:t>
      </w:r>
    </w:p>
    <w:p>
      <w:pPr>
        <w:spacing w:after="0" w:line="44"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(a)(4)</w:t>
      </w:r>
    </w:p>
    <w:p>
      <w:pPr>
        <w:spacing w:after="0" w:line="44"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(a)(5)</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w:t>
      </w:r>
    </w:p>
    <w:p>
      <w:pPr>
        <w:spacing w:after="0" w:line="44" w:lineRule="exact"/>
        <w:rPr>
          <w:rFonts w:ascii="Times New Roman" w:cs="Times New Roman" w:eastAsia="Times New Roman" w:hAnsi="Times New Roman"/>
          <w:sz w:val="14"/>
          <w:szCs w:val="14"/>
          <w:color w:val="auto"/>
        </w:rPr>
      </w:pPr>
    </w:p>
    <w:p>
      <w:pPr>
        <w:ind w:left="1780" w:hanging="102"/>
        <w:spacing w:after="0"/>
        <w:tabs>
          <w:tab w:leader="none" w:pos="17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311(a)</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w:t>
      </w:r>
    </w:p>
    <w:p>
      <w:pPr>
        <w:spacing w:after="0" w:line="44" w:lineRule="exact"/>
        <w:rPr>
          <w:rFonts w:ascii="Times New Roman" w:cs="Times New Roman" w:eastAsia="Times New Roman" w:hAnsi="Times New Roman"/>
          <w:sz w:val="14"/>
          <w:szCs w:val="14"/>
          <w:color w:val="auto"/>
        </w:rPr>
      </w:pPr>
    </w:p>
    <w:p>
      <w:pPr>
        <w:ind w:left="1780" w:hanging="107"/>
        <w:spacing w:after="0"/>
        <w:tabs>
          <w:tab w:leader="none" w:pos="17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312(a)</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w:t>
      </w:r>
    </w:p>
    <w:p>
      <w:pPr>
        <w:spacing w:after="0" w:line="44" w:lineRule="exact"/>
        <w:rPr>
          <w:rFonts w:ascii="Times New Roman" w:cs="Times New Roman" w:eastAsia="Times New Roman" w:hAnsi="Times New Roman"/>
          <w:sz w:val="14"/>
          <w:szCs w:val="14"/>
          <w:color w:val="auto"/>
        </w:rPr>
      </w:pPr>
    </w:p>
    <w:p>
      <w:pPr>
        <w:ind w:left="1780" w:hanging="107"/>
        <w:spacing w:after="0"/>
        <w:tabs>
          <w:tab w:leader="none" w:pos="17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313(a)</w:t>
      </w:r>
    </w:p>
    <w:p>
      <w:pPr>
        <w:spacing w:after="0" w:line="44"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(b)(1)</w:t>
      </w:r>
    </w:p>
    <w:p>
      <w:pPr>
        <w:spacing w:after="0" w:line="44"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(b)(2)</w:t>
      </w:r>
    </w:p>
    <w:p>
      <w:pPr>
        <w:spacing w:after="0" w:line="44"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(c)(1)</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w:t>
      </w:r>
    </w:p>
    <w:p>
      <w:pPr>
        <w:spacing w:after="0" w:line="44" w:lineRule="exact"/>
        <w:rPr>
          <w:rFonts w:ascii="Times New Roman" w:cs="Times New Roman" w:eastAsia="Times New Roman" w:hAnsi="Times New Roman"/>
          <w:sz w:val="14"/>
          <w:szCs w:val="14"/>
          <w:color w:val="auto"/>
        </w:rPr>
      </w:pPr>
    </w:p>
    <w:p>
      <w:pPr>
        <w:ind w:left="1780" w:hanging="107"/>
        <w:spacing w:after="0"/>
        <w:tabs>
          <w:tab w:leader="none" w:pos="178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314(a)</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w:t>
      </w:r>
    </w:p>
    <w:p>
      <w:pPr>
        <w:spacing w:after="0" w:line="44" w:lineRule="exact"/>
        <w:rPr>
          <w:sz w:val="20"/>
          <w:szCs w:val="20"/>
          <w:color w:val="auto"/>
        </w:rPr>
      </w:pPr>
    </w:p>
    <w:p>
      <w:pPr>
        <w:jc w:val="right"/>
        <w:ind w:right="6500"/>
        <w:spacing w:after="0"/>
        <w:rPr>
          <w:sz w:val="20"/>
          <w:szCs w:val="20"/>
          <w:color w:val="auto"/>
        </w:rPr>
      </w:pPr>
      <w:r>
        <w:rPr>
          <w:rFonts w:ascii="Times New Roman" w:cs="Times New Roman" w:eastAsia="Times New Roman" w:hAnsi="Times New Roman"/>
          <w:sz w:val="14"/>
          <w:szCs w:val="14"/>
          <w:color w:val="auto"/>
        </w:rPr>
        <w:t>(c)(1)</w:t>
      </w:r>
    </w:p>
    <w:p>
      <w:pPr>
        <w:spacing w:after="0" w:line="44" w:lineRule="exact"/>
        <w:rPr>
          <w:sz w:val="20"/>
          <w:szCs w:val="20"/>
          <w:color w:val="auto"/>
        </w:rPr>
      </w:pPr>
    </w:p>
    <w:p>
      <w:pPr>
        <w:jc w:val="right"/>
        <w:ind w:right="6500"/>
        <w:spacing w:after="0"/>
        <w:rPr>
          <w:sz w:val="20"/>
          <w:szCs w:val="20"/>
          <w:color w:val="auto"/>
        </w:rPr>
      </w:pPr>
      <w:r>
        <w:rPr>
          <w:rFonts w:ascii="Times New Roman" w:cs="Times New Roman" w:eastAsia="Times New Roman" w:hAnsi="Times New Roman"/>
          <w:sz w:val="14"/>
          <w:szCs w:val="14"/>
          <w:color w:val="auto"/>
        </w:rPr>
        <w:t>(c)(2)</w:t>
      </w:r>
    </w:p>
    <w:p>
      <w:pPr>
        <w:spacing w:after="0" w:line="44" w:lineRule="exact"/>
        <w:rPr>
          <w:sz w:val="20"/>
          <w:szCs w:val="20"/>
          <w:color w:val="auto"/>
        </w:rPr>
      </w:pPr>
    </w:p>
    <w:p>
      <w:pPr>
        <w:jc w:val="right"/>
        <w:ind w:right="6500"/>
        <w:spacing w:after="0"/>
        <w:rPr>
          <w:sz w:val="20"/>
          <w:szCs w:val="20"/>
          <w:color w:val="auto"/>
        </w:rPr>
      </w:pPr>
      <w:r>
        <w:rPr>
          <w:rFonts w:ascii="Times New Roman" w:cs="Times New Roman" w:eastAsia="Times New Roman" w:hAnsi="Times New Roman"/>
          <w:sz w:val="14"/>
          <w:szCs w:val="14"/>
          <w:color w:val="auto"/>
        </w:rPr>
        <w:t>(c)(3)</w:t>
      </w:r>
    </w:p>
    <w:p>
      <w:pPr>
        <w:spacing w:after="0" w:line="44" w:lineRule="exact"/>
        <w:rPr>
          <w:sz w:val="20"/>
          <w:szCs w:val="20"/>
          <w:color w:val="auto"/>
        </w:rPr>
      </w:pPr>
    </w:p>
    <w:p>
      <w:pPr>
        <w:jc w:val="right"/>
        <w:ind w:right="6500"/>
        <w:spacing w:after="0"/>
        <w:rPr>
          <w:sz w:val="20"/>
          <w:szCs w:val="20"/>
          <w:color w:val="auto"/>
        </w:rPr>
      </w:pPr>
      <w:r>
        <w:rPr>
          <w:rFonts w:ascii="Times New Roman" w:cs="Times New Roman" w:eastAsia="Times New Roman" w:hAnsi="Times New Roman"/>
          <w:sz w:val="14"/>
          <w:szCs w:val="14"/>
          <w:color w:val="auto"/>
        </w:rPr>
        <w:t>(d)</w:t>
      </w:r>
    </w:p>
    <w:p>
      <w:pPr>
        <w:spacing w:after="0" w:line="44" w:lineRule="exact"/>
        <w:rPr>
          <w:sz w:val="20"/>
          <w:szCs w:val="20"/>
          <w:color w:val="auto"/>
        </w:rPr>
      </w:pPr>
    </w:p>
    <w:p>
      <w:pPr>
        <w:jc w:val="right"/>
        <w:ind w:right="6500"/>
        <w:spacing w:after="0"/>
        <w:rPr>
          <w:sz w:val="20"/>
          <w:szCs w:val="20"/>
          <w:color w:val="auto"/>
        </w:rPr>
      </w:pPr>
      <w:r>
        <w:rPr>
          <w:rFonts w:ascii="Times New Roman" w:cs="Times New Roman" w:eastAsia="Times New Roman" w:hAnsi="Times New Roman"/>
          <w:sz w:val="14"/>
          <w:szCs w:val="14"/>
          <w:color w:val="auto"/>
        </w:rPr>
        <w:t>(e)</w:t>
      </w:r>
    </w:p>
    <w:p>
      <w:pPr>
        <w:spacing w:after="0" w:line="44" w:lineRule="exact"/>
        <w:rPr>
          <w:sz w:val="20"/>
          <w:szCs w:val="20"/>
          <w:color w:val="auto"/>
        </w:rPr>
      </w:pPr>
    </w:p>
    <w:p>
      <w:pPr>
        <w:jc w:val="right"/>
        <w:ind w:right="6500"/>
        <w:spacing w:after="0"/>
        <w:rPr>
          <w:sz w:val="20"/>
          <w:szCs w:val="20"/>
          <w:color w:val="auto"/>
        </w:rPr>
      </w:pPr>
      <w:r>
        <w:rPr>
          <w:rFonts w:ascii="Times New Roman" w:cs="Times New Roman" w:eastAsia="Times New Roman" w:hAnsi="Times New Roman"/>
          <w:sz w:val="14"/>
          <w:szCs w:val="14"/>
          <w:color w:val="auto"/>
        </w:rPr>
        <w:t>(f)</w:t>
      </w:r>
    </w:p>
    <w:p>
      <w:pPr>
        <w:spacing w:after="0" w:line="44" w:lineRule="exact"/>
        <w:rPr>
          <w:sz w:val="20"/>
          <w:szCs w:val="20"/>
          <w:color w:val="auto"/>
        </w:rPr>
      </w:pPr>
    </w:p>
    <w:p>
      <w:pPr>
        <w:ind w:left="1780" w:hanging="107"/>
        <w:spacing w:after="0"/>
        <w:tabs>
          <w:tab w:leader="none" w:pos="17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315(a)</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w:t>
      </w:r>
    </w:p>
    <w:p>
      <w:pPr>
        <w:spacing w:after="0" w:line="44" w:lineRule="exact"/>
        <w:rPr>
          <w:rFonts w:ascii="Times New Roman" w:cs="Times New Roman" w:eastAsia="Times New Roman" w:hAnsi="Times New Roman"/>
          <w:sz w:val="14"/>
          <w:szCs w:val="14"/>
          <w:color w:val="auto"/>
        </w:rPr>
      </w:pPr>
    </w:p>
    <w:p>
      <w:pPr>
        <w:ind w:left="1780" w:hanging="107"/>
        <w:spacing w:after="0"/>
        <w:tabs>
          <w:tab w:leader="none" w:pos="17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316(a)</w:t>
      </w:r>
    </w:p>
    <w:p>
      <w:pPr>
        <w:spacing w:after="0" w:line="44" w:lineRule="exact"/>
        <w:rPr>
          <w:rFonts w:ascii="Times New Roman" w:cs="Times New Roman" w:eastAsia="Times New Roman" w:hAnsi="Times New Roman"/>
          <w:sz w:val="14"/>
          <w:szCs w:val="14"/>
          <w:color w:val="auto"/>
        </w:rPr>
      </w:pPr>
    </w:p>
    <w:p>
      <w:pPr>
        <w:ind w:left="1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(a)(1)(A)</w:t>
      </w:r>
    </w:p>
    <w:p>
      <w:pPr>
        <w:spacing w:after="0" w:line="44" w:lineRule="exact"/>
        <w:rPr>
          <w:rFonts w:ascii="Times New Roman" w:cs="Times New Roman" w:eastAsia="Times New Roman" w:hAnsi="Times New Roman"/>
          <w:sz w:val="14"/>
          <w:szCs w:val="14"/>
          <w:color w:val="auto"/>
        </w:rPr>
      </w:pPr>
    </w:p>
    <w:p>
      <w:pPr>
        <w:ind w:left="1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(a)(1)(B)</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w:t>
      </w:r>
    </w:p>
    <w:p>
      <w:pPr>
        <w:spacing w:after="0" w:line="44" w:lineRule="exact"/>
        <w:rPr>
          <w:rFonts w:ascii="Times New Roman" w:cs="Times New Roman" w:eastAsia="Times New Roman" w:hAnsi="Times New Roman"/>
          <w:sz w:val="14"/>
          <w:szCs w:val="14"/>
          <w:color w:val="auto"/>
        </w:rPr>
      </w:pPr>
    </w:p>
    <w:p>
      <w:pPr>
        <w:ind w:left="1620" w:hanging="106"/>
        <w:spacing w:after="0"/>
        <w:tabs>
          <w:tab w:leader="none" w:pos="16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317(a)(1)</w:t>
      </w:r>
    </w:p>
    <w:p>
      <w:pPr>
        <w:spacing w:after="0" w:line="44" w:lineRule="exact"/>
        <w:rPr>
          <w:rFonts w:ascii="Times New Roman" w:cs="Times New Roman" w:eastAsia="Times New Roman" w:hAnsi="Times New Roman"/>
          <w:sz w:val="14"/>
          <w:szCs w:val="14"/>
          <w:color w:val="auto"/>
        </w:rPr>
      </w:pPr>
    </w:p>
    <w:p>
      <w:pPr>
        <w:ind w:left="18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(a)(2)</w:t>
      </w:r>
    </w:p>
    <w:p>
      <w:pPr>
        <w:spacing w:after="0" w:line="44" w:lineRule="exact"/>
        <w:rPr>
          <w:rFonts w:ascii="Times New Roman" w:cs="Times New Roman" w:eastAsia="Times New Roman" w:hAnsi="Times New Roman"/>
          <w:sz w:val="14"/>
          <w:szCs w:val="14"/>
          <w:color w:val="auto"/>
        </w:rPr>
      </w:pPr>
    </w:p>
    <w:p>
      <w:pPr>
        <w:ind w:left="19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w:t>
      </w:r>
    </w:p>
    <w:p>
      <w:pPr>
        <w:spacing w:after="0" w:line="44" w:lineRule="exact"/>
        <w:rPr>
          <w:rFonts w:ascii="Times New Roman" w:cs="Times New Roman" w:eastAsia="Times New Roman" w:hAnsi="Times New Roman"/>
          <w:sz w:val="14"/>
          <w:szCs w:val="14"/>
          <w:color w:val="auto"/>
        </w:rPr>
      </w:pPr>
    </w:p>
    <w:p>
      <w:pPr>
        <w:ind w:left="1780" w:hanging="107"/>
        <w:spacing w:after="0"/>
        <w:tabs>
          <w:tab w:leader="none" w:pos="178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318(a)</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This reconciliation and tie shall not, for any purpose, be deemed to be part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4.2, 10.5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 Applicable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6.13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6.4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10.1</w:t>
      </w:r>
    </w:p>
    <w:p>
      <w:pPr>
        <w:sectPr>
          <w:pgSz w:w="11900" w:h="16838" w:orient="portrait"/>
          <w:cols w:equalWidth="0" w:num="2">
            <w:col w:w="8640" w:space="720"/>
            <w:col w:w="840"/>
          </w:cols>
          <w:pgMar w:left="300" w:top="1108" w:right="1399" w:bottom="1440" w:gutter="0" w:footer="0" w:header="0"/>
        </w:sectPr>
      </w:pPr>
    </w:p>
    <w:bookmarkStart w:id="51" w:name="page52"/>
    <w:bookmarkEnd w:id="51"/>
    <w:p>
      <w:pPr>
        <w:spacing w:after="0"/>
        <w:tabs>
          <w:tab w:leader="none" w:pos="2020" w:val="left"/>
          <w:tab w:leader="none" w:pos="2600" w:val="left"/>
          <w:tab w:leader="none" w:pos="8940" w:val="left"/>
        </w:tabs>
        <w:rPr>
          <w:sz w:val="20"/>
          <w:szCs w:val="20"/>
          <w:color w:val="auto"/>
        </w:rPr>
      </w:pPr>
      <w:r>
        <w:rPr>
          <w:rFonts w:ascii="Times New Roman" w:cs="Times New Roman" w:eastAsia="Times New Roman" w:hAnsi="Times New Roman"/>
          <w:sz w:val="14"/>
          <w:szCs w:val="14"/>
          <w:color w:val="auto"/>
        </w:rPr>
        <w:t>This Indenture dated as of</w:t>
      </w:r>
      <w:r>
        <w:rPr>
          <w:sz w:val="20"/>
          <w:szCs w:val="20"/>
          <w:color w:val="auto"/>
        </w:rPr>
        <w:tab/>
      </w:r>
      <w:r>
        <w:rPr>
          <w:rFonts w:ascii="Times New Roman" w:cs="Times New Roman" w:eastAsia="Times New Roman" w:hAnsi="Times New Roman"/>
          <w:sz w:val="14"/>
          <w:szCs w:val="14"/>
          <w:color w:val="auto"/>
        </w:rPr>
        <w:t>, 20</w:t>
      </w:r>
      <w:r>
        <w:rPr>
          <w:sz w:val="20"/>
          <w:szCs w:val="20"/>
          <w:color w:val="auto"/>
        </w:rPr>
        <w:tab/>
      </w:r>
      <w:r>
        <w:rPr>
          <w:rFonts w:ascii="Times New Roman" w:cs="Times New Roman" w:eastAsia="Times New Roman" w:hAnsi="Times New Roman"/>
          <w:sz w:val="14"/>
          <w:szCs w:val="14"/>
          <w:color w:val="auto"/>
        </w:rPr>
        <w:t>between Blaize Holdings, Inc., a company incorporated under the laws of Delaware (“</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and [</w:t>
      </w:r>
      <w:r>
        <w:rPr>
          <w:sz w:val="20"/>
          <w:szCs w:val="20"/>
          <w:color w:val="auto"/>
        </w:rPr>
        <w:tab/>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i w:val="1"/>
          <w:iCs w:val="1"/>
          <w:color w:val="auto"/>
        </w:rPr>
        <w:t>Trustee</w:t>
      </w:r>
      <w:r>
        <w:rPr>
          <w:rFonts w:ascii="Times New Roman" w:cs="Times New Roman" w:eastAsia="Times New Roman" w:hAnsi="Times New Roman"/>
          <w:sz w:val="13"/>
          <w:szCs w:val="13"/>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party agrees as follows for the benefit of the other party and for the equal and ratable benefit of the Holders of the Securities issued under this Indenture.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DEFINITIONS AND INCORPORATION BY REFERENCE</w:t>
      </w:r>
    </w:p>
    <w:p>
      <w:pPr>
        <w:spacing w:after="0" w:line="156" w:lineRule="exact"/>
        <w:rPr>
          <w:sz w:val="20"/>
          <w:szCs w:val="20"/>
          <w:color w:val="auto"/>
        </w:rPr>
      </w:pPr>
    </w:p>
    <w:p>
      <w:pPr>
        <w:spacing w:after="0"/>
        <w:tabs>
          <w:tab w:leader="none" w:pos="740" w:val="left"/>
          <w:tab w:leader="none" w:pos="1520" w:val="left"/>
        </w:tabs>
        <w:rPr>
          <w:sz w:val="20"/>
          <w:szCs w:val="20"/>
          <w:color w:val="auto"/>
        </w:rPr>
      </w:pPr>
      <w:r>
        <w:rPr>
          <w:rFonts w:ascii="Times New Roman" w:cs="Times New Roman" w:eastAsia="Times New Roman" w:hAnsi="Times New Roman"/>
          <w:sz w:val="14"/>
          <w:szCs w:val="14"/>
          <w:color w:val="auto"/>
        </w:rPr>
        <w:t>Section 1.1</w:t>
      </w:r>
      <w:r>
        <w:rPr>
          <w:sz w:val="20"/>
          <w:szCs w:val="20"/>
          <w:color w:val="auto"/>
        </w:rPr>
        <w:tab/>
      </w:r>
      <w:r>
        <w:rPr>
          <w:rFonts w:ascii="Times New Roman" w:cs="Times New Roman" w:eastAsia="Times New Roman" w:hAnsi="Times New Roman"/>
          <w:sz w:val="14"/>
          <w:szCs w:val="14"/>
          <w:u w:val="single" w:color="auto"/>
          <w:color w:val="auto"/>
        </w:rPr>
        <w:t>Section 1.1.</w:t>
      </w:r>
      <w:r>
        <w:rPr>
          <w:sz w:val="20"/>
          <w:szCs w:val="20"/>
          <w:color w:val="auto"/>
        </w:rPr>
        <w:tab/>
      </w:r>
      <w:r>
        <w:rPr>
          <w:rFonts w:ascii="Times New Roman" w:cs="Times New Roman" w:eastAsia="Times New Roman" w:hAnsi="Times New Roman"/>
          <w:sz w:val="13"/>
          <w:szCs w:val="13"/>
          <w:u w:val="single" w:color="auto"/>
          <w:color w:val="auto"/>
        </w:rPr>
        <w:t>Definitions.</w:t>
      </w:r>
    </w:p>
    <w:p>
      <w:pPr>
        <w:spacing w:after="0" w:line="163"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Additional Amounts</w:t>
      </w:r>
      <w:r>
        <w:rPr>
          <w:rFonts w:ascii="Times New Roman" w:cs="Times New Roman" w:eastAsia="Times New Roman" w:hAnsi="Times New Roman"/>
          <w:sz w:val="14"/>
          <w:szCs w:val="14"/>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7"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Affiliate</w:t>
      </w:r>
      <w:r>
        <w:rPr>
          <w:rFonts w:ascii="Times New Roman" w:cs="Times New Roman" w:eastAsia="Times New Roman" w:hAnsi="Times New Roman"/>
          <w:sz w:val="14"/>
          <w:szCs w:val="14"/>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Agent</w:t>
      </w:r>
      <w:r>
        <w:rPr>
          <w:rFonts w:ascii="Times New Roman" w:cs="Times New Roman" w:eastAsia="Times New Roman" w:hAnsi="Times New Roman"/>
          <w:sz w:val="14"/>
          <w:szCs w:val="14"/>
          <w:color w:val="auto"/>
        </w:rPr>
        <w:t>” means any Registrar, Paying Agent or Notice Agent.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of Directors</w:t>
      </w:r>
      <w:r>
        <w:rPr>
          <w:rFonts w:ascii="Times New Roman" w:cs="Times New Roman" w:eastAsia="Times New Roman" w:hAnsi="Times New Roman"/>
          <w:sz w:val="14"/>
          <w:szCs w:val="14"/>
          <w:color w:val="auto"/>
        </w:rPr>
        <w:t>” means the board of directors of the Company or any duly authorized committee thereof.</w:t>
      </w:r>
    </w:p>
    <w:p>
      <w:pPr>
        <w:spacing w:after="0" w:line="167" w:lineRule="exact"/>
        <w:rPr>
          <w:sz w:val="20"/>
          <w:szCs w:val="20"/>
          <w:color w:val="auto"/>
        </w:rPr>
      </w:pPr>
    </w:p>
    <w:p>
      <w:pPr>
        <w:ind w:right="320"/>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27"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Business Day</w:t>
      </w:r>
      <w:r>
        <w:rPr>
          <w:rFonts w:ascii="Times New Roman" w:cs="Times New Roman" w:eastAsia="Times New Roman" w:hAnsi="Times New Roman"/>
          <w:sz w:val="14"/>
          <w:szCs w:val="14"/>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Capital Stock</w:t>
      </w:r>
      <w:r>
        <w:rPr>
          <w:rFonts w:ascii="Times New Roman" w:cs="Times New Roman" w:eastAsia="Times New Roman" w:hAnsi="Times New Roman"/>
          <w:sz w:val="14"/>
          <w:szCs w:val="14"/>
          <w:color w:val="auto"/>
        </w:rPr>
        <w:t>” means any and all shares, interests, participations, rights or other equivalents (however designated) of corporate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w:t>
      </w:r>
      <w:r>
        <w:rPr>
          <w:rFonts w:ascii="Times New Roman" w:cs="Times New Roman" w:eastAsia="Times New Roman" w:hAnsi="Times New Roman"/>
          <w:sz w:val="14"/>
          <w:szCs w:val="14"/>
          <w:color w:val="auto"/>
        </w:rPr>
        <w:t>” means the party named as such above until a successor replaces it and thereafter means the successor.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Company Order</w:t>
      </w:r>
      <w:r>
        <w:rPr>
          <w:rFonts w:ascii="Times New Roman" w:cs="Times New Roman" w:eastAsia="Times New Roman" w:hAnsi="Times New Roman"/>
          <w:sz w:val="14"/>
          <w:szCs w:val="14"/>
          <w:color w:val="auto"/>
        </w:rPr>
        <w:t>” means a written order signed in the name of the Company by an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Corporate Trust Office</w:t>
      </w:r>
      <w:r>
        <w:rPr>
          <w:rFonts w:ascii="Times New Roman" w:cs="Times New Roman" w:eastAsia="Times New Roman" w:hAnsi="Times New Roman"/>
          <w:sz w:val="14"/>
          <w:szCs w:val="14"/>
          <w:color w:val="auto"/>
        </w:rPr>
        <w:t>” means the office of the Trustee at which at any particular time its corporate trust business related to this Indenture shall be principally administered.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Default</w:t>
      </w:r>
      <w:r>
        <w:rPr>
          <w:rFonts w:ascii="Times New Roman" w:cs="Times New Roman" w:eastAsia="Times New Roman" w:hAnsi="Times New Roman"/>
          <w:sz w:val="14"/>
          <w:szCs w:val="14"/>
          <w:color w:val="auto"/>
        </w:rPr>
        <w:t>” means any event which is, or after notice or passage of time or both would be, an Event of Default.</w:t>
      </w:r>
    </w:p>
    <w:p>
      <w:pPr>
        <w:spacing w:after="0" w:line="16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Depositary</w:t>
      </w:r>
      <w:r>
        <w:rPr>
          <w:rFonts w:ascii="Times New Roman" w:cs="Times New Roman" w:eastAsia="Times New Roman" w:hAnsi="Times New Roman"/>
          <w:sz w:val="14"/>
          <w:szCs w:val="14"/>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37"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Discount Security</w:t>
      </w:r>
      <w:r>
        <w:rPr>
          <w:rFonts w:ascii="Times New Roman" w:cs="Times New Roman" w:eastAsia="Times New Roman" w:hAnsi="Times New Roman"/>
          <w:sz w:val="14"/>
          <w:szCs w:val="14"/>
          <w:color w:val="auto"/>
        </w:rPr>
        <w:t>” means any Security that provides for an amount less than the stated principal amount thereof to be due and payable upon declaration of acceleration of the maturity thereof pursuant to Section 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1108"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means the currency of The United States of America.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Foreign Currency</w:t>
      </w:r>
      <w:r>
        <w:rPr>
          <w:rFonts w:ascii="Times New Roman" w:cs="Times New Roman" w:eastAsia="Times New Roman" w:hAnsi="Times New Roman"/>
          <w:sz w:val="14"/>
          <w:szCs w:val="14"/>
          <w:color w:val="auto"/>
        </w:rPr>
        <w:t>” means any currency or currency unit issued by a government other than the government of The United States of America.</w:t>
      </w:r>
    </w:p>
    <w:p>
      <w:pPr>
        <w:spacing w:after="0" w:line="16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Foreign Government Obligations</w:t>
      </w:r>
      <w:r>
        <w:rPr>
          <w:rFonts w:ascii="Times New Roman" w:cs="Times New Roman" w:eastAsia="Times New Roman" w:hAnsi="Times New Roman"/>
          <w:sz w:val="14"/>
          <w:szCs w:val="14"/>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27"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“GAAP” </w:t>
      </w:r>
      <w:r>
        <w:rPr>
          <w:rFonts w:ascii="Times New Roman" w:cs="Times New Roman" w:eastAsia="Times New Roman" w:hAnsi="Times New Roman"/>
          <w:sz w:val="14"/>
          <w:szCs w:val="14"/>
          <w:color w:val="auto"/>
        </w:rPr>
        <w:t>means accounting principles generally accepted in the United States of America set forth in the opinions and pronouncements of the Accounting Principles Board of the American Institute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37"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Global Security</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Global Securities</w:t>
      </w:r>
      <w:r>
        <w:rPr>
          <w:rFonts w:ascii="Times New Roman" w:cs="Times New Roman" w:eastAsia="Times New Roman" w:hAnsi="Times New Roman"/>
          <w:sz w:val="14"/>
          <w:szCs w:val="14"/>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Holder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Securityholder</w:t>
      </w:r>
      <w:r>
        <w:rPr>
          <w:rFonts w:ascii="Times New Roman" w:cs="Times New Roman" w:eastAsia="Times New Roman" w:hAnsi="Times New Roman"/>
          <w:sz w:val="14"/>
          <w:szCs w:val="14"/>
          <w:color w:val="auto"/>
        </w:rPr>
        <w:t>” means a person in whose name a Security is registered.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w:t>
      </w:r>
      <w:r>
        <w:rPr>
          <w:rFonts w:ascii="Times New Roman" w:cs="Times New Roman" w:eastAsia="Times New Roman" w:hAnsi="Times New Roman"/>
          <w:sz w:val="14"/>
          <w:szCs w:val="14"/>
          <w:color w:val="auto"/>
        </w:rPr>
        <w:t>” means this Indenture as amended or supplemented from time to time and shall include the form and terms of particular Series of Securities established as contemplated hereunder.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interest</w:t>
      </w:r>
      <w:r>
        <w:rPr>
          <w:rFonts w:ascii="Times New Roman" w:cs="Times New Roman" w:eastAsia="Times New Roman" w:hAnsi="Times New Roman"/>
          <w:sz w:val="14"/>
          <w:szCs w:val="14"/>
          <w:color w:val="auto"/>
        </w:rPr>
        <w:t>” with respect to any Discount Security which by its terms bears interest only after Maturity, means interest payable after Maturity.</w:t>
      </w:r>
    </w:p>
    <w:p>
      <w:pPr>
        <w:spacing w:after="0" w:line="167"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Maturity</w:t>
      </w:r>
      <w:r>
        <w:rPr>
          <w:rFonts w:ascii="Times New Roman" w:cs="Times New Roman" w:eastAsia="Times New Roman" w:hAnsi="Times New Roman"/>
          <w:sz w:val="14"/>
          <w:szCs w:val="14"/>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27" w:lineRule="exact"/>
        <w:rPr>
          <w:sz w:val="20"/>
          <w:szCs w:val="20"/>
          <w:color w:val="auto"/>
        </w:rPr>
      </w:pPr>
    </w:p>
    <w:p>
      <w:pPr>
        <w:ind w:right="540"/>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Officer</w:t>
      </w:r>
      <w:r>
        <w:rPr>
          <w:rFonts w:ascii="Times New Roman" w:cs="Times New Roman" w:eastAsia="Times New Roman" w:hAnsi="Times New Roman"/>
          <w:sz w:val="14"/>
          <w:szCs w:val="14"/>
          <w:color w:val="auto"/>
        </w:rPr>
        <w:t>” means the Chief Executive Officer, President, the Chief Financial Officer, the Treasurer or any Assistant Treasurer, the Secretary or any Assistant Secretary, and any Vice President of the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Officer’s Certificate</w:t>
      </w:r>
      <w:r>
        <w:rPr>
          <w:rFonts w:ascii="Times New Roman" w:cs="Times New Roman" w:eastAsia="Times New Roman" w:hAnsi="Times New Roman"/>
          <w:sz w:val="14"/>
          <w:szCs w:val="14"/>
          <w:color w:val="auto"/>
        </w:rPr>
        <w:t>” means a certificate signed by any Officer.</w:t>
      </w:r>
    </w:p>
    <w:p>
      <w:pPr>
        <w:spacing w:after="0" w:line="167" w:lineRule="exact"/>
        <w:rPr>
          <w:sz w:val="20"/>
          <w:szCs w:val="20"/>
          <w:color w:val="auto"/>
        </w:rPr>
      </w:pPr>
    </w:p>
    <w:p>
      <w:pPr>
        <w:ind w:right="440"/>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Opinion of Counsel</w:t>
      </w:r>
      <w:r>
        <w:rPr>
          <w:rFonts w:ascii="Times New Roman" w:cs="Times New Roman" w:eastAsia="Times New Roman" w:hAnsi="Times New Roman"/>
          <w:sz w:val="14"/>
          <w:szCs w:val="14"/>
          <w:color w:val="auto"/>
        </w:rPr>
        <w:t>” means a written opinion of legal counsel who is acceptable to the Trustee. The counsel may be an employee of or counsel to the Company. The opinion may contain customary limitations, conditions and exceptions.</w:t>
      </w:r>
    </w:p>
    <w:p>
      <w:pPr>
        <w:spacing w:after="0" w:line="127" w:lineRule="exact"/>
        <w:rPr>
          <w:sz w:val="20"/>
          <w:szCs w:val="20"/>
          <w:color w:val="auto"/>
        </w:rPr>
      </w:pPr>
    </w:p>
    <w:p>
      <w:pPr>
        <w:ind w:right="420"/>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person</w:t>
      </w:r>
      <w:r>
        <w:rPr>
          <w:rFonts w:ascii="Times New Roman" w:cs="Times New Roman" w:eastAsia="Times New Roman" w:hAnsi="Times New Roman"/>
          <w:sz w:val="14"/>
          <w:szCs w:val="14"/>
          <w:color w:val="auto"/>
        </w:rPr>
        <w:t>” means any individual, corporation, partnership, joint venture, association, limited liability company, joint-stock company, trust, unincorporated organization or government or any agency or political subdivision thereof.</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w:t>
      </w:r>
      <w:r>
        <w:rPr>
          <w:rFonts w:ascii="Times New Roman" w:cs="Times New Roman" w:eastAsia="Times New Roman" w:hAnsi="Times New Roman"/>
          <w:sz w:val="14"/>
          <w:szCs w:val="14"/>
          <w:color w:val="auto"/>
        </w:rPr>
        <w:t>” of a Security means the principal of the Security plus, when appropriate, the premium, if any, on, and any Additional Amounts in respect of, the Security.</w:t>
      </w:r>
    </w:p>
    <w:p>
      <w:pPr>
        <w:spacing w:after="0" w:line="167" w:lineRule="exact"/>
        <w:rPr>
          <w:sz w:val="20"/>
          <w:szCs w:val="20"/>
          <w:color w:val="auto"/>
        </w:rPr>
      </w:pPr>
    </w:p>
    <w:p>
      <w:pPr>
        <w:ind w:right="300"/>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Responsible Officer</w:t>
      </w:r>
      <w:r>
        <w:rPr>
          <w:rFonts w:ascii="Times New Roman" w:cs="Times New Roman" w:eastAsia="Times New Roman" w:hAnsi="Times New Roman"/>
          <w:sz w:val="14"/>
          <w:szCs w:val="14"/>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60"/>
          </w:cols>
          <w:pgMar w:left="300" w:top="1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w:t>
      </w:r>
      <w:r>
        <w:rPr>
          <w:rFonts w:ascii="Times New Roman" w:cs="Times New Roman" w:eastAsia="Times New Roman" w:hAnsi="Times New Roman"/>
          <w:sz w:val="14"/>
          <w:szCs w:val="14"/>
          <w:color w:val="auto"/>
        </w:rPr>
        <w:t>” means the Securities and Exchange Commission.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Securities</w:t>
      </w:r>
      <w:r>
        <w:rPr>
          <w:rFonts w:ascii="Times New Roman" w:cs="Times New Roman" w:eastAsia="Times New Roman" w:hAnsi="Times New Roman"/>
          <w:sz w:val="14"/>
          <w:szCs w:val="14"/>
          <w:color w:val="auto"/>
        </w:rPr>
        <w:t>” means the debentures, notes or other debt instruments of the Company of any Series authenticated and delivered under this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Series</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Series of Securities</w:t>
      </w:r>
      <w:r>
        <w:rPr>
          <w:rFonts w:ascii="Times New Roman" w:cs="Times New Roman" w:eastAsia="Times New Roman" w:hAnsi="Times New Roman"/>
          <w:sz w:val="14"/>
          <w:szCs w:val="14"/>
          <w:color w:val="auto"/>
        </w:rPr>
        <w:t>” means each series of debentures, notes or other debt instruments of the Company created pursuant to Sections 2.1 and 2.2 hereof.</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Stated Maturity</w:t>
      </w:r>
      <w:r>
        <w:rPr>
          <w:rFonts w:ascii="Times New Roman" w:cs="Times New Roman" w:eastAsia="Times New Roman" w:hAnsi="Times New Roman"/>
          <w:sz w:val="14"/>
          <w:szCs w:val="14"/>
          <w:color w:val="auto"/>
        </w:rPr>
        <w:t>” when used with respect to any Security, means the date specified in such Security as the fixed date on which the principal of such Security or interest is due and payable.</w:t>
      </w:r>
    </w:p>
    <w:p>
      <w:pPr>
        <w:spacing w:after="0" w:line="1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Subsidiary</w:t>
      </w:r>
      <w:r>
        <w:rPr>
          <w:rFonts w:ascii="Times New Roman" w:cs="Times New Roman" w:eastAsia="Times New Roman" w:hAnsi="Times New Roman"/>
          <w:sz w:val="14"/>
          <w:szCs w:val="14"/>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137"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TIA</w:t>
      </w:r>
      <w:r>
        <w:rPr>
          <w:rFonts w:ascii="Times New Roman" w:cs="Times New Roman" w:eastAsia="Times New Roman" w:hAnsi="Times New Roman"/>
          <w:sz w:val="14"/>
          <w:szCs w:val="14"/>
          <w:color w:val="auto"/>
        </w:rPr>
        <w:t xml:space="preserve">” means the Trust Indenture Act of 1939 (15 U.S. Code §§ 77aaa-77bbbb) as in effect on the date of this Indenture;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in the event the Trust Indenture Act of 1939 is amended after such date, “TIA” means, to the extent required by any such amendment, the Trust Indenture Act as so amended.</w:t>
      </w:r>
    </w:p>
    <w:p>
      <w:pPr>
        <w:spacing w:after="0" w:line="1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Trustee</w:t>
      </w:r>
      <w:r>
        <w:rPr>
          <w:rFonts w:ascii="Times New Roman" w:cs="Times New Roman" w:eastAsia="Times New Roman" w:hAnsi="Times New Roman"/>
          <w:sz w:val="14"/>
          <w:szCs w:val="14"/>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3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U.S. Government Obligations</w:t>
      </w:r>
      <w:r>
        <w:rPr>
          <w:rFonts w:ascii="Times New Roman" w:cs="Times New Roman" w:eastAsia="Times New Roman" w:hAnsi="Times New Roman"/>
          <w:sz w:val="14"/>
          <w:szCs w:val="14"/>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60"/>
          </w:cols>
          <w:pgMar w:left="300" w:top="1108" w:right="339" w:bottom="1440" w:gutter="0" w:footer="0" w:header="0"/>
        </w:sectPr>
      </w:pPr>
    </w:p>
    <w:bookmarkStart w:id="54" w:name="page55"/>
    <w:bookmarkEnd w:id="54"/>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1.2</w:t>
      </w:r>
      <w:r>
        <w:rPr>
          <w:sz w:val="20"/>
          <w:szCs w:val="20"/>
          <w:color w:val="auto"/>
        </w:rPr>
        <w:tab/>
      </w:r>
      <w:r>
        <w:rPr>
          <w:rFonts w:ascii="Times New Roman" w:cs="Times New Roman" w:eastAsia="Times New Roman" w:hAnsi="Times New Roman"/>
          <w:sz w:val="13"/>
          <w:szCs w:val="13"/>
          <w:u w:val="single" w:color="auto"/>
          <w:color w:val="auto"/>
        </w:rPr>
        <w:t>Other Definitions.</w:t>
      </w:r>
    </w:p>
    <w:p>
      <w:pPr>
        <w:sectPr>
          <w:pgSz w:w="11900" w:h="16838" w:orient="portrait"/>
          <w:cols w:equalWidth="0" w:num="1">
            <w:col w:w="11140"/>
          </w:cols>
          <w:pgMar w:left="300" w:top="1111" w:right="459" w:bottom="1440" w:gutter="0" w:footer="0" w:header="0"/>
        </w:sectPr>
      </w:pPr>
    </w:p>
    <w:p>
      <w:pPr>
        <w:spacing w:after="0" w:line="34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1"/>
          <w:szCs w:val="11"/>
          <w:color w:val="auto"/>
        </w:rPr>
        <w:t>TERM</w:t>
      </w:r>
    </w:p>
    <w:p>
      <w:pPr>
        <w:spacing w:after="0" w:line="1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Bankruptcy Law</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Custodian</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DTC</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Judgment Currency</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Legal Holiday</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mandatory sinking fund payment</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New York Banking Day</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Notice Agent</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optional sinking fund payment</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Required Currency</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Specified Courts</w:t>
      </w:r>
      <w:r>
        <w:rPr>
          <w:rFonts w:ascii="Times New Roman" w:cs="Times New Roman" w:eastAsia="Times New Roman" w:hAnsi="Times New Roman"/>
          <w:sz w:val="14"/>
          <w:szCs w:val="14"/>
          <w:color w:val="auto"/>
        </w:rPr>
        <w:t>”</w:t>
      </w:r>
    </w:p>
    <w:p>
      <w:pPr>
        <w:spacing w:after="0" w:line="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successor person</w:t>
      </w:r>
      <w:r>
        <w:rPr>
          <w:rFonts w:ascii="Times New Roman" w:cs="Times New Roman" w:eastAsia="Times New Roman" w:hAnsi="Times New Roman"/>
          <w:sz w:val="14"/>
          <w:szCs w:val="14"/>
          <w:color w:val="auto"/>
        </w:rPr>
        <w:t>”</w:t>
      </w:r>
    </w:p>
    <w:p>
      <w:pPr>
        <w:spacing w:after="0" w:line="9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1.3</w:t>
      </w:r>
      <w:r>
        <w:rPr>
          <w:sz w:val="20"/>
          <w:szCs w:val="20"/>
          <w:color w:val="auto"/>
        </w:rPr>
        <w:tab/>
      </w:r>
      <w:r>
        <w:rPr>
          <w:rFonts w:ascii="Times New Roman" w:cs="Times New Roman" w:eastAsia="Times New Roman" w:hAnsi="Times New Roman"/>
          <w:sz w:val="13"/>
          <w:szCs w:val="13"/>
          <w:u w:val="single" w:color="auto"/>
          <w:color w:val="auto"/>
        </w:rPr>
        <w:t>Incorporation by Reference of Trust Indenture Act.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1"/>
          <w:szCs w:val="11"/>
          <w:color w:val="auto"/>
        </w:rPr>
        <w:t>DEFINED IN</w:t>
      </w:r>
    </w:p>
    <w:p>
      <w:pPr>
        <w:spacing w:after="0" w:line="15"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1"/>
          <w:szCs w:val="11"/>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22860</wp:posOffset>
            </wp:positionV>
            <wp:extent cx="7493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749300" cy="6350"/>
                    </a:xfrm>
                    <a:prstGeom prst="rect">
                      <a:avLst/>
                    </a:prstGeom>
                    <a:noFill/>
                  </pic:spPr>
                </pic:pic>
              </a:graphicData>
            </a:graphic>
          </wp:anchor>
        </w:drawing>
      </w:r>
    </w:p>
    <w:p>
      <w:pPr>
        <w:spacing w:after="0" w:line="96"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6.1</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6.1</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2.14.3</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6.1</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10.16</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10.7</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11.1</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10.16</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2.4</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11.1</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2.4</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2.4</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10.16</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10.10</w:t>
      </w:r>
    </w:p>
    <w:p>
      <w:pPr>
        <w:spacing w:after="0" w:line="44"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color w:val="auto"/>
        </w:rPr>
        <w:t>5.1</w:t>
      </w:r>
    </w:p>
    <w:p>
      <w:pPr>
        <w:spacing w:after="0" w:line="433" w:lineRule="exact"/>
        <w:rPr>
          <w:sz w:val="20"/>
          <w:szCs w:val="20"/>
          <w:color w:val="auto"/>
        </w:rPr>
      </w:pPr>
    </w:p>
    <w:p>
      <w:pPr>
        <w:sectPr>
          <w:pgSz w:w="11900" w:h="16838" w:orient="portrait"/>
          <w:cols w:equalWidth="0" w:num="2">
            <w:col w:w="8840" w:space="720"/>
            <w:col w:w="1580"/>
          </w:cols>
          <w:pgMar w:left="300" w:top="1111" w:right="459" w:bottom="1440" w:gutter="0" w:footer="0" w:header="0"/>
          <w:type w:val="continuous"/>
        </w:sectPr>
      </w:pPr>
    </w:p>
    <w:p>
      <w:pPr>
        <w:spacing w:after="0" w:line="266" w:lineRule="auto"/>
        <w:rPr>
          <w:sz w:val="20"/>
          <w:szCs w:val="20"/>
          <w:color w:val="auto"/>
        </w:rPr>
      </w:pPr>
      <w:r>
        <w:rPr>
          <w:rFonts w:ascii="Times New Roman" w:cs="Times New Roman" w:eastAsia="Times New Roman" w:hAnsi="Times New Roman"/>
          <w:sz w:val="14"/>
          <w:szCs w:val="14"/>
          <w:color w:val="auto"/>
        </w:rPr>
        <w:t>Whenever this Indenture refers to a provision of the TIA, the provision is incorporated by reference in and made a part of this Indenture. The following TIA terms used in this Indenture have the following meanings: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securities</w:t>
      </w:r>
      <w:r>
        <w:rPr>
          <w:rFonts w:ascii="Times New Roman" w:cs="Times New Roman" w:eastAsia="Times New Roman" w:hAnsi="Times New Roman"/>
          <w:sz w:val="14"/>
          <w:szCs w:val="14"/>
          <w:color w:val="auto"/>
        </w:rPr>
        <w:t>” means the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security holder</w:t>
      </w:r>
      <w:r>
        <w:rPr>
          <w:rFonts w:ascii="Times New Roman" w:cs="Times New Roman" w:eastAsia="Times New Roman" w:hAnsi="Times New Roman"/>
          <w:sz w:val="14"/>
          <w:szCs w:val="14"/>
          <w:color w:val="auto"/>
        </w:rPr>
        <w:t>” means a Securityholder.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to be qualified</w:t>
      </w:r>
      <w:r>
        <w:rPr>
          <w:rFonts w:ascii="Times New Roman" w:cs="Times New Roman" w:eastAsia="Times New Roman" w:hAnsi="Times New Roman"/>
          <w:sz w:val="14"/>
          <w:szCs w:val="14"/>
          <w:color w:val="auto"/>
        </w:rPr>
        <w:t>” means this Indenture.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indenture trustee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i w:val="1"/>
          <w:iCs w:val="1"/>
          <w:color w:val="auto"/>
        </w:rPr>
        <w:t>institutional trustee</w:t>
      </w:r>
      <w:r>
        <w:rPr>
          <w:rFonts w:ascii="Times New Roman" w:cs="Times New Roman" w:eastAsia="Times New Roman" w:hAnsi="Times New Roman"/>
          <w:sz w:val="14"/>
          <w:szCs w:val="14"/>
          <w:color w:val="auto"/>
        </w:rPr>
        <w:t>” means the Trustee.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obligor</w:t>
      </w:r>
      <w:r>
        <w:rPr>
          <w:rFonts w:ascii="Times New Roman" w:cs="Times New Roman" w:eastAsia="Times New Roman" w:hAnsi="Times New Roman"/>
          <w:sz w:val="14"/>
          <w:szCs w:val="14"/>
          <w:color w:val="auto"/>
        </w:rPr>
        <w:t>” on the indenture securities means the Company and any successor obligor upon the Securities.</w:t>
      </w:r>
    </w:p>
    <w:p>
      <w:pPr>
        <w:spacing w:after="0" w:line="1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All other terms used in this Indenture that are defined by the TIA, defined by TIA reference to another statute or defined by SEC rule under the TIA and not otherwise defined herein are used herein as so defined.</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1.4</w:t>
      </w:r>
      <w:r>
        <w:rPr>
          <w:sz w:val="20"/>
          <w:szCs w:val="20"/>
          <w:color w:val="auto"/>
        </w:rPr>
        <w:tab/>
      </w:r>
      <w:r>
        <w:rPr>
          <w:rFonts w:ascii="Times New Roman" w:cs="Times New Roman" w:eastAsia="Times New Roman" w:hAnsi="Times New Roman"/>
          <w:sz w:val="13"/>
          <w:szCs w:val="13"/>
          <w:u w:val="single" w:color="auto"/>
          <w:color w:val="auto"/>
        </w:rPr>
        <w:t>Rules of Construction.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the context otherwise requires:</w:t>
      </w:r>
    </w:p>
    <w:p>
      <w:pPr>
        <w:spacing w:after="0" w:line="167" w:lineRule="exact"/>
        <w:rPr>
          <w:sz w:val="20"/>
          <w:szCs w:val="20"/>
          <w:color w:val="auto"/>
        </w:rPr>
      </w:pPr>
    </w:p>
    <w:p>
      <w:pPr>
        <w:ind w:left="180" w:hanging="178"/>
        <w:spacing w:after="0"/>
        <w:tabs>
          <w:tab w:leader="none" w:pos="1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 has the meaning assigned to it;</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accounting term not otherwise defined has the meaning assigned to it in accordance with GAAP;</w:t>
      </w:r>
    </w:p>
    <w:p>
      <w:pPr>
        <w:spacing w:after="0" w:line="163"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or</w:t>
      </w:r>
      <w:r>
        <w:rPr>
          <w:rFonts w:ascii="Times New Roman" w:cs="Times New Roman" w:eastAsia="Times New Roman" w:hAnsi="Times New Roman"/>
          <w:sz w:val="14"/>
          <w:szCs w:val="14"/>
          <w:color w:val="auto"/>
        </w:rPr>
        <w:t>” is not exclusive;</w:t>
      </w:r>
    </w:p>
    <w:p>
      <w:pPr>
        <w:spacing w:after="0" w:line="171"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in the singular include the plural, and in the plural include the singular; and</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apply to successive events and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140"/>
          </w:cols>
          <w:pgMar w:left="300" w:top="1111" w:right="45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color w:val="auto"/>
        </w:rPr>
        <w:t>ARTICLE II.</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SECURITIES</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2.1</w:t>
      </w:r>
      <w:r>
        <w:rPr>
          <w:sz w:val="20"/>
          <w:szCs w:val="20"/>
          <w:color w:val="auto"/>
        </w:rPr>
        <w:tab/>
      </w:r>
      <w:r>
        <w:rPr>
          <w:rFonts w:ascii="Times New Roman" w:cs="Times New Roman" w:eastAsia="Times New Roman" w:hAnsi="Times New Roman"/>
          <w:sz w:val="13"/>
          <w:szCs w:val="13"/>
          <w:u w:val="single" w:color="auto"/>
          <w:color w:val="auto"/>
        </w:rPr>
        <w:t>Issuable in Series.</w:t>
      </w:r>
    </w:p>
    <w:p>
      <w:pPr>
        <w:spacing w:after="0" w:line="16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3"/>
          <w:szCs w:val="13"/>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2.2</w:t>
      </w:r>
      <w:r>
        <w:rPr>
          <w:sz w:val="20"/>
          <w:szCs w:val="20"/>
          <w:color w:val="auto"/>
        </w:rPr>
        <w:tab/>
      </w:r>
      <w:r>
        <w:rPr>
          <w:rFonts w:ascii="Times New Roman" w:cs="Times New Roman" w:eastAsia="Times New Roman" w:hAnsi="Times New Roman"/>
          <w:sz w:val="13"/>
          <w:szCs w:val="13"/>
          <w:u w:val="single" w:color="auto"/>
          <w:color w:val="auto"/>
        </w:rPr>
        <w:t>Establishment of Terms of Series of Securities.</w:t>
      </w:r>
    </w:p>
    <w:p>
      <w:pPr>
        <w:spacing w:after="0" w:line="1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2.2.1. the title (which shall distinguish the Securities of that particular Series from the Securities of any other Series) and ranking (including the terms of any subordination provisions) of the Series;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2.2.2. the price or prices (expressed as a percentage of the principal amount thereof) at which the Securities of the Series will be issued;</w:t>
      </w:r>
    </w:p>
    <w:p>
      <w:pPr>
        <w:spacing w:after="0" w:line="16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4"/>
          <w:szCs w:val="14"/>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Sections 2.7, 2.8, 2.11, 3.6 or 9.6);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2.2.4. the date or dates on which the principal of the Securities of the Series is payable;</w:t>
      </w:r>
    </w:p>
    <w:p>
      <w:pPr>
        <w:spacing w:after="0" w:line="167"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4"/>
          <w:szCs w:val="14"/>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4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4"/>
          <w:szCs w:val="14"/>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2.2.7. if applicable, the period or periods within which, the price or prices at which and the terms and conditions upon which the Securities of the Series may be redeemed, in whole or in part, at the option of the Company;</w:t>
      </w:r>
    </w:p>
    <w:p>
      <w:pPr>
        <w:spacing w:after="0" w:line="136" w:lineRule="exact"/>
        <w:rPr>
          <w:sz w:val="20"/>
          <w:szCs w:val="20"/>
          <w:color w:val="auto"/>
        </w:rPr>
      </w:pPr>
    </w:p>
    <w:p>
      <w:pPr>
        <w:ind w:right="280"/>
        <w:spacing w:after="0" w:line="305" w:lineRule="auto"/>
        <w:rPr>
          <w:sz w:val="20"/>
          <w:szCs w:val="20"/>
          <w:color w:val="auto"/>
        </w:rPr>
      </w:pPr>
      <w:r>
        <w:rPr>
          <w:rFonts w:ascii="Times New Roman" w:cs="Times New Roman" w:eastAsia="Times New Roman" w:hAnsi="Times New Roman"/>
          <w:sz w:val="13"/>
          <w:szCs w:val="13"/>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112" w:right="319" w:bottom="1440" w:gutter="0" w:footer="0" w:header="0"/>
        </w:sectPr>
      </w:pPr>
    </w:p>
    <w:bookmarkStart w:id="56" w:name="page57"/>
    <w:bookmarkEnd w:id="56"/>
    <w:p>
      <w:pPr>
        <w:ind w:right="20"/>
        <w:spacing w:after="0" w:line="266" w:lineRule="auto"/>
        <w:rPr>
          <w:sz w:val="20"/>
          <w:szCs w:val="20"/>
          <w:color w:val="auto"/>
        </w:rPr>
      </w:pPr>
      <w:r>
        <w:rPr>
          <w:rFonts w:ascii="Times New Roman" w:cs="Times New Roman" w:eastAsia="Times New Roman" w:hAnsi="Times New Roman"/>
          <w:sz w:val="14"/>
          <w:szCs w:val="14"/>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2.2.10. if other than denominations of $1,000 and any integral multiple thereof, the denominations in which the Securities of the Series shall be issuable;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2.2.11. the forms of the Securities of the Series and whether the Securities will be issuable as Global Securities;</w:t>
      </w:r>
    </w:p>
    <w:p>
      <w:pPr>
        <w:spacing w:after="0" w:line="1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36"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4"/>
          <w:szCs w:val="14"/>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2.2.14. the designation of the currency, currencies or currency units in which payment of the principal of and interest, if any, on the Securities of the Series will be made;</w:t>
      </w:r>
    </w:p>
    <w:p>
      <w:pPr>
        <w:spacing w:after="0" w:line="167"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4"/>
          <w:szCs w:val="14"/>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3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2.2.17. the provisions, if any, relating to any security provided for the Securities of the Series;</w:t>
      </w:r>
    </w:p>
    <w:p>
      <w:pPr>
        <w:spacing w:after="0" w:line="16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4"/>
          <w:szCs w:val="14"/>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2.2.19. any addition to, deletion of or change in the covenants set forth in Articles IV or V which applies to Securities of the Series;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2.2.20. any Depositaries, interest rate calculation agents, exchange rate calculation agents or other agents with respect to Securities of such Series if other than those appointed herein;</w:t>
      </w:r>
    </w:p>
    <w:p>
      <w:pPr>
        <w:spacing w:after="0" w:line="167"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4"/>
          <w:szCs w:val="14"/>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1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2.2.23. whether any of the Company’s direct or indirect Subsidiaries will guarantee the Securities of that Series, including the terms of subordination, if any, of such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20"/>
          </w:cols>
          <w:pgMar w:left="300" w:top="1112" w:right="379" w:bottom="1440" w:gutter="0" w:footer="0" w:header="0"/>
        </w:sectPr>
      </w:pPr>
    </w:p>
    <w:bookmarkStart w:id="57" w:name="page58"/>
    <w:bookmarkEnd w:id="57"/>
    <w:p>
      <w:pPr>
        <w:ind w:right="120"/>
        <w:spacing w:after="0" w:line="266" w:lineRule="auto"/>
        <w:rPr>
          <w:sz w:val="20"/>
          <w:szCs w:val="20"/>
          <w:color w:val="auto"/>
        </w:rPr>
      </w:pPr>
      <w:r>
        <w:rPr>
          <w:rFonts w:ascii="Times New Roman" w:cs="Times New Roman" w:eastAsia="Times New Roman" w:hAnsi="Times New Roman"/>
          <w:sz w:val="14"/>
          <w:szCs w:val="14"/>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2.3</w:t>
      </w:r>
      <w:r>
        <w:rPr>
          <w:sz w:val="20"/>
          <w:szCs w:val="20"/>
          <w:color w:val="auto"/>
        </w:rPr>
        <w:tab/>
      </w:r>
      <w:r>
        <w:rPr>
          <w:rFonts w:ascii="Times New Roman" w:cs="Times New Roman" w:eastAsia="Times New Roman" w:hAnsi="Times New Roman"/>
          <w:sz w:val="13"/>
          <w:szCs w:val="13"/>
          <w:u w:val="single" w:color="auto"/>
          <w:color w:val="auto"/>
        </w:rPr>
        <w:t>Execution and Authentication.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 Officer shall sign the Securities for the Company by manual, facsimile or electronic signature.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an Officer whose signature is on a Security no longer holds that office at the time the Security is authenticated, the Security shall nevertheless be valid.</w:t>
      </w:r>
    </w:p>
    <w:p>
      <w:pPr>
        <w:spacing w:after="0" w:line="1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36"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4"/>
          <w:szCs w:val="14"/>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36"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4"/>
          <w:szCs w:val="14"/>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14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4"/>
          <w:szCs w:val="14"/>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143" w:lineRule="exact"/>
        <w:rPr>
          <w:sz w:val="20"/>
          <w:szCs w:val="20"/>
          <w:color w:val="auto"/>
        </w:rPr>
      </w:pPr>
    </w:p>
    <w:p>
      <w:pPr>
        <w:ind w:right="40"/>
        <w:spacing w:after="0" w:line="305" w:lineRule="auto"/>
        <w:rPr>
          <w:sz w:val="20"/>
          <w:szCs w:val="20"/>
          <w:color w:val="auto"/>
        </w:rPr>
      </w:pPr>
      <w:r>
        <w:rPr>
          <w:rFonts w:ascii="Times New Roman" w:cs="Times New Roman" w:eastAsia="Times New Roman" w:hAnsi="Times New Roman"/>
          <w:sz w:val="13"/>
          <w:szCs w:val="13"/>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1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2.4</w:t>
      </w:r>
      <w:r>
        <w:rPr>
          <w:sz w:val="20"/>
          <w:szCs w:val="20"/>
          <w:color w:val="auto"/>
        </w:rPr>
        <w:tab/>
      </w:r>
      <w:r>
        <w:rPr>
          <w:rFonts w:ascii="Times New Roman" w:cs="Times New Roman" w:eastAsia="Times New Roman" w:hAnsi="Times New Roman"/>
          <w:sz w:val="13"/>
          <w:szCs w:val="13"/>
          <w:u w:val="single" w:color="auto"/>
          <w:color w:val="auto"/>
        </w:rPr>
        <w:t>Registrar and Paying Agent.</w:t>
      </w:r>
    </w:p>
    <w:p>
      <w:pPr>
        <w:spacing w:after="0" w:line="16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 where Securities of such Series may be surrendered for registration of transfer or exchange (“</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 and where notices and demands to or upon the Company in respect of the Securities of such Series and this Indenture may be delivered (“</w:t>
      </w:r>
      <w:r>
        <w:rPr>
          <w:rFonts w:ascii="Times New Roman" w:cs="Times New Roman" w:eastAsia="Times New Roman" w:hAnsi="Times New Roman"/>
          <w:sz w:val="14"/>
          <w:szCs w:val="14"/>
          <w:i w:val="1"/>
          <w:iCs w:val="1"/>
          <w:color w:val="auto"/>
        </w:rPr>
        <w:t>Notice Agent</w:t>
      </w:r>
      <w:r>
        <w:rPr>
          <w:rFonts w:ascii="Times New Roman" w:cs="Times New Roman" w:eastAsia="Times New Roman" w:hAnsi="Times New Roman"/>
          <w:sz w:val="14"/>
          <w:szCs w:val="14"/>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any appointment of the Trustee as the Notice Agent shall exclude the appointment of the Trustee or any office of the Trustee as an agent to receive the service of legal process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40"/>
          </w:cols>
          <w:pgMar w:left="300" w:top="1112" w:right="359" w:bottom="1440" w:gutter="0" w:footer="0" w:header="0"/>
        </w:sectPr>
      </w:pPr>
    </w:p>
    <w:bookmarkStart w:id="58" w:name="page59"/>
    <w:bookmarkEnd w:id="58"/>
    <w:p>
      <w:pPr>
        <w:ind w:right="80"/>
        <w:spacing w:after="0" w:line="250" w:lineRule="auto"/>
        <w:rPr>
          <w:sz w:val="20"/>
          <w:szCs w:val="20"/>
          <w:color w:val="auto"/>
        </w:rPr>
      </w:pPr>
      <w:r>
        <w:rPr>
          <w:rFonts w:ascii="Times New Roman" w:cs="Times New Roman" w:eastAsia="Times New Roman" w:hAnsi="Times New Roman"/>
          <w:sz w:val="14"/>
          <w:szCs w:val="14"/>
          <w:color w:val="auto"/>
        </w:rPr>
        <w:t xml:space="preserve">The Company may also from time to time designate one or more co-registrars, additional paying agents or additional notice agents and may from time to time rescind such designations;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 w:cs="Times New Roman" w:eastAsia="Times New Roman" w:hAnsi="Times New Roman"/>
          <w:sz w:val="14"/>
          <w:szCs w:val="14"/>
          <w:i w:val="1"/>
          <w:iCs w:val="1"/>
          <w:color w:val="auto"/>
        </w:rPr>
        <w:t>Registrar</w:t>
      </w:r>
      <w:r>
        <w:rPr>
          <w:rFonts w:ascii="Times New Roman" w:cs="Times New Roman" w:eastAsia="Times New Roman" w:hAnsi="Times New Roman"/>
          <w:sz w:val="14"/>
          <w:szCs w:val="14"/>
          <w:color w:val="auto"/>
        </w:rPr>
        <w:t>” includes any co-registrar; the term “</w:t>
      </w:r>
      <w:r>
        <w:rPr>
          <w:rFonts w:ascii="Times New Roman" w:cs="Times New Roman" w:eastAsia="Times New Roman" w:hAnsi="Times New Roman"/>
          <w:sz w:val="14"/>
          <w:szCs w:val="14"/>
          <w:i w:val="1"/>
          <w:iCs w:val="1"/>
          <w:color w:val="auto"/>
        </w:rPr>
        <w:t>Paying Agent</w:t>
      </w:r>
      <w:r>
        <w:rPr>
          <w:rFonts w:ascii="Times New Roman" w:cs="Times New Roman" w:eastAsia="Times New Roman" w:hAnsi="Times New Roman"/>
          <w:sz w:val="14"/>
          <w:szCs w:val="14"/>
          <w:color w:val="auto"/>
        </w:rPr>
        <w:t>” includes any additional paying agent; and the term “</w:t>
      </w:r>
      <w:r>
        <w:rPr>
          <w:rFonts w:ascii="Times New Roman" w:cs="Times New Roman" w:eastAsia="Times New Roman" w:hAnsi="Times New Roman"/>
          <w:sz w:val="14"/>
          <w:szCs w:val="14"/>
          <w:i w:val="1"/>
          <w:iCs w:val="1"/>
          <w:color w:val="auto"/>
        </w:rPr>
        <w:t>Notice Agent</w:t>
      </w:r>
      <w:r>
        <w:rPr>
          <w:rFonts w:ascii="Times New Roman" w:cs="Times New Roman" w:eastAsia="Times New Roman" w:hAnsi="Times New Roman"/>
          <w:sz w:val="14"/>
          <w:szCs w:val="14"/>
          <w:color w:val="auto"/>
        </w:rPr>
        <w:t>” includes any additional notice agent. The Company or any of its Affiliates may serve as Registrar or Paying Agent.</w:t>
      </w:r>
    </w:p>
    <w:p>
      <w:pPr>
        <w:spacing w:after="0" w:line="14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2.5</w:t>
      </w:r>
      <w:r>
        <w:rPr>
          <w:sz w:val="20"/>
          <w:szCs w:val="20"/>
          <w:color w:val="auto"/>
        </w:rPr>
        <w:tab/>
      </w:r>
      <w:r>
        <w:rPr>
          <w:rFonts w:ascii="Times New Roman" w:cs="Times New Roman" w:eastAsia="Times New Roman" w:hAnsi="Times New Roman"/>
          <w:sz w:val="13"/>
          <w:szCs w:val="13"/>
          <w:u w:val="single" w:color="auto"/>
          <w:color w:val="auto"/>
        </w:rPr>
        <w:t>Paying Agent to Hold Money in Trust.</w:t>
      </w:r>
    </w:p>
    <w:p>
      <w:pPr>
        <w:spacing w:after="0" w:line="16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4"/>
          <w:szCs w:val="14"/>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4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2.6</w:t>
      </w:r>
      <w:r>
        <w:rPr>
          <w:sz w:val="20"/>
          <w:szCs w:val="20"/>
          <w:color w:val="auto"/>
        </w:rPr>
        <w:tab/>
      </w:r>
      <w:r>
        <w:rPr>
          <w:rFonts w:ascii="Times New Roman" w:cs="Times New Roman" w:eastAsia="Times New Roman" w:hAnsi="Times New Roman"/>
          <w:sz w:val="13"/>
          <w:szCs w:val="13"/>
          <w:u w:val="single" w:color="auto"/>
          <w:color w:val="auto"/>
        </w:rPr>
        <w:t>Securityholder Lists.</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10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2.7</w:t>
      </w:r>
      <w:r>
        <w:rPr>
          <w:sz w:val="20"/>
          <w:szCs w:val="20"/>
          <w:color w:val="auto"/>
        </w:rPr>
        <w:tab/>
      </w:r>
      <w:r>
        <w:rPr>
          <w:rFonts w:ascii="Times New Roman" w:cs="Times New Roman" w:eastAsia="Times New Roman" w:hAnsi="Times New Roman"/>
          <w:sz w:val="13"/>
          <w:szCs w:val="13"/>
          <w:u w:val="single" w:color="auto"/>
          <w:color w:val="auto"/>
        </w:rPr>
        <w:t>Transfer and Exchange.</w:t>
      </w:r>
    </w:p>
    <w:p>
      <w:pPr>
        <w:spacing w:after="0" w:line="16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4"/>
          <w:szCs w:val="14"/>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46"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3"/>
          <w:szCs w:val="13"/>
          <w:color w:val="auto"/>
        </w:rPr>
        <w:t>Neither the Company nor the Registrar shall be required (a) to issue, register the transfer of, or exchange Securities of any Series for the period beginning at the opening of business 15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1280"/>
          </w:cols>
          <w:pgMar w:left="300" w:top="1112" w:right="319" w:bottom="1440" w:gutter="0" w:footer="0" w:header="0"/>
        </w:sectPr>
      </w:pPr>
    </w:p>
    <w:bookmarkStart w:id="59" w:name="page60"/>
    <w:bookmarkEnd w:id="59"/>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2.8</w:t>
      </w:r>
      <w:r>
        <w:rPr>
          <w:sz w:val="20"/>
          <w:szCs w:val="20"/>
          <w:color w:val="auto"/>
        </w:rPr>
        <w:tab/>
      </w:r>
      <w:r>
        <w:rPr>
          <w:rFonts w:ascii="Times New Roman" w:cs="Times New Roman" w:eastAsia="Times New Roman" w:hAnsi="Times New Roman"/>
          <w:sz w:val="13"/>
          <w:szCs w:val="13"/>
          <w:u w:val="single" w:color="auto"/>
          <w:color w:val="auto"/>
        </w:rPr>
        <w:t>Mutilated, Destroyed, Lost and Stolen Securities.</w:t>
      </w:r>
    </w:p>
    <w:p>
      <w:pPr>
        <w:spacing w:after="0" w:line="1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36"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4"/>
          <w:szCs w:val="14"/>
          <w:color w:val="auto"/>
        </w:rPr>
        <w:t>If there shall be delivered to the Company and the Trustee (a) evidence to their satisfaction of the destruction, loss or theft of any Security and (b)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case any such mutilated, destroyed, lost or stolen Security has become or is about to become due and payable, the Company in its discretion may, instead of issuing a new Security, pay such Security.</w:t>
      </w:r>
    </w:p>
    <w:p>
      <w:pPr>
        <w:spacing w:after="0" w:line="1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36"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4"/>
          <w:szCs w:val="14"/>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provisions of this Section are exclusive and shall preclude (to the extent lawful) all other rights and remedies with respect to the replacement or payment of mutilated, destroyed, lost or stolen Securities.</w:t>
      </w:r>
    </w:p>
    <w:p>
      <w:pPr>
        <w:spacing w:after="0" w:line="17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2.9</w:t>
      </w:r>
      <w:r>
        <w:rPr>
          <w:sz w:val="20"/>
          <w:szCs w:val="20"/>
          <w:color w:val="auto"/>
        </w:rPr>
        <w:tab/>
      </w:r>
      <w:r>
        <w:rPr>
          <w:rFonts w:ascii="Times New Roman" w:cs="Times New Roman" w:eastAsia="Times New Roman" w:hAnsi="Times New Roman"/>
          <w:sz w:val="13"/>
          <w:szCs w:val="13"/>
          <w:u w:val="single" w:color="auto"/>
          <w:color w:val="auto"/>
        </w:rPr>
        <w:t>Outstanding Securities.</w:t>
      </w:r>
    </w:p>
    <w:p>
      <w:pPr>
        <w:spacing w:after="0" w:line="16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4"/>
          <w:szCs w:val="14"/>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 Security is replaced pursuant to Section 2.8, it ceases to be outstanding until the Trustee receives proof satisfactory to it that the replaced Security is held by a bona fide purchaser.</w:t>
      </w:r>
    </w:p>
    <w:p>
      <w:pPr>
        <w:spacing w:after="0" w:line="16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13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spacing w:after="0" w:line="1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1280"/>
          </w:cols>
          <w:pgMar w:left="300" w:top="1112" w:right="319" w:bottom="1440" w:gutter="0" w:footer="0" w:header="0"/>
        </w:sectPr>
      </w:pPr>
    </w:p>
    <w:bookmarkStart w:id="60" w:name="page61"/>
    <w:bookmarkEnd w:id="60"/>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2.10</w:t>
      </w:r>
      <w:r>
        <w:rPr>
          <w:sz w:val="20"/>
          <w:szCs w:val="20"/>
          <w:color w:val="auto"/>
        </w:rPr>
        <w:tab/>
      </w:r>
      <w:r>
        <w:rPr>
          <w:rFonts w:ascii="Times New Roman" w:cs="Times New Roman" w:eastAsia="Times New Roman" w:hAnsi="Times New Roman"/>
          <w:sz w:val="13"/>
          <w:szCs w:val="13"/>
          <w:u w:val="single" w:color="auto"/>
          <w:color w:val="auto"/>
        </w:rPr>
        <w:t>Treasury Securities.</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4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2.11</w:t>
      </w:r>
      <w:r>
        <w:rPr>
          <w:sz w:val="20"/>
          <w:szCs w:val="20"/>
          <w:color w:val="auto"/>
        </w:rPr>
        <w:tab/>
      </w:r>
      <w:r>
        <w:rPr>
          <w:rFonts w:ascii="Times New Roman" w:cs="Times New Roman" w:eastAsia="Times New Roman" w:hAnsi="Times New Roman"/>
          <w:sz w:val="13"/>
          <w:szCs w:val="13"/>
          <w:u w:val="single" w:color="auto"/>
          <w:color w:val="auto"/>
        </w:rPr>
        <w:t>Temporary Securities.</w:t>
      </w:r>
    </w:p>
    <w:p>
      <w:pPr>
        <w:spacing w:after="0" w:line="167"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4"/>
          <w:szCs w:val="14"/>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4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2.12</w:t>
      </w:r>
      <w:r>
        <w:rPr>
          <w:sz w:val="20"/>
          <w:szCs w:val="20"/>
          <w:color w:val="auto"/>
        </w:rPr>
        <w:tab/>
      </w:r>
      <w:r>
        <w:rPr>
          <w:rFonts w:ascii="Times New Roman" w:cs="Times New Roman" w:eastAsia="Times New Roman" w:hAnsi="Times New Roman"/>
          <w:sz w:val="13"/>
          <w:szCs w:val="13"/>
          <w:u w:val="single" w:color="auto"/>
          <w:color w:val="auto"/>
        </w:rPr>
        <w:t>Cancellation.</w:t>
      </w:r>
    </w:p>
    <w:p>
      <w:pPr>
        <w:spacing w:after="0" w:line="167" w:lineRule="exact"/>
        <w:rPr>
          <w:sz w:val="20"/>
          <w:szCs w:val="20"/>
          <w:color w:val="auto"/>
        </w:rPr>
      </w:pPr>
    </w:p>
    <w:p>
      <w:pPr>
        <w:ind w:right="300"/>
        <w:spacing w:after="0" w:line="252" w:lineRule="auto"/>
        <w:rPr>
          <w:sz w:val="20"/>
          <w:szCs w:val="20"/>
          <w:color w:val="auto"/>
        </w:rPr>
      </w:pPr>
      <w:r>
        <w:rPr>
          <w:rFonts w:ascii="Times New Roman" w:cs="Times New Roman" w:eastAsia="Times New Roman" w:hAnsi="Times New Roman"/>
          <w:sz w:val="14"/>
          <w:szCs w:val="14"/>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4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2.13</w:t>
      </w:r>
      <w:r>
        <w:rPr>
          <w:sz w:val="20"/>
          <w:szCs w:val="20"/>
          <w:color w:val="auto"/>
        </w:rPr>
        <w:tab/>
      </w:r>
      <w:r>
        <w:rPr>
          <w:rFonts w:ascii="Times New Roman" w:cs="Times New Roman" w:eastAsia="Times New Roman" w:hAnsi="Times New Roman"/>
          <w:sz w:val="13"/>
          <w:szCs w:val="13"/>
          <w:u w:val="single" w:color="auto"/>
          <w:color w:val="auto"/>
        </w:rPr>
        <w:t>Defaulted Interest.</w:t>
      </w:r>
    </w:p>
    <w:p>
      <w:pPr>
        <w:spacing w:after="0" w:line="16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w:t>
      </w:r>
    </w:p>
    <w:p>
      <w:pPr>
        <w:spacing w:after="0" w:line="13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4"/>
          <w:szCs w:val="14"/>
          <w:color w:val="auto"/>
        </w:rPr>
        <w:t>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2.14</w:t>
      </w:r>
      <w:r>
        <w:rPr>
          <w:sz w:val="20"/>
          <w:szCs w:val="20"/>
          <w:color w:val="auto"/>
        </w:rPr>
        <w:tab/>
      </w:r>
      <w:r>
        <w:rPr>
          <w:rFonts w:ascii="Times New Roman" w:cs="Times New Roman" w:eastAsia="Times New Roman" w:hAnsi="Times New Roman"/>
          <w:sz w:val="13"/>
          <w:szCs w:val="13"/>
          <w:u w:val="single" w:color="auto"/>
          <w:color w:val="auto"/>
        </w:rPr>
        <w:t>Global Securities.</w:t>
      </w:r>
    </w:p>
    <w:p>
      <w:pPr>
        <w:spacing w:after="0" w:line="16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 xml:space="preserve">2.14.1. </w:t>
      </w:r>
      <w:r>
        <w:rPr>
          <w:rFonts w:ascii="Times New Roman" w:cs="Times New Roman" w:eastAsia="Times New Roman" w:hAnsi="Times New Roman"/>
          <w:sz w:val="14"/>
          <w:szCs w:val="14"/>
          <w:u w:val="single" w:color="auto"/>
          <w:color w:val="auto"/>
        </w:rPr>
        <w:t>Terms of Securities</w:t>
      </w:r>
      <w:r>
        <w:rPr>
          <w:rFonts w:ascii="Times New Roman" w:cs="Times New Roman" w:eastAsia="Times New Roman" w:hAnsi="Times New Roman"/>
          <w:sz w:val="14"/>
          <w:szCs w:val="14"/>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36"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4"/>
          <w:szCs w:val="14"/>
          <w:color w:val="auto"/>
        </w:rPr>
        <w:t xml:space="preserve">2.14.2. </w:t>
      </w:r>
      <w:r>
        <w:rPr>
          <w:rFonts w:ascii="Times New Roman" w:cs="Times New Roman" w:eastAsia="Times New Roman" w:hAnsi="Times New Roman"/>
          <w:sz w:val="14"/>
          <w:szCs w:val="14"/>
          <w:u w:val="single" w:color="auto"/>
          <w:color w:val="auto"/>
        </w:rPr>
        <w:t>Transfer and Exchange</w:t>
      </w:r>
      <w:r>
        <w:rPr>
          <w:rFonts w:ascii="Times New Roman" w:cs="Times New Roman" w:eastAsia="Times New Roman" w:hAnsi="Times New Roman"/>
          <w:sz w:val="14"/>
          <w:szCs w:val="14"/>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(a)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(b)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1260"/>
          </w:cols>
          <w:pgMar w:left="300" w:top="111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color w:val="auto"/>
        </w:rPr>
        <w:t>writing in an aggregate principal amount equal to the principal amount of the Global Security with like tenor and terms.</w:t>
      </w:r>
    </w:p>
    <w:p>
      <w:pPr>
        <w:spacing w:after="0" w:line="167" w:lineRule="exact"/>
        <w:rPr>
          <w:sz w:val="20"/>
          <w:szCs w:val="20"/>
          <w:color w:val="auto"/>
        </w:rPr>
      </w:pPr>
    </w:p>
    <w:p>
      <w:pPr>
        <w:ind w:right="120"/>
        <w:spacing w:after="0" w:line="305" w:lineRule="auto"/>
        <w:rPr>
          <w:sz w:val="20"/>
          <w:szCs w:val="20"/>
          <w:color w:val="auto"/>
        </w:rPr>
      </w:pPr>
      <w:r>
        <w:rPr>
          <w:rFonts w:ascii="Times New Roman" w:cs="Times New Roman" w:eastAsia="Times New Roman" w:hAnsi="Times New Roman"/>
          <w:sz w:val="13"/>
          <w:szCs w:val="13"/>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2.14.3. </w:t>
      </w:r>
      <w:r>
        <w:rPr>
          <w:rFonts w:ascii="Times New Roman" w:cs="Times New Roman" w:eastAsia="Times New Roman" w:hAnsi="Times New Roman"/>
          <w:sz w:val="14"/>
          <w:szCs w:val="14"/>
          <w:u w:val="single" w:color="auto"/>
          <w:color w:val="auto"/>
        </w:rPr>
        <w:t>Legends</w:t>
      </w:r>
      <w:r>
        <w:rPr>
          <w:rFonts w:ascii="Times New Roman" w:cs="Times New Roman" w:eastAsia="Times New Roman" w:hAnsi="Times New Roman"/>
          <w:sz w:val="14"/>
          <w:szCs w:val="14"/>
          <w:color w:val="auto"/>
        </w:rPr>
        <w:t>. Any Global Security issued hereunder shall bear a legend in substantially the following form:</w:t>
      </w:r>
    </w:p>
    <w:p>
      <w:pPr>
        <w:spacing w:after="0" w:line="16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addition, so long as the Depository Trust Company (“</w:t>
      </w:r>
      <w:r>
        <w:rPr>
          <w:rFonts w:ascii="Times New Roman" w:cs="Times New Roman" w:eastAsia="Times New Roman" w:hAnsi="Times New Roman"/>
          <w:sz w:val="13"/>
          <w:szCs w:val="13"/>
          <w:i w:val="1"/>
          <w:iCs w:val="1"/>
          <w:color w:val="auto"/>
        </w:rPr>
        <w:t>DTC</w:t>
      </w:r>
      <w:r>
        <w:rPr>
          <w:rFonts w:ascii="Times New Roman" w:cs="Times New Roman" w:eastAsia="Times New Roman" w:hAnsi="Times New Roman"/>
          <w:sz w:val="13"/>
          <w:szCs w:val="13"/>
          <w:color w:val="auto"/>
        </w:rPr>
        <w:t>”) is the Depositary, each Global Security registered in the name of DTC or its nominee shall bear a legend in substantially the following form:</w:t>
      </w:r>
    </w:p>
    <w:p>
      <w:pPr>
        <w:spacing w:after="0" w:line="18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4"/>
          <w:szCs w:val="14"/>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 xml:space="preserve">2.14.4. </w:t>
      </w:r>
      <w:r>
        <w:rPr>
          <w:rFonts w:ascii="Times New Roman" w:cs="Times New Roman" w:eastAsia="Times New Roman" w:hAnsi="Times New Roman"/>
          <w:sz w:val="14"/>
          <w:szCs w:val="14"/>
          <w:u w:val="single" w:color="auto"/>
          <w:color w:val="auto"/>
        </w:rPr>
        <w:t>Acts of Holders</w:t>
      </w:r>
      <w:r>
        <w:rPr>
          <w:rFonts w:ascii="Times New Roman" w:cs="Times New Roman" w:eastAsia="Times New Roman" w:hAnsi="Times New Roman"/>
          <w:sz w:val="14"/>
          <w:szCs w:val="14"/>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3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 xml:space="preserve">2.14.5. </w:t>
      </w:r>
      <w:r>
        <w:rPr>
          <w:rFonts w:ascii="Times New Roman" w:cs="Times New Roman" w:eastAsia="Times New Roman" w:hAnsi="Times New Roman"/>
          <w:sz w:val="14"/>
          <w:szCs w:val="14"/>
          <w:u w:val="single" w:color="auto"/>
          <w:color w:val="auto"/>
        </w:rPr>
        <w:t>Payments</w:t>
      </w:r>
      <w:r>
        <w:rPr>
          <w:rFonts w:ascii="Times New Roman" w:cs="Times New Roman" w:eastAsia="Times New Roman" w:hAnsi="Times New Roman"/>
          <w:sz w:val="14"/>
          <w:szCs w:val="14"/>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4"/>
          <w:szCs w:val="14"/>
          <w:color w:val="auto"/>
        </w:rPr>
        <w:t xml:space="preserve">2.14.6. </w:t>
      </w:r>
      <w:r>
        <w:rPr>
          <w:rFonts w:ascii="Times New Roman" w:cs="Times New Roman" w:eastAsia="Times New Roman" w:hAnsi="Times New Roman"/>
          <w:sz w:val="14"/>
          <w:szCs w:val="14"/>
          <w:u w:val="single" w:color="auto"/>
          <w:color w:val="auto"/>
        </w:rPr>
        <w:t>Consents, Declaration and Directions</w:t>
      </w:r>
      <w:r>
        <w:rPr>
          <w:rFonts w:ascii="Times New Roman" w:cs="Times New Roman" w:eastAsia="Times New Roman" w:hAnsi="Times New Roman"/>
          <w:sz w:val="14"/>
          <w:szCs w:val="14"/>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4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2.15</w:t>
      </w:r>
      <w:r>
        <w:rPr>
          <w:sz w:val="20"/>
          <w:szCs w:val="20"/>
          <w:color w:val="auto"/>
        </w:rPr>
        <w:tab/>
      </w:r>
      <w:r>
        <w:rPr>
          <w:rFonts w:ascii="Times New Roman" w:cs="Times New Roman" w:eastAsia="Times New Roman" w:hAnsi="Times New Roman"/>
          <w:sz w:val="13"/>
          <w:szCs w:val="13"/>
          <w:u w:val="single" w:color="auto"/>
          <w:color w:val="auto"/>
        </w:rPr>
        <w:t>CUSIP Numbers.</w:t>
      </w:r>
    </w:p>
    <w:p>
      <w:pPr>
        <w:spacing w:after="0" w:line="16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 xml:space="preserve">The Company in issuing the Securities may use “CUSIP” numbers (if then generally in use), and, if so, the Trustee shall use “CUSIP” numbers in notices of redemption as a convenience to Holders;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1280"/>
          </w:cols>
          <w:pgMar w:left="300" w:top="1112"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color w:val="auto"/>
        </w:rPr>
        <w:t>identification printed on the Securities, and any such redemption shall not be affected by any defect in or omission of such numbers.</w:t>
      </w:r>
    </w:p>
    <w:p>
      <w:pPr>
        <w:spacing w:after="0" w:line="1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ARTICLE III.</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REDEMPTION</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3.1</w:t>
      </w:r>
      <w:r>
        <w:rPr>
          <w:sz w:val="20"/>
          <w:szCs w:val="20"/>
          <w:color w:val="auto"/>
        </w:rPr>
        <w:tab/>
      </w:r>
      <w:r>
        <w:rPr>
          <w:rFonts w:ascii="Times New Roman" w:cs="Times New Roman" w:eastAsia="Times New Roman" w:hAnsi="Times New Roman"/>
          <w:sz w:val="13"/>
          <w:szCs w:val="13"/>
          <w:u w:val="single" w:color="auto"/>
          <w:color w:val="auto"/>
        </w:rPr>
        <w:t>Notice to Trustee.</w:t>
      </w:r>
    </w:p>
    <w:p>
      <w:pPr>
        <w:spacing w:after="0" w:line="167"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14"/>
          <w:szCs w:val="14"/>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14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3.2</w:t>
      </w:r>
      <w:r>
        <w:rPr>
          <w:sz w:val="20"/>
          <w:szCs w:val="20"/>
          <w:color w:val="auto"/>
        </w:rPr>
        <w:tab/>
      </w:r>
      <w:r>
        <w:rPr>
          <w:rFonts w:ascii="Times New Roman" w:cs="Times New Roman" w:eastAsia="Times New Roman" w:hAnsi="Times New Roman"/>
          <w:sz w:val="13"/>
          <w:szCs w:val="13"/>
          <w:u w:val="single" w:color="auto"/>
          <w:color w:val="auto"/>
        </w:rPr>
        <w:t>Selection of Securities to be Redeemed.</w:t>
      </w:r>
    </w:p>
    <w:p>
      <w:pPr>
        <w:spacing w:after="0" w:line="16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5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3.3</w:t>
      </w:r>
      <w:r>
        <w:rPr>
          <w:sz w:val="20"/>
          <w:szCs w:val="20"/>
          <w:color w:val="auto"/>
        </w:rPr>
        <w:tab/>
      </w:r>
      <w:r>
        <w:rPr>
          <w:rFonts w:ascii="Times New Roman" w:cs="Times New Roman" w:eastAsia="Times New Roman" w:hAnsi="Times New Roman"/>
          <w:sz w:val="13"/>
          <w:szCs w:val="13"/>
          <w:u w:val="single" w:color="auto"/>
          <w:color w:val="auto"/>
        </w:rPr>
        <w:t>Notice of Redemption.</w:t>
      </w:r>
    </w:p>
    <w:p>
      <w:pPr>
        <w:spacing w:after="0" w:line="167" w:lineRule="exact"/>
        <w:rPr>
          <w:sz w:val="20"/>
          <w:szCs w:val="20"/>
          <w:color w:val="auto"/>
        </w:rPr>
      </w:pPr>
    </w:p>
    <w:p>
      <w:pPr>
        <w:ind w:right="60"/>
        <w:spacing w:after="0" w:line="305" w:lineRule="auto"/>
        <w:rPr>
          <w:sz w:val="20"/>
          <w:szCs w:val="20"/>
          <w:color w:val="auto"/>
        </w:rPr>
      </w:pPr>
      <w:r>
        <w:rPr>
          <w:rFonts w:ascii="Times New Roman" w:cs="Times New Roman" w:eastAsia="Times New Roman" w:hAnsi="Times New Roman"/>
          <w:sz w:val="13"/>
          <w:szCs w:val="13"/>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notice shall identify the Securities of the Series to be redeemed and shall state:</w:t>
      </w:r>
    </w:p>
    <w:p>
      <w:pPr>
        <w:spacing w:after="0" w:line="167" w:lineRule="exact"/>
        <w:rPr>
          <w:sz w:val="20"/>
          <w:szCs w:val="20"/>
          <w:color w:val="auto"/>
        </w:rPr>
      </w:pPr>
    </w:p>
    <w:p>
      <w:pPr>
        <w:ind w:left="180" w:hanging="178"/>
        <w:spacing w:after="0"/>
        <w:tabs>
          <w:tab w:leader="none" w:pos="1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the Paying Agent;</w:t>
      </w:r>
    </w:p>
    <w:p>
      <w:pPr>
        <w:spacing w:after="0" w:line="167" w:lineRule="exact"/>
        <w:rPr>
          <w:rFonts w:ascii="Times New Roman" w:cs="Times New Roman" w:eastAsia="Times New Roman" w:hAnsi="Times New Roman"/>
          <w:sz w:val="14"/>
          <w:szCs w:val="14"/>
          <w:color w:val="auto"/>
        </w:rPr>
      </w:pPr>
    </w:p>
    <w:p>
      <w:pPr>
        <w:ind w:right="40" w:firstLine="2"/>
        <w:spacing w:after="0" w:line="266" w:lineRule="auto"/>
        <w:tabs>
          <w:tab w:leader="none" w:pos="19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1260"/>
          </w:cols>
          <w:pgMar w:left="300" w:top="1112" w:right="339" w:bottom="1440" w:gutter="0" w:footer="0" w:header="0"/>
        </w:sectPr>
      </w:pPr>
    </w:p>
    <w:bookmarkStart w:id="63" w:name="page64"/>
    <w:bookmarkEnd w:id="63"/>
    <w:p>
      <w:pPr>
        <w:ind w:left="180" w:hanging="178"/>
        <w:spacing w:after="0"/>
        <w:tabs>
          <w:tab w:leader="none" w:pos="1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Securities of the Series called for redemption must be surrendered to the Paying Agent to collect the redemption price;</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interest on Securities of the Series called for redemption ceases to accrue on and after the redemption date unless the Company defaults in the deposit of the redemption price;</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CUSIP number, if any; and</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as may be required by the terms of the particular Series or the Securities of a Series being redeemed.</w:t>
      </w:r>
    </w:p>
    <w:p>
      <w:pPr>
        <w:spacing w:after="0" w:line="167"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4"/>
          <w:szCs w:val="14"/>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3.4</w:t>
      </w:r>
      <w:r>
        <w:rPr>
          <w:sz w:val="20"/>
          <w:szCs w:val="20"/>
          <w:color w:val="auto"/>
        </w:rPr>
        <w:tab/>
      </w:r>
      <w:r>
        <w:rPr>
          <w:rFonts w:ascii="Times New Roman" w:cs="Times New Roman" w:eastAsia="Times New Roman" w:hAnsi="Times New Roman"/>
          <w:sz w:val="13"/>
          <w:szCs w:val="13"/>
          <w:u w:val="single" w:color="auto"/>
          <w:color w:val="auto"/>
        </w:rPr>
        <w:t>Effect of Notice of Redemption.</w:t>
      </w:r>
    </w:p>
    <w:p>
      <w:pPr>
        <w:spacing w:after="0" w:line="167"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4"/>
          <w:szCs w:val="14"/>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3.5</w:t>
      </w:r>
      <w:r>
        <w:rPr>
          <w:sz w:val="20"/>
          <w:szCs w:val="20"/>
          <w:color w:val="auto"/>
        </w:rPr>
        <w:tab/>
      </w:r>
      <w:r>
        <w:rPr>
          <w:rFonts w:ascii="Times New Roman" w:cs="Times New Roman" w:eastAsia="Times New Roman" w:hAnsi="Times New Roman"/>
          <w:sz w:val="13"/>
          <w:szCs w:val="13"/>
          <w:u w:val="single" w:color="auto"/>
          <w:color w:val="auto"/>
        </w:rPr>
        <w:t>Deposit of Redemption Price.</w:t>
      </w:r>
    </w:p>
    <w:p>
      <w:pPr>
        <w:spacing w:after="0" w:line="16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4"/>
          <w:szCs w:val="14"/>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3.6</w:t>
      </w:r>
      <w:r>
        <w:rPr>
          <w:sz w:val="20"/>
          <w:szCs w:val="20"/>
          <w:color w:val="auto"/>
        </w:rPr>
        <w:tab/>
      </w:r>
      <w:r>
        <w:rPr>
          <w:rFonts w:ascii="Times New Roman" w:cs="Times New Roman" w:eastAsia="Times New Roman" w:hAnsi="Times New Roman"/>
          <w:sz w:val="13"/>
          <w:szCs w:val="13"/>
          <w:u w:val="single" w:color="auto"/>
          <w:color w:val="auto"/>
        </w:rPr>
        <w:t>Securities Redeemed in Part.</w:t>
      </w:r>
    </w:p>
    <w:p>
      <w:pPr>
        <w:spacing w:after="0" w:line="16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4"/>
          <w:szCs w:val="14"/>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13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ARTICLE IV.</w:t>
      </w:r>
    </w:p>
    <w:p>
      <w:pPr>
        <w:spacing w:after="0" w:line="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color w:val="auto"/>
        </w:rPr>
        <w:t>COVENANTS</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4.1</w:t>
      </w:r>
      <w:r>
        <w:rPr>
          <w:sz w:val="20"/>
          <w:szCs w:val="20"/>
          <w:color w:val="auto"/>
        </w:rPr>
        <w:tab/>
      </w:r>
      <w:r>
        <w:rPr>
          <w:rFonts w:ascii="Times New Roman" w:cs="Times New Roman" w:eastAsia="Times New Roman" w:hAnsi="Times New Roman"/>
          <w:sz w:val="13"/>
          <w:szCs w:val="13"/>
          <w:u w:val="single" w:color="auto"/>
          <w:color w:val="auto"/>
        </w:rPr>
        <w:t>Payment of Principal and Interest.</w:t>
      </w:r>
    </w:p>
    <w:p>
      <w:pPr>
        <w:spacing w:after="0" w:line="16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4.2</w:t>
      </w:r>
      <w:r>
        <w:rPr>
          <w:sz w:val="20"/>
          <w:szCs w:val="20"/>
          <w:color w:val="auto"/>
        </w:rPr>
        <w:tab/>
      </w:r>
      <w:r>
        <w:rPr>
          <w:rFonts w:ascii="Times New Roman" w:cs="Times New Roman" w:eastAsia="Times New Roman" w:hAnsi="Times New Roman"/>
          <w:sz w:val="13"/>
          <w:szCs w:val="13"/>
          <w:u w:val="single" w:color="auto"/>
          <w:color w:val="auto"/>
        </w:rPr>
        <w:t>SEC Reports.</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1160"/>
          </w:cols>
          <w:pgMar w:left="300" w:top="111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auto"/>
        </w:rPr>
        <w:t>the EDGAR system will be deemed to be delivered to the Trustee as of the time of such filing via EDGAR for purposes of this Section 4.2.</w:t>
      </w:r>
    </w:p>
    <w:p>
      <w:pPr>
        <w:spacing w:after="0" w:line="1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4"/>
          <w:szCs w:val="14"/>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4.3</w:t>
      </w:r>
      <w:r>
        <w:rPr>
          <w:sz w:val="20"/>
          <w:szCs w:val="20"/>
          <w:color w:val="auto"/>
        </w:rPr>
        <w:tab/>
      </w:r>
      <w:r>
        <w:rPr>
          <w:rFonts w:ascii="Times New Roman" w:cs="Times New Roman" w:eastAsia="Times New Roman" w:hAnsi="Times New Roman"/>
          <w:sz w:val="13"/>
          <w:szCs w:val="13"/>
          <w:u w:val="single" w:color="auto"/>
          <w:color w:val="auto"/>
        </w:rPr>
        <w:t>Compliance Certificate.</w:t>
      </w:r>
    </w:p>
    <w:p>
      <w:pPr>
        <w:spacing w:after="0" w:line="16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4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4.4</w:t>
      </w:r>
      <w:r>
        <w:rPr>
          <w:sz w:val="20"/>
          <w:szCs w:val="20"/>
          <w:color w:val="auto"/>
        </w:rPr>
        <w:tab/>
      </w:r>
      <w:r>
        <w:rPr>
          <w:rFonts w:ascii="Times New Roman" w:cs="Times New Roman" w:eastAsia="Times New Roman" w:hAnsi="Times New Roman"/>
          <w:sz w:val="13"/>
          <w:szCs w:val="13"/>
          <w:u w:val="single" w:color="auto"/>
          <w:color w:val="auto"/>
        </w:rPr>
        <w:t>Stay, Extension and Usury Laws.</w:t>
      </w:r>
    </w:p>
    <w:p>
      <w:pPr>
        <w:spacing w:after="0" w:line="16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SUCCESSORS</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5.1</w:t>
      </w:r>
      <w:r>
        <w:rPr>
          <w:sz w:val="20"/>
          <w:szCs w:val="20"/>
          <w:color w:val="auto"/>
        </w:rPr>
        <w:tab/>
      </w:r>
      <w:r>
        <w:rPr>
          <w:rFonts w:ascii="Times New Roman" w:cs="Times New Roman" w:eastAsia="Times New Roman" w:hAnsi="Times New Roman"/>
          <w:sz w:val="13"/>
          <w:szCs w:val="13"/>
          <w:u w:val="single" w:color="auto"/>
          <w:color w:val="auto"/>
        </w:rPr>
        <w:t>When Company May Merge, Etc.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shall not consolidate with or merge with or into, or convey, transfer or lease all or substantially all of its properties and assets to, any person (a “</w:t>
      </w:r>
      <w:r>
        <w:rPr>
          <w:rFonts w:ascii="Times New Roman" w:cs="Times New Roman" w:eastAsia="Times New Roman" w:hAnsi="Times New Roman"/>
          <w:sz w:val="14"/>
          <w:szCs w:val="14"/>
          <w:i w:val="1"/>
          <w:iCs w:val="1"/>
          <w:color w:val="auto"/>
        </w:rPr>
        <w:t>successor person</w:t>
      </w:r>
      <w:r>
        <w:rPr>
          <w:rFonts w:ascii="Times New Roman" w:cs="Times New Roman" w:eastAsia="Times New Roman" w:hAnsi="Times New Roman"/>
          <w:sz w:val="14"/>
          <w:szCs w:val="14"/>
          <w:color w:val="auto"/>
        </w:rPr>
        <w:t>”) unless:</w:t>
      </w:r>
    </w:p>
    <w:p>
      <w:pPr>
        <w:spacing w:after="0" w:line="171" w:lineRule="exact"/>
        <w:rPr>
          <w:sz w:val="20"/>
          <w:szCs w:val="20"/>
          <w:color w:val="auto"/>
        </w:rPr>
      </w:pPr>
    </w:p>
    <w:p>
      <w:pPr>
        <w:ind w:right="460" w:firstLine="2"/>
        <w:spacing w:after="0" w:line="266" w:lineRule="auto"/>
        <w:tabs>
          <w:tab w:leader="none" w:pos="18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is the surviving corporation or the successor person (if other than the Company) is a corporation organized and validly existing under the laws of any U.S. domestic jurisdiction and expressly assumes the Company’s obligations on the Securities and under this Indenture; and</w:t>
      </w:r>
    </w:p>
    <w:p>
      <w:pPr>
        <w:spacing w:after="0" w:line="135"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167"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4"/>
          <w:szCs w:val="14"/>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3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4"/>
          <w:szCs w:val="14"/>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1260"/>
          </w:cols>
          <w:pgMar w:left="300" w:top="1112" w:right="339" w:bottom="1440" w:gutter="0" w:footer="0" w:header="0"/>
        </w:sectPr>
      </w:pPr>
    </w:p>
    <w:bookmarkStart w:id="65" w:name="page66"/>
    <w:bookmarkEnd w:id="65"/>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5.2</w:t>
      </w:r>
      <w:r>
        <w:rPr>
          <w:sz w:val="20"/>
          <w:szCs w:val="20"/>
          <w:color w:val="auto"/>
        </w:rPr>
        <w:tab/>
      </w:r>
      <w:r>
        <w:rPr>
          <w:rFonts w:ascii="Times New Roman" w:cs="Times New Roman" w:eastAsia="Times New Roman" w:hAnsi="Times New Roman"/>
          <w:sz w:val="13"/>
          <w:szCs w:val="13"/>
          <w:u w:val="single" w:color="auto"/>
          <w:color w:val="auto"/>
        </w:rPr>
        <w:t>Successor Corporation Substituted.</w:t>
      </w:r>
    </w:p>
    <w:p>
      <w:pPr>
        <w:spacing w:after="0" w:line="1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predecessor Company in the case of a sale, conveyance or other disposition (other than a lease) shall be released from all obligations and covenants under this Indenture and the Securities.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DEFAULTS AND REMEDIES</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6.1</w:t>
      </w:r>
      <w:r>
        <w:rPr>
          <w:sz w:val="20"/>
          <w:szCs w:val="20"/>
          <w:color w:val="auto"/>
        </w:rPr>
        <w:tab/>
      </w:r>
      <w:r>
        <w:rPr>
          <w:rFonts w:ascii="Times New Roman" w:cs="Times New Roman" w:eastAsia="Times New Roman" w:hAnsi="Times New Roman"/>
          <w:sz w:val="13"/>
          <w:szCs w:val="13"/>
          <w:u w:val="single" w:color="auto"/>
          <w:color w:val="auto"/>
        </w:rPr>
        <w:t>Events of Default.</w:t>
      </w:r>
    </w:p>
    <w:p>
      <w:pPr>
        <w:spacing w:after="0" w:line="163"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Event of Default</w:t>
      </w:r>
      <w:r>
        <w:rPr>
          <w:rFonts w:ascii="Times New Roman" w:cs="Times New Roman" w:eastAsia="Times New Roman" w:hAnsi="Times New Roman"/>
          <w:sz w:val="14"/>
          <w:szCs w:val="14"/>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31" w:lineRule="exact"/>
        <w:rPr>
          <w:sz w:val="20"/>
          <w:szCs w:val="20"/>
          <w:color w:val="auto"/>
        </w:rPr>
      </w:pPr>
    </w:p>
    <w:p>
      <w:pPr>
        <w:ind w:right="80" w:firstLine="2"/>
        <w:spacing w:after="0" w:line="266" w:lineRule="auto"/>
        <w:tabs>
          <w:tab w:leader="none" w:pos="18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 w:cs="Times New Roman" w:eastAsia="Times New Roman" w:hAnsi="Times New Roman"/>
          <w:sz w:val="11"/>
          <w:szCs w:val="11"/>
          <w:color w:val="auto"/>
        </w:rPr>
        <w:t>th</w:t>
      </w:r>
      <w:r>
        <w:rPr>
          <w:rFonts w:ascii="Times New Roman" w:cs="Times New Roman" w:eastAsia="Times New Roman" w:hAnsi="Times New Roman"/>
          <w:sz w:val="14"/>
          <w:szCs w:val="14"/>
          <w:color w:val="auto"/>
        </w:rPr>
        <w:t xml:space="preserve"> day of such period); or</w:t>
      </w:r>
    </w:p>
    <w:p>
      <w:pPr>
        <w:spacing w:after="0" w:line="135"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 or</w:t>
      </w:r>
    </w:p>
    <w:p>
      <w:pPr>
        <w:spacing w:after="0" w:line="167" w:lineRule="exact"/>
        <w:rPr>
          <w:rFonts w:ascii="Times New Roman" w:cs="Times New Roman" w:eastAsia="Times New Roman" w:hAnsi="Times New Roman"/>
          <w:sz w:val="14"/>
          <w:szCs w:val="14"/>
          <w:color w:val="auto"/>
        </w:rPr>
      </w:pPr>
    </w:p>
    <w:p>
      <w:pPr>
        <w:ind w:right="60" w:firstLine="2"/>
        <w:spacing w:after="0" w:line="252" w:lineRule="auto"/>
        <w:tabs>
          <w:tab w:leader="none" w:pos="18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44"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pursuant to or within the meaning of any Bankruptcy Law:</w:t>
      </w:r>
    </w:p>
    <w:p>
      <w:pPr>
        <w:spacing w:after="0" w:line="167" w:lineRule="exact"/>
        <w:rPr>
          <w:sz w:val="20"/>
          <w:szCs w:val="20"/>
          <w:color w:val="auto"/>
        </w:rPr>
      </w:pPr>
    </w:p>
    <w:p>
      <w:pPr>
        <w:ind w:left="160" w:hanging="158"/>
        <w:spacing w:after="0"/>
        <w:tabs>
          <w:tab w:leader="none" w:pos="1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commences a voluntary case,</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w:t>
      </w:r>
    </w:p>
    <w:p>
      <w:pPr>
        <w:spacing w:after="0" w:line="167"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appointment of a Custodian of it or for all or substantially all of its property,</w:t>
      </w:r>
    </w:p>
    <w:p>
      <w:pPr>
        <w:spacing w:after="0" w:line="167"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makes a general assignment for the benefit of its creditors, or</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is unable to pay its debts as the same become due; or</w:t>
      </w:r>
    </w:p>
    <w:p>
      <w:pPr>
        <w:spacing w:after="0" w:line="167" w:lineRule="exact"/>
        <w:rPr>
          <w:sz w:val="20"/>
          <w:szCs w:val="20"/>
          <w:color w:val="auto"/>
        </w:rPr>
      </w:pPr>
    </w:p>
    <w:p>
      <w:pPr>
        <w:ind w:left="180" w:hanging="178"/>
        <w:spacing w:after="0"/>
        <w:tabs>
          <w:tab w:leader="none" w:pos="1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court of competent jurisdiction enters an order or decree under any Bankruptcy Law that:</w:t>
      </w:r>
    </w:p>
    <w:p>
      <w:pPr>
        <w:spacing w:after="0" w:line="167" w:lineRule="exact"/>
        <w:rPr>
          <w:rFonts w:ascii="Times New Roman" w:cs="Times New Roman" w:eastAsia="Times New Roman" w:hAnsi="Times New Roman"/>
          <w:sz w:val="14"/>
          <w:szCs w:val="14"/>
          <w:color w:val="auto"/>
        </w:rPr>
      </w:pPr>
    </w:p>
    <w:p>
      <w:pPr>
        <w:ind w:left="160" w:hanging="158"/>
        <w:spacing w:after="0"/>
        <w:tabs>
          <w:tab w:leader="none" w:pos="1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Company in an involuntary case,</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Custodian of the Company or for all or substantially all of its property, or</w:t>
      </w:r>
    </w:p>
    <w:p>
      <w:pPr>
        <w:spacing w:after="0" w:line="167" w:lineRule="exact"/>
        <w:rPr>
          <w:rFonts w:ascii="Times New Roman" w:cs="Times New Roman" w:eastAsia="Times New Roman" w:hAnsi="Times New Roman"/>
          <w:sz w:val="14"/>
          <w:szCs w:val="14"/>
          <w:color w:val="auto"/>
        </w:rPr>
      </w:pPr>
    </w:p>
    <w:p>
      <w:pPr>
        <w:ind w:left="240" w:hanging="238"/>
        <w:spacing w:after="0"/>
        <w:tabs>
          <w:tab w:leader="none" w:pos="2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orders the liquidation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1260"/>
          </w:cols>
          <w:pgMar w:left="300" w:top="1112"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color w:val="auto"/>
        </w:rPr>
        <w:t>and the order or decree remains unstayed and in effect for 60 days; or</w:t>
      </w:r>
    </w:p>
    <w:p>
      <w:pPr>
        <w:spacing w:after="0" w:line="167" w:lineRule="exact"/>
        <w:rPr>
          <w:sz w:val="20"/>
          <w:szCs w:val="20"/>
          <w:color w:val="auto"/>
        </w:rPr>
      </w:pPr>
    </w:p>
    <w:p>
      <w:pPr>
        <w:ind w:right="260" w:firstLine="2"/>
        <w:spacing w:after="0" w:line="266" w:lineRule="auto"/>
        <w:tabs>
          <w:tab w:leader="none" w:pos="171"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Securities of that Series, which is specified in a Board Resolution, a supplemental indenture hereto or an Officer’s Certificate, in accordance with Section 2.2.18.</w:t>
      </w:r>
    </w:p>
    <w:p>
      <w:pPr>
        <w:spacing w:after="0" w:line="132"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4"/>
          <w:szCs w:val="14"/>
          <w:color w:val="auto"/>
        </w:rPr>
        <w:t>The term “</w:t>
      </w:r>
      <w:r>
        <w:rPr>
          <w:rFonts w:ascii="Times New Roman" w:cs="Times New Roman" w:eastAsia="Times New Roman" w:hAnsi="Times New Roman"/>
          <w:sz w:val="14"/>
          <w:szCs w:val="14"/>
          <w:i w:val="1"/>
          <w:iCs w:val="1"/>
          <w:color w:val="auto"/>
        </w:rPr>
        <w:t>Bankruptcy Law</w:t>
      </w:r>
      <w:r>
        <w:rPr>
          <w:rFonts w:ascii="Times New Roman" w:cs="Times New Roman" w:eastAsia="Times New Roman" w:hAnsi="Times New Roman"/>
          <w:sz w:val="14"/>
          <w:szCs w:val="14"/>
          <w:color w:val="auto"/>
        </w:rPr>
        <w:t>” means Title 11 of the U.S. Code or any similar Federal or State law for the relief of debtors. The term “</w:t>
      </w:r>
      <w:r>
        <w:rPr>
          <w:rFonts w:ascii="Times New Roman" w:cs="Times New Roman" w:eastAsia="Times New Roman" w:hAnsi="Times New Roman"/>
          <w:sz w:val="14"/>
          <w:szCs w:val="14"/>
          <w:i w:val="1"/>
          <w:iCs w:val="1"/>
          <w:color w:val="auto"/>
        </w:rPr>
        <w:t>Custodian</w:t>
      </w:r>
      <w:r>
        <w:rPr>
          <w:rFonts w:ascii="Times New Roman" w:cs="Times New Roman" w:eastAsia="Times New Roman" w:hAnsi="Times New Roman"/>
          <w:sz w:val="14"/>
          <w:szCs w:val="14"/>
          <w:color w:val="auto"/>
        </w:rPr>
        <w:t>” means any receiver, trustee, assignee, liquidator or similar official under any Bankruptcy Law.</w:t>
      </w:r>
    </w:p>
    <w:p>
      <w:pPr>
        <w:spacing w:after="0" w:line="13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4"/>
          <w:szCs w:val="14"/>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6.2</w:t>
      </w:r>
      <w:r>
        <w:rPr>
          <w:sz w:val="20"/>
          <w:szCs w:val="20"/>
          <w:color w:val="auto"/>
        </w:rPr>
        <w:tab/>
      </w:r>
      <w:r>
        <w:rPr>
          <w:rFonts w:ascii="Times New Roman" w:cs="Times New Roman" w:eastAsia="Times New Roman" w:hAnsi="Times New Roman"/>
          <w:sz w:val="13"/>
          <w:szCs w:val="13"/>
          <w:u w:val="single" w:color="auto"/>
          <w:color w:val="auto"/>
        </w:rPr>
        <w:t>Acceleration of Maturity; Rescission and Annulment.</w:t>
      </w:r>
    </w:p>
    <w:p>
      <w:pPr>
        <w:spacing w:after="0" w:line="16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 w:cs="Times New Roman" w:eastAsia="Times New Roman" w:hAnsi="Times New Roman"/>
          <w:sz w:val="14"/>
          <w:szCs w:val="14"/>
          <w:i w:val="1"/>
          <w:iCs w:val="1"/>
          <w:color w:val="auto"/>
        </w:rPr>
        <w:t>ipso facto</w:t>
      </w:r>
      <w:r>
        <w:rPr>
          <w:rFonts w:ascii="Times New Roman" w:cs="Times New Roman" w:eastAsia="Times New Roman" w:hAnsi="Times New Roman"/>
          <w:sz w:val="14"/>
          <w:szCs w:val="14"/>
          <w:color w:val="auto"/>
        </w:rPr>
        <w:t xml:space="preserve"> become and be immediately due and payable without any declaration or other act on the part of the Trustee or any Holder.</w:t>
      </w:r>
    </w:p>
    <w:p>
      <w:pPr>
        <w:spacing w:after="0" w:line="14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such rescission shall affect any subsequent Default or impair any right consequent thereon.</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6.3</w:t>
      </w:r>
      <w:r>
        <w:rPr>
          <w:sz w:val="20"/>
          <w:szCs w:val="20"/>
          <w:color w:val="auto"/>
        </w:rPr>
        <w:tab/>
      </w:r>
      <w:r>
        <w:rPr>
          <w:rFonts w:ascii="Times New Roman" w:cs="Times New Roman" w:eastAsia="Times New Roman" w:hAnsi="Times New Roman"/>
          <w:sz w:val="13"/>
          <w:szCs w:val="13"/>
          <w:u w:val="single" w:color="auto"/>
          <w:color w:val="auto"/>
        </w:rPr>
        <w:t>Collection of Indebtedness and Suits for Enforcement by Trustee.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covenants that if</w:t>
      </w:r>
    </w:p>
    <w:p>
      <w:pPr>
        <w:spacing w:after="0" w:line="167" w:lineRule="exact"/>
        <w:rPr>
          <w:sz w:val="20"/>
          <w:szCs w:val="20"/>
          <w:color w:val="auto"/>
        </w:rPr>
      </w:pPr>
    </w:p>
    <w:p>
      <w:pPr>
        <w:ind w:left="180" w:hanging="178"/>
        <w:spacing w:after="0"/>
        <w:tabs>
          <w:tab w:leader="none" w:pos="1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payment of any interest on any Security when such interest becomes due and payable and such default continues for a period of 30 days, or</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payment of principal of any Security at the Maturity thereof, or</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is made in the deposit of any sinking fund payment, if any, when and as due by the terms of a Security,</w:t>
      </w:r>
    </w:p>
    <w:p>
      <w:pPr>
        <w:spacing w:after="0" w:line="16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then, </w:t>
      </w:r>
      <w:r>
        <w:rPr>
          <w:rFonts w:ascii="Times New Roman" w:cs="Times New Roman" w:eastAsia="Times New Roman" w:hAnsi="Times New Roman"/>
          <w:sz w:val="14"/>
          <w:szCs w:val="14"/>
          <w:color w:val="auto"/>
        </w:rPr>
        <w:t>the Company will, upon demand of the Trustee, pay to it, for the benefit of the Holders of such Securities, the whole amount then due and payable on such Securities for principal and interest and,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extent that payment of such interest shall be legally enforceable, interest on any overdue principal and any overdue interest at the rate or rates prescribed therefor in such Securities, and, in addition thereto, such further amount as shall be sufficient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1220"/>
          </w:cols>
          <w:pgMar w:left="300" w:top="1112"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cover the costs and expenses of collection, including the compensation, reasonable expenses, disbursements and advances of the Trustee, its agents and counsel.</w:t>
      </w:r>
    </w:p>
    <w:p>
      <w:pPr>
        <w:spacing w:after="0" w:line="167"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4"/>
          <w:szCs w:val="14"/>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4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4"/>
          <w:szCs w:val="14"/>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6.4</w:t>
      </w:r>
      <w:r>
        <w:rPr>
          <w:sz w:val="20"/>
          <w:szCs w:val="20"/>
          <w:color w:val="auto"/>
        </w:rPr>
        <w:tab/>
      </w:r>
      <w:r>
        <w:rPr>
          <w:rFonts w:ascii="Times New Roman" w:cs="Times New Roman" w:eastAsia="Times New Roman" w:hAnsi="Times New Roman"/>
          <w:sz w:val="13"/>
          <w:szCs w:val="13"/>
          <w:u w:val="single" w:color="auto"/>
          <w:color w:val="auto"/>
        </w:rPr>
        <w:t>Trustee May File Proofs of Claim.</w:t>
      </w:r>
    </w:p>
    <w:p>
      <w:pPr>
        <w:spacing w:after="0" w:line="16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45" w:lineRule="exact"/>
        <w:rPr>
          <w:sz w:val="20"/>
          <w:szCs w:val="20"/>
          <w:color w:val="auto"/>
        </w:rPr>
      </w:pPr>
    </w:p>
    <w:p>
      <w:pPr>
        <w:ind w:firstLine="2"/>
        <w:spacing w:after="0" w:line="255" w:lineRule="auto"/>
        <w:tabs>
          <w:tab w:leader="none" w:pos="18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43"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collect and receive any moneys or other property payable or deliverable on any such claims and to distribute the same,</w:t>
      </w:r>
    </w:p>
    <w:p>
      <w:pPr>
        <w:spacing w:after="0" w:line="1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4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6.5</w:t>
      </w:r>
      <w:r>
        <w:rPr>
          <w:sz w:val="20"/>
          <w:szCs w:val="20"/>
          <w:color w:val="auto"/>
        </w:rPr>
        <w:tab/>
      </w:r>
      <w:r>
        <w:rPr>
          <w:rFonts w:ascii="Times New Roman" w:cs="Times New Roman" w:eastAsia="Times New Roman" w:hAnsi="Times New Roman"/>
          <w:sz w:val="13"/>
          <w:szCs w:val="13"/>
          <w:u w:val="single" w:color="auto"/>
          <w:color w:val="auto"/>
        </w:rPr>
        <w:t>Trustee May Enforce Claims Without Possession of Securities.</w:t>
      </w:r>
    </w:p>
    <w:p>
      <w:pPr>
        <w:spacing w:after="0" w:line="167"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4"/>
          <w:szCs w:val="14"/>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1220"/>
          </w:cols>
          <w:pgMar w:left="300" w:top="1112" w:right="379" w:bottom="1440" w:gutter="0" w:footer="0" w:header="0"/>
        </w:sectPr>
      </w:pPr>
    </w:p>
    <w:bookmarkStart w:id="68" w:name="page69"/>
    <w:bookmarkEnd w:id="68"/>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6.6</w:t>
      </w:r>
      <w:r>
        <w:rPr>
          <w:sz w:val="20"/>
          <w:szCs w:val="20"/>
          <w:color w:val="auto"/>
        </w:rPr>
        <w:tab/>
      </w:r>
      <w:r>
        <w:rPr>
          <w:rFonts w:ascii="Times New Roman" w:cs="Times New Roman" w:eastAsia="Times New Roman" w:hAnsi="Times New Roman"/>
          <w:sz w:val="13"/>
          <w:szCs w:val="13"/>
          <w:u w:val="single" w:color="auto"/>
          <w:color w:val="auto"/>
        </w:rPr>
        <w:t>Application of Money Collected.</w:t>
      </w:r>
    </w:p>
    <w:p>
      <w:pPr>
        <w:spacing w:after="0" w:line="16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4"/>
          <w:szCs w:val="14"/>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First: To the payment of all amounts due the Trustee under Section 7.7; and</w:t>
      </w:r>
    </w:p>
    <w:p>
      <w:pPr>
        <w:spacing w:after="0" w:line="16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4"/>
          <w:szCs w:val="14"/>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Third: To the Company.</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6.7</w:t>
      </w:r>
      <w:r>
        <w:rPr>
          <w:sz w:val="20"/>
          <w:szCs w:val="20"/>
          <w:color w:val="auto"/>
        </w:rPr>
        <w:tab/>
      </w:r>
      <w:r>
        <w:rPr>
          <w:rFonts w:ascii="Times New Roman" w:cs="Times New Roman" w:eastAsia="Times New Roman" w:hAnsi="Times New Roman"/>
          <w:sz w:val="13"/>
          <w:szCs w:val="13"/>
          <w:u w:val="single" w:color="auto"/>
          <w:color w:val="auto"/>
        </w:rPr>
        <w:t>Limitation on Suits.</w:t>
      </w:r>
    </w:p>
    <w:p>
      <w:pPr>
        <w:spacing w:after="0" w:line="1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36" w:lineRule="exact"/>
        <w:rPr>
          <w:sz w:val="20"/>
          <w:szCs w:val="20"/>
          <w:color w:val="auto"/>
        </w:rPr>
      </w:pPr>
    </w:p>
    <w:p>
      <w:pPr>
        <w:ind w:left="180" w:hanging="178"/>
        <w:spacing w:after="0"/>
        <w:tabs>
          <w:tab w:leader="none" w:pos="1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has previously given written notice to the Trustee of a continuing Event of Default with respect to the Securities of that Series;</w:t>
      </w:r>
    </w:p>
    <w:p>
      <w:pPr>
        <w:spacing w:after="0" w:line="167" w:lineRule="exact"/>
        <w:rPr>
          <w:rFonts w:ascii="Times New Roman" w:cs="Times New Roman" w:eastAsia="Times New Roman" w:hAnsi="Times New Roman"/>
          <w:sz w:val="14"/>
          <w:szCs w:val="14"/>
          <w:color w:val="auto"/>
        </w:rPr>
      </w:pPr>
    </w:p>
    <w:p>
      <w:pPr>
        <w:ind w:right="40" w:firstLine="2"/>
        <w:spacing w:after="0" w:line="266" w:lineRule="auto"/>
        <w:tabs>
          <w:tab w:leader="none" w:pos="19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35" w:lineRule="exact"/>
        <w:rPr>
          <w:rFonts w:ascii="Times New Roman" w:cs="Times New Roman" w:eastAsia="Times New Roman" w:hAnsi="Times New Roman"/>
          <w:sz w:val="14"/>
          <w:szCs w:val="14"/>
          <w:color w:val="auto"/>
        </w:rPr>
      </w:pPr>
    </w:p>
    <w:p>
      <w:pPr>
        <w:ind w:right="120" w:firstLine="2"/>
        <w:spacing w:after="0" w:line="266" w:lineRule="auto"/>
        <w:tabs>
          <w:tab w:leader="none" w:pos="18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or Holders have offered to the Trustee indemnity or security satisfactory to the Trustee against the costs, expenses and liabilities which might be incurred by the Trustee in compliance with such request;</w:t>
      </w:r>
    </w:p>
    <w:p>
      <w:pPr>
        <w:spacing w:after="0" w:line="135"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for 60 days after its receipt of such notice, request and offer of indemnity has failed to institute any such proceeding; and</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direction inconsistent with such written request has been given to the Trustee during such 60-day period by the Holders of a majority in principal amount of the outstanding Securities of that Series;</w:t>
      </w:r>
    </w:p>
    <w:p>
      <w:pPr>
        <w:spacing w:after="0" w:line="17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3"/>
          <w:szCs w:val="13"/>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2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6.8</w:t>
      </w:r>
      <w:r>
        <w:rPr>
          <w:sz w:val="20"/>
          <w:szCs w:val="20"/>
          <w:color w:val="auto"/>
        </w:rPr>
        <w:tab/>
      </w:r>
      <w:r>
        <w:rPr>
          <w:rFonts w:ascii="Times New Roman" w:cs="Times New Roman" w:eastAsia="Times New Roman" w:hAnsi="Times New Roman"/>
          <w:sz w:val="13"/>
          <w:szCs w:val="13"/>
          <w:u w:val="single" w:color="auto"/>
          <w:color w:val="auto"/>
        </w:rPr>
        <w:t>Unconditional Right of Holders to Receive Principal and Interest.</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1280"/>
          </w:cols>
          <w:pgMar w:left="300" w:top="1112" w:right="319" w:bottom="1440" w:gutter="0" w:footer="0" w:header="0"/>
        </w:sectPr>
      </w:pPr>
    </w:p>
    <w:bookmarkStart w:id="69" w:name="page70"/>
    <w:bookmarkEnd w:id="69"/>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6.9</w:t>
      </w:r>
      <w:r>
        <w:rPr>
          <w:sz w:val="20"/>
          <w:szCs w:val="20"/>
          <w:color w:val="auto"/>
        </w:rPr>
        <w:tab/>
      </w:r>
      <w:r>
        <w:rPr>
          <w:rFonts w:ascii="Times New Roman" w:cs="Times New Roman" w:eastAsia="Times New Roman" w:hAnsi="Times New Roman"/>
          <w:sz w:val="13"/>
          <w:szCs w:val="13"/>
          <w:u w:val="single" w:color="auto"/>
          <w:color w:val="auto"/>
        </w:rPr>
        <w:t>Restoration of Rights and Remedies.</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4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6.10</w:t>
      </w:r>
      <w:r>
        <w:rPr>
          <w:sz w:val="20"/>
          <w:szCs w:val="20"/>
          <w:color w:val="auto"/>
        </w:rPr>
        <w:tab/>
      </w:r>
      <w:r>
        <w:rPr>
          <w:rFonts w:ascii="Times New Roman" w:cs="Times New Roman" w:eastAsia="Times New Roman" w:hAnsi="Times New Roman"/>
          <w:sz w:val="13"/>
          <w:szCs w:val="13"/>
          <w:u w:val="single" w:color="auto"/>
          <w:color w:val="auto"/>
        </w:rPr>
        <w:t>Rights and Remedies Cumulative.</w:t>
      </w:r>
    </w:p>
    <w:p>
      <w:pPr>
        <w:spacing w:after="0" w:line="16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4"/>
          <w:szCs w:val="14"/>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4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6.11</w:t>
      </w:r>
      <w:r>
        <w:rPr>
          <w:sz w:val="20"/>
          <w:szCs w:val="20"/>
          <w:color w:val="auto"/>
        </w:rPr>
        <w:tab/>
      </w:r>
      <w:r>
        <w:rPr>
          <w:rFonts w:ascii="Times New Roman" w:cs="Times New Roman" w:eastAsia="Times New Roman" w:hAnsi="Times New Roman"/>
          <w:sz w:val="13"/>
          <w:szCs w:val="13"/>
          <w:u w:val="single" w:color="auto"/>
          <w:color w:val="auto"/>
        </w:rPr>
        <w:t>Delay or Omission Not Waiver.</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6.12</w:t>
      </w:r>
      <w:r>
        <w:rPr>
          <w:sz w:val="20"/>
          <w:szCs w:val="20"/>
          <w:color w:val="auto"/>
        </w:rPr>
        <w:tab/>
      </w:r>
      <w:r>
        <w:rPr>
          <w:rFonts w:ascii="Times New Roman" w:cs="Times New Roman" w:eastAsia="Times New Roman" w:hAnsi="Times New Roman"/>
          <w:sz w:val="13"/>
          <w:szCs w:val="13"/>
          <w:u w:val="single" w:color="auto"/>
          <w:color w:val="auto"/>
        </w:rPr>
        <w:t>Control by Holders.</w:t>
      </w:r>
    </w:p>
    <w:p>
      <w:pPr>
        <w:spacing w:after="0" w:line="1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36" w:lineRule="exact"/>
        <w:rPr>
          <w:sz w:val="20"/>
          <w:szCs w:val="20"/>
          <w:color w:val="auto"/>
        </w:rPr>
      </w:pPr>
    </w:p>
    <w:p>
      <w:pPr>
        <w:ind w:left="180" w:hanging="178"/>
        <w:spacing w:after="0"/>
        <w:tabs>
          <w:tab w:leader="none" w:pos="1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direction shall not be in conflict with any rule of law or with this Indenture,</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take any other action deemed proper by the Trustee which is not inconsistent with such direction,</w:t>
      </w:r>
    </w:p>
    <w:p>
      <w:pPr>
        <w:spacing w:after="0" w:line="167" w:lineRule="exact"/>
        <w:rPr>
          <w:rFonts w:ascii="Times New Roman" w:cs="Times New Roman" w:eastAsia="Times New Roman" w:hAnsi="Times New Roman"/>
          <w:sz w:val="14"/>
          <w:szCs w:val="14"/>
          <w:color w:val="auto"/>
        </w:rPr>
      </w:pPr>
    </w:p>
    <w:p>
      <w:pPr>
        <w:ind w:firstLine="2"/>
        <w:spacing w:after="0" w:line="266" w:lineRule="auto"/>
        <w:tabs>
          <w:tab w:leader="none" w:pos="18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35" w:lineRule="exact"/>
        <w:rPr>
          <w:rFonts w:ascii="Times New Roman" w:cs="Times New Roman" w:eastAsia="Times New Roman" w:hAnsi="Times New Roman"/>
          <w:sz w:val="14"/>
          <w:szCs w:val="14"/>
          <w:color w:val="auto"/>
        </w:rPr>
      </w:pPr>
    </w:p>
    <w:p>
      <w:pPr>
        <w:ind w:right="480" w:firstLine="2"/>
        <w:spacing w:after="0" w:line="266" w:lineRule="auto"/>
        <w:tabs>
          <w:tab w:leader="none" w:pos="194"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6.13</w:t>
      </w:r>
      <w:r>
        <w:rPr>
          <w:sz w:val="20"/>
          <w:szCs w:val="20"/>
          <w:color w:val="auto"/>
        </w:rPr>
        <w:tab/>
      </w:r>
      <w:r>
        <w:rPr>
          <w:rFonts w:ascii="Times New Roman" w:cs="Times New Roman" w:eastAsia="Times New Roman" w:hAnsi="Times New Roman"/>
          <w:sz w:val="13"/>
          <w:szCs w:val="13"/>
          <w:u w:val="single" w:color="auto"/>
          <w:color w:val="auto"/>
        </w:rPr>
        <w:t>Waiver of Past Defaults.</w:t>
      </w:r>
    </w:p>
    <w:p>
      <w:pPr>
        <w:spacing w:after="0" w:line="16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4"/>
          <w:szCs w:val="14"/>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1260"/>
          </w:cols>
          <w:pgMar w:left="300" w:top="1112" w:right="339" w:bottom="1440" w:gutter="0" w:footer="0" w:header="0"/>
        </w:sectPr>
      </w:pPr>
    </w:p>
    <w:bookmarkStart w:id="70" w:name="page71"/>
    <w:bookmarkEnd w:id="70"/>
    <w:p>
      <w:pPr>
        <w:ind w:right="400"/>
        <w:spacing w:after="0" w:line="266" w:lineRule="auto"/>
        <w:rPr>
          <w:sz w:val="20"/>
          <w:szCs w:val="20"/>
          <w:color w:val="auto"/>
        </w:rPr>
      </w:pPr>
      <w:r>
        <w:rPr>
          <w:rFonts w:ascii="Times New Roman" w:cs="Times New Roman" w:eastAsia="Times New Roman" w:hAnsi="Times New Roman"/>
          <w:sz w:val="14"/>
          <w:szCs w:val="14"/>
          <w:color w:val="auto"/>
        </w:rPr>
        <w:t>any Event of Default arising therefrom shall be deemed to have been cured, for every purpose of this Indenture; but no such waiver shall extend to any subsequent or other Default or impair any right consequent thereon.</w:t>
      </w: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6.14</w:t>
      </w:r>
      <w:r>
        <w:rPr>
          <w:sz w:val="20"/>
          <w:szCs w:val="20"/>
          <w:color w:val="auto"/>
        </w:rPr>
        <w:tab/>
      </w:r>
      <w:r>
        <w:rPr>
          <w:rFonts w:ascii="Times New Roman" w:cs="Times New Roman" w:eastAsia="Times New Roman" w:hAnsi="Times New Roman"/>
          <w:sz w:val="13"/>
          <w:szCs w:val="13"/>
          <w:u w:val="single" w:color="auto"/>
          <w:color w:val="auto"/>
        </w:rPr>
        <w:t>Undertaking for Costs.</w:t>
      </w:r>
    </w:p>
    <w:p>
      <w:pPr>
        <w:spacing w:after="0" w:line="16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4"/>
          <w:szCs w:val="14"/>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ARTICLE VII.</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TRUSTEE</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7.1</w:t>
      </w:r>
      <w:r>
        <w:rPr>
          <w:sz w:val="20"/>
          <w:szCs w:val="20"/>
          <w:color w:val="auto"/>
        </w:rPr>
        <w:tab/>
      </w:r>
      <w:r>
        <w:rPr>
          <w:rFonts w:ascii="Times New Roman" w:cs="Times New Roman" w:eastAsia="Times New Roman" w:hAnsi="Times New Roman"/>
          <w:sz w:val="13"/>
          <w:szCs w:val="13"/>
          <w:u w:val="single" w:color="auto"/>
          <w:color w:val="auto"/>
        </w:rPr>
        <w:t>Duties of Trustee.</w:t>
      </w:r>
    </w:p>
    <w:p>
      <w:pPr>
        <w:spacing w:after="0" w:line="167" w:lineRule="exact"/>
        <w:rPr>
          <w:sz w:val="20"/>
          <w:szCs w:val="20"/>
          <w:color w:val="auto"/>
        </w:rPr>
      </w:pPr>
    </w:p>
    <w:p>
      <w:pPr>
        <w:ind w:right="40" w:firstLine="2"/>
        <w:spacing w:after="0" w:line="266" w:lineRule="auto"/>
        <w:tabs>
          <w:tab w:leader="none" w:pos="18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35"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during the continuance of an Event of Default:</w:t>
      </w:r>
    </w:p>
    <w:p>
      <w:pPr>
        <w:spacing w:after="0" w:line="167" w:lineRule="exact"/>
        <w:rPr>
          <w:sz w:val="20"/>
          <w:szCs w:val="20"/>
          <w:color w:val="auto"/>
        </w:rPr>
      </w:pPr>
    </w:p>
    <w:p>
      <w:pPr>
        <w:ind w:left="160" w:hanging="158"/>
        <w:spacing w:after="0"/>
        <w:tabs>
          <w:tab w:leader="none" w:pos="1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need perform only those duties that are specifically set forth in this Indenture and no others.</w:t>
      </w:r>
    </w:p>
    <w:p>
      <w:pPr>
        <w:spacing w:after="0" w:line="167" w:lineRule="exact"/>
        <w:rPr>
          <w:rFonts w:ascii="Times New Roman" w:cs="Times New Roman" w:eastAsia="Times New Roman" w:hAnsi="Times New Roman"/>
          <w:sz w:val="14"/>
          <w:szCs w:val="14"/>
          <w:color w:val="auto"/>
        </w:rPr>
      </w:pPr>
    </w:p>
    <w:p>
      <w:pPr>
        <w:ind w:right="60" w:firstLine="2"/>
        <w:spacing w:after="0" w:line="252" w:lineRule="auto"/>
        <w:tabs>
          <w:tab w:leader="none" w:pos="201"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145" w:lineRule="exact"/>
        <w:rPr>
          <w:sz w:val="20"/>
          <w:szCs w:val="20"/>
          <w:color w:val="auto"/>
        </w:rPr>
      </w:pPr>
    </w:p>
    <w:p>
      <w:pPr>
        <w:ind w:left="180" w:hanging="178"/>
        <w:spacing w:after="0"/>
        <w:tabs>
          <w:tab w:leader="none" w:pos="1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not be relieved from liability for its own negligent action, its own negligent failure to act or its own willful misconduct, except that:</w:t>
      </w:r>
    </w:p>
    <w:p>
      <w:pPr>
        <w:spacing w:after="0" w:line="167" w:lineRule="exact"/>
        <w:rPr>
          <w:rFonts w:ascii="Times New Roman" w:cs="Times New Roman" w:eastAsia="Times New Roman" w:hAnsi="Times New Roman"/>
          <w:sz w:val="14"/>
          <w:szCs w:val="14"/>
          <w:color w:val="auto"/>
        </w:rPr>
      </w:pPr>
    </w:p>
    <w:p>
      <w:pPr>
        <w:ind w:left="160" w:hanging="158"/>
        <w:spacing w:after="0"/>
        <w:tabs>
          <w:tab w:leader="none" w:pos="16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paragraph does not limit the effect of paragraph (b) of this Section.</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error of judgment made in good faith by a Responsible Officer, unless it is proved that the Trustee was negligent in ascertaining the pertinent facts.</w:t>
      </w:r>
    </w:p>
    <w:p>
      <w:pPr>
        <w:spacing w:after="0" w:line="167" w:lineRule="exact"/>
        <w:rPr>
          <w:sz w:val="20"/>
          <w:szCs w:val="20"/>
          <w:color w:val="auto"/>
        </w:rPr>
      </w:pPr>
    </w:p>
    <w:p>
      <w:pPr>
        <w:jc w:val="both"/>
        <w:ind w:right="60" w:firstLine="2"/>
        <w:spacing w:after="0" w:line="255" w:lineRule="auto"/>
        <w:tabs>
          <w:tab w:leader="none" w:pos="239"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43" w:lineRule="exact"/>
        <w:rPr>
          <w:sz w:val="20"/>
          <w:szCs w:val="20"/>
          <w:color w:val="auto"/>
        </w:rPr>
      </w:pPr>
    </w:p>
    <w:p>
      <w:pPr>
        <w:ind w:left="200" w:hanging="198"/>
        <w:spacing w:after="0"/>
        <w:tabs>
          <w:tab w:leader="none" w:pos="20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provision of this Indenture that in any way relates to the Trustee is subject to paragraph (a), (b) and (c) of this Section.</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87"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w:t>
      </w:r>
    </w:p>
    <w:p>
      <w:pPr>
        <w:sectPr>
          <w:pgSz w:w="11900" w:h="16838" w:orient="portrait"/>
          <w:cols w:equalWidth="0" w:num="1">
            <w:col w:w="11260"/>
          </w:cols>
          <w:pgMar w:left="300" w:top="1112" w:right="339" w:bottom="1440" w:gutter="0" w:footer="0" w:header="0"/>
        </w:sectPr>
      </w:pPr>
    </w:p>
    <w:bookmarkStart w:id="71" w:name="page72"/>
    <w:bookmarkEnd w:id="71"/>
    <w:p>
      <w:pPr>
        <w:ind w:right="460" w:firstLine="2"/>
        <w:spacing w:after="0" w:line="266" w:lineRule="auto"/>
        <w:tabs>
          <w:tab w:leader="none" w:pos="186"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35" w:lineRule="exact"/>
        <w:rPr>
          <w:rFonts w:ascii="Times New Roman" w:cs="Times New Roman" w:eastAsia="Times New Roman" w:hAnsi="Times New Roman"/>
          <w:sz w:val="14"/>
          <w:szCs w:val="14"/>
          <w:color w:val="auto"/>
        </w:rPr>
      </w:pPr>
    </w:p>
    <w:p>
      <w:pPr>
        <w:ind w:firstLine="2"/>
        <w:spacing w:after="0" w:line="266" w:lineRule="auto"/>
        <w:tabs>
          <w:tab w:leader="none" w:pos="171"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35" w:lineRule="exact"/>
        <w:rPr>
          <w:rFonts w:ascii="Times New Roman" w:cs="Times New Roman" w:eastAsia="Times New Roman" w:hAnsi="Times New Roman"/>
          <w:sz w:val="14"/>
          <w:szCs w:val="14"/>
          <w:color w:val="auto"/>
        </w:rPr>
      </w:pPr>
    </w:p>
    <w:p>
      <w:pPr>
        <w:ind w:right="380" w:firstLine="2"/>
        <w:spacing w:after="0" w:line="266" w:lineRule="auto"/>
        <w:tabs>
          <w:tab w:leader="none" w:pos="194"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35" w:lineRule="exact"/>
        <w:rPr>
          <w:rFonts w:ascii="Times New Roman" w:cs="Times New Roman" w:eastAsia="Times New Roman" w:hAnsi="Times New Roman"/>
          <w:sz w:val="14"/>
          <w:szCs w:val="14"/>
          <w:color w:val="auto"/>
        </w:rPr>
      </w:pPr>
    </w:p>
    <w:p>
      <w:pPr>
        <w:ind w:right="80" w:firstLine="2"/>
        <w:spacing w:after="0" w:line="266" w:lineRule="auto"/>
        <w:tabs>
          <w:tab w:leader="none" w:pos="194"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7.2</w:t>
      </w:r>
      <w:r>
        <w:rPr>
          <w:sz w:val="20"/>
          <w:szCs w:val="20"/>
          <w:color w:val="auto"/>
        </w:rPr>
        <w:tab/>
      </w:r>
      <w:r>
        <w:rPr>
          <w:rFonts w:ascii="Times New Roman" w:cs="Times New Roman" w:eastAsia="Times New Roman" w:hAnsi="Times New Roman"/>
          <w:sz w:val="13"/>
          <w:szCs w:val="13"/>
          <w:u w:val="single" w:color="auto"/>
          <w:color w:val="auto"/>
        </w:rPr>
        <w:t>Rights of Trustee.</w:t>
      </w:r>
    </w:p>
    <w:p>
      <w:pPr>
        <w:spacing w:after="0" w:line="167" w:lineRule="exact"/>
        <w:rPr>
          <w:sz w:val="20"/>
          <w:szCs w:val="20"/>
          <w:color w:val="auto"/>
        </w:rPr>
      </w:pPr>
    </w:p>
    <w:p>
      <w:pPr>
        <w:ind w:right="160" w:firstLine="2"/>
        <w:spacing w:after="0" w:line="266" w:lineRule="auto"/>
        <w:tabs>
          <w:tab w:leader="none" w:pos="18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135" w:lineRule="exact"/>
        <w:rPr>
          <w:rFonts w:ascii="Times New Roman" w:cs="Times New Roman" w:eastAsia="Times New Roman" w:hAnsi="Times New Roman"/>
          <w:sz w:val="14"/>
          <w:szCs w:val="14"/>
          <w:color w:val="auto"/>
        </w:rPr>
      </w:pPr>
    </w:p>
    <w:p>
      <w:pPr>
        <w:ind w:right="20" w:firstLine="2"/>
        <w:spacing w:after="0" w:line="266" w:lineRule="auto"/>
        <w:tabs>
          <w:tab w:leader="none" w:pos="19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35" w:lineRule="exact"/>
        <w:rPr>
          <w:rFonts w:ascii="Times New Roman" w:cs="Times New Roman" w:eastAsia="Times New Roman" w:hAnsi="Times New Roman"/>
          <w:sz w:val="14"/>
          <w:szCs w:val="14"/>
          <w:color w:val="auto"/>
        </w:rPr>
      </w:pPr>
    </w:p>
    <w:p>
      <w:pPr>
        <w:ind w:right="200" w:firstLine="2"/>
        <w:spacing w:after="0" w:line="266" w:lineRule="auto"/>
        <w:tabs>
          <w:tab w:leader="none" w:pos="18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35" w:lineRule="exact"/>
        <w:rPr>
          <w:rFonts w:ascii="Times New Roman" w:cs="Times New Roman" w:eastAsia="Times New Roman" w:hAnsi="Times New Roman"/>
          <w:sz w:val="14"/>
          <w:szCs w:val="14"/>
          <w:color w:val="auto"/>
        </w:rPr>
      </w:pPr>
    </w:p>
    <w:p>
      <w:pPr>
        <w:ind w:right="40" w:firstLine="2"/>
        <w:spacing w:after="0" w:line="266" w:lineRule="auto"/>
        <w:tabs>
          <w:tab w:leader="none" w:pos="19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35" w:lineRule="exact"/>
        <w:rPr>
          <w:rFonts w:ascii="Times New Roman" w:cs="Times New Roman" w:eastAsia="Times New Roman" w:hAnsi="Times New Roman"/>
          <w:sz w:val="14"/>
          <w:szCs w:val="14"/>
          <w:color w:val="auto"/>
        </w:rPr>
      </w:pPr>
    </w:p>
    <w:p>
      <w:pPr>
        <w:ind w:right="40" w:firstLine="2"/>
        <w:spacing w:after="0" w:line="266" w:lineRule="auto"/>
        <w:tabs>
          <w:tab w:leader="none" w:pos="186"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35" w:lineRule="exact"/>
        <w:rPr>
          <w:rFonts w:ascii="Times New Roman" w:cs="Times New Roman" w:eastAsia="Times New Roman" w:hAnsi="Times New Roman"/>
          <w:sz w:val="14"/>
          <w:szCs w:val="14"/>
          <w:color w:val="auto"/>
        </w:rPr>
      </w:pPr>
    </w:p>
    <w:p>
      <w:pPr>
        <w:ind w:right="120" w:firstLine="2"/>
        <w:spacing w:after="0" w:line="266" w:lineRule="auto"/>
        <w:tabs>
          <w:tab w:leader="none" w:pos="171"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35" w:lineRule="exact"/>
        <w:rPr>
          <w:rFonts w:ascii="Times New Roman" w:cs="Times New Roman" w:eastAsia="Times New Roman" w:hAnsi="Times New Roman"/>
          <w:sz w:val="14"/>
          <w:szCs w:val="14"/>
          <w:color w:val="auto"/>
        </w:rPr>
      </w:pPr>
    </w:p>
    <w:p>
      <w:pPr>
        <w:ind w:right="40" w:firstLine="2"/>
        <w:spacing w:after="0" w:line="305" w:lineRule="auto"/>
        <w:tabs>
          <w:tab w:leader="none" w:pos="194"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12" w:lineRule="exact"/>
        <w:rPr>
          <w:rFonts w:ascii="Times New Roman" w:cs="Times New Roman" w:eastAsia="Times New Roman" w:hAnsi="Times New Roman"/>
          <w:sz w:val="13"/>
          <w:szCs w:val="13"/>
          <w:color w:val="auto"/>
        </w:rPr>
      </w:pPr>
    </w:p>
    <w:p>
      <w:pPr>
        <w:ind w:right="60" w:firstLine="2"/>
        <w:spacing w:after="0" w:line="305" w:lineRule="auto"/>
        <w:tabs>
          <w:tab w:leader="none" w:pos="194"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1280"/>
          </w:cols>
          <w:pgMar w:left="300" w:top="1112" w:right="319" w:bottom="1440" w:gutter="0" w:footer="0" w:header="0"/>
        </w:sectPr>
      </w:pPr>
    </w:p>
    <w:bookmarkStart w:id="72" w:name="page73"/>
    <w:bookmarkEnd w:id="72"/>
    <w:p>
      <w:pPr>
        <w:ind w:right="60" w:firstLine="2"/>
        <w:spacing w:after="0" w:line="266" w:lineRule="auto"/>
        <w:tabs>
          <w:tab w:leader="none" w:pos="163"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35" w:lineRule="exact"/>
        <w:rPr>
          <w:rFonts w:ascii="Times New Roman" w:cs="Times New Roman" w:eastAsia="Times New Roman" w:hAnsi="Times New Roman"/>
          <w:sz w:val="14"/>
          <w:szCs w:val="14"/>
          <w:color w:val="auto"/>
        </w:rPr>
      </w:pPr>
    </w:p>
    <w:p>
      <w:pPr>
        <w:ind w:left="160" w:hanging="158"/>
        <w:spacing w:after="0"/>
        <w:tabs>
          <w:tab w:leader="none" w:pos="16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permissive right of the Trustee to take the actions permitted by this Indenture shall not be construed as an obligation or duty to do so.</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7.3</w:t>
      </w:r>
      <w:r>
        <w:rPr>
          <w:sz w:val="20"/>
          <w:szCs w:val="20"/>
          <w:color w:val="auto"/>
        </w:rPr>
        <w:tab/>
      </w:r>
      <w:r>
        <w:rPr>
          <w:rFonts w:ascii="Times New Roman" w:cs="Times New Roman" w:eastAsia="Times New Roman" w:hAnsi="Times New Roman"/>
          <w:sz w:val="13"/>
          <w:szCs w:val="13"/>
          <w:u w:val="single" w:color="auto"/>
          <w:color w:val="auto"/>
        </w:rPr>
        <w:t>Individual Rights of Trustee.</w:t>
      </w:r>
    </w:p>
    <w:p>
      <w:pPr>
        <w:spacing w:after="0" w:line="16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4"/>
          <w:szCs w:val="14"/>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7.4</w:t>
      </w:r>
      <w:r>
        <w:rPr>
          <w:sz w:val="20"/>
          <w:szCs w:val="20"/>
          <w:color w:val="auto"/>
        </w:rPr>
        <w:tab/>
      </w:r>
      <w:r>
        <w:rPr>
          <w:rFonts w:ascii="Times New Roman" w:cs="Times New Roman" w:eastAsia="Times New Roman" w:hAnsi="Times New Roman"/>
          <w:sz w:val="13"/>
          <w:szCs w:val="13"/>
          <w:u w:val="single" w:color="auto"/>
          <w:color w:val="auto"/>
        </w:rPr>
        <w:t>Trustee’s Disclaimer.</w:t>
      </w:r>
    </w:p>
    <w:p>
      <w:pPr>
        <w:spacing w:after="0" w:line="1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7.5</w:t>
      </w:r>
      <w:r>
        <w:rPr>
          <w:sz w:val="20"/>
          <w:szCs w:val="20"/>
          <w:color w:val="auto"/>
        </w:rPr>
        <w:tab/>
      </w:r>
      <w:r>
        <w:rPr>
          <w:rFonts w:ascii="Times New Roman" w:cs="Times New Roman" w:eastAsia="Times New Roman" w:hAnsi="Times New Roman"/>
          <w:sz w:val="13"/>
          <w:szCs w:val="13"/>
          <w:u w:val="single" w:color="auto"/>
          <w:color w:val="auto"/>
        </w:rPr>
        <w:t>Notice of Defaults.</w:t>
      </w:r>
    </w:p>
    <w:p>
      <w:pPr>
        <w:spacing w:after="0" w:line="1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4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7.6</w:t>
      </w:r>
      <w:r>
        <w:rPr>
          <w:sz w:val="20"/>
          <w:szCs w:val="20"/>
          <w:color w:val="auto"/>
        </w:rPr>
        <w:tab/>
      </w:r>
      <w:r>
        <w:rPr>
          <w:rFonts w:ascii="Times New Roman" w:cs="Times New Roman" w:eastAsia="Times New Roman" w:hAnsi="Times New Roman"/>
          <w:sz w:val="13"/>
          <w:szCs w:val="13"/>
          <w:u w:val="single" w:color="auto"/>
          <w:color w:val="auto"/>
        </w:rPr>
        <w:t>Reports by Trustee to Holders.</w:t>
      </w:r>
    </w:p>
    <w:p>
      <w:pPr>
        <w:spacing w:after="0" w:line="16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4"/>
          <w:szCs w:val="14"/>
          <w:color w:val="auto"/>
        </w:rPr>
        <w:t>Within 60 days after each [ ] commencing [ ], [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3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4"/>
          <w:szCs w:val="14"/>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7.7</w:t>
      </w:r>
      <w:r>
        <w:rPr>
          <w:sz w:val="20"/>
          <w:szCs w:val="20"/>
          <w:color w:val="auto"/>
        </w:rPr>
        <w:tab/>
      </w:r>
      <w:r>
        <w:rPr>
          <w:rFonts w:ascii="Times New Roman" w:cs="Times New Roman" w:eastAsia="Times New Roman" w:hAnsi="Times New Roman"/>
          <w:sz w:val="13"/>
          <w:szCs w:val="13"/>
          <w:u w:val="single" w:color="auto"/>
          <w:color w:val="auto"/>
        </w:rPr>
        <w:t>Compensation and Indemnity.</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14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3"/>
          <w:szCs w:val="13"/>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1260"/>
          </w:cols>
          <w:pgMar w:left="300" w:top="1112" w:right="339" w:bottom="1440" w:gutter="0" w:footer="0" w:header="0"/>
        </w:sectPr>
      </w:pPr>
    </w:p>
    <w:bookmarkStart w:id="73" w:name="page74"/>
    <w:bookmarkEnd w:id="73"/>
    <w:p>
      <w:pPr>
        <w:ind w:right="20"/>
        <w:spacing w:after="0" w:line="266" w:lineRule="auto"/>
        <w:rPr>
          <w:sz w:val="20"/>
          <w:szCs w:val="20"/>
          <w:color w:val="auto"/>
        </w:rPr>
      </w:pPr>
      <w:r>
        <w:rPr>
          <w:rFonts w:ascii="Times New Roman" w:cs="Times New Roman" w:eastAsia="Times New Roman" w:hAnsi="Times New Roman"/>
          <w:sz w:val="14"/>
          <w:szCs w:val="14"/>
          <w:color w:val="auto"/>
        </w:rPr>
        <w:t>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3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4"/>
          <w:szCs w:val="14"/>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3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36"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4"/>
          <w:szCs w:val="14"/>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provisions of this Section shall survive the termination of this Indenture.</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7.8</w:t>
      </w:r>
      <w:r>
        <w:rPr>
          <w:sz w:val="20"/>
          <w:szCs w:val="20"/>
          <w:color w:val="auto"/>
        </w:rPr>
        <w:tab/>
      </w:r>
      <w:r>
        <w:rPr>
          <w:rFonts w:ascii="Times New Roman" w:cs="Times New Roman" w:eastAsia="Times New Roman" w:hAnsi="Times New Roman"/>
          <w:sz w:val="13"/>
          <w:szCs w:val="13"/>
          <w:u w:val="single" w:color="auto"/>
          <w:color w:val="auto"/>
        </w:rPr>
        <w:t>Replacement of Trustee.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resignation or removal of the Trustee and appointment of a successor Trustee shall become effective only upon the successor Trustee’s acceptance of appointment as provided in this Section.</w:t>
      </w:r>
    </w:p>
    <w:p>
      <w:pPr>
        <w:spacing w:after="0" w:line="167"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4"/>
          <w:szCs w:val="14"/>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43" w:lineRule="exact"/>
        <w:rPr>
          <w:sz w:val="20"/>
          <w:szCs w:val="20"/>
          <w:color w:val="auto"/>
        </w:rPr>
      </w:pPr>
    </w:p>
    <w:p>
      <w:pPr>
        <w:ind w:left="180" w:hanging="178"/>
        <w:spacing w:after="0"/>
        <w:tabs>
          <w:tab w:leader="none" w:pos="1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comply with Section 7.10;</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is adjudged a bankrupt or an insolvent or an order for relief is entered with respect to the Trustee under any Bankruptcy Law;</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Custodian or public officer takes charge of the Trustee or its property; or</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becomes incapable of acting.</w:t>
      </w:r>
    </w:p>
    <w:p>
      <w:pPr>
        <w:spacing w:after="0" w:line="1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3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4"/>
          <w:szCs w:val="14"/>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3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3"/>
          <w:szCs w:val="13"/>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1280"/>
          </w:cols>
          <w:pgMar w:left="300" w:top="1111"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color w:val="auto"/>
        </w:rPr>
        <w:t>Trustee with respect to expenses and liabilities incurred by it for actions taken or omitted to be taken in accordance with its rights, powers and duties under this Indenture prior to such replacement.</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7.9</w:t>
      </w:r>
      <w:r>
        <w:rPr>
          <w:sz w:val="20"/>
          <w:szCs w:val="20"/>
          <w:color w:val="auto"/>
        </w:rPr>
        <w:tab/>
      </w:r>
      <w:r>
        <w:rPr>
          <w:rFonts w:ascii="Times New Roman" w:cs="Times New Roman" w:eastAsia="Times New Roman" w:hAnsi="Times New Roman"/>
          <w:sz w:val="13"/>
          <w:szCs w:val="13"/>
          <w:u w:val="single" w:color="auto"/>
          <w:color w:val="auto"/>
        </w:rPr>
        <w:t>Successor Trustee by Merger, Etc.</w:t>
      </w:r>
    </w:p>
    <w:p>
      <w:pPr>
        <w:spacing w:after="0" w:line="16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36" w:lineRule="exact"/>
        <w:rPr>
          <w:sz w:val="20"/>
          <w:szCs w:val="20"/>
          <w:color w:val="auto"/>
        </w:rPr>
      </w:pPr>
    </w:p>
    <w:p>
      <w:pPr>
        <w:spacing w:after="0"/>
        <w:tabs>
          <w:tab w:leader="none" w:pos="800" w:val="left"/>
          <w:tab w:leader="none" w:pos="1660" w:val="left"/>
        </w:tabs>
        <w:rPr>
          <w:sz w:val="20"/>
          <w:szCs w:val="20"/>
          <w:color w:val="auto"/>
        </w:rPr>
      </w:pPr>
      <w:r>
        <w:rPr>
          <w:rFonts w:ascii="Times New Roman" w:cs="Times New Roman" w:eastAsia="Times New Roman" w:hAnsi="Times New Roman"/>
          <w:sz w:val="14"/>
          <w:szCs w:val="14"/>
          <w:color w:val="auto"/>
        </w:rPr>
        <w:t>Section 7.10</w:t>
      </w:r>
      <w:r>
        <w:rPr>
          <w:sz w:val="20"/>
          <w:szCs w:val="20"/>
          <w:color w:val="auto"/>
        </w:rPr>
        <w:tab/>
      </w:r>
      <w:r>
        <w:rPr>
          <w:rFonts w:ascii="Times New Roman" w:cs="Times New Roman" w:eastAsia="Times New Roman" w:hAnsi="Times New Roman"/>
          <w:sz w:val="14"/>
          <w:szCs w:val="14"/>
          <w:u w:val="single" w:color="auto"/>
          <w:color w:val="auto"/>
        </w:rPr>
        <w:t>Section 7.10.</w:t>
      </w:r>
      <w:r>
        <w:rPr>
          <w:sz w:val="20"/>
          <w:szCs w:val="20"/>
          <w:color w:val="auto"/>
        </w:rPr>
        <w:tab/>
      </w:r>
      <w:r>
        <w:rPr>
          <w:rFonts w:ascii="Times New Roman" w:cs="Times New Roman" w:eastAsia="Times New Roman" w:hAnsi="Times New Roman"/>
          <w:sz w:val="13"/>
          <w:szCs w:val="13"/>
          <w:u w:val="single" w:color="auto"/>
          <w:color w:val="auto"/>
        </w:rPr>
        <w:t>Eligibility; Disqualification.</w:t>
      </w:r>
    </w:p>
    <w:p>
      <w:pPr>
        <w:spacing w:after="0" w:line="1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36" w:lineRule="exact"/>
        <w:rPr>
          <w:sz w:val="20"/>
          <w:szCs w:val="20"/>
          <w:color w:val="auto"/>
        </w:rPr>
      </w:pPr>
    </w:p>
    <w:p>
      <w:pPr>
        <w:spacing w:after="0"/>
        <w:tabs>
          <w:tab w:leader="none" w:pos="800" w:val="left"/>
          <w:tab w:leader="none" w:pos="1640" w:val="left"/>
        </w:tabs>
        <w:rPr>
          <w:sz w:val="20"/>
          <w:szCs w:val="20"/>
          <w:color w:val="auto"/>
        </w:rPr>
      </w:pPr>
      <w:r>
        <w:rPr>
          <w:rFonts w:ascii="Times New Roman" w:cs="Times New Roman" w:eastAsia="Times New Roman" w:hAnsi="Times New Roman"/>
          <w:sz w:val="14"/>
          <w:szCs w:val="14"/>
          <w:color w:val="auto"/>
        </w:rPr>
        <w:t>Section 7.11</w:t>
      </w:r>
      <w:r>
        <w:rPr>
          <w:sz w:val="20"/>
          <w:szCs w:val="20"/>
          <w:color w:val="auto"/>
        </w:rPr>
        <w:tab/>
      </w:r>
      <w:r>
        <w:rPr>
          <w:rFonts w:ascii="Times New Roman" w:cs="Times New Roman" w:eastAsia="Times New Roman" w:hAnsi="Times New Roman"/>
          <w:sz w:val="14"/>
          <w:szCs w:val="14"/>
          <w:u w:val="single" w:color="auto"/>
          <w:color w:val="auto"/>
        </w:rPr>
        <w:t>Section 7.11.</w:t>
      </w:r>
      <w:r>
        <w:rPr>
          <w:sz w:val="20"/>
          <w:szCs w:val="20"/>
          <w:color w:val="auto"/>
        </w:rPr>
        <w:tab/>
      </w:r>
      <w:r>
        <w:rPr>
          <w:rFonts w:ascii="Times New Roman" w:cs="Times New Roman" w:eastAsia="Times New Roman" w:hAnsi="Times New Roman"/>
          <w:sz w:val="13"/>
          <w:szCs w:val="13"/>
          <w:u w:val="single" w:color="auto"/>
          <w:color w:val="auto"/>
        </w:rPr>
        <w:t>Preferential Collection of Claims Against Company.</w:t>
      </w:r>
    </w:p>
    <w:p>
      <w:pPr>
        <w:spacing w:after="0" w:line="16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3"/>
          <w:szCs w:val="13"/>
          <w:color w:val="auto"/>
        </w:rPr>
        <w:t>The Trustee is subject to TIA § 311(a), excluding any creditor relationship listed in TIA § 311(b). A Trustee who has resigned or been removed shall be subject to TIA § 311(a) to the extent indicated.</w:t>
      </w:r>
    </w:p>
    <w:p>
      <w:pPr>
        <w:spacing w:after="0" w:line="1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ARTICLE VIII.</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SATISFACTION AND DISCHARGE; DEFEASANCE</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8.1</w:t>
      </w:r>
      <w:r>
        <w:rPr>
          <w:sz w:val="20"/>
          <w:szCs w:val="20"/>
          <w:color w:val="auto"/>
        </w:rPr>
        <w:tab/>
      </w:r>
      <w:r>
        <w:rPr>
          <w:rFonts w:ascii="Times New Roman" w:cs="Times New Roman" w:eastAsia="Times New Roman" w:hAnsi="Times New Roman"/>
          <w:sz w:val="13"/>
          <w:szCs w:val="13"/>
          <w:u w:val="single" w:color="auto"/>
          <w:color w:val="auto"/>
        </w:rPr>
        <w:t>Satisfaction and Discharge of Indenture.</w:t>
      </w:r>
    </w:p>
    <w:p>
      <w:pPr>
        <w:spacing w:after="0" w:line="1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either</w:t>
      </w:r>
    </w:p>
    <w:p>
      <w:pPr>
        <w:spacing w:after="0" w:line="167" w:lineRule="exact"/>
        <w:rPr>
          <w:sz w:val="20"/>
          <w:szCs w:val="20"/>
          <w:color w:val="auto"/>
        </w:rPr>
      </w:pPr>
    </w:p>
    <w:p>
      <w:pPr>
        <w:ind w:right="100" w:firstLine="2"/>
        <w:spacing w:after="0" w:line="266" w:lineRule="auto"/>
        <w:tabs>
          <w:tab w:leader="none" w:pos="163"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35"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such Securities of such Series not theretofore delivered to the Trustee for cancellation</w:t>
      </w:r>
    </w:p>
    <w:p>
      <w:pPr>
        <w:spacing w:after="0" w:line="167" w:lineRule="exact"/>
        <w:rPr>
          <w:sz w:val="20"/>
          <w:szCs w:val="20"/>
          <w:color w:val="auto"/>
        </w:rPr>
      </w:pPr>
    </w:p>
    <w:p>
      <w:pPr>
        <w:ind w:left="200" w:hanging="198"/>
        <w:spacing w:after="0"/>
        <w:tabs>
          <w:tab w:leader="none" w:pos="2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become due and payable by reason of sending a notice of redemption or otherwise, or</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become due and payable at their Stated Maturity within one year, or</w:t>
      </w:r>
    </w:p>
    <w:p>
      <w:pPr>
        <w:spacing w:after="0" w:line="167" w:lineRule="exact"/>
        <w:rPr>
          <w:rFonts w:ascii="Times New Roman" w:cs="Times New Roman" w:eastAsia="Times New Roman" w:hAnsi="Times New Roman"/>
          <w:sz w:val="14"/>
          <w:szCs w:val="14"/>
          <w:color w:val="auto"/>
        </w:rPr>
      </w:pPr>
    </w:p>
    <w:p>
      <w:pPr>
        <w:ind w:firstLine="2"/>
        <w:spacing w:after="0" w:line="266" w:lineRule="auto"/>
        <w:tabs>
          <w:tab w:leader="none" w:pos="194"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35"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are deemed paid and discharged pursuant to Section 8.3, as applicable;</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and the Company, in the case of (1), (2) or (3) 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43" w:lineRule="exact"/>
        <w:rPr>
          <w:sz w:val="20"/>
          <w:szCs w:val="20"/>
          <w:color w:val="auto"/>
        </w:rPr>
      </w:pPr>
    </w:p>
    <w:p>
      <w:pPr>
        <w:ind w:left="200" w:hanging="198"/>
        <w:spacing w:after="0"/>
        <w:tabs>
          <w:tab w:leader="none" w:pos="20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paid or caused to be paid all other sums payable hereunder by the Company; and</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387" w:lineRule="exact"/>
        <w:rPr>
          <w:rFonts w:ascii="Times New Roman" w:cs="Times New Roman" w:eastAsia="Times New Roman" w:hAnsi="Times New Roman"/>
          <w:sz w:val="14"/>
          <w:szCs w:val="14"/>
          <w:color w:val="auto"/>
        </w:rPr>
      </w:pPr>
    </w:p>
    <w:p>
      <w:pPr>
        <w:ind w:left="55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w:t>
      </w:r>
    </w:p>
    <w:p>
      <w:pPr>
        <w:sectPr>
          <w:pgSz w:w="11900" w:h="16838" w:orient="portrait"/>
          <w:cols w:equalWidth="0" w:num="1">
            <w:col w:w="11240"/>
          </w:cols>
          <w:pgMar w:left="300" w:top="1111" w:right="359" w:bottom="1440" w:gutter="0" w:footer="0" w:header="0"/>
        </w:sectPr>
      </w:pPr>
    </w:p>
    <w:bookmarkStart w:id="75" w:name="page76"/>
    <w:bookmarkEnd w:id="75"/>
    <w:p>
      <w:pPr>
        <w:ind w:right="380" w:firstLine="2"/>
        <w:spacing w:after="0" w:line="266" w:lineRule="auto"/>
        <w:tabs>
          <w:tab w:leader="none" w:pos="186"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Notwithstanding the satisfaction and discharge of this Indenture, the obligations of the Company to the Trustee under Section 7.7, and, if money shall have been deposited with the Trustee pursuant to clause</w:t>
      </w:r>
    </w:p>
    <w:p>
      <w:pPr>
        <w:spacing w:after="0" w:line="26" w:lineRule="exact"/>
        <w:rPr>
          <w:sz w:val="20"/>
          <w:szCs w:val="20"/>
          <w:color w:val="auto"/>
        </w:rPr>
      </w:pPr>
    </w:p>
    <w:p>
      <w:pPr>
        <w:ind w:right="6680" w:firstLine="2"/>
        <w:spacing w:after="0" w:line="480" w:lineRule="auto"/>
        <w:tabs>
          <w:tab w:leader="none" w:pos="186"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 this Section, the provisions of Sections 2.4, 2.7, 2.8, 8.2 and 8.5 shall survive. Section 8.2 </w:t>
      </w:r>
      <w:r>
        <w:rPr>
          <w:rFonts w:ascii="Times New Roman" w:cs="Times New Roman" w:eastAsia="Times New Roman" w:hAnsi="Times New Roman"/>
          <w:sz w:val="14"/>
          <w:szCs w:val="14"/>
          <w:u w:val="single" w:color="auto"/>
          <w:color w:val="auto"/>
        </w:rPr>
        <w:t>Application of Trust Funds; Indemnification.</w:t>
      </w:r>
    </w:p>
    <w:p>
      <w:pPr>
        <w:spacing w:after="0" w:line="1" w:lineRule="exact"/>
        <w:rPr>
          <w:sz w:val="20"/>
          <w:szCs w:val="20"/>
          <w:color w:val="auto"/>
        </w:rPr>
      </w:pPr>
    </w:p>
    <w:p>
      <w:pPr>
        <w:ind w:right="40" w:firstLine="2"/>
        <w:spacing w:after="0" w:line="250" w:lineRule="auto"/>
        <w:tabs>
          <w:tab w:leader="none" w:pos="186"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8.5, all money and U.S. Government Obligations or Foreign Government Obligations deposited with the Trustee pursuant to Sections 8.1, 8.3 or 8.4 and all money received by the Trustee in respect of U.S. Government Obligations or Foreign Government Obligations deposited with the Trustee pursuant to Sections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46" w:lineRule="exact"/>
        <w:rPr>
          <w:rFonts w:ascii="Times New Roman" w:cs="Times New Roman" w:eastAsia="Times New Roman" w:hAnsi="Times New Roman"/>
          <w:sz w:val="14"/>
          <w:szCs w:val="14"/>
          <w:color w:val="auto"/>
        </w:rPr>
      </w:pPr>
    </w:p>
    <w:p>
      <w:pPr>
        <w:ind w:right="100" w:firstLine="2"/>
        <w:spacing w:after="0" w:line="266" w:lineRule="auto"/>
        <w:tabs>
          <w:tab w:leader="none" w:pos="194"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35" w:lineRule="exact"/>
        <w:rPr>
          <w:rFonts w:ascii="Times New Roman" w:cs="Times New Roman" w:eastAsia="Times New Roman" w:hAnsi="Times New Roman"/>
          <w:sz w:val="14"/>
          <w:szCs w:val="14"/>
          <w:color w:val="auto"/>
        </w:rPr>
      </w:pPr>
    </w:p>
    <w:p>
      <w:pPr>
        <w:ind w:right="140" w:firstLine="2"/>
        <w:spacing w:after="0" w:line="277" w:lineRule="auto"/>
        <w:tabs>
          <w:tab w:leader="none" w:pos="186"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3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8.3</w:t>
      </w:r>
      <w:r>
        <w:rPr>
          <w:sz w:val="20"/>
          <w:szCs w:val="20"/>
          <w:color w:val="auto"/>
        </w:rPr>
        <w:tab/>
      </w:r>
      <w:r>
        <w:rPr>
          <w:rFonts w:ascii="Times New Roman" w:cs="Times New Roman" w:eastAsia="Times New Roman" w:hAnsi="Times New Roman"/>
          <w:sz w:val="13"/>
          <w:szCs w:val="13"/>
          <w:u w:val="single" w:color="auto"/>
          <w:color w:val="auto"/>
        </w:rPr>
        <w:t>Legal Defeasance of Securities of any Series.</w:t>
      </w:r>
    </w:p>
    <w:p>
      <w:pPr>
        <w:spacing w:after="0" w:line="167" w:lineRule="exact"/>
        <w:rPr>
          <w:sz w:val="20"/>
          <w:szCs w:val="20"/>
          <w:color w:val="auto"/>
        </w:rPr>
      </w:pPr>
    </w:p>
    <w:p>
      <w:pPr>
        <w:jc w:val="both"/>
        <w:ind w:right="60"/>
        <w:spacing w:after="0" w:line="284" w:lineRule="auto"/>
        <w:rPr>
          <w:sz w:val="20"/>
          <w:szCs w:val="20"/>
          <w:color w:val="auto"/>
        </w:rPr>
      </w:pPr>
      <w:r>
        <w:rPr>
          <w:rFonts w:ascii="Times New Roman" w:cs="Times New Roman" w:eastAsia="Times New Roman" w:hAnsi="Times New Roman"/>
          <w:sz w:val="13"/>
          <w:szCs w:val="13"/>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26" w:lineRule="exact"/>
        <w:rPr>
          <w:sz w:val="20"/>
          <w:szCs w:val="20"/>
          <w:color w:val="auto"/>
        </w:rPr>
      </w:pPr>
    </w:p>
    <w:p>
      <w:pPr>
        <w:ind w:right="120" w:firstLine="2"/>
        <w:spacing w:after="0" w:line="255" w:lineRule="auto"/>
        <w:tabs>
          <w:tab w:leader="none" w:pos="186"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143"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of Sections 2.4, 2.5, 2.7, 2.8, 7.7, 8.2, 8.3, 8.5 and 8.6; and</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powers, trusts and immunities of the Trustee hereunder and the Company’s obligations in connection therewith;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provided that, the following conditions shall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1260"/>
          </w:cols>
          <w:pgMar w:left="300" w:top="1112" w:right="339" w:bottom="1440" w:gutter="0" w:footer="0" w:header="0"/>
        </w:sectPr>
      </w:pPr>
    </w:p>
    <w:bookmarkStart w:id="76" w:name="page77"/>
    <w:bookmarkEnd w:id="76"/>
    <w:p>
      <w:pPr>
        <w:ind w:firstLine="2"/>
        <w:spacing w:after="0" w:line="248" w:lineRule="auto"/>
        <w:tabs>
          <w:tab w:leader="none" w:pos="194"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48"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will not result in a breach or violation of, or constitute a default under, this Indenture or any other agreement or instrument to which the Company is a party or by which it is bound;</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Default or Event of Default with respect to the Securities of such Series shall have occurred and be continuing on the date of such deposit or during the period ending on the 91st day after such date;</w:t>
      </w:r>
    </w:p>
    <w:p>
      <w:pPr>
        <w:spacing w:after="0" w:line="178" w:lineRule="exact"/>
        <w:rPr>
          <w:rFonts w:ascii="Times New Roman" w:cs="Times New Roman" w:eastAsia="Times New Roman" w:hAnsi="Times New Roman"/>
          <w:sz w:val="13"/>
          <w:szCs w:val="13"/>
          <w:color w:val="auto"/>
        </w:rPr>
      </w:pPr>
    </w:p>
    <w:p>
      <w:pPr>
        <w:ind w:right="320" w:firstLine="2"/>
        <w:spacing w:after="0" w:line="250" w:lineRule="auto"/>
        <w:tabs>
          <w:tab w:leader="none" w:pos="194"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146" w:lineRule="exact"/>
        <w:rPr>
          <w:rFonts w:ascii="Times New Roman" w:cs="Times New Roman" w:eastAsia="Times New Roman" w:hAnsi="Times New Roman"/>
          <w:sz w:val="14"/>
          <w:szCs w:val="14"/>
          <w:color w:val="auto"/>
        </w:rPr>
      </w:pPr>
    </w:p>
    <w:p>
      <w:pPr>
        <w:ind w:right="160" w:firstLine="2"/>
        <w:spacing w:after="0" w:line="266" w:lineRule="auto"/>
        <w:tabs>
          <w:tab w:leader="none" w:pos="194"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35" w:lineRule="exact"/>
        <w:rPr>
          <w:rFonts w:ascii="Times New Roman" w:cs="Times New Roman" w:eastAsia="Times New Roman" w:hAnsi="Times New Roman"/>
          <w:sz w:val="14"/>
          <w:szCs w:val="14"/>
          <w:color w:val="auto"/>
        </w:rPr>
      </w:pPr>
    </w:p>
    <w:p>
      <w:pPr>
        <w:ind w:right="40" w:firstLine="2"/>
        <w:spacing w:after="0" w:line="266" w:lineRule="auto"/>
        <w:tabs>
          <w:tab w:leader="none" w:pos="163"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8.4</w:t>
      </w:r>
      <w:r>
        <w:rPr>
          <w:sz w:val="20"/>
          <w:szCs w:val="20"/>
          <w:color w:val="auto"/>
        </w:rPr>
        <w:tab/>
      </w:r>
      <w:r>
        <w:rPr>
          <w:rFonts w:ascii="Times New Roman" w:cs="Times New Roman" w:eastAsia="Times New Roman" w:hAnsi="Times New Roman"/>
          <w:sz w:val="13"/>
          <w:szCs w:val="13"/>
          <w:u w:val="single" w:color="auto"/>
          <w:color w:val="auto"/>
        </w:rPr>
        <w:t>Covenant Defeasance.</w:t>
      </w:r>
    </w:p>
    <w:p>
      <w:pPr>
        <w:spacing w:after="0" w:line="16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4"/>
          <w:szCs w:val="14"/>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47" w:lineRule="exact"/>
        <w:rPr>
          <w:sz w:val="20"/>
          <w:szCs w:val="20"/>
          <w:color w:val="auto"/>
        </w:rPr>
      </w:pPr>
    </w:p>
    <w:p>
      <w:pPr>
        <w:ind w:firstLine="2"/>
        <w:spacing w:after="0" w:line="255" w:lineRule="auto"/>
        <w:tabs>
          <w:tab w:leader="none" w:pos="186"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1260"/>
          </w:cols>
          <w:pgMar w:left="300" w:top="1111" w:right="339" w:bottom="1440" w:gutter="0" w:footer="0" w:header="0"/>
        </w:sectPr>
      </w:pPr>
    </w:p>
    <w:bookmarkStart w:id="77" w:name="page78"/>
    <w:bookmarkEnd w:id="77"/>
    <w:p>
      <w:pPr>
        <w:ind w:right="60"/>
        <w:spacing w:after="0" w:line="252" w:lineRule="auto"/>
        <w:rPr>
          <w:sz w:val="20"/>
          <w:szCs w:val="20"/>
          <w:color w:val="auto"/>
        </w:rPr>
      </w:pPr>
      <w:r>
        <w:rPr>
          <w:rFonts w:ascii="Times New Roman" w:cs="Times New Roman" w:eastAsia="Times New Roman" w:hAnsi="Times New Roman"/>
          <w:sz w:val="14"/>
          <w:szCs w:val="14"/>
          <w:color w:val="auto"/>
        </w:rPr>
        <w:t>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145" w:lineRule="exact"/>
        <w:rPr>
          <w:sz w:val="20"/>
          <w:szCs w:val="20"/>
          <w:color w:val="auto"/>
        </w:rPr>
      </w:pPr>
    </w:p>
    <w:p>
      <w:pPr>
        <w:ind w:left="200" w:hanging="198"/>
        <w:spacing w:after="0"/>
        <w:tabs>
          <w:tab w:leader="none" w:pos="20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will not result in a breach or violation of, or constitute a default under, this Indenture or any other agreement or instrument to which the Company is a party or by which it is bound;</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Securities of such Series shall have occurred and be continuing on the date of such deposit;</w:t>
      </w:r>
    </w:p>
    <w:p>
      <w:pPr>
        <w:spacing w:after="0" w:line="167" w:lineRule="exact"/>
        <w:rPr>
          <w:rFonts w:ascii="Times New Roman" w:cs="Times New Roman" w:eastAsia="Times New Roman" w:hAnsi="Times New Roman"/>
          <w:sz w:val="14"/>
          <w:szCs w:val="14"/>
          <w:color w:val="auto"/>
        </w:rPr>
      </w:pPr>
    </w:p>
    <w:p>
      <w:pPr>
        <w:jc w:val="both"/>
        <w:ind w:right="160" w:firstLine="2"/>
        <w:spacing w:after="0" w:line="255" w:lineRule="auto"/>
        <w:tabs>
          <w:tab w:leader="none" w:pos="194"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43" w:lineRule="exact"/>
        <w:rPr>
          <w:rFonts w:ascii="Times New Roman" w:cs="Times New Roman" w:eastAsia="Times New Roman" w:hAnsi="Times New Roman"/>
          <w:sz w:val="14"/>
          <w:szCs w:val="14"/>
          <w:color w:val="auto"/>
        </w:rPr>
      </w:pPr>
    </w:p>
    <w:p>
      <w:pPr>
        <w:ind w:right="380" w:firstLine="2"/>
        <w:spacing w:after="0" w:line="266" w:lineRule="auto"/>
        <w:tabs>
          <w:tab w:leader="none" w:pos="186"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35" w:lineRule="exact"/>
        <w:rPr>
          <w:rFonts w:ascii="Times New Roman" w:cs="Times New Roman" w:eastAsia="Times New Roman" w:hAnsi="Times New Roman"/>
          <w:sz w:val="14"/>
          <w:szCs w:val="14"/>
          <w:color w:val="auto"/>
        </w:rPr>
      </w:pPr>
    </w:p>
    <w:p>
      <w:pPr>
        <w:ind w:right="280" w:firstLine="2"/>
        <w:spacing w:after="0" w:line="266" w:lineRule="auto"/>
        <w:tabs>
          <w:tab w:leader="none" w:pos="171"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8.5</w:t>
      </w:r>
      <w:r>
        <w:rPr>
          <w:sz w:val="20"/>
          <w:szCs w:val="20"/>
          <w:color w:val="auto"/>
        </w:rPr>
        <w:tab/>
      </w:r>
      <w:r>
        <w:rPr>
          <w:rFonts w:ascii="Times New Roman" w:cs="Times New Roman" w:eastAsia="Times New Roman" w:hAnsi="Times New Roman"/>
          <w:sz w:val="13"/>
          <w:szCs w:val="13"/>
          <w:u w:val="single" w:color="auto"/>
          <w:color w:val="auto"/>
        </w:rPr>
        <w:t>Repayment to Company.</w:t>
      </w:r>
    </w:p>
    <w:p>
      <w:pPr>
        <w:spacing w:after="0" w:line="167"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4"/>
          <w:szCs w:val="14"/>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4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8.6</w:t>
      </w:r>
      <w:r>
        <w:rPr>
          <w:sz w:val="20"/>
          <w:szCs w:val="20"/>
          <w:color w:val="auto"/>
        </w:rPr>
        <w:tab/>
      </w:r>
      <w:r>
        <w:rPr>
          <w:rFonts w:ascii="Times New Roman" w:cs="Times New Roman" w:eastAsia="Times New Roman" w:hAnsi="Times New Roman"/>
          <w:sz w:val="13"/>
          <w:szCs w:val="13"/>
          <w:u w:val="single" w:color="auto"/>
          <w:color w:val="auto"/>
        </w:rPr>
        <w:t>Reinstatement.</w:t>
      </w:r>
    </w:p>
    <w:p>
      <w:pPr>
        <w:spacing w:after="0" w:line="16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1280"/>
          </w:cols>
          <w:pgMar w:left="300" w:top="1111" w:right="319" w:bottom="1440" w:gutter="0" w:footer="0" w:header="0"/>
        </w:sectPr>
      </w:pPr>
    </w:p>
    <w:bookmarkStart w:id="78" w:name="page79"/>
    <w:bookmarkEnd w:id="78"/>
    <w:p>
      <w:pPr>
        <w:jc w:val="center"/>
        <w:ind w:right="-19"/>
        <w:spacing w:after="0"/>
        <w:rPr>
          <w:sz w:val="20"/>
          <w:szCs w:val="20"/>
          <w:color w:val="auto"/>
        </w:rPr>
      </w:pPr>
      <w:r>
        <w:rPr>
          <w:rFonts w:ascii="Times New Roman" w:cs="Times New Roman" w:eastAsia="Times New Roman" w:hAnsi="Times New Roman"/>
          <w:sz w:val="14"/>
          <w:szCs w:val="14"/>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AMENDMENTS AND WAIVERS</w:t>
      </w:r>
    </w:p>
    <w:p>
      <w:pPr>
        <w:spacing w:after="0" w:line="15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9.1</w:t>
      </w:r>
      <w:r>
        <w:rPr>
          <w:sz w:val="20"/>
          <w:szCs w:val="20"/>
          <w:color w:val="auto"/>
        </w:rPr>
        <w:tab/>
      </w:r>
      <w:r>
        <w:rPr>
          <w:rFonts w:ascii="Times New Roman" w:cs="Times New Roman" w:eastAsia="Times New Roman" w:hAnsi="Times New Roman"/>
          <w:sz w:val="13"/>
          <w:szCs w:val="13"/>
          <w:u w:val="single" w:color="auto"/>
          <w:color w:val="auto"/>
        </w:rPr>
        <w:t>Without Consent of 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and the Trustee may amend or supplement this Indenture or the Securities of one or more Series without the consent of any Securityholder:</w:t>
      </w:r>
    </w:p>
    <w:p>
      <w:pPr>
        <w:spacing w:after="0" w:line="167" w:lineRule="exact"/>
        <w:rPr>
          <w:sz w:val="20"/>
          <w:szCs w:val="20"/>
          <w:color w:val="auto"/>
        </w:rPr>
      </w:pPr>
    </w:p>
    <w:p>
      <w:pPr>
        <w:ind w:left="180" w:hanging="178"/>
        <w:spacing w:after="0"/>
        <w:tabs>
          <w:tab w:leader="none" w:pos="1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Article V;</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Securities of any Series or secure Securities of any Series;</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the Company’s rights or powers under this Indenture;</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Securities of any Series;</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Securityholder;</w:t>
      </w:r>
    </w:p>
    <w:p>
      <w:pPr>
        <w:spacing w:after="0" w:line="167" w:lineRule="exact"/>
        <w:rPr>
          <w:rFonts w:ascii="Times New Roman" w:cs="Times New Roman" w:eastAsia="Times New Roman" w:hAnsi="Times New Roman"/>
          <w:sz w:val="14"/>
          <w:szCs w:val="14"/>
          <w:color w:val="auto"/>
        </w:rPr>
      </w:pPr>
    </w:p>
    <w:p>
      <w:pPr>
        <w:ind w:left="160" w:hanging="158"/>
        <w:spacing w:after="0"/>
        <w:tabs>
          <w:tab w:leader="none" w:pos="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Securities of any Series as permitted by this Indenture;</w:t>
      </w:r>
    </w:p>
    <w:p>
      <w:pPr>
        <w:spacing w:after="0" w:line="167" w:lineRule="exact"/>
        <w:rPr>
          <w:rFonts w:ascii="Times New Roman" w:cs="Times New Roman" w:eastAsia="Times New Roman" w:hAnsi="Times New Roman"/>
          <w:sz w:val="14"/>
          <w:szCs w:val="14"/>
          <w:color w:val="auto"/>
        </w:rPr>
      </w:pPr>
    </w:p>
    <w:p>
      <w:pPr>
        <w:ind w:right="340" w:firstLine="2"/>
        <w:spacing w:after="0" w:line="266" w:lineRule="auto"/>
        <w:tabs>
          <w:tab w:leader="none" w:pos="16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35"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this Indenture under the TIA.</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9.2</w:t>
      </w:r>
      <w:r>
        <w:rPr>
          <w:sz w:val="20"/>
          <w:szCs w:val="20"/>
          <w:color w:val="auto"/>
        </w:rPr>
        <w:tab/>
      </w:r>
      <w:r>
        <w:rPr>
          <w:rFonts w:ascii="Times New Roman" w:cs="Times New Roman" w:eastAsia="Times New Roman" w:hAnsi="Times New Roman"/>
          <w:sz w:val="13"/>
          <w:szCs w:val="13"/>
          <w:u w:val="single" w:color="auto"/>
          <w:color w:val="auto"/>
        </w:rPr>
        <w:t>With Consent of Holders.</w:t>
      </w:r>
    </w:p>
    <w:p>
      <w:pPr>
        <w:spacing w:after="0" w:line="16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46"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4"/>
          <w:szCs w:val="14"/>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1260"/>
          </w:cols>
          <w:pgMar w:left="300" w:top="1112" w:right="339" w:bottom="1440" w:gutter="0" w:footer="0" w:header="0"/>
        </w:sectPr>
      </w:pPr>
    </w:p>
    <w:bookmarkStart w:id="79" w:name="page80"/>
    <w:bookmarkEnd w:id="79"/>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9.3</w:t>
      </w:r>
      <w:r>
        <w:rPr>
          <w:sz w:val="20"/>
          <w:szCs w:val="20"/>
          <w:color w:val="auto"/>
        </w:rPr>
        <w:tab/>
      </w:r>
      <w:r>
        <w:rPr>
          <w:rFonts w:ascii="Times New Roman" w:cs="Times New Roman" w:eastAsia="Times New Roman" w:hAnsi="Times New Roman"/>
          <w:sz w:val="13"/>
          <w:szCs w:val="13"/>
          <w:u w:val="single" w:color="auto"/>
          <w:color w:val="auto"/>
        </w:rPr>
        <w:t>Limitations.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Without the consent of each Securityholder affected, an amendment or waiver may not:</w:t>
      </w:r>
    </w:p>
    <w:p>
      <w:pPr>
        <w:spacing w:after="0" w:line="167" w:lineRule="exact"/>
        <w:rPr>
          <w:sz w:val="20"/>
          <w:szCs w:val="20"/>
          <w:color w:val="auto"/>
        </w:rPr>
      </w:pPr>
    </w:p>
    <w:p>
      <w:pPr>
        <w:ind w:left="180" w:hanging="178"/>
        <w:spacing w:after="0"/>
        <w:tabs>
          <w:tab w:leader="none" w:pos="1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Securities whose Holders must consent to an amendment, supplement or waiver;</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Security;</w:t>
      </w:r>
    </w:p>
    <w:p>
      <w:pPr>
        <w:spacing w:after="0" w:line="167"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or change the Stated Maturity of any Security or reduce the amount of, or postpone the date fixed for, the payment of any sinking fund or analogous obligation;</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the maturity thereof;</w:t>
      </w:r>
    </w:p>
    <w:p>
      <w:pPr>
        <w:spacing w:after="0" w:line="167" w:lineRule="exact"/>
        <w:rPr>
          <w:rFonts w:ascii="Times New Roman" w:cs="Times New Roman" w:eastAsia="Times New Roman" w:hAnsi="Times New Roman"/>
          <w:sz w:val="14"/>
          <w:szCs w:val="14"/>
          <w:color w:val="auto"/>
        </w:rPr>
      </w:pPr>
    </w:p>
    <w:p>
      <w:pPr>
        <w:ind w:right="260" w:firstLine="2"/>
        <w:spacing w:after="0" w:line="266" w:lineRule="auto"/>
        <w:tabs>
          <w:tab w:leader="none" w:pos="186"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35" w:lineRule="exact"/>
        <w:rPr>
          <w:rFonts w:ascii="Times New Roman" w:cs="Times New Roman" w:eastAsia="Times New Roman" w:hAnsi="Times New Roman"/>
          <w:sz w:val="14"/>
          <w:szCs w:val="14"/>
          <w:color w:val="auto"/>
        </w:rPr>
      </w:pPr>
    </w:p>
    <w:p>
      <w:pPr>
        <w:ind w:left="180" w:hanging="178"/>
        <w:spacing w:after="0"/>
        <w:tabs>
          <w:tab w:leader="none" w:pos="1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interest, if any, on any Security payable in any currency other than that stated in the Security;</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Sections 6.8, 6.13 or 9.3 (this sentence); or</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Security, provided that such redemption is made at the Company’s option.</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9.4</w:t>
      </w:r>
      <w:r>
        <w:rPr>
          <w:sz w:val="20"/>
          <w:szCs w:val="20"/>
          <w:color w:val="auto"/>
        </w:rPr>
        <w:tab/>
      </w:r>
      <w:r>
        <w:rPr>
          <w:rFonts w:ascii="Times New Roman" w:cs="Times New Roman" w:eastAsia="Times New Roman" w:hAnsi="Times New Roman"/>
          <w:sz w:val="13"/>
          <w:szCs w:val="13"/>
          <w:u w:val="single" w:color="auto"/>
          <w:color w:val="auto"/>
        </w:rPr>
        <w:t>Compliance with Trust Indenture Act.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Every amendment to this Indenture or the Securities of one or more Series shall be set forth in a supplemental indenture hereto that complies with the TIA as then in effect.</w:t>
      </w:r>
    </w:p>
    <w:p>
      <w:pPr>
        <w:spacing w:after="0" w:line="16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9.5</w:t>
      </w:r>
      <w:r>
        <w:rPr>
          <w:sz w:val="20"/>
          <w:szCs w:val="20"/>
          <w:color w:val="auto"/>
        </w:rPr>
        <w:tab/>
      </w:r>
      <w:r>
        <w:rPr>
          <w:rFonts w:ascii="Times New Roman" w:cs="Times New Roman" w:eastAsia="Times New Roman" w:hAnsi="Times New Roman"/>
          <w:sz w:val="13"/>
          <w:szCs w:val="13"/>
          <w:u w:val="single" w:color="auto"/>
          <w:color w:val="auto"/>
        </w:rPr>
        <w:t>Revocation and Effect of Consents.</w:t>
      </w:r>
    </w:p>
    <w:p>
      <w:pPr>
        <w:spacing w:after="0" w:line="167"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4"/>
          <w:szCs w:val="14"/>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14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4"/>
          <w:szCs w:val="14"/>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1280"/>
          </w:cols>
          <w:pgMar w:left="300" w:top="1112" w:right="319" w:bottom="1440" w:gutter="0" w:footer="0" w:header="0"/>
        </w:sectPr>
      </w:pPr>
    </w:p>
    <w:bookmarkStart w:id="80" w:name="page81"/>
    <w:bookmarkEnd w:id="80"/>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9.6</w:t>
      </w:r>
      <w:r>
        <w:rPr>
          <w:sz w:val="20"/>
          <w:szCs w:val="20"/>
          <w:color w:val="auto"/>
        </w:rPr>
        <w:tab/>
      </w:r>
      <w:r>
        <w:rPr>
          <w:rFonts w:ascii="Times New Roman" w:cs="Times New Roman" w:eastAsia="Times New Roman" w:hAnsi="Times New Roman"/>
          <w:sz w:val="13"/>
          <w:szCs w:val="13"/>
          <w:u w:val="single" w:color="auto"/>
          <w:color w:val="auto"/>
        </w:rPr>
        <w:t>Notation on or Exchange of Securities.</w:t>
      </w:r>
    </w:p>
    <w:p>
      <w:pPr>
        <w:spacing w:after="0" w:line="16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4"/>
          <w:szCs w:val="14"/>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3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color w:val="auto"/>
        </w:rPr>
        <w:t>Section 9.7</w:t>
      </w:r>
      <w:r>
        <w:rPr>
          <w:sz w:val="20"/>
          <w:szCs w:val="20"/>
          <w:color w:val="auto"/>
        </w:rPr>
        <w:tab/>
      </w:r>
      <w:r>
        <w:rPr>
          <w:rFonts w:ascii="Times New Roman" w:cs="Times New Roman" w:eastAsia="Times New Roman" w:hAnsi="Times New Roman"/>
          <w:sz w:val="13"/>
          <w:szCs w:val="13"/>
          <w:u w:val="single" w:color="auto"/>
          <w:color w:val="auto"/>
        </w:rPr>
        <w:t>Trustee Protected.</w:t>
      </w:r>
    </w:p>
    <w:p>
      <w:pPr>
        <w:spacing w:after="0" w:line="1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ARTICLE X.</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MISCELLANEOUS</w:t>
      </w:r>
    </w:p>
    <w:p>
      <w:pPr>
        <w:spacing w:after="0" w:line="15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10.1</w:t>
      </w:r>
      <w:r>
        <w:rPr>
          <w:sz w:val="20"/>
          <w:szCs w:val="20"/>
          <w:color w:val="auto"/>
        </w:rPr>
        <w:tab/>
      </w:r>
      <w:r>
        <w:rPr>
          <w:rFonts w:ascii="Times New Roman" w:cs="Times New Roman" w:eastAsia="Times New Roman" w:hAnsi="Times New Roman"/>
          <w:sz w:val="13"/>
          <w:szCs w:val="13"/>
          <w:u w:val="single" w:color="auto"/>
          <w:color w:val="auto"/>
        </w:rPr>
        <w:t>Trust Indenture Act Controls.</w:t>
      </w:r>
    </w:p>
    <w:p>
      <w:pPr>
        <w:spacing w:after="0" w:line="16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4"/>
          <w:szCs w:val="14"/>
          <w:color w:val="auto"/>
        </w:rPr>
        <w:t>If any provision of this Indenture limits, qualifies, or conflicts with another provision which is required or deemed to be included in this Indenture by the TIA, such required or deemed provision shall control.</w:t>
      </w: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10.2</w:t>
      </w:r>
      <w:r>
        <w:rPr>
          <w:sz w:val="20"/>
          <w:szCs w:val="20"/>
          <w:color w:val="auto"/>
        </w:rPr>
        <w:tab/>
      </w:r>
      <w:r>
        <w:rPr>
          <w:rFonts w:ascii="Times New Roman" w:cs="Times New Roman" w:eastAsia="Times New Roman" w:hAnsi="Times New Roman"/>
          <w:sz w:val="13"/>
          <w:szCs w:val="13"/>
          <w:u w:val="single" w:color="auto"/>
          <w:color w:val="auto"/>
        </w:rPr>
        <w:t>Notices.</w:t>
      </w:r>
    </w:p>
    <w:p>
      <w:pPr>
        <w:spacing w:after="0" w:line="16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4"/>
          <w:szCs w:val="14"/>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if to the Company:</w:t>
      </w:r>
    </w:p>
    <w:p>
      <w:pPr>
        <w:spacing w:after="0" w:line="19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Blaize Holdings, Inc.</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4659 Golden Foothill Parkway, Suite 206</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El Dorado Hills, California 95762</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Attention: Chief Financial Officer</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with a copy to:</w:t>
      </w:r>
    </w:p>
    <w:p>
      <w:pPr>
        <w:spacing w:after="0" w:line="9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Faegre Drinker Biddle &amp; Reath LLP</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2200 Wells Fargo Center</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Minneapolis, Minnesota 55402</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Attention: Jonathan A. Zimmerman and Charles D. Lange</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if to the Trustee:</w:t>
      </w:r>
    </w:p>
    <w:p>
      <w:pPr>
        <w:spacing w:after="0" w:line="95" w:lineRule="exact"/>
        <w:rPr>
          <w:sz w:val="20"/>
          <w:szCs w:val="20"/>
          <w:color w:val="auto"/>
        </w:rPr>
      </w:pPr>
    </w:p>
    <w:p>
      <w:pPr>
        <w:ind w:left="3520" w:hanging="735"/>
        <w:spacing w:after="0"/>
        <w:tabs>
          <w:tab w:leader="none" w:pos="352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ectPr>
          <w:pgSz w:w="11900" w:h="16838" w:orient="portrait"/>
          <w:cols w:equalWidth="0" w:num="1">
            <w:col w:w="11280"/>
          </w:cols>
          <w:pgMar w:left="300" w:top="1111" w:right="319" w:bottom="1440" w:gutter="0" w:footer="0" w:header="0"/>
        </w:sectPr>
      </w:pP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Attention:</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3"/>
          <w:szCs w:val="13"/>
          <w:color w:val="auto"/>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128" w:lineRule="exact"/>
        <w:rPr>
          <w:sz w:val="20"/>
          <w:szCs w:val="20"/>
          <w:color w:val="auto"/>
        </w:rPr>
      </w:pPr>
    </w:p>
    <w:p>
      <w:pPr>
        <w:sectPr>
          <w:pgSz w:w="11900" w:h="16838" w:orient="portrait"/>
          <w:cols w:equalWidth="0" w:num="3">
            <w:col w:w="5880" w:space="720"/>
            <w:col w:w="40" w:space="700"/>
            <w:col w:w="3940"/>
          </w:cols>
          <w:pgMar w:left="300" w:top="1111" w:right="3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with a copy to:</w:t>
      </w:r>
    </w:p>
    <w:p>
      <w:pPr>
        <w:spacing w:after="0" w:line="95" w:lineRule="exact"/>
        <w:rPr>
          <w:sz w:val="20"/>
          <w:szCs w:val="20"/>
          <w:color w:val="auto"/>
        </w:rPr>
      </w:pPr>
    </w:p>
    <w:p>
      <w:pPr>
        <w:ind w:left="3520" w:hanging="735"/>
        <w:spacing w:after="0"/>
        <w:tabs>
          <w:tab w:leader="none" w:pos="3520" w:val="left"/>
        </w:tabs>
        <w:numPr>
          <w:ilvl w:val="0"/>
          <w:numId w:val="7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t>
      </w:r>
    </w:p>
    <w:p>
      <w:pPr>
        <w:sectPr>
          <w:pgSz w:w="11900" w:h="16838" w:orient="portrait"/>
          <w:cols w:equalWidth="0" w:num="1">
            <w:col w:w="11280"/>
          </w:cols>
          <w:pgMar w:left="300" w:top="1111" w:right="319" w:bottom="1440" w:gutter="0" w:footer="0" w:header="0"/>
          <w:type w:val="continuous"/>
        </w:sectPr>
      </w:pPr>
    </w:p>
    <w:p>
      <w:pPr>
        <w:spacing w:after="0" w:line="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4"/>
          <w:szCs w:val="14"/>
          <w:color w:val="auto"/>
        </w:rPr>
        <w:t>Attention:</w:t>
      </w:r>
    </w:p>
    <w:p>
      <w:pPr>
        <w:spacing w:after="0" w:line="1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3"/>
          <w:szCs w:val="13"/>
          <w:color w:val="auto"/>
        </w:rPr>
        <w:t>Telephone:</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t>
      </w:r>
    </w:p>
    <w:p>
      <w:pPr>
        <w:spacing w:after="0" w:line="222" w:lineRule="exact"/>
        <w:rPr>
          <w:sz w:val="20"/>
          <w:szCs w:val="20"/>
          <w:color w:val="auto"/>
        </w:rPr>
      </w:pPr>
    </w:p>
    <w:p>
      <w:pPr>
        <w:sectPr>
          <w:pgSz w:w="11900" w:h="16838" w:orient="portrait"/>
          <w:cols w:equalWidth="0" w:num="3">
            <w:col w:w="5880" w:space="720"/>
            <w:col w:w="40" w:space="700"/>
            <w:col w:w="3940"/>
          </w:cols>
          <w:pgMar w:left="300" w:top="111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1280"/>
          </w:cols>
          <w:pgMar w:left="300" w:top="1111" w:right="31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4"/>
          <w:szCs w:val="14"/>
          <w:color w:val="auto"/>
        </w:rPr>
        <w:t>The Company or the Trustee by notice to the other may designate additional or different addresses for subsequent notices or communications.</w:t>
      </w:r>
    </w:p>
    <w:p>
      <w:pPr>
        <w:spacing w:after="0" w:line="167" w:lineRule="exact"/>
        <w:rPr>
          <w:sz w:val="20"/>
          <w:szCs w:val="20"/>
          <w:color w:val="auto"/>
        </w:rPr>
      </w:pPr>
    </w:p>
    <w:p>
      <w:pPr>
        <w:jc w:val="both"/>
        <w:ind w:right="120"/>
        <w:spacing w:after="0" w:line="305" w:lineRule="auto"/>
        <w:rPr>
          <w:sz w:val="20"/>
          <w:szCs w:val="20"/>
          <w:color w:val="auto"/>
        </w:rPr>
      </w:pPr>
      <w:r>
        <w:rPr>
          <w:rFonts w:ascii="Times New Roman" w:cs="Times New Roman" w:eastAsia="Times New Roman" w:hAnsi="Times New Roman"/>
          <w:sz w:val="13"/>
          <w:szCs w:val="13"/>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a notice or communication is sent or published in the manner provided above, within the time prescribed, it is duly given, whether or not the Securityholder receives it.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the Company sends a notice or communication to Securityholders, it shall send a copy to the Trustee and each Agent at the same time.</w:t>
      </w:r>
    </w:p>
    <w:p>
      <w:pPr>
        <w:spacing w:after="0" w:line="167" w:lineRule="exact"/>
        <w:rPr>
          <w:sz w:val="20"/>
          <w:szCs w:val="20"/>
          <w:color w:val="auto"/>
        </w:rPr>
      </w:pPr>
    </w:p>
    <w:p>
      <w:pPr>
        <w:ind w:right="280"/>
        <w:spacing w:after="0" w:line="305" w:lineRule="auto"/>
        <w:rPr>
          <w:sz w:val="20"/>
          <w:szCs w:val="20"/>
          <w:color w:val="auto"/>
        </w:rPr>
      </w:pPr>
      <w:r>
        <w:rPr>
          <w:rFonts w:ascii="Times New Roman" w:cs="Times New Roman" w:eastAsia="Times New Roman" w:hAnsi="Times New Roman"/>
          <w:sz w:val="13"/>
          <w:szCs w:val="13"/>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1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10.3</w:t>
      </w:r>
      <w:r>
        <w:rPr>
          <w:sz w:val="20"/>
          <w:szCs w:val="20"/>
          <w:color w:val="auto"/>
        </w:rPr>
        <w:tab/>
      </w:r>
      <w:r>
        <w:rPr>
          <w:rFonts w:ascii="Times New Roman" w:cs="Times New Roman" w:eastAsia="Times New Roman" w:hAnsi="Times New Roman"/>
          <w:sz w:val="13"/>
          <w:szCs w:val="13"/>
          <w:u w:val="single" w:color="auto"/>
          <w:color w:val="auto"/>
        </w:rPr>
        <w:t>Communication by Holders with Other Holders.</w:t>
      </w:r>
    </w:p>
    <w:p>
      <w:pPr>
        <w:spacing w:after="0" w:line="1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3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10.4</w:t>
      </w:r>
      <w:r>
        <w:rPr>
          <w:sz w:val="20"/>
          <w:szCs w:val="20"/>
          <w:color w:val="auto"/>
        </w:rPr>
        <w:tab/>
      </w:r>
      <w:r>
        <w:rPr>
          <w:rFonts w:ascii="Times New Roman" w:cs="Times New Roman" w:eastAsia="Times New Roman" w:hAnsi="Times New Roman"/>
          <w:sz w:val="13"/>
          <w:szCs w:val="13"/>
          <w:u w:val="single" w:color="auto"/>
          <w:color w:val="auto"/>
        </w:rPr>
        <w:t>Certificate and Opinion as to Conditions Precedent.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Upon any request or application by the Company to the Trustee to take any action under this Indenture, the Company shall furnish to the Trustee:</w:t>
      </w:r>
    </w:p>
    <w:p>
      <w:pPr>
        <w:spacing w:after="0" w:line="167" w:lineRule="exact"/>
        <w:rPr>
          <w:sz w:val="20"/>
          <w:szCs w:val="20"/>
          <w:color w:val="auto"/>
        </w:rPr>
      </w:pPr>
    </w:p>
    <w:p>
      <w:pPr>
        <w:ind w:left="180" w:hanging="178"/>
        <w:spacing w:after="0"/>
        <w:tabs>
          <w:tab w:leader="none" w:pos="1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stating that, in the opinion of the signers, all conditions precedent, if any, provided for in this Indenture relating to the proposed action have been complied with; and</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of Counsel stating that, in the opinion of such counsel, all such conditions precedent have been complied with.</w:t>
      </w:r>
    </w:p>
    <w:p>
      <w:pPr>
        <w:spacing w:after="0" w:line="1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10.5</w:t>
      </w:r>
      <w:r>
        <w:rPr>
          <w:sz w:val="20"/>
          <w:szCs w:val="20"/>
          <w:color w:val="auto"/>
        </w:rPr>
        <w:tab/>
      </w:r>
      <w:r>
        <w:rPr>
          <w:rFonts w:ascii="Times New Roman" w:cs="Times New Roman" w:eastAsia="Times New Roman" w:hAnsi="Times New Roman"/>
          <w:sz w:val="13"/>
          <w:szCs w:val="13"/>
          <w:u w:val="single" w:color="auto"/>
          <w:color w:val="auto"/>
        </w:rPr>
        <w:t>Statements Required in Certificate or Opinion.</w:t>
      </w:r>
    </w:p>
    <w:p>
      <w:pPr>
        <w:spacing w:after="0" w:line="16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4"/>
          <w:szCs w:val="14"/>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36" w:lineRule="exact"/>
        <w:rPr>
          <w:sz w:val="20"/>
          <w:szCs w:val="20"/>
          <w:color w:val="auto"/>
        </w:rPr>
      </w:pPr>
    </w:p>
    <w:p>
      <w:pPr>
        <w:ind w:left="180" w:hanging="178"/>
        <w:spacing w:after="0"/>
        <w:tabs>
          <w:tab w:leader="none" w:pos="1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the person making such certificate or opinion has read such covenant or condition;</w:t>
      </w:r>
    </w:p>
    <w:p>
      <w:pPr>
        <w:spacing w:after="0" w:line="167"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statement as to the nature and scope of the examination or investigation upon which the statements or opinions contained in such certificate or opinion are based;</w:t>
      </w:r>
    </w:p>
    <w:p>
      <w:pPr>
        <w:spacing w:after="0" w:line="167" w:lineRule="exact"/>
        <w:rPr>
          <w:rFonts w:ascii="Times New Roman" w:cs="Times New Roman" w:eastAsia="Times New Roman" w:hAnsi="Times New Roman"/>
          <w:sz w:val="14"/>
          <w:szCs w:val="14"/>
          <w:color w:val="auto"/>
        </w:rPr>
      </w:pPr>
    </w:p>
    <w:p>
      <w:pPr>
        <w:ind w:right="520" w:firstLine="2"/>
        <w:spacing w:after="0" w:line="266" w:lineRule="auto"/>
        <w:tabs>
          <w:tab w:leader="none" w:pos="18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35" w:lineRule="exact"/>
        <w:rPr>
          <w:rFonts w:ascii="Times New Roman" w:cs="Times New Roman" w:eastAsia="Times New Roman" w:hAnsi="Times New Roman"/>
          <w:sz w:val="14"/>
          <w:szCs w:val="14"/>
          <w:color w:val="auto"/>
        </w:rPr>
      </w:pPr>
    </w:p>
    <w:p>
      <w:pPr>
        <w:ind w:left="200" w:hanging="198"/>
        <w:spacing w:after="0"/>
        <w:tabs>
          <w:tab w:leader="none" w:pos="20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as to whether or not, in the opinion of such person, such condition or covenant has been complied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1280"/>
          </w:cols>
          <w:pgMar w:left="300" w:top="1276" w:right="319" w:bottom="1440" w:gutter="0" w:footer="0" w:header="0"/>
        </w:sectPr>
      </w:pPr>
    </w:p>
    <w:bookmarkStart w:id="82" w:name="page83"/>
    <w:bookmarkEnd w:id="82"/>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10.6</w:t>
      </w:r>
      <w:r>
        <w:rPr>
          <w:sz w:val="20"/>
          <w:szCs w:val="20"/>
          <w:color w:val="auto"/>
        </w:rPr>
        <w:tab/>
      </w:r>
      <w:r>
        <w:rPr>
          <w:rFonts w:ascii="Times New Roman" w:cs="Times New Roman" w:eastAsia="Times New Roman" w:hAnsi="Times New Roman"/>
          <w:sz w:val="13"/>
          <w:szCs w:val="13"/>
          <w:u w:val="single" w:color="auto"/>
          <w:color w:val="auto"/>
        </w:rPr>
        <w:t>Rules by Trustee and Agents.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Trustee may make reasonable rules for action by or a meeting of Securityholders of one or more Series. Any Agent may make reasonable rules and set reasonable requirements for its functions.</w:t>
      </w:r>
    </w:p>
    <w:p>
      <w:pPr>
        <w:spacing w:after="0" w:line="1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10.7</w:t>
      </w:r>
      <w:r>
        <w:rPr>
          <w:sz w:val="20"/>
          <w:szCs w:val="20"/>
          <w:color w:val="auto"/>
        </w:rPr>
        <w:tab/>
      </w:r>
      <w:r>
        <w:rPr>
          <w:rFonts w:ascii="Times New Roman" w:cs="Times New Roman" w:eastAsia="Times New Roman" w:hAnsi="Times New Roman"/>
          <w:sz w:val="13"/>
          <w:szCs w:val="13"/>
          <w:u w:val="single" w:color="auto"/>
          <w:color w:val="auto"/>
        </w:rPr>
        <w:t>Legal Holidays.</w:t>
      </w:r>
    </w:p>
    <w:p>
      <w:pPr>
        <w:spacing w:after="0" w:line="163"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i w:val="1"/>
          <w:iCs w:val="1"/>
          <w:color w:val="auto"/>
        </w:rPr>
        <w:t>Legal Holiday</w:t>
      </w:r>
      <w:r>
        <w:rPr>
          <w:rFonts w:ascii="Times New Roman" w:cs="Times New Roman" w:eastAsia="Times New Roman" w:hAnsi="Times New Roman"/>
          <w:sz w:val="14"/>
          <w:szCs w:val="14"/>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10.8</w:t>
      </w:r>
      <w:r>
        <w:rPr>
          <w:sz w:val="20"/>
          <w:szCs w:val="20"/>
          <w:color w:val="auto"/>
        </w:rPr>
        <w:tab/>
      </w:r>
      <w:r>
        <w:rPr>
          <w:rFonts w:ascii="Times New Roman" w:cs="Times New Roman" w:eastAsia="Times New Roman" w:hAnsi="Times New Roman"/>
          <w:sz w:val="13"/>
          <w:szCs w:val="13"/>
          <w:u w:val="single" w:color="auto"/>
          <w:color w:val="auto"/>
        </w:rPr>
        <w:t>No Recourse Against Others.</w:t>
      </w:r>
    </w:p>
    <w:p>
      <w:pPr>
        <w:spacing w:after="0" w:line="16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4"/>
          <w:szCs w:val="14"/>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4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10.9</w:t>
      </w:r>
      <w:r>
        <w:rPr>
          <w:sz w:val="20"/>
          <w:szCs w:val="20"/>
          <w:color w:val="auto"/>
        </w:rPr>
        <w:tab/>
      </w:r>
      <w:r>
        <w:rPr>
          <w:rFonts w:ascii="Times New Roman" w:cs="Times New Roman" w:eastAsia="Times New Roman" w:hAnsi="Times New Roman"/>
          <w:sz w:val="13"/>
          <w:szCs w:val="13"/>
          <w:u w:val="single" w:color="auto"/>
          <w:color w:val="auto"/>
        </w:rPr>
        <w:t>Counterparts.</w:t>
      </w:r>
    </w:p>
    <w:p>
      <w:pPr>
        <w:spacing w:after="0" w:line="167"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4"/>
          <w:szCs w:val="14"/>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45"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3"/>
          <w:szCs w:val="13"/>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w:t>
      </w:r>
    </w:p>
    <w:p>
      <w:pPr>
        <w:spacing w:after="0" w:line="1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color w:val="auto"/>
        </w:rPr>
        <w:t>Section 10.10</w:t>
      </w:r>
      <w:r>
        <w:rPr>
          <w:sz w:val="20"/>
          <w:szCs w:val="20"/>
          <w:color w:val="auto"/>
        </w:rPr>
        <w:tab/>
      </w:r>
      <w:r>
        <w:rPr>
          <w:rFonts w:ascii="Times New Roman" w:cs="Times New Roman" w:eastAsia="Times New Roman" w:hAnsi="Times New Roman"/>
          <w:sz w:val="13"/>
          <w:szCs w:val="13"/>
          <w:u w:val="single" w:color="auto"/>
          <w:color w:val="auto"/>
        </w:rPr>
        <w:t>Governing Law; Waiver of Jury Trial; Consent to Jurisdiction.</w:t>
      </w:r>
    </w:p>
    <w:p>
      <w:pPr>
        <w:spacing w:after="0" w:line="163"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4"/>
          <w:szCs w:val="14"/>
          <w:b w:val="1"/>
          <w:bCs w:val="1"/>
          <w:color w:val="auto"/>
        </w:rPr>
        <w:t>THIS INDENTURE AND THE SECURITIES, INCLUDING ANY CLAIM OR CONTROVERSY ARISING OUT OF OR RELATING TO THE INDENTURE OR THE SECURITIES, SHALL BE GOVERNED BY THE LAWS OF THE STATE OF NEW YORK.</w:t>
      </w:r>
    </w:p>
    <w:p>
      <w:pPr>
        <w:spacing w:after="0" w:line="1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4"/>
          <w:szCs w:val="14"/>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Any legal suit, action or proceeding arising out of or based upon this Indenture or the transactions contemplated hereby may be instituted in the federal courts of the United States of America located in the City of New York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1260"/>
          </w:cols>
          <w:pgMar w:left="300" w:top="1111" w:right="339" w:bottom="1440" w:gutter="0" w:footer="0" w:header="0"/>
        </w:sectPr>
      </w:pPr>
    </w:p>
    <w:bookmarkStart w:id="83" w:name="page84"/>
    <w:bookmarkEnd w:id="83"/>
    <w:p>
      <w:pPr>
        <w:ind w:right="20"/>
        <w:spacing w:after="0" w:line="251" w:lineRule="auto"/>
        <w:rPr>
          <w:sz w:val="20"/>
          <w:szCs w:val="20"/>
          <w:color w:val="auto"/>
        </w:rPr>
      </w:pPr>
      <w:r>
        <w:rPr>
          <w:rFonts w:ascii="Times New Roman" w:cs="Times New Roman" w:eastAsia="Times New Roman" w:hAnsi="Times New Roman"/>
          <w:sz w:val="14"/>
          <w:szCs w:val="14"/>
          <w:color w:val="auto"/>
        </w:rPr>
        <w:t>courts of the State of New York in each case located in the City of New York (collectively, the “</w:t>
      </w:r>
      <w:r>
        <w:rPr>
          <w:rFonts w:ascii="Times New Roman" w:cs="Times New Roman" w:eastAsia="Times New Roman" w:hAnsi="Times New Roman"/>
          <w:sz w:val="14"/>
          <w:szCs w:val="14"/>
          <w:i w:val="1"/>
          <w:iCs w:val="1"/>
          <w:color w:val="auto"/>
        </w:rPr>
        <w:t>Specified Courts</w:t>
      </w:r>
      <w:r>
        <w:rPr>
          <w:rFonts w:ascii="Times New Roman" w:cs="Times New Roman" w:eastAsia="Times New Roman" w:hAnsi="Times New Roman"/>
          <w:sz w:val="14"/>
          <w:szCs w:val="14"/>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4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color w:val="auto"/>
        </w:rPr>
        <w:t>Section 10.11</w:t>
      </w:r>
      <w:r>
        <w:rPr>
          <w:sz w:val="20"/>
          <w:szCs w:val="20"/>
          <w:color w:val="auto"/>
        </w:rPr>
        <w:tab/>
      </w:r>
      <w:r>
        <w:rPr>
          <w:rFonts w:ascii="Times New Roman" w:cs="Times New Roman" w:eastAsia="Times New Roman" w:hAnsi="Times New Roman"/>
          <w:sz w:val="13"/>
          <w:szCs w:val="13"/>
          <w:u w:val="single" w:color="auto"/>
          <w:color w:val="auto"/>
        </w:rPr>
        <w:t>No Adverse Interpretation of Other Agreements.</w:t>
      </w:r>
    </w:p>
    <w:p>
      <w:pPr>
        <w:spacing w:after="0" w:line="16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4"/>
          <w:szCs w:val="14"/>
          <w:color w:val="auto"/>
        </w:rPr>
        <w:t>This Indenture may not be used to interpret another indenture, loan or debt agreement of the Company or a Subsidiary of the Company. Any such indenture, loan or debt agreement may not be used to interpret this Indenture.</w:t>
      </w:r>
    </w:p>
    <w:p>
      <w:pPr>
        <w:spacing w:after="0" w:line="1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color w:val="auto"/>
        </w:rPr>
        <w:t>Section 10.12</w:t>
      </w:r>
      <w:r>
        <w:rPr>
          <w:sz w:val="20"/>
          <w:szCs w:val="20"/>
          <w:color w:val="auto"/>
        </w:rPr>
        <w:tab/>
      </w:r>
      <w:r>
        <w:rPr>
          <w:rFonts w:ascii="Times New Roman" w:cs="Times New Roman" w:eastAsia="Times New Roman" w:hAnsi="Times New Roman"/>
          <w:sz w:val="13"/>
          <w:szCs w:val="13"/>
          <w:u w:val="single" w:color="auto"/>
          <w:color w:val="auto"/>
        </w:rPr>
        <w:t>Successors.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agreements of the Company in this Indenture and the Securities shall bind its successor. All agreements of the Trustee in this Indenture shall bind its successor.</w:t>
      </w:r>
    </w:p>
    <w:p>
      <w:pPr>
        <w:spacing w:after="0" w:line="16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color w:val="auto"/>
        </w:rPr>
        <w:t>Section 10.13</w:t>
      </w:r>
      <w:r>
        <w:rPr>
          <w:sz w:val="20"/>
          <w:szCs w:val="20"/>
          <w:color w:val="auto"/>
        </w:rPr>
        <w:tab/>
      </w:r>
      <w:r>
        <w:rPr>
          <w:rFonts w:ascii="Times New Roman" w:cs="Times New Roman" w:eastAsia="Times New Roman" w:hAnsi="Times New Roman"/>
          <w:sz w:val="13"/>
          <w:szCs w:val="13"/>
          <w:u w:val="single" w:color="auto"/>
          <w:color w:val="auto"/>
        </w:rPr>
        <w:t>Severability.</w:t>
      </w:r>
    </w:p>
    <w:p>
      <w:pPr>
        <w:spacing w:after="0" w:line="16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4"/>
          <w:szCs w:val="14"/>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color w:val="auto"/>
        </w:rPr>
        <w:t>Section 10.14</w:t>
      </w:r>
      <w:r>
        <w:rPr>
          <w:sz w:val="20"/>
          <w:szCs w:val="20"/>
          <w:color w:val="auto"/>
        </w:rPr>
        <w:tab/>
      </w:r>
      <w:r>
        <w:rPr>
          <w:rFonts w:ascii="Times New Roman" w:cs="Times New Roman" w:eastAsia="Times New Roman" w:hAnsi="Times New Roman"/>
          <w:sz w:val="13"/>
          <w:szCs w:val="13"/>
          <w:u w:val="single" w:color="auto"/>
          <w:color w:val="auto"/>
        </w:rPr>
        <w:t>Table of Contents, Headings, Etc.</w:t>
      </w:r>
    </w:p>
    <w:p>
      <w:pPr>
        <w:spacing w:after="0" w:line="16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4"/>
          <w:szCs w:val="14"/>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1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color w:val="auto"/>
        </w:rPr>
        <w:t>Section 10.15</w:t>
      </w:r>
      <w:r>
        <w:rPr>
          <w:sz w:val="20"/>
          <w:szCs w:val="20"/>
          <w:color w:val="auto"/>
        </w:rPr>
        <w:tab/>
      </w:r>
      <w:r>
        <w:rPr>
          <w:rFonts w:ascii="Times New Roman" w:cs="Times New Roman" w:eastAsia="Times New Roman" w:hAnsi="Times New Roman"/>
          <w:sz w:val="13"/>
          <w:szCs w:val="13"/>
          <w:u w:val="single" w:color="auto"/>
          <w:color w:val="auto"/>
        </w:rPr>
        <w:t>Securities in a Foreign Currency.</w:t>
      </w:r>
    </w:p>
    <w:p>
      <w:pPr>
        <w:spacing w:after="0" w:line="16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5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1260"/>
          </w:cols>
          <w:pgMar w:left="300" w:top="1107" w:right="339" w:bottom="1440" w:gutter="0" w:footer="0" w:header="0"/>
        </w:sectPr>
      </w:pPr>
    </w:p>
    <w:bookmarkStart w:id="84" w:name="page85"/>
    <w:bookmarkEnd w:id="84"/>
    <w:p>
      <w:pPr>
        <w:spacing w:after="0"/>
        <w:tabs>
          <w:tab w:leader="none" w:pos="880" w:val="left"/>
        </w:tabs>
        <w:rPr>
          <w:sz w:val="20"/>
          <w:szCs w:val="20"/>
          <w:color w:val="auto"/>
        </w:rPr>
      </w:pPr>
      <w:r>
        <w:rPr>
          <w:rFonts w:ascii="Times New Roman" w:cs="Times New Roman" w:eastAsia="Times New Roman" w:hAnsi="Times New Roman"/>
          <w:sz w:val="14"/>
          <w:szCs w:val="14"/>
          <w:color w:val="auto"/>
        </w:rPr>
        <w:t>Section 10.16</w:t>
      </w:r>
      <w:r>
        <w:rPr>
          <w:sz w:val="20"/>
          <w:szCs w:val="20"/>
          <w:color w:val="auto"/>
        </w:rPr>
        <w:tab/>
      </w:r>
      <w:r>
        <w:rPr>
          <w:rFonts w:ascii="Times New Roman" w:cs="Times New Roman" w:eastAsia="Times New Roman" w:hAnsi="Times New Roman"/>
          <w:sz w:val="13"/>
          <w:szCs w:val="13"/>
          <w:u w:val="single" w:color="auto"/>
          <w:color w:val="auto"/>
        </w:rPr>
        <w:t>Judgment Currency.</w:t>
      </w:r>
    </w:p>
    <w:p>
      <w:pPr>
        <w:spacing w:after="0" w:line="16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4"/>
          <w:szCs w:val="14"/>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 w:cs="Times New Roman" w:eastAsia="Times New Roman" w:hAnsi="Times New Roman"/>
          <w:sz w:val="14"/>
          <w:szCs w:val="14"/>
          <w:i w:val="1"/>
          <w:iCs w:val="1"/>
          <w:color w:val="auto"/>
        </w:rPr>
        <w:t>Required Currency</w:t>
      </w:r>
      <w:r>
        <w:rPr>
          <w:rFonts w:ascii="Times New Roman" w:cs="Times New Roman" w:eastAsia="Times New Roman" w:hAnsi="Times New Roman"/>
          <w:sz w:val="14"/>
          <w:szCs w:val="14"/>
          <w:color w:val="auto"/>
        </w:rPr>
        <w:t>”) into a currency in which a judgment will be rendered (the “</w:t>
      </w:r>
      <w:r>
        <w:rPr>
          <w:rFonts w:ascii="Times New Roman" w:cs="Times New Roman" w:eastAsia="Times New Roman" w:hAnsi="Times New Roman"/>
          <w:sz w:val="14"/>
          <w:szCs w:val="14"/>
          <w:i w:val="1"/>
          <w:iCs w:val="1"/>
          <w:color w:val="auto"/>
        </w:rPr>
        <w:t>Judgment Currency</w:t>
      </w:r>
      <w:r>
        <w:rPr>
          <w:rFonts w:ascii="Times New Roman" w:cs="Times New Roman" w:eastAsia="Times New Roman" w:hAnsi="Times New Roman"/>
          <w:sz w:val="14"/>
          <w:szCs w:val="14"/>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 w:cs="Times New Roman" w:eastAsia="Times New Roman" w:hAnsi="Times New Roman"/>
          <w:sz w:val="14"/>
          <w:szCs w:val="14"/>
          <w:i w:val="1"/>
          <w:iCs w:val="1"/>
          <w:color w:val="auto"/>
        </w:rPr>
        <w:t>New York Banking Day</w:t>
      </w:r>
      <w:r>
        <w:rPr>
          <w:rFonts w:ascii="Times New Roman" w:cs="Times New Roman" w:eastAsia="Times New Roman" w:hAnsi="Times New Roman"/>
          <w:sz w:val="14"/>
          <w:szCs w:val="14"/>
          <w:color w:val="auto"/>
        </w:rPr>
        <w:t>” means any day except a Saturday, Sunday or a Legal Holiday in The City of New York on which banking institutions are authorized or required by law, regulation or executive order to close.</w:t>
      </w:r>
    </w:p>
    <w:p>
      <w:pPr>
        <w:spacing w:after="0" w:line="15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color w:val="auto"/>
        </w:rPr>
        <w:t>Section 10.17</w:t>
      </w:r>
      <w:r>
        <w:rPr>
          <w:sz w:val="20"/>
          <w:szCs w:val="20"/>
          <w:color w:val="auto"/>
        </w:rPr>
        <w:tab/>
      </w:r>
      <w:r>
        <w:rPr>
          <w:rFonts w:ascii="Times New Roman" w:cs="Times New Roman" w:eastAsia="Times New Roman" w:hAnsi="Times New Roman"/>
          <w:sz w:val="13"/>
          <w:szCs w:val="13"/>
          <w:u w:val="single" w:color="auto"/>
          <w:color w:val="auto"/>
        </w:rPr>
        <w:t>Force Majeure.</w:t>
      </w:r>
    </w:p>
    <w:p>
      <w:pPr>
        <w:spacing w:after="0" w:line="1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4"/>
          <w:szCs w:val="14"/>
          <w:color w:val="auto"/>
        </w:rPr>
        <w:t>Section 10.18</w:t>
      </w:r>
      <w:r>
        <w:rPr>
          <w:sz w:val="20"/>
          <w:szCs w:val="20"/>
          <w:color w:val="auto"/>
        </w:rPr>
        <w:tab/>
      </w:r>
      <w:r>
        <w:rPr>
          <w:rFonts w:ascii="Times New Roman" w:cs="Times New Roman" w:eastAsia="Times New Roman" w:hAnsi="Times New Roman"/>
          <w:sz w:val="13"/>
          <w:szCs w:val="13"/>
          <w:u w:val="single" w:color="auto"/>
          <w:color w:val="auto"/>
        </w:rPr>
        <w:t>U.S.A. Patriot Act.</w:t>
      </w:r>
    </w:p>
    <w:p>
      <w:pPr>
        <w:spacing w:after="0" w:line="1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ARTICLE XI.</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SINKING FUNDS</w:t>
      </w:r>
    </w:p>
    <w:p>
      <w:pPr>
        <w:spacing w:after="0" w:line="15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11.1</w:t>
      </w:r>
      <w:r>
        <w:rPr>
          <w:sz w:val="20"/>
          <w:szCs w:val="20"/>
          <w:color w:val="auto"/>
        </w:rPr>
        <w:tab/>
      </w:r>
      <w:r>
        <w:rPr>
          <w:rFonts w:ascii="Times New Roman" w:cs="Times New Roman" w:eastAsia="Times New Roman" w:hAnsi="Times New Roman"/>
          <w:sz w:val="13"/>
          <w:szCs w:val="13"/>
          <w:u w:val="single" w:color="auto"/>
          <w:color w:val="auto"/>
        </w:rPr>
        <w:t>Applicability of Article.</w:t>
      </w:r>
    </w:p>
    <w:p>
      <w:pPr>
        <w:spacing w:after="0" w:line="167"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4"/>
          <w:szCs w:val="14"/>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3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The minimum amount of any sinking fund payment provided for by the terms of the Securities of any Series is herein referred to as a “</w:t>
      </w:r>
      <w:r>
        <w:rPr>
          <w:rFonts w:ascii="Times New Roman" w:cs="Times New Roman" w:eastAsia="Times New Roman" w:hAnsi="Times New Roman"/>
          <w:sz w:val="14"/>
          <w:szCs w:val="14"/>
          <w:i w:val="1"/>
          <w:iCs w:val="1"/>
          <w:color w:val="auto"/>
        </w:rPr>
        <w:t>mandatory sinking fund payment</w:t>
      </w:r>
      <w:r>
        <w:rPr>
          <w:rFonts w:ascii="Times New Roman" w:cs="Times New Roman" w:eastAsia="Times New Roman" w:hAnsi="Times New Roman"/>
          <w:sz w:val="14"/>
          <w:szCs w:val="14"/>
          <w:color w:val="auto"/>
        </w:rPr>
        <w:t>” and any other amount provided for by the terms of Securities of such Series is herein referred to as an “</w:t>
      </w:r>
      <w:r>
        <w:rPr>
          <w:rFonts w:ascii="Times New Roman" w:cs="Times New Roman" w:eastAsia="Times New Roman" w:hAnsi="Times New Roman"/>
          <w:sz w:val="14"/>
          <w:szCs w:val="14"/>
          <w:i w:val="1"/>
          <w:iCs w:val="1"/>
          <w:color w:val="auto"/>
        </w:rPr>
        <w:t>optional sinking fund payment</w:t>
      </w:r>
      <w:r>
        <w:rPr>
          <w:rFonts w:ascii="Times New Roman" w:cs="Times New Roman" w:eastAsia="Times New Roman" w:hAnsi="Times New Roman"/>
          <w:sz w:val="14"/>
          <w:szCs w:val="14"/>
          <w:color w:val="auto"/>
        </w:rPr>
        <w:t>.” If provided for by the terms of Securities of any Series, the cash amount of any sinking fund payment may be subject to reduction as provided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20"/>
          </w:cols>
          <w:pgMar w:left="300" w:top="1111" w:right="3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color w:val="auto"/>
        </w:rPr>
        <w:t>Section 11.2. Each sinking fund payment shall be applied to the redemption of Securities of any Series as provided for by the terms of the Securities of such Series.</w:t>
      </w:r>
    </w:p>
    <w:p>
      <w:pPr>
        <w:spacing w:after="0" w:line="16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11.2</w:t>
      </w:r>
      <w:r>
        <w:rPr>
          <w:sz w:val="20"/>
          <w:szCs w:val="20"/>
          <w:color w:val="auto"/>
        </w:rPr>
        <w:tab/>
      </w:r>
      <w:r>
        <w:rPr>
          <w:rFonts w:ascii="Times New Roman" w:cs="Times New Roman" w:eastAsia="Times New Roman" w:hAnsi="Times New Roman"/>
          <w:sz w:val="13"/>
          <w:szCs w:val="13"/>
          <w:u w:val="single" w:color="auto"/>
          <w:color w:val="auto"/>
        </w:rPr>
        <w:t>Satisfaction of Sinking Fund Payments with Securities.</w:t>
      </w:r>
    </w:p>
    <w:p>
      <w:pPr>
        <w:spacing w:after="0" w:line="167"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4"/>
          <w:szCs w:val="14"/>
          <w:color w:val="auto"/>
        </w:rPr>
        <w:t xml:space="preserve">The Company may, in satisfaction of all or any part of any sinking fund payment with respect to the Securities of any Series to be made pursuant to the terms of such Securities (a) deliver outstanding Securities of such Series to which such sinking fund payment is applicable (other than any of such Securities previously called for mandatory sinking fund redemption) and (b)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15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4"/>
          <w:szCs w:val="14"/>
          <w:color w:val="auto"/>
        </w:rPr>
        <w:t>Section 11.3</w:t>
      </w:r>
      <w:r>
        <w:rPr>
          <w:sz w:val="20"/>
          <w:szCs w:val="20"/>
          <w:color w:val="auto"/>
        </w:rPr>
        <w:tab/>
      </w:r>
      <w:r>
        <w:rPr>
          <w:rFonts w:ascii="Times New Roman" w:cs="Times New Roman" w:eastAsia="Times New Roman" w:hAnsi="Times New Roman"/>
          <w:sz w:val="13"/>
          <w:szCs w:val="13"/>
          <w:u w:val="single" w:color="auto"/>
          <w:color w:val="auto"/>
        </w:rPr>
        <w:t>Redemption of Securities for Sinking Fund.</w:t>
      </w:r>
    </w:p>
    <w:p>
      <w:pPr>
        <w:spacing w:after="0" w:line="16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1260"/>
          </w:cols>
          <w:pgMar w:left="300" w:top="111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Indenture to be duly executed as of the day and year first above written.</w:t>
      </w:r>
    </w:p>
    <w:p>
      <w:pPr>
        <w:spacing w:after="0" w:line="19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color w:val="auto"/>
        </w:rPr>
        <w:t>Blaize Holdings, Inc.</w:t>
      </w:r>
    </w:p>
    <w:p>
      <w:pPr>
        <w:spacing w:after="0" w:line="17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10160</wp:posOffset>
            </wp:positionV>
            <wp:extent cx="287274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2872740" cy="6350"/>
                    </a:xfrm>
                    <a:prstGeom prst="rect">
                      <a:avLst/>
                    </a:prstGeom>
                    <a:noFill/>
                  </pic:spPr>
                </pic:pic>
              </a:graphicData>
            </a:graphic>
          </wp:anchor>
        </w:drawing>
      </w:r>
    </w:p>
    <w:p>
      <w:pPr>
        <w:spacing w:after="0" w:line="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Its:</w:t>
      </w:r>
    </w:p>
    <w:p>
      <w:pPr>
        <w:spacing w:after="0" w:line="207" w:lineRule="exact"/>
        <w:rPr>
          <w:sz w:val="20"/>
          <w:szCs w:val="20"/>
          <w:color w:val="auto"/>
        </w:rPr>
      </w:pPr>
    </w:p>
    <w:p>
      <w:pPr>
        <w:jc w:val="both"/>
        <w:ind w:left="6280"/>
        <w:spacing w:after="0"/>
        <w:tabs>
          <w:tab w:leader="none" w:pos="70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 as Trustee</w:t>
      </w:r>
    </w:p>
    <w:p>
      <w:pPr>
        <w:spacing w:after="0" w:line="17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10160</wp:posOffset>
            </wp:positionV>
            <wp:extent cx="287274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2872740" cy="6350"/>
                    </a:xfrm>
                    <a:prstGeom prst="rect">
                      <a:avLst/>
                    </a:prstGeom>
                    <a:noFill/>
                  </pic:spPr>
                </pic:pic>
              </a:graphicData>
            </a:graphic>
          </wp:anchor>
        </w:drawing>
      </w:r>
    </w:p>
    <w:p>
      <w:pPr>
        <w:spacing w:after="0" w:line="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Name:</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4"/>
          <w:szCs w:val="14"/>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1112" w:right="1440"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1551305</wp:posOffset>
            </wp:positionH>
            <wp:positionV relativeFrom="paragraph">
              <wp:posOffset>90805</wp:posOffset>
            </wp:positionV>
            <wp:extent cx="4064635" cy="397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4064635" cy="397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2"/>
          <w:szCs w:val="12"/>
          <w:b w:val="1"/>
          <w:bCs w:val="1"/>
          <w:color w:val="auto"/>
        </w:rPr>
        <w:t>Faegre Drinker Biddle &amp; Reath LLP</w:t>
      </w:r>
    </w:p>
    <w:p>
      <w:pPr>
        <w:spacing w:after="0" w:line="28"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2"/>
          <w:szCs w:val="12"/>
          <w:color w:val="auto"/>
        </w:rPr>
        <w:t>2200 Wells Fargo Center</w:t>
      </w:r>
    </w:p>
    <w:p>
      <w:pPr>
        <w:spacing w:after="0" w:line="2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2"/>
          <w:szCs w:val="12"/>
          <w:color w:val="auto"/>
        </w:rPr>
        <w:t>90 S. Seventh Street</w:t>
      </w:r>
    </w:p>
    <w:p>
      <w:pPr>
        <w:spacing w:after="0" w:line="2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2"/>
          <w:szCs w:val="12"/>
          <w:color w:val="auto"/>
        </w:rPr>
        <w:t>Minneapolis, Minnesota 55402</w:t>
      </w:r>
    </w:p>
    <w:p>
      <w:pPr>
        <w:spacing w:after="0" w:line="2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2"/>
          <w:szCs w:val="12"/>
          <w:color w:val="auto"/>
        </w:rPr>
        <w:t>+1 612 766 7000 main</w:t>
      </w:r>
    </w:p>
    <w:p>
      <w:pPr>
        <w:spacing w:after="0" w:line="26"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2"/>
          <w:szCs w:val="12"/>
          <w:color w:val="auto"/>
        </w:rPr>
        <w:t>+1 612 766 1600 fax</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January 27,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Blaize Holdings,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4659 Golden Foothill Parkway, Suite 206</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El Dorado Hills, California 95762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have acted as counsel to Blaize Holdings, Inc., a Delaware corporation (the “Company”), in connection with the Registration Statement on Form S-3 (the “Registration Statement”) being filed by the Company with the Securities and Exchange Commission (the “Commission”) on the date hereof under the Securities Act of 1933, as amended (the “Securities Act”).</w:t>
      </w:r>
    </w:p>
    <w:p>
      <w:pPr>
        <w:spacing w:after="0" w:line="13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The Registration Statement relates to the issuance and sale from time to time by the Company, pursuant to Rule 415 of the Securities Act, of the following securities of the Company having an aggregate initial offering price of up to $250,000,000: (i) shares of common stock, $0.0001 par value per share (“Common Stock”); (ii) shares of preferred stock, $0.0001 par value per share (“Preferred Stock”), in one or more classes or series; (iii) one or more series of debt securities (“Debt Securities”); (iv) purchase contracts for the purchase of Common Stock or other securities (the “Purchase Contracts”);</w:t>
      </w:r>
    </w:p>
    <w:p>
      <w:pPr>
        <w:spacing w:after="0" w:line="1" w:lineRule="exact"/>
        <w:rPr>
          <w:sz w:val="20"/>
          <w:szCs w:val="20"/>
          <w:color w:val="auto"/>
        </w:rPr>
      </w:pPr>
    </w:p>
    <w:p>
      <w:pPr>
        <w:ind w:firstLine="2"/>
        <w:spacing w:after="0" w:line="249" w:lineRule="auto"/>
        <w:tabs>
          <w:tab w:leader="none" w:pos="211"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to purchase shares of Common Stock, shares of Preferred Stock or Debt Securities (collectively, “Warrants”); (vi) rights to purchase shares of Common Stock (“Rights”); and (vii) units, consisting of Common Stock, Preferred Stock, Debt Securities, Warrants, Purchase Contracts or Rights in any combination (the “Units”).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Common Stock, Preferred Stock, Debt Securities, Warrants, Purchase Contracts, Rights and Units are collectively referred to herein as the “Securities.” The Securities may be offered separately or together with other Securities, in one or more series, and in amounts, at prices and on terms to be set forth in the prospectus, and one or more supplements thereto constituting a part of the Registration Statement.</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3"/>
          <w:szCs w:val="13"/>
          <w:color w:val="auto"/>
        </w:rPr>
        <w:t>Any Common Stock is to be issued under the Third Amended and Restated Certificate of Incorporation of the Company, as amended from time to time (the “Certificate of Incorporation”). Any series of Preferred Stock is to be issued under the Certificate of Incorporation and one or more certificates of designation thereto approved by the Board of Directors of the Company and filed with the Secretary of State of the State of Delaware (each, a “Certificate of Designation”). Any series of Debt Securities is to be issued pursuant to an indenture (the “Indenture”) between the Company and a trustee to be named by the Company substantially in the form filed as Exhibit 4.4 to the Registration Statement, with appropriate insertions, and duly qualified under the Trust Indenture Act of 1939, as amended (the “Trust Indenture Act”). Any Purchase Contracts are to be issued pursuant to a purchase contract agreement (including, if applicable, a form of certificate evidencing the Purchase Contracts) (the “Purchase Contract Agreement”), which will be filed as an exhibit to and incorporated by reference into the Registration Statement. Any Warrants are to be issued pursuant to a warrant agreement (including, if applicable, a form of certificate evidencing the Warrants) (the “Warrant Agreement”), which will be filed as an exhibit to and incorporated by reference into the Registration Statement. Any Rights are to be issued pursuant to a rights agent agreement (including, if applicable, a form of certificate evidencing the Rights) (the “Rights Agreement”), which will be filed as an exhibit to and incorporated by reference into the Registration Statement. Any Units are to be issued pursuant to a unit agreement (including, if applicable, a form of certificate evidencing the Units) (the “Unit</w:t>
      </w:r>
    </w:p>
    <w:p>
      <w:pPr>
        <w:sectPr>
          <w:pgSz w:w="11900" w:h="16838" w:orient="portrait"/>
          <w:cols w:equalWidth="0" w:num="1">
            <w:col w:w="11280"/>
          </w:cols>
          <w:pgMar w:left="300" w:top="123"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auto"/>
        </w:rPr>
        <w:t>January 27, 2026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Agreement”), which will be filed as an exhibit to and incorporated by reference into the Registration Statement. The Certificate of Incorporation, each Certificate of Designation, the Indenture, any supplements thereto, each Warrant Agreement, each Purchase Contract Agreement, each Rights Agreement and each Unit Agreement are referred to herein individually as a “Governing Document” and collectively as the “Governing Documents.”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opinion letter is being delivered in accordance with the requirements of Item 601(b)(5) of Regulation S-K.</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As counsel for the Company, we are familiar with the Certificate of Incorporation and the Amended and Restated Bylaws (the “Bylaws”) of the Company, as amended to the date hereof, and we have reviewed originals, or copies certified or otherwise authenticated to our satisfaction, of (i) the Registration Statement, (ii) the form of Indenture, and (iii) the proceedings taken by the Company in connection with the authorization of the Securities. We have also examined originals, or copies certified or otherwise authenticated to our satisfaction, of such corporate and other records, agreements, instruments, certificates of public officials and representatives of the Company and other documents as we have deemed necessary as a basis for the opinions hereinafter expressed and have made such examination of statutes and decisions and reviewed such questions of law as we have considered relevant and necessary in connection with the opinions hereinafter expressed.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and subject to the foregoing and to the other assumptions, qualifications and limitations set forth herein, we are of the opinion that:</w:t>
      </w:r>
    </w:p>
    <w:p>
      <w:pPr>
        <w:spacing w:after="0" w:line="167" w:lineRule="exact"/>
        <w:rPr>
          <w:sz w:val="20"/>
          <w:szCs w:val="20"/>
          <w:color w:val="auto"/>
        </w:rPr>
      </w:pPr>
    </w:p>
    <w:p>
      <w:pPr>
        <w:jc w:val="both"/>
        <w:ind w:firstLine="494"/>
        <w:spacing w:after="0" w:line="268" w:lineRule="auto"/>
        <w:tabs>
          <w:tab w:leader="none" w:pos="903"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shares of Common Stock, including shares of Common Stock issuable in exchange for or upon conversion of Preferred Stock or Debt Securities or upon the exercise or fulfillment of Warrants or Rights or pursuant to Purchase Contracts or issued as a component of Units (the “Offered Common Stock”), when (i) a prospectus supplement and any other offering material with respect to the Offered Common Stock have been filed with the Commission in compliance with the Securities Act and the rules and regulations thereunder, (ii) any legally required consents, approvals, authorizations and other orders of the Commission and any other regulatory authorities are obtained, (iii) the appropriate corporate action has been taken by the Company to authorize the issuance of the Offered Common Stock, (iv) the Offered Common Stock has been issued by the Company against payment of the agreed-upon consideration therefor in accordance with any relevant agreements and such corporate action, (v) in the case of Common Stock issuable in exchange for or upon conversion of Preferred Stock or Debt Securities or upon the exercise or fulfillment of Warrants or Rights or pursuant to Purchase Contracts or issued as a component of Units, the actions in respect of such Preferred Stock, Debt Securities, Warrants, Purchase Contracts, Rights or Units referred to in paragraphs 2, 3, 4, 5, 6 or 7 hereof (as the case may be) have been completed, and (vi) certificates representing the Offered Common Stock have been duly executed by the duly authorized officers of the Company, countersigned by the transfer agent therefor and delivered to the purchasers thereof or other persons entitled thereto (or in the case of shares of Offered Common Stock issued without certificates, the due registration of issuance and constructive delivery through book entry of such shares), then, upon the happening of such events, such Offered Common Stock will be validly issued, fully paid and nonassessable.</w:t>
      </w:r>
    </w:p>
    <w:p>
      <w:pPr>
        <w:spacing w:after="0" w:line="136" w:lineRule="exact"/>
        <w:rPr>
          <w:rFonts w:ascii="Times New Roman" w:cs="Times New Roman" w:eastAsia="Times New Roman" w:hAnsi="Times New Roman"/>
          <w:sz w:val="13"/>
          <w:szCs w:val="13"/>
          <w:color w:val="auto"/>
        </w:rPr>
      </w:pPr>
    </w:p>
    <w:p>
      <w:pPr>
        <w:jc w:val="both"/>
        <w:ind w:firstLine="494"/>
        <w:spacing w:after="0" w:line="248" w:lineRule="auto"/>
        <w:tabs>
          <w:tab w:leader="none" w:pos="97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shares of any series of Preferred Stock, including shares of Preferred Stock issuable in exchange for or upon conversion of Debt Securities or upon the exercise or fulfillment of Warrants or pursuant to Purchase Contracts or issued as a component of Units (the “Offered Preferred Stock”), when (i) a prospectus supplement and any other offering material with respect to the Offered Preferred Stock have been filed with the Commission in compliance with the Securities Act and the rules and regulations thereunder, (ii) any legally required consents, approvals, authorizations and other orders of the Commission and any other regulatory authorities are obtained, (iii) the appropriate corporate action has been taken by the Company to authorize the issuance of the Offered Preferred Stock, to fix the terms thereof, and to authorize the execution and filing with the Secretary of State of the State of Delaware of a Certificate of Designation relating thereto, (iv) such Certificate of Designation has been executed by duly authorized officers of the Company and so filed by the Company in accordance with the laws of the State of Delaware, (v) the Offered Preferred Stock with terms so fixed has been issued by the Company against payment of the agreed-upon consideration therefor in accordance with any relevant agreements and such corporate</w:t>
      </w:r>
    </w:p>
    <w:p>
      <w:pPr>
        <w:sectPr>
          <w:pgSz w:w="11900" w:h="16838" w:orient="portrait"/>
          <w:cols w:equalWidth="0" w:num="1">
            <w:col w:w="11280"/>
          </w:cols>
          <w:pgMar w:left="300" w:top="127"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color w:val="auto"/>
        </w:rPr>
        <w:t>January 27, 2026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action, (vi) in the case of Preferred Stock issuable in exchange for or upon conversion of Debt Securities or upon the exercise or fulfillment of Warrants or pursuant to Purchase Contracts or issued as a component of Units, the actions in respect of such Debt Securities, Warrants, Purchase Contracts or Units referred to in paragraphs 3, 4, 5 or 7 hereof (as the case may be) have been completed, and (vii) certificates representing the Offered Preferred Stock have been duly executed by the duly authorized officers of the Company, countersigned by the transfer agent therefor and delivered to the purchasers thereof or other persons entitled thereto (or in the case of shares of Offered Preferred Stock issued without certificates, the due registration of issuance and constructive delivery through book entry of such shares), then, upon the happening of such events, such Offered Preferred Stock will be validly issued, fully paid and nonassessable.</w:t>
      </w:r>
    </w:p>
    <w:p>
      <w:pPr>
        <w:spacing w:after="0" w:line="167" w:lineRule="exact"/>
        <w:rPr>
          <w:sz w:val="20"/>
          <w:szCs w:val="20"/>
          <w:color w:val="auto"/>
        </w:rPr>
      </w:pPr>
    </w:p>
    <w:p>
      <w:pPr>
        <w:jc w:val="both"/>
        <w:ind w:firstLine="494"/>
        <w:spacing w:after="0" w:line="247" w:lineRule="auto"/>
        <w:tabs>
          <w:tab w:leader="none" w:pos="90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series of Debt Securities, including Debt Securities issuable upon the exercise or fulfillment of Warrants or pursuant to Purchase Contracts or issued as a component of Units, when (i) a prospectus supplement and any other offering material with respect to such series of Debt Securities have been filed with the Commission in compliance with the Securities Act and the rules and regulations thereunder, (ii) any legally required consents, approvals, authorizations and other orders of the Commission and any other regulatory authorities are obtained, (iii) the appropriate corporate action has been taken by the Company to authorize the issuance and terms of such series of Debt Securities and related matters and to authorize the execution and delivery of the Indenture and a supplement to the Indenture with respect to such series of Debt Securities, (iv) the Indenture and a supplement to the Indenture with respect to such series of Debt Securities have been duly executed and delivered by the Company and the trustee, (v) such Debt Securities have been duly executed and authenticated in accordance with the provisions of the Indenture, as supplemented, and duly delivered to the purchasers thereof or other persons entitled thereto upon payment of the agreed-upon consideration therefor in accordance with any relevant agreements and such corporate action, and (vi) in the case of Debt Securities issuable upon the exercise or fulfillment of Warrants or pursuant to Purchase Contracts or issued as a component of Units, the actions in respect of such Warrants, Purchase Contracts or Units referred to in paragraphs 4, 5 or 7 hereof (as the case may be) have been completed, then, upon the happening of such events, such Debt Securities will be valid and legally binding obligations of the Company, enforceable against the Company in accordance with their respective terms.</w:t>
      </w:r>
    </w:p>
    <w:p>
      <w:pPr>
        <w:spacing w:after="0" w:line="148" w:lineRule="exact"/>
        <w:rPr>
          <w:rFonts w:ascii="Times New Roman" w:cs="Times New Roman" w:eastAsia="Times New Roman" w:hAnsi="Times New Roman"/>
          <w:sz w:val="14"/>
          <w:szCs w:val="14"/>
          <w:color w:val="auto"/>
        </w:rPr>
      </w:pPr>
    </w:p>
    <w:p>
      <w:pPr>
        <w:jc w:val="both"/>
        <w:ind w:firstLine="494"/>
        <w:spacing w:after="0" w:line="247" w:lineRule="auto"/>
        <w:tabs>
          <w:tab w:leader="none" w:pos="886"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Purchase Contracts, including Purchase Contracts issued as a component of Units, when (i) a prospectus supplement and any other offering material with respect to such Purchase Contracts have been filed with the Commission in compliance with the Securities Act and the rules and regulations thereunder, (ii) any legally required consents, approvals, authorizations and other orders of the Commission and any other regulatory authorities are obtained, (iii) the appropriate corporate action has been taken by the Company to authorize the form, terms, execution and delivery of a Purchase Contract Agreement (including, if applicable, a form of certificate evidencing such Purchase Contracts) and the issuance of such Purchase Contracts and the underlying shares of Common Stock or other securities, (iv) the Purchase Contract Agreement has been duly executed and delivered by the Company and the purchase contract agent, (v) if applicable, certificates evidencing the Purchase Contracts with such terms are duly executed, attested, issued and delivered against payment of the agreed-upon consideration in accordance with the applicable Purchase Contract Agreement, any other relevant agreements and such corporate action, and (vi) in the case of Purchase Contracts issued as a component of Units, the actions in respect of such Units referred to in paragraph 7 hereof have been completed, then, upon the happening of such events, such Purchase Contracts will constitute valid and legally binding obligations of the Company, enforceable against the Company in accordance with their respective terms.</w:t>
      </w:r>
    </w:p>
    <w:p>
      <w:pPr>
        <w:spacing w:after="0" w:line="170" w:lineRule="exact"/>
        <w:rPr>
          <w:rFonts w:ascii="Times New Roman" w:cs="Times New Roman" w:eastAsia="Times New Roman" w:hAnsi="Times New Roman"/>
          <w:sz w:val="14"/>
          <w:szCs w:val="14"/>
          <w:color w:val="auto"/>
        </w:rPr>
      </w:pPr>
    </w:p>
    <w:p>
      <w:pPr>
        <w:jc w:val="both"/>
        <w:ind w:firstLine="494"/>
        <w:spacing w:after="0" w:line="250" w:lineRule="auto"/>
        <w:tabs>
          <w:tab w:leader="none" w:pos="89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Warrants, including Warrants issued as a component of Units, when (i) a prospectus supplement and any other offering material with respect to such Warrants have been filed with the Commission in compliance with the Securities Act and the rules and regulations thereunder, (ii) any legally required consents, approvals, authorizations and other orders of the Commission and any other regulatory authorities are obtained, (iii) the appropriate corporate action has been taken by the Company to authorize the form, terms, execution and delivery of a Warrant Agreement (including, if applicable, a form of certificate evidencing such Warrants) and the issuance of such Warrants and the underlying shares of Common Stock, Preferred Stock or Debt Securities, (iv) the Warrant Agreement has been duly executed and delivered by the Company and the warrant agent,</w:t>
      </w:r>
    </w:p>
    <w:p>
      <w:pPr>
        <w:sectPr>
          <w:pgSz w:w="11900" w:h="16838" w:orient="portrait"/>
          <w:cols w:equalWidth="0" w:num="1">
            <w:col w:w="11280"/>
          </w:cols>
          <w:pgMar w:left="300" w:top="127"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color w:val="auto"/>
        </w:rPr>
        <w:t>January 27, 2026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2"/>
        <w:spacing w:after="0" w:line="252" w:lineRule="auto"/>
        <w:tabs>
          <w:tab w:leader="none" w:pos="201"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certificates evidencing the Warrants with such terms are duly executed, attested, issued and delivered against payment of the agreed-upon consideration in accordance with the applicable Warrant Agreement, any other relevant agreements and such corporate action, and (vi) in the case of Warrants issued as a component of Units, the actions in respect of such Units referred to in paragraph 7 hereof have been completed, then, upon the happening of such events, such Warrants will constitute valid and legally binding obligations of the Company, enforceable against the Company in accordance with their respective terms.</w:t>
      </w:r>
    </w:p>
    <w:p>
      <w:pPr>
        <w:spacing w:after="0" w:line="165" w:lineRule="exact"/>
        <w:rPr>
          <w:rFonts w:ascii="Times New Roman" w:cs="Times New Roman" w:eastAsia="Times New Roman" w:hAnsi="Times New Roman"/>
          <w:sz w:val="14"/>
          <w:szCs w:val="14"/>
          <w:color w:val="auto"/>
        </w:rPr>
      </w:pPr>
    </w:p>
    <w:p>
      <w:pPr>
        <w:jc w:val="both"/>
        <w:ind w:firstLine="494"/>
        <w:spacing w:after="0" w:line="247" w:lineRule="auto"/>
        <w:tabs>
          <w:tab w:leader="none" w:pos="913"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Rights, including Rights issued as a component of Units, when (i) a prospectus supplement and any other offering material with respect to such Rights have been filed with the Commission in compliance with the Securities Act and the rules and regulations thereunder, (ii) any legally required consents, approvals, authorizations and other orders of the Commission and any other regulatory authorities are obtained, (iii) the appropriate corporate action has been taken by the Company to authorize the form, terms, execution and delivery of a Rights Agreement (including, if applicable, a form of certificate evidencing such Rights) and the issuance of such Rights and the underlying shares of Common Stock, (iv) the Rights Agreement has been duly executed and delivered by the Company and the rights agent, (v) if applicable, certificates evidencing the Rights with such terms are duly executed, attested, issued and delivered against payment of the agreed-upon consideration in accordance with the applicable Rights Agreement, any other relevant agreements and such corporate action, and (vi) in the case of Rights issued as a component of Units, the actions in respect of such Units referred to in paragraph 7 hereof have been completed, then, upon the happening of such events, such Rights will constitute valid and legally binding obligations of the Company, enforceable against the Company in accordance with their respective terms.</w:t>
      </w:r>
    </w:p>
    <w:p>
      <w:pPr>
        <w:spacing w:after="0" w:line="151" w:lineRule="exact"/>
        <w:rPr>
          <w:rFonts w:ascii="Times New Roman" w:cs="Times New Roman" w:eastAsia="Times New Roman" w:hAnsi="Times New Roman"/>
          <w:sz w:val="14"/>
          <w:szCs w:val="14"/>
          <w:color w:val="auto"/>
        </w:rPr>
      </w:pPr>
    </w:p>
    <w:p>
      <w:pPr>
        <w:jc w:val="both"/>
        <w:ind w:firstLine="494"/>
        <w:spacing w:after="0" w:line="267" w:lineRule="auto"/>
        <w:tabs>
          <w:tab w:leader="none" w:pos="866" w:val="left"/>
        </w:tabs>
        <w:numPr>
          <w:ilvl w:val="1"/>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any Units, when (i) a prospectus supplement and any other offering material with respect to such Units have been filed with the Commission in compliance with the Securities Act and the rules and regulations thereunder, (ii) any legally required consents, approvals, authorizations and other orders of the Commission and any other regulatory authorities are obtained, (iii) the appropriate corporate action has been taken by the Company to authorize the form, terms, execution and delivery of a Unit Agreement (including, if applicable, a form of certificate evidencing such Units) and the issuance of such Units, (iv) the Unit Agreement has been duly executed and delivered by the Company and the unit agent, (v) if applicable, certificates evidencing the Units with such terms are duly executed, attested, issued and delivered against payment of the agreed-upon consideration in accordance with the applicable Unit Agreement, any other relevant agreements and such corporate action, and</w:t>
      </w:r>
    </w:p>
    <w:p>
      <w:pPr>
        <w:jc w:val="both"/>
        <w:ind w:firstLine="2"/>
        <w:spacing w:after="0" w:line="247" w:lineRule="auto"/>
        <w:tabs>
          <w:tab w:leader="none" w:pos="237"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actions in respect of any Common Stock, Preferred Stock, Debt Securities, Warrants, Purchase Contracts and/or Rights comprising such Units referred to in paragraphs 1, 2, 3, 4, 5 and/or 6 hereof (as the case may be) have been completed, then, upon the happening of such events, such Units will constitute valid and legally binding obligations of the Company, enforceable against the Company in accordance with their respective terms.</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The foregoing opinions are subject to the limitation that the validity, binding effect, or enforceability of the provisions of any agreement or instrument is limited by (i) applicable bankruptcy, insolvency, reorganization, assignment for the benefit of creditors, moratorium, fraudulent conveyance, fraudulent transfer, voidable transactions, receivership, and other laws of general application relating to or affecting the enforcement of creditors’ rights, (ii) general principles of equity, including, without limitation, concepts of materiality, reasonableness, good faith, fair dealing, and the possible unavailability of specific performance, injunctive relief, or other equitable remedies, whether considered in a proceeding at law or in equity, (iii) public policy considerations that may limit the rights of parties to obtain specific remedies or enforce specific terms, and (iv) governmental authority to limit, delay or prohibit the making of payments outside the United States.</w:t>
      </w:r>
    </w:p>
    <w:p>
      <w:pPr>
        <w:spacing w:after="0" w:line="1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The foregoing opinions assume that (a) the Registration Statement and any amendments relating thereto shall have become effective under the Securities Act and will continue to be effective, (b) the Company will remain duly organized, validly existing and in good standing under the laws of the State of Delaware, (c) at the time any Securities or Governing Documents are authorized, issued, executed, authenticated, acknowledged, delivered or filed (as the case may be), (1) there will not have occurred any change in the law or in the Certificate of Incorporation or Bylaws affecting the authorization, issuance, execution, authentication, acknowledgement, delivery,</w:t>
      </w:r>
    </w:p>
    <w:p>
      <w:pPr>
        <w:sectPr>
          <w:pgSz w:w="11900" w:h="16838" w:orient="portrait"/>
          <w:cols w:equalWidth="0" w:num="1">
            <w:col w:w="11280"/>
          </w:cols>
          <w:pgMar w:left="300" w:top="127"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color w:val="auto"/>
        </w:rPr>
        <w:t>January 27, 2026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3"/>
          <w:szCs w:val="13"/>
          <w:color w:val="auto"/>
        </w:rPr>
        <w:t>filing, validity or enforceability of such Securities or Governing Documents, and (2) no relevant corporate actions will have been modified or rescinded, (d) none of the particular terms of any Securities or Governing Documents established after the date hereof will violate, or be void or voidable under, any applicable law, (e) neither the authorization, issuance, execution, authentication, acknowledgement, delivery or filing of any Securities or Governing Documents, nor the compliance by the Company with the terms of such Securities or Governing Documents, will result in a violation of or default under any agreement or instrument then binding upon the Company or any order of any court or governmental body having jurisdiction over the Company then in effect, (f) the Securities will be issued in accordance with, and in compliance with any limitations on issuance contained in, the corporate action related thereto, (g) the Company will have received legally sufficient consideration for all Securities, (h) each party to any Securities or Governing Documents (other than the Company) will have duly authorized, executed and delivered such agreements or instruments and complied with all legal requirements pertaining to its status as such status relates to the right to enforce such agreements or instruments against the Company and will have satisfied those legal requirements applicable to it to the extent necessary to make such agreements or instruments enforceable against it, (i) the Indenture will have been qualified under the Trust Indenture Act, (j) the terms of the Securities will be established in conformity with the applicable Governing Documents and the Securities will be issued within the limits of the then remaining authorized but unreserved and unissued amounts of such Securities under the Governing Documents, (k) any Securities issuable upon conversion, exchange, or exercise or fulfillment of, or upon purchase pursuant to, any other Securities will have been duly authorized and reserved for issuance (in each case, within the limits of the then remaining authorized but unreserved and unissued amounts of such Securities), and any issuance of such Securities will be effected in accordance with the terms and conditions set forth in such other Securities and the Governing Documents related thereto, (l) all certificates evidencing any Securities will be in the form required by law and approved for issuance by the Company, (m) the Company will comply with all applicable notice requirements regarding uncertificated shares provided in the General Corporation Law of the State of Delaware, and (n) the Securities will be duly registered on the books of the transfer agent and registrar thereof in the name and on behalf of the holders thereof.</w:t>
      </w:r>
    </w:p>
    <w:p>
      <w:pPr>
        <w:spacing w:after="0" w:line="3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As to facts material to this opinion letter, we have relied upon certificates, statements or representations of public officials, of officers and representatives of the Company and of others as to the accuracy of such factual matters, in each case, without any independent verification thereof or other investigation. We have assumed, without investigation, the following: (a) the genuineness of signatures, including electronic signatures, appearing upon agreements, instruments, certifications, documents, and proceedings, (b) that each document submitted to us for review is accurate and complete, each such document that is an original is authentic and each such document that is a copy conforms to an authentic original, (c) the legal capacity of natural persons who are involved on behalf of the Company to enter into and perform the referenced instrument or agreement or to carry out their role in the transactions contemplated thereby, (d) the truth, accuracy and completeness of the information, representations and warranties contained in the agreements, instruments, certificates, documents and records we have reviewed, (e) the absence of any undisclosed modifications to the agreements and instruments reviewed by us, (f) that Delaware law will be chosen to govern each Warrant Agreement, each Purchase Contract Agreement, each Rights Agreement and each Unit Agreement, and all Securities issued thereunder and/or certificates evidencing such Securities, and (g) that New York law has or will be chosen to govern the Indenture and all Securities issued thereunder.</w:t>
      </w:r>
    </w:p>
    <w:p>
      <w:pPr>
        <w:spacing w:after="0" w:line="1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Without limiting any other qualifications set forth herein, the opinions expressed herein are subject to the effect of generally applicable laws that (a) provide for the enforcement of oral waivers or modifications where a material change of position in reliance thereon has occurred or provide that a course of performance may operate as a waiver, (b) limit the enforcement of provisions of instruments or agreements that purport to require waiver of the obligations of good faith, fair dealing, diligence and reasonableness, (c) limit the availability of a remedy under certain circumstances where another remedy has been elected, (d) limit the enforceability of provisions releasing, exculpating or exempting a party from, or requiring indemnification of or contribution to a party for, liability for its own action or inaction, to the extent the action or inaction involves negligence, recklessness, willful misconduct or unlawful conduct or insofar as such provisions otherwise contravene public policy, (e) may, where less than all of an instrument or agreement may be unenforceable, limit the enforceability of the balance of the instrument or agreement to circumstances in which the unenforceable portion is not an essential part of the agreed exchange,</w:t>
      </w:r>
    </w:p>
    <w:p>
      <w:pPr>
        <w:sectPr>
          <w:pgSz w:w="11900" w:h="16838" w:orient="portrait"/>
          <w:cols w:equalWidth="0" w:num="1">
            <w:col w:w="11280"/>
          </w:cols>
          <w:pgMar w:left="300" w:top="127"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color w:val="auto"/>
        </w:rPr>
        <w:t>January 27, 2026</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firstLine="2"/>
        <w:spacing w:after="0" w:line="252" w:lineRule="auto"/>
        <w:tabs>
          <w:tab w:leader="none" w:pos="187"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 and afford judicial discretion regarding the determination of damages and entitlement to attorneys’ fees and other costs, (g) may permit a party who has materially failed to render or offer performance required by a contract to cure that failure unless either permitting a cure would unreasonably hinder the aggrieved party from making substitute arrangements for performance or it is important under the circumstances to the aggrieved party that performance occur by the date stated in the instrument or agreement, (h) may require mitigation of damages, (i) may limit the enforceability of certain waivers, and (j) provide a time limitation after which a remedy may not be enforced (i.e., statutes of limitation).</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We express no opinion as to the enforceability or effect in any Governing Document of (i) any usury or fraudulent transfer or conveyance or voidable transactions “savings” provision; (ii) any agreement to submit to the jurisdiction of any particular court or other governmental authority (either as to personal jurisdiction or subject matter jurisdiction), any provision restricting access to courts (including without limitation agreements to arbitrate disputes), any waivers of the right to jury trial, any waivers of service of process requirements that would otherwise be applicable, any agreement that a judgment rendered by a court in one jurisdiction may be enforced in another jurisdiction, or any provision otherwise affecting the jurisdiction or venue of courts; (iii) any provision waiving or otherwise modifying legal, statutory or equitable defenses or other procedural, judicial or substantive rights; (iv) any provision that authorizes one party to act as attorney-in-fact for another party; or (v) any provision for the payment of premiums upon mandatory prepayment to the extent any such payment constitutes, or is deemed to constitute, a penalty or forfeiture.</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Although Debt Securities may be denominated in currencies or composite currencies other than the United States dollar, we express no opinion as to whether a court would award a judgment in a currency or composite currency other than United States dollars. Further, we express no opinion with respect to the enforceability of any provision specifying rates of exchange for, or requiring indemnity against loss in, converting into a specified currency or composite currency the proceeds or amount of a court judgment in another currency.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opinions set forth herein are limited to the General Corporation Law of the State of Delaware and the laws of the State of New York, and we express no opinion as to the effect of any other laws.</w:t>
      </w:r>
    </w:p>
    <w:p>
      <w:pPr>
        <w:spacing w:after="0" w:line="1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This opinion letter is rendered as of the date first written above, and we assume no responsibility for updating this opinion letter or the opinions set forth herein to take into account any event, action, interpretation or change in law or facts occurring subsequent to the date hereof that may affect the validity of such opinions. This opinion letter is expressly limited to the matters set forth above, and we render no opinion, whether by implication or otherwise, as to any other matters relating to the Company, the Securities or the Governing Documents.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hereby consent to the filing of this opinion letter as an exhibit to the Registration Statement and to being named in the Registration Statement under the caption “Legal Matters” with respect to the matters stated therein without implying or admitting that we are “experts” within the meaning of the Securities Act or the rules and regulations of the Commission issued thereunder with respect to any part of the Registration Statement, including this exhibit.</w:t>
      </w:r>
    </w:p>
    <w:p>
      <w:pPr>
        <w:spacing w:after="0" w:line="9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200" w:lineRule="exact"/>
        <w:rPr>
          <w:sz w:val="20"/>
          <w:szCs w:val="20"/>
          <w:color w:val="auto"/>
        </w:rPr>
      </w:pPr>
    </w:p>
    <w:p>
      <w:pPr>
        <w:spacing w:after="0" w:line="27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4"/>
          <w:szCs w:val="14"/>
          <w:color w:val="auto"/>
        </w:rPr>
        <w:t>/s/ Faegre Drinker Biddle &amp; Reath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29845</wp:posOffset>
            </wp:positionV>
            <wp:extent cx="343916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3439160" cy="6350"/>
                    </a:xfrm>
                    <a:prstGeom prst="rect">
                      <a:avLst/>
                    </a:prstGeom>
                    <a:noFill/>
                  </pic:spPr>
                </pic:pic>
              </a:graphicData>
            </a:graphic>
          </wp:anchor>
        </w:drawing>
      </w:r>
    </w:p>
    <w:p>
      <w:pPr>
        <w:spacing w:after="0" w:line="4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FAEGRE DRINKER BIDDLE &amp; REATH LLP</w:t>
      </w:r>
    </w:p>
    <w:p>
      <w:pPr>
        <w:sectPr>
          <w:pgSz w:w="11900" w:h="16838" w:orient="portrait"/>
          <w:cols w:equalWidth="0" w:num="1">
            <w:col w:w="11280"/>
          </w:cols>
          <w:pgMar w:left="300" w:top="127" w:right="31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12700</wp:posOffset>
            </wp:positionV>
            <wp:extent cx="1257300" cy="462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1257300" cy="46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INDEPENDENT REGISTERED PUBLIC ACCOUNTING FIRM’S CONSENT</w:t>
      </w:r>
    </w:p>
    <w:p>
      <w:pPr>
        <w:spacing w:after="0" w:line="200" w:lineRule="exact"/>
        <w:rPr>
          <w:sz w:val="20"/>
          <w:szCs w:val="20"/>
          <w:color w:val="auto"/>
        </w:rPr>
      </w:pPr>
    </w:p>
    <w:p>
      <w:pPr>
        <w:spacing w:after="0" w:line="3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consent to the incorporation by reference in this Registration Statement of Blaize Holdings, Inc. (the “Company”) on Form S-3 of our report dated March 11, 2025, which includes an explanatory paragraph as to Blaize, Inc. and Subsidiaries’ ability to continue as a going concern, with respect to our audits of the consolidated financial statements of Blaize, Inc. and Subsidiaries as of December 31, 2024 and 2023 and for the years then ended. We also consent to the reference to our Firm under the heading “Experts” in such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1250950" cy="540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125095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Melville, NY</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January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An Independent Member of Urbach Hacker Young International</w:t>
      </w:r>
    </w:p>
    <w:p>
      <w:pPr>
        <w:sectPr>
          <w:pgSz w:w="11900" w:h="16838" w:orient="portrait"/>
          <w:cols w:equalWidth="0" w:num="1">
            <w:col w:w="11280"/>
          </w:cols>
          <w:pgMar w:left="300" w:top="123" w:right="31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CONSENT OF INDEPENDENT REGISTERED PUBLIC ACCOUNTING FIRM</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We consent to the incorporation by reference in this Registration Statement on Form S-3 of our report dated April 14, 2025 with respect to the financial statements of Blaize Holdings, Inc. for the years ended December 31, 2024 and 2023 included in the Annual Report on Form 10-K. We also consent to the reference to us under the heading “Experts” in such Registration Statement.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Marcum LLP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January 27, 2026</w:t>
      </w:r>
    </w:p>
    <w:sectPr>
      <w:pgSz w:w="11900" w:h="16838" w:orient="portrait"/>
      <w:cols w:equalWidth="0" w:num="1">
        <w:col w:w="11280"/>
      </w:cols>
      <w:pgMar w:left="300" w:top="48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12E685FB"/>
    <w:multiLevelType w:val="hybridMultilevel"/>
    <w:lvl w:ilvl="0">
      <w:lvlJc w:val="left"/>
      <w:lvlText w:val="(%1)"/>
      <w:numFmt w:val="decimal"/>
      <w:start w:val="2"/>
    </w:lvl>
    <w:lvl w:ilvl="1">
      <w:lvlJc w:val="left"/>
      <w:lvlText w:val="(%2)"/>
      <w:numFmt w:val="lowerRoman"/>
      <w:start w:val="1"/>
    </w:lvl>
  </w:abstractNum>
  <w:abstractNum w:abstractNumId="26">
    <w:nsid w:val="70C6A529"/>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7">
    <w:nsid w:val="520EEDD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8">
    <w:nsid w:val="374A3FE6"/>
    <w:multiLevelType w:val="hybridMultilevel"/>
    <w:lvl w:ilvl="0">
      <w:lvlJc w:val="left"/>
      <w:lvlText w:val="(%1)"/>
      <w:numFmt w:val="lowerLetter"/>
      <w:start w:val="8"/>
    </w:lvl>
  </w:abstractNum>
  <w:abstractNum w:abstractNumId="29">
    <w:nsid w:val="4F4EF005"/>
    <w:multiLevelType w:val="hybridMultilevel"/>
    <w:lvl w:ilvl="0">
      <w:lvlJc w:val="left"/>
      <w:lvlText w:val="(%1)"/>
      <w:numFmt w:val="lowerLetter"/>
      <w:start w:val="10"/>
    </w:lvl>
  </w:abstractNum>
  <w:abstractNum w:abstractNumId="30">
    <w:nsid w:val="23F9C13C"/>
    <w:multiLevelType w:val="hybridMultilevel"/>
    <w:lvl w:ilvl="0">
      <w:lvlJc w:val="left"/>
      <w:lvlText w:val="§"/>
      <w:numFmt w:val="bullet"/>
      <w:start w:val="1"/>
    </w:lvl>
    <w:lvl w:ilvl="1">
      <w:lvlJc w:val="left"/>
      <w:lvlText w:val="§"/>
      <w:numFmt w:val="bullet"/>
      <w:start w:val="1"/>
    </w:lvl>
  </w:abstractNum>
  <w:abstractNum w:abstractNumId="31">
    <w:nsid w:val="649BB77C"/>
    <w:multiLevelType w:val="hybridMultilevel"/>
    <w:lvl w:ilvl="0">
      <w:lvlJc w:val="left"/>
      <w:lvlText w:val="§"/>
      <w:numFmt w:val="bullet"/>
      <w:start w:val="1"/>
    </w:lvl>
    <w:lvl w:ilvl="1">
      <w:lvlJc w:val="left"/>
      <w:lvlText w:val="§"/>
      <w:numFmt w:val="bullet"/>
      <w:start w:val="1"/>
    </w:lvl>
  </w:abstractNum>
  <w:abstractNum w:abstractNumId="32">
    <w:nsid w:val="275AC794"/>
    <w:multiLevelType w:val="hybridMultilevel"/>
    <w:lvl w:ilvl="0">
      <w:lvlJc w:val="left"/>
      <w:lvlText w:val="(%1)"/>
      <w:numFmt w:val="lowerLetter"/>
      <w:start w:val="1"/>
    </w:lvl>
  </w:abstractNum>
  <w:abstractNum w:abstractNumId="33">
    <w:nsid w:val="39386575"/>
    <w:multiLevelType w:val="hybridMultilevel"/>
    <w:lvl w:ilvl="0">
      <w:lvlJc w:val="left"/>
      <w:lvlText w:val="(%1)"/>
      <w:numFmt w:val="lowerLetter"/>
      <w:start w:val="1"/>
    </w:lvl>
  </w:abstractNum>
  <w:abstractNum w:abstractNumId="34">
    <w:nsid w:val="1CF10FD8"/>
    <w:multiLevelType w:val="hybridMultilevel"/>
    <w:lvl w:ilvl="0">
      <w:lvlJc w:val="left"/>
      <w:lvlText w:val="(%1)"/>
      <w:numFmt w:val="lowerLetter"/>
      <w:start w:val="5"/>
    </w:lvl>
  </w:abstractNum>
  <w:abstractNum w:abstractNumId="35">
    <w:nsid w:val="180115BE"/>
    <w:multiLevelType w:val="hybridMultilevel"/>
    <w:lvl w:ilvl="0">
      <w:lvlJc w:val="left"/>
      <w:lvlText w:val="(%1)"/>
      <w:numFmt w:val="lowerLetter"/>
      <w:start w:val="1"/>
    </w:lvl>
  </w:abstractNum>
  <w:abstractNum w:abstractNumId="36">
    <w:nsid w:val="235BA861"/>
    <w:multiLevelType w:val="hybridMultilevel"/>
    <w:lvl w:ilvl="0">
      <w:lvlJc w:val="left"/>
      <w:lvlText w:val="(%1)"/>
      <w:numFmt w:val="lowerLetter"/>
      <w:start w:val="1"/>
    </w:lvl>
  </w:abstractNum>
  <w:abstractNum w:abstractNumId="37">
    <w:nsid w:val="47398C89"/>
    <w:multiLevelType w:val="hybridMultilevel"/>
    <w:lvl w:ilvl="0">
      <w:lvlJc w:val="left"/>
      <w:lvlText w:val="(%1)"/>
      <w:numFmt w:val="lowerRoman"/>
      <w:start w:val="1"/>
    </w:lvl>
  </w:abstractNum>
  <w:abstractNum w:abstractNumId="38">
    <w:nsid w:val="354FE9F9"/>
    <w:multiLevelType w:val="hybridMultilevel"/>
    <w:lvl w:ilvl="0">
      <w:lvlJc w:val="left"/>
      <w:lvlText w:val="(%1)"/>
      <w:numFmt w:val="lowerLetter"/>
      <w:start w:val="5"/>
    </w:lvl>
  </w:abstractNum>
  <w:abstractNum w:abstractNumId="39">
    <w:nsid w:val="15B5AF5C"/>
    <w:multiLevelType w:val="hybridMultilevel"/>
    <w:lvl w:ilvl="0">
      <w:lvlJc w:val="left"/>
      <w:lvlText w:val="(%1)"/>
      <w:numFmt w:val="lowerLetter"/>
      <w:start w:val="9"/>
    </w:lvl>
  </w:abstractNum>
  <w:abstractNum w:abstractNumId="40">
    <w:nsid w:val="741226BB"/>
    <w:multiLevelType w:val="hybridMultilevel"/>
    <w:lvl w:ilvl="0">
      <w:lvlJc w:val="left"/>
      <w:lvlText w:val="(%1)"/>
      <w:numFmt w:val="lowerLetter"/>
      <w:start w:val="35"/>
    </w:lvl>
  </w:abstractNum>
  <w:abstractNum w:abstractNumId="41">
    <w:nsid w:val="D34B6A8"/>
    <w:multiLevelType w:val="hybridMultilevel"/>
    <w:lvl w:ilvl="0">
      <w:lvlJc w:val="left"/>
      <w:lvlText w:val="(%1)"/>
      <w:numFmt w:val="lowerLetter"/>
      <w:start w:val="61"/>
    </w:lvl>
  </w:abstractNum>
  <w:abstractNum w:abstractNumId="42">
    <w:nsid w:val="10233C99"/>
    <w:multiLevelType w:val="hybridMultilevel"/>
    <w:lvl w:ilvl="0">
      <w:lvlJc w:val="left"/>
      <w:lvlText w:val="(%1)"/>
      <w:numFmt w:val="lowerLetter"/>
      <w:start w:val="6"/>
    </w:lvl>
  </w:abstractNum>
  <w:abstractNum w:abstractNumId="43">
    <w:nsid w:val="3F6AB60F"/>
    <w:multiLevelType w:val="hybridMultilevel"/>
    <w:lvl w:ilvl="0">
      <w:lvlJc w:val="left"/>
      <w:lvlText w:val="(%1)"/>
      <w:numFmt w:val="lowerLetter"/>
      <w:start w:val="1"/>
    </w:lvl>
  </w:abstractNum>
  <w:abstractNum w:abstractNumId="44">
    <w:nsid w:val="61574095"/>
    <w:multiLevelType w:val="hybridMultilevel"/>
    <w:lvl w:ilvl="0">
      <w:lvlJc w:val="left"/>
      <w:lvlText w:val="(%1)"/>
      <w:numFmt w:val="lowerLetter"/>
      <w:start w:val="1"/>
    </w:lvl>
  </w:abstractNum>
  <w:abstractNum w:abstractNumId="45">
    <w:nsid w:val="7E0C57B1"/>
    <w:multiLevelType w:val="hybridMultilevel"/>
    <w:lvl w:ilvl="0">
      <w:lvlJc w:val="left"/>
      <w:lvlText w:val="(%1)"/>
      <w:numFmt w:val="lowerLetter"/>
      <w:start w:val="1"/>
    </w:lvl>
  </w:abstractNum>
  <w:abstractNum w:abstractNumId="46">
    <w:nsid w:val="77AE35EB"/>
    <w:multiLevelType w:val="hybridMultilevel"/>
    <w:lvl w:ilvl="0">
      <w:lvlJc w:val="left"/>
      <w:lvlText w:val="(%1)"/>
      <w:numFmt w:val="lowerLetter"/>
      <w:start w:val="1"/>
    </w:lvl>
  </w:abstractNum>
  <w:abstractNum w:abstractNumId="47">
    <w:nsid w:val="579BE4F1"/>
    <w:multiLevelType w:val="hybridMultilevel"/>
    <w:lvl w:ilvl="0">
      <w:lvlJc w:val="left"/>
      <w:lvlText w:val="(%1)"/>
      <w:numFmt w:val="lowerLetter"/>
      <w:start w:val="1"/>
    </w:lvl>
  </w:abstractNum>
  <w:abstractNum w:abstractNumId="48">
    <w:nsid w:val="310C50B3"/>
    <w:multiLevelType w:val="hybridMultilevel"/>
    <w:lvl w:ilvl="0">
      <w:lvlJc w:val="left"/>
      <w:lvlText w:val="(%1)"/>
      <w:numFmt w:val="lowerRoman"/>
      <w:start w:val="1"/>
    </w:lvl>
  </w:abstractNum>
  <w:abstractNum w:abstractNumId="49">
    <w:nsid w:val="5FF87E05"/>
    <w:multiLevelType w:val="hybridMultilevel"/>
    <w:lvl w:ilvl="0">
      <w:lvlJc w:val="left"/>
      <w:lvlText w:val="(%1)"/>
      <w:numFmt w:val="lowerLetter"/>
      <w:start w:val="3"/>
    </w:lvl>
  </w:abstractNum>
  <w:abstractNum w:abstractNumId="50">
    <w:nsid w:val="2F305DEF"/>
    <w:multiLevelType w:val="hybridMultilevel"/>
    <w:lvl w:ilvl="0">
      <w:lvlJc w:val="left"/>
      <w:lvlText w:val="(%1)"/>
      <w:numFmt w:val="lowerLetter"/>
      <w:start w:val="9"/>
    </w:lvl>
  </w:abstractNum>
  <w:abstractNum w:abstractNumId="51">
    <w:nsid w:val="25A70BF7"/>
    <w:multiLevelType w:val="hybridMultilevel"/>
    <w:lvl w:ilvl="0">
      <w:lvlJc w:val="left"/>
      <w:lvlText w:val="(%1)"/>
      <w:numFmt w:val="lowerLetter"/>
      <w:start w:val="35"/>
    </w:lvl>
  </w:abstractNum>
  <w:abstractNum w:abstractNumId="52">
    <w:nsid w:val="1DBABF00"/>
    <w:multiLevelType w:val="hybridMultilevel"/>
    <w:lvl w:ilvl="0">
      <w:lvlJc w:val="left"/>
      <w:lvlText w:val="(%1)"/>
      <w:numFmt w:val="lowerRoman"/>
      <w:start w:val="3"/>
    </w:lvl>
  </w:abstractNum>
  <w:abstractNum w:abstractNumId="53">
    <w:nsid w:val="4AD084E9"/>
    <w:multiLevelType w:val="hybridMultilevel"/>
    <w:lvl w:ilvl="0">
      <w:lvlJc w:val="left"/>
      <w:lvlText w:val="(%1)"/>
      <w:numFmt w:val="lowerLetter"/>
      <w:start w:val="4"/>
    </w:lvl>
  </w:abstractNum>
  <w:abstractNum w:abstractNumId="54">
    <w:nsid w:val="1F48EAA1"/>
    <w:multiLevelType w:val="hybridMultilevel"/>
    <w:lvl w:ilvl="0">
      <w:lvlJc w:val="left"/>
      <w:lvlText w:val="(%1)"/>
      <w:numFmt w:val="lowerLetter"/>
      <w:start w:val="5"/>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1)"/>
      <w:numFmt w:val="lowerLetter"/>
      <w:start w:val="9"/>
    </w:lvl>
  </w:abstractNum>
  <w:abstractNum w:abstractNumId="57">
    <w:nsid w:val="100F8FCA"/>
    <w:multiLevelType w:val="hybridMultilevel"/>
    <w:lvl w:ilvl="0">
      <w:lvlJc w:val="left"/>
      <w:lvlText w:val="(%1)"/>
      <w:numFmt w:val="lowerLetter"/>
      <w:start w:val="1"/>
    </w:lvl>
  </w:abstractNum>
  <w:abstractNum w:abstractNumId="58">
    <w:nsid w:val="6590700B"/>
    <w:multiLevelType w:val="hybridMultilevel"/>
    <w:lvl w:ilvl="0">
      <w:lvlJc w:val="left"/>
      <w:lvlText w:val="(%1)"/>
      <w:numFmt w:val="lowerRoman"/>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lowerLetter"/>
      <w:start w:val="2"/>
    </w:lvl>
  </w:abstractNum>
  <w:abstractNum w:abstractNumId="61">
    <w:nsid w:val="98A3148"/>
    <w:multiLevelType w:val="hybridMultilevel"/>
    <w:lvl w:ilvl="0">
      <w:lvlJc w:val="left"/>
      <w:lvlText w:val="(%1)"/>
      <w:numFmt w:val="lowerLetter"/>
      <w:start w:val="3"/>
    </w:lvl>
  </w:abstractNum>
  <w:abstractNum w:abstractNumId="62">
    <w:nsid w:val="799D0247"/>
    <w:multiLevelType w:val="hybridMultilevel"/>
    <w:lvl w:ilvl="0">
      <w:lvlJc w:val="left"/>
      <w:lvlText w:val="(%1)"/>
      <w:numFmt w:val="lowerLetter"/>
      <w:start w:val="1"/>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lowerLetter"/>
      <w:start w:val="1"/>
    </w:lvl>
  </w:abstractNum>
  <w:abstractNum w:abstractNumId="65">
    <w:nsid w:val="168E121F"/>
    <w:multiLevelType w:val="hybridMultilevel"/>
    <w:lvl w:ilvl="0">
      <w:lvlJc w:val="left"/>
      <w:lvlText w:val="(%1)"/>
      <w:numFmt w:val="lowerLetter"/>
      <w:start w:val="4"/>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1)"/>
      <w:numFmt w:val="lowerLetter"/>
      <w:start w:val="2"/>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lowerRoman"/>
      <w:start w:val="5"/>
    </w:lvl>
  </w:abstractNum>
  <w:abstractNum w:abstractNumId="75">
    <w:nsid w:val="42963E5A"/>
    <w:multiLevelType w:val="hybridMultilevel"/>
    <w:lvl w:ilvl="0">
      <w:lvlJc w:val="left"/>
      <w:lvlText w:val="%1."/>
      <w:numFmt w:val="decimal"/>
      <w:start w:val="1"/>
    </w:lvl>
  </w:abstractNum>
  <w:abstractNum w:abstractNumId="76">
    <w:nsid w:val="A0382C5"/>
    <w:multiLevelType w:val="hybridMultilevel"/>
    <w:lvl w:ilvl="0">
      <w:lvlJc w:val="left"/>
      <w:lvlText w:val="%1."/>
      <w:numFmt w:val="decimal"/>
      <w:start w:val="3"/>
    </w:lvl>
  </w:abstractNum>
  <w:abstractNum w:abstractNumId="77">
    <w:nsid w:val="8F2B15E"/>
    <w:multiLevelType w:val="hybridMultilevel"/>
    <w:lvl w:ilvl="0">
      <w:lvlJc w:val="left"/>
      <w:lvlText w:val="(%1)"/>
      <w:numFmt w:val="lowerRoman"/>
      <w:start w:val="5"/>
    </w:lvl>
    <w:lvl w:ilvl="1">
      <w:lvlJc w:val="left"/>
      <w:lvlText w:val="%2."/>
      <w:numFmt w:val="decimal"/>
      <w:start w:val="6"/>
    </w:lvl>
  </w:abstractNum>
  <w:abstractNum w:abstractNumId="78">
    <w:nsid w:val="1A32234B"/>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jpeg"/><Relationship Id="rId30" Type="http://schemas.openxmlformats.org/officeDocument/2006/relationships/image" Target="media/image13.png"/><Relationship Id="rId31"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jpeg"/><Relationship Id="rId47" Type="http://schemas.openxmlformats.org/officeDocument/2006/relationships/image" Target="media/image23.png"/><Relationship Id="rId48" Type="http://schemas.openxmlformats.org/officeDocument/2006/relationships/image" Target="media/image24.jpeg"/><Relationship Id="rId49" Type="http://schemas.openxmlformats.org/officeDocument/2006/relationships/image" Target="media/image25.jpeg"/><Relationship Id="rId16" Type="http://schemas.openxmlformats.org/officeDocument/2006/relationships/hyperlink" Target="https://www.sec.gov/ix?doc=/Archives/edgar/data/0001871638/000095017025053870/bzai-20241231.htm" TargetMode="External"/><Relationship Id="rId17" Type="http://schemas.openxmlformats.org/officeDocument/2006/relationships/hyperlink" Target="https://www.sec.gov/ix?doc=/Archives/edgar/data/0001871638/000095017025071593/bzai-20250331.htm" TargetMode="External"/><Relationship Id="rId18" Type="http://schemas.openxmlformats.org/officeDocument/2006/relationships/hyperlink" Target="https://www.sec.gov/ix?doc=/Archives/edgar/data/0001871638/000095017025108998/bzai-20250630.htm" TargetMode="External"/><Relationship Id="rId19" Type="http://schemas.openxmlformats.org/officeDocument/2006/relationships/hyperlink" Target="https://www.sec.gov/ix?doc=/Archives/edgar/data/0001871638/000119312525280252/bzai-20250930.htm" TargetMode="External"/><Relationship Id="rId20" Type="http://schemas.openxmlformats.org/officeDocument/2006/relationships/hyperlink" Target="https://www.sec.gov/ix?doc=/Archives/edgar/data/0001871638/000119312525159935/d41376d8k.htm" TargetMode="External"/><Relationship Id="rId21" Type="http://schemas.openxmlformats.org/officeDocument/2006/relationships/hyperlink" Target="https://www.sec.gov/ix?doc=/Archives/edgar/data/0001871638/000119312525194046/d99229d8k.htm" TargetMode="External"/><Relationship Id="rId22" Type="http://schemas.openxmlformats.org/officeDocument/2006/relationships/hyperlink" Target="https://www.sec.gov/ix?doc=/Archives/edgar/data/0001871638/000187163825000008/blz-20251203.htm" TargetMode="External"/><Relationship Id="rId23" Type="http://schemas.openxmlformats.org/officeDocument/2006/relationships/hyperlink" Target="https://www.sec.gov/ix?doc=/Archives/edgar/data/0001871638/000187163826000001/blz-20251226.htm" TargetMode="External"/><Relationship Id="rId24" Type="http://schemas.openxmlformats.org/officeDocument/2006/relationships/hyperlink" Target="https://www.sec.gov/Archives/edgar/data/1871638/000110465921147615/tm2134592d3_8a12b.htm" TargetMode="External"/><Relationship Id="rId25" Type="http://schemas.openxmlformats.org/officeDocument/2006/relationships/hyperlink" Target="https://www.sec.gov/Archives/edgar/data/1871638/000095017025053870/bzai-ex4_4.htm" TargetMode="External"/><Relationship Id="rId32" Type="http://schemas.openxmlformats.org/officeDocument/2006/relationships/hyperlink" Target="https://www.sec.gov/ix?doc=/Archives/edgar/data/1871638/000110465924080933/brkh-20240331xs4.htm#AnnexA1_147733" TargetMode="External"/><Relationship Id="rId33" Type="http://schemas.openxmlformats.org/officeDocument/2006/relationships/hyperlink" Target="https://www.sec.gov/ix?doc=/Archives/edgar/data/1871638/000110465924080933/brkh-20240331xs4.htm#AnnexA2_936998" TargetMode="External"/><Relationship Id="rId34" Type="http://schemas.openxmlformats.org/officeDocument/2006/relationships/hyperlink" Target="https://www.sec.gov/Archives/edgar/data/1871638/000110465924112666/tm2418197-13_s4a.htm#tANNEXA3" TargetMode="External"/><Relationship Id="rId35" Type="http://schemas.openxmlformats.org/officeDocument/2006/relationships/hyperlink" Target="https://www.sec.gov/Archives/edgar/data/1871638/000110465924122026/tm2418197-20_s4a.htm#tANNEXA4" TargetMode="External"/><Relationship Id="rId36" Type="http://schemas.openxmlformats.org/officeDocument/2006/relationships/hyperlink" Target="https://www.sec.gov/Archives/edgar/data/1871638/000119312525008517/d903961dex31.htm" TargetMode="External"/><Relationship Id="rId37" Type="http://schemas.openxmlformats.org/officeDocument/2006/relationships/hyperlink" Target="https://www.sec.gov/Archives/edgar/data/1871638/000119312525008517/d903961dex32.htm" TargetMode="External"/><Relationship Id="rId38" Type="http://schemas.openxmlformats.org/officeDocument/2006/relationships/hyperlink" Target="https://www.sec.gov/Archives/edgar/data/1871638/000110465921141949/tm2124406d5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2026-01-27T16:01:16Z</dcterms:created>
  <dcterms:modified xsi:type="dcterms:W3CDTF">2026-01-27T16:01:16Z</dcterms:modified>
</cp:coreProperties>
</file>