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Blaize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4659 Golden Foothill Parkwat, Suite 206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El Dorado Hills, CA 95762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August 5,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40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Blaize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July 18, 2025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333-288742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whom it may concern: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461(a) under the Securities Act of 1933, as amended, Blaize Holdings,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respectfully requests that the effective date of the Company’s Registration Statement on Form S-1 (File No. 333-288742) be accelerated by the Securities and Exchange Commission to 4:05 p.m., Eastern Time, on August 7, 2025 or as soon as practicable thereafter.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4" w:right="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requests that it be notified of such effectiveness by a telephone call to Ryan Maierson of Latham &amp; Watkins LLP at (713) 546-7420 or to Ryan Lynch of Latham &amp; Watkins LLP at (713) 546-7404 and that such effectiveness also be confirmed in writing.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2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2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Blaize Holdings, Inc.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264" w:right="8520" w:hanging="264"/>
        <w:spacing w:after="0" w:line="281" w:lineRule="auto"/>
        <w:tabs>
          <w:tab w:leader="none" w:pos="2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Dinakar Munagala Name: Dinakar Munagala Title: 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171450</wp:posOffset>
            </wp:positionH>
            <wp:positionV relativeFrom="paragraph">
              <wp:posOffset>-312420</wp:posOffset>
            </wp:positionV>
            <wp:extent cx="262318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44" w:right="7600" w:hanging="444"/>
        <w:spacing w:after="0" w:line="261" w:lineRule="auto"/>
        <w:tabs>
          <w:tab w:leader="none" w:pos="43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Harminder Sehmi, Blaize Holdings, Inc. Kim Evans, Blaize Holdings, Inc.</w:t>
      </w:r>
    </w:p>
    <w:p>
      <w:pPr>
        <w:ind w:left="444" w:right="7580"/>
        <w:spacing w:after="0" w:line="290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Ryan Maierson, Latham &amp; Watkins LLP Ryan Lynch, Latham &amp; Watkins LLP</w:t>
      </w:r>
    </w:p>
    <w:sectPr>
      <w:pgSz w:w="11900" w:h="16838" w:orient="portrait"/>
      <w:cols w:equalWidth="0" w:num="1">
        <w:col w:w="10944"/>
      </w:cols>
      <w:pgMar w:left="436" w:top="225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 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2025-09-22T23:11:33Z</dcterms:created>
  <dcterms:modified xsi:type="dcterms:W3CDTF">2025-09-22T23:11:33Z</dcterms:modified>
</cp:coreProperties>
</file>