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Ava Investors SA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80" w:type="dxa"/>
            <w:vAlign w:val="bottom"/>
            <w:tcBorders>
              <w:top w:val="single" w:sz="8" w:color="0000EE"/>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01/13/2025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Blaize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BAIZ</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960" w:type="dxa"/>
            <w:vAlign w:val="bottom"/>
          </w:tcPr>
          <w:p>
            <w:pPr>
              <w:ind w:left="12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RUE DU RHONE 78</w:t>
            </w:r>
          </w:p>
        </w:tc>
        <w:tc>
          <w:tcPr>
            <w:tcW w:w="120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GENEVA</w:t>
            </w:r>
          </w:p>
        </w:tc>
        <w:tc>
          <w:tcPr>
            <w:tcW w:w="9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V8</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1204</w:t>
            </w:r>
          </w:p>
        </w:tc>
      </w:tr>
      <w:tr>
        <w:trPr>
          <w:trHeight w:val="177"/>
        </w:trPr>
        <w:tc>
          <w:tcPr>
            <w:tcW w:w="94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960" w:type="dxa"/>
            <w:vAlign w:val="bottom"/>
          </w:tcPr>
          <w:p>
            <w:pPr>
              <w:ind w:left="120"/>
              <w:spacing w:after="0"/>
              <w:rPr>
                <w:sz w:val="20"/>
                <w:szCs w:val="20"/>
                <w:color w:val="auto"/>
              </w:rPr>
            </w:pPr>
            <w:r>
              <w:rPr>
                <w:rFonts w:ascii="Arial" w:cs="Arial" w:eastAsia="Arial" w:hAnsi="Arial"/>
                <w:sz w:val="15"/>
                <w:szCs w:val="15"/>
                <w:color w:val="auto"/>
              </w:rPr>
              <w:t>(State)</w:t>
            </w:r>
          </w:p>
        </w:tc>
        <w:tc>
          <w:tcPr>
            <w:tcW w:w="1200" w:type="dxa"/>
            <w:vAlign w:val="bottom"/>
          </w:tcPr>
          <w:p>
            <w:pPr>
              <w:ind w:left="2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4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17,716,892</w:t>
            </w:r>
          </w:p>
        </w:tc>
        <w:tc>
          <w:tcPr>
            <w:tcW w:w="96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8"/>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8"/>
                <w:szCs w:val="18"/>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Earnout Rights</w:t>
            </w:r>
          </w:p>
        </w:tc>
        <w:tc>
          <w:tcPr>
            <w:tcW w:w="4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gridSpan w:val="3"/>
          </w:tcPr>
          <w:p>
            <w:pPr>
              <w:jc w:val="right"/>
              <w:ind w:right="100"/>
              <w:spacing w:after="0"/>
              <w:rPr>
                <w:sz w:val="20"/>
                <w:szCs w:val="20"/>
                <w:color w:val="auto"/>
              </w:rPr>
            </w:pPr>
            <w:r>
              <w:rPr>
                <w:rFonts w:ascii="Times New Roman" w:cs="Times New Roman" w:eastAsia="Times New Roman" w:hAnsi="Times New Roman"/>
                <w:sz w:val="15"/>
                <w:szCs w:val="15"/>
                <w:color w:val="0000FF"/>
              </w:rPr>
              <w:t>01/13/2030</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0"/>
                <w:szCs w:val="20"/>
                <w:color w:val="0000FF"/>
              </w:rPr>
              <w:t>2,390,547</w:t>
            </w: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3"/>
                <w:szCs w:val="13"/>
                <w:color w:val="008000"/>
              </w:rPr>
              <w:t>(3)</w:t>
            </w:r>
          </w:p>
        </w:tc>
        <w:tc>
          <w:tcPr>
            <w:tcW w:w="3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(1)(2)</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8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Ava Investors SA</w:t>
              </w:r>
            </w:hyperlink>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400" w:type="dxa"/>
            <w:vAlign w:val="bottom"/>
            <w:tcBorders>
              <w:top w:val="single" w:sz="8" w:color="0000EE"/>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12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RUE DU RHONE 78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GENEVA</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V8</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1204</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gridSpan w:val="2"/>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12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8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tcBorders>
              <w:bottom w:val="single" w:sz="8" w:color="0000EE"/>
            </w:tcBorders>
            <w:gridSpan w:val="3"/>
          </w:tcPr>
          <w:p>
            <w:pPr>
              <w:spacing w:after="0" w:line="255" w:lineRule="exact"/>
              <w:rPr>
                <w:rFonts w:ascii="Times New Roman" w:cs="Times New Roman" w:eastAsia="Times New Roman" w:hAnsi="Times New Roman"/>
                <w:sz w:val="24"/>
                <w:szCs w:val="24"/>
                <w:color w:val="0000EE"/>
                <w:w w:val="98"/>
              </w:rPr>
            </w:pPr>
            <w:hyperlink r:id="rId13">
              <w:r>
                <w:rPr>
                  <w:rFonts w:ascii="Times New Roman" w:cs="Times New Roman" w:eastAsia="Times New Roman" w:hAnsi="Times New Roman"/>
                  <w:sz w:val="24"/>
                  <w:szCs w:val="24"/>
                  <w:color w:val="0000EE"/>
                  <w:w w:val="98"/>
                </w:rPr>
                <w:t>Ava Private Markets S.a r.l.</w:t>
              </w:r>
            </w:hyperlink>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12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6, RUE DICKS L-1417</w:t>
      </w:r>
    </w:p>
    <w:p>
      <w:pPr>
        <w:spacing w:after="0" w:line="38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LUXEMBOURG,</w:t>
      </w:r>
    </w:p>
    <w:p>
      <w:pPr>
        <w:spacing w:after="0" w:line="24" w:lineRule="exact"/>
        <w:rPr>
          <w:sz w:val="20"/>
          <w:szCs w:val="20"/>
          <w:color w:val="auto"/>
        </w:rPr>
      </w:pPr>
    </w:p>
    <w:p>
      <w:pPr>
        <w:ind w:left="140"/>
        <w:spacing w:after="0"/>
        <w:tabs>
          <w:tab w:leader="none" w:pos="1600" w:val="left"/>
        </w:tabs>
        <w:rPr>
          <w:sz w:val="20"/>
          <w:szCs w:val="20"/>
          <w:color w:val="auto"/>
        </w:rPr>
      </w:pPr>
      <w:r>
        <w:rPr>
          <w:rFonts w:ascii="Times New Roman" w:cs="Times New Roman" w:eastAsia="Times New Roman" w:hAnsi="Times New Roman"/>
          <w:sz w:val="20"/>
          <w:szCs w:val="20"/>
          <w:color w:val="0000FF"/>
        </w:rPr>
        <w:t>GRAND</w:t>
      </w:r>
      <w:r>
        <w:rPr>
          <w:sz w:val="20"/>
          <w:szCs w:val="20"/>
          <w:color w:val="auto"/>
        </w:rPr>
        <w:tab/>
      </w:r>
      <w:r>
        <w:rPr>
          <w:rFonts w:ascii="Times New Roman" w:cs="Times New Roman" w:eastAsia="Times New Roman" w:hAnsi="Times New Roman"/>
          <w:sz w:val="20"/>
          <w:szCs w:val="20"/>
          <w:color w:val="0000FF"/>
        </w:rPr>
        <w:t>N4</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DUCHY OF</w:t>
      </w:r>
    </w:p>
    <w:p>
      <w:pPr>
        <w:spacing w:after="0" w:line="358"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4">
        <w:r>
          <w:rPr>
            <w:rFonts w:ascii="Times New Roman" w:cs="Times New Roman" w:eastAsia="Times New Roman" w:hAnsi="Times New Roman"/>
            <w:sz w:val="23"/>
            <w:szCs w:val="23"/>
            <w:u w:val="single" w:color="auto"/>
            <w:color w:val="0000EE"/>
          </w:rPr>
          <w:t>Debray Barthelemy</w:t>
        </w:r>
      </w:hyperlink>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3"/>
          </w:tcPr>
          <w:p>
            <w:pPr>
              <w:ind w:left="3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RUE DU RHONE 78</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GENEVA</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0000FF"/>
              </w:rPr>
              <w:t>V8</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1204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gridSpan w:val="3"/>
          </w:tcPr>
          <w:p>
            <w:pPr>
              <w:ind w:left="3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4"/>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Mahieu Raphaelle</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3"/>
          </w:tcPr>
          <w:p>
            <w:pPr>
              <w:ind w:left="3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RUE DU RHONE 78</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GENEVA</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0000FF"/>
              </w:rPr>
              <w:t>V8</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1204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gridSpan w:val="3"/>
          </w:tcPr>
          <w:p>
            <w:pPr>
              <w:ind w:left="3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4"/>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Hazan Benjamin</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3"/>
          </w:tcPr>
          <w:p>
            <w:pPr>
              <w:ind w:left="3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RUE DU RHONE 78</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GENEVA</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0000FF"/>
              </w:rPr>
              <w:t>V8</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1204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gridSpan w:val="3"/>
          </w:tcPr>
          <w:p>
            <w:pPr>
              <w:ind w:left="3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511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2798445" cy="51111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60" w:firstLine="5"/>
        <w:spacing w:after="0" w:line="237"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securities received pursuant to that certain Agreement and Plan of Merger, dated as of December 22, 2023 (as amended on April 22, 2024, October 24, 2024 and November 21, 2024, the "Merger Agreement"), by and among the Issuer (f/k/a BurTech Acquisition Corp.), BurTech Merger Sub Inc., a Delaware corporation and a wholly owned subsidiary of the Issuer, Blaize, Inc., a Delaware corporation ("Blaize") and for the limited purposes set forth therein, Burkhan Capital LLC, a Delaware limited liability company, pursuant to which Merger Sub merged with and into Blaize (the "Merger"), with Blaize surviving the Merger as a wholly owned subsidiary of the Issuer, and shares of common stock of Blaize converted into (i) Common Stock of the Issuer, and (ii) the right to receive Earnout Shares (as defined below).</w:t>
      </w:r>
    </w:p>
    <w:p>
      <w:pPr>
        <w:spacing w:after="0" w:line="33" w:lineRule="exact"/>
        <w:rPr>
          <w:rFonts w:ascii="Times New Roman" w:cs="Times New Roman" w:eastAsia="Times New Roman" w:hAnsi="Times New Roman"/>
          <w:sz w:val="15"/>
          <w:szCs w:val="15"/>
          <w:color w:val="008000"/>
        </w:rPr>
      </w:pPr>
    </w:p>
    <w:p>
      <w:pPr>
        <w:ind w:left="20" w:right="12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17,716,892 shares of Common Stock of the Issuer held by Ava Private Markets S.a r.l. ("Ava Private Markets") and affiliates. Ava Investors S.A. is the investment manager of Ava Private Markets and exercises investment power with respect to the securities held by Ava Private Markets. Barthelemy Debray, Raphaelle Mahieu and Benjamin Hazan may be deemed to exercise investment power with respect to the securities. Each of the persons above disclaims any beneficial ownership of the securities, except to the extent of any pecuniary interest therein.</w:t>
      </w:r>
    </w:p>
    <w:p>
      <w:pPr>
        <w:spacing w:after="0" w:line="33" w:lineRule="exact"/>
        <w:rPr>
          <w:rFonts w:ascii="Times New Roman" w:cs="Times New Roman" w:eastAsia="Times New Roman" w:hAnsi="Times New Roman"/>
          <w:sz w:val="15"/>
          <w:szCs w:val="15"/>
          <w:color w:val="008000"/>
        </w:rPr>
      </w:pPr>
    </w:p>
    <w:p>
      <w:pPr>
        <w:ind w:left="2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earnout right represents a contingent right to receive one share of the Issuer's Common Stock (each, an "Earnout Share") upon the satisfaction of certain price thresholds for a period ending on the five-year anniversary of the closing of the Issuer's business combination. Pursuant to an "earnout" provision in the Merger Agreement, the Earnout Shares may be issued in four separate tranches based upon the closing price of one share of the Issuer's Common Stock for any twenty trading days within any thirty consecutive trading day period following the closing of the Issuer's business combination.</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See Signatures Included</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01/21/2025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6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in Exhibit 99.1</w:t>
            </w:r>
          </w:p>
        </w:tc>
        <w:tc>
          <w:tcPr>
            <w:tcW w:w="102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60" w:firstLine="5"/>
        <w:spacing w:after="0" w:line="335"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00" w:top="320"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BY THESE PRESENTS, THAT each of the undersigned (collectively, the “Filers”) hereby constitutes and appoints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Barthélémy Debray and Raphaëlle Mahieu, each acting alone, as such Filer’s true and lawful attorneys-in-fact to:</w:t>
      </w:r>
    </w:p>
    <w:p>
      <w:pPr>
        <w:spacing w:after="0" w:line="230" w:lineRule="exact"/>
        <w:rPr>
          <w:sz w:val="20"/>
          <w:szCs w:val="20"/>
          <w:color w:val="auto"/>
        </w:rPr>
      </w:pPr>
    </w:p>
    <w:p>
      <w:pPr>
        <w:ind w:right="80"/>
        <w:spacing w:after="0" w:line="282" w:lineRule="auto"/>
        <w:tabs>
          <w:tab w:leader="none" w:pos="28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each Filer, Forms 3, 4 and 5, and any amendments thereto, in accordance with Section 16 of the Securities Exchange Act of 1934, as amended, and the rules and regulations promulgated thereunder;</w:t>
      </w:r>
    </w:p>
    <w:p>
      <w:pPr>
        <w:spacing w:after="0" w:line="179" w:lineRule="exact"/>
        <w:rPr>
          <w:rFonts w:ascii="Times New Roman" w:cs="Times New Roman" w:eastAsia="Times New Roman" w:hAnsi="Times New Roman"/>
          <w:sz w:val="20"/>
          <w:szCs w:val="20"/>
          <w:color w:val="auto"/>
        </w:rPr>
      </w:pPr>
    </w:p>
    <w:p>
      <w:pPr>
        <w:ind w:right="120"/>
        <w:spacing w:after="0" w:line="266" w:lineRule="auto"/>
        <w:tabs>
          <w:tab w:leader="none" w:pos="28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each Filer that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right="60"/>
        <w:spacing w:after="0" w:line="261" w:lineRule="auto"/>
        <w:tabs>
          <w:tab w:leader="none" w:pos="28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Filers, it being understood that the documents executed by such attorney-in-fact on behalf of the Filers pursuant to this power of attorney shall be in such form and shall contain such terms and conditions as such attorney-in-fact may approve in such attorneys-in-fact's discretion.</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Each Filer hereby grants severally to each such attorney-in-fact full power and authority to do and perform any and every act and thing whatsoever requisite, necessary or proper to be done in the exercise of any of the rights and powers herein granted, as fully to all intents and purposes as such Filer might or could do if personally present, with full and several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0"/>
          <w:szCs w:val="20"/>
          <w:color w:val="auto"/>
        </w:rPr>
        <w:t>Each Filer acknowledges that the attorney-in-fact, in serving in such capacity at the request of such Filer, is not assuming any of the Filers’ responsibilities to comply with Section 16 of the Securities Exchange Act of 1934, as amended.</w:t>
      </w:r>
    </w:p>
    <w:p>
      <w:pPr>
        <w:spacing w:after="0" w:line="18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are no longer required to file Forms 3, 4 and 5 with respect to the undersigned’s holdings of and transactions in securities issued by Blaize Holdings, Inc., unless earlier revoked by the undersigned in a signed writing delivered to the attorney-in-fact.</w:t>
      </w:r>
    </w:p>
    <w:p>
      <w:pPr>
        <w:spacing w:after="0" w:line="1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for and on behalf of the Filers, have caused this power of attorney to be executed as of this 21 day of January, 2025.</w:t>
      </w:r>
    </w:p>
    <w:p>
      <w:pPr>
        <w:ind w:left="140"/>
        <w:spacing w:after="0"/>
        <w:rPr>
          <w:sz w:val="20"/>
          <w:szCs w:val="20"/>
          <w:color w:val="auto"/>
        </w:rPr>
      </w:pPr>
      <w:r>
        <w:rPr>
          <w:rFonts w:ascii="Times New Roman" w:cs="Times New Roman" w:eastAsia="Times New Roman" w:hAnsi="Times New Roman"/>
          <w:sz w:val="20"/>
          <w:szCs w:val="20"/>
          <w:color w:val="auto"/>
        </w:rPr>
        <w:t>AVA Investors S.A.</w:t>
      </w: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Barthélémy Debray</w:t>
            </w:r>
          </w:p>
        </w:tc>
      </w:tr>
      <w:tr>
        <w:trPr>
          <w:trHeight w:val="215"/>
        </w:trPr>
        <w:tc>
          <w:tcPr>
            <w:tcW w:w="15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Name:</w:t>
            </w:r>
          </w:p>
        </w:tc>
        <w:tc>
          <w:tcPr>
            <w:tcW w:w="904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Barthélémy Debray</w:t>
            </w: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9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Raphaëlle Mahieu</w:t>
            </w:r>
          </w:p>
        </w:tc>
      </w:tr>
      <w:tr>
        <w:trPr>
          <w:trHeight w:val="215"/>
        </w:trPr>
        <w:tc>
          <w:tcPr>
            <w:tcW w:w="15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Name:</w:t>
            </w:r>
          </w:p>
        </w:tc>
        <w:tc>
          <w:tcPr>
            <w:tcW w:w="904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Raphaëlle Mahieu</w:t>
            </w: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9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Ava Private Markets S.à r.l., acting in respect of its Compartment Blaize</w:t>
      </w:r>
      <w:r>
        <w:rPr>
          <w:rFonts w:ascii="Times New Roman" w:cs="Times New Roman" w:eastAsia="Times New Roman" w:hAnsi="Times New Roman"/>
          <w:sz w:val="26"/>
          <w:szCs w:val="26"/>
          <w:color w:val="auto"/>
          <w:vertAlign w:val="superscript"/>
        </w:rPr>
        <w:t>1</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Barthélémy Debray</w:t>
            </w:r>
          </w:p>
        </w:tc>
      </w:tr>
      <w:tr>
        <w:trPr>
          <w:trHeight w:val="215"/>
        </w:trPr>
        <w:tc>
          <w:tcPr>
            <w:tcW w:w="15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Name:</w:t>
            </w:r>
          </w:p>
        </w:tc>
        <w:tc>
          <w:tcPr>
            <w:tcW w:w="904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Barthélémy Debray</w:t>
            </w: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9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 Class A</w:t>
            </w: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Olivier Lansac</w:t>
            </w:r>
          </w:p>
        </w:tc>
      </w:tr>
      <w:tr>
        <w:trPr>
          <w:trHeight w:val="215"/>
        </w:trPr>
        <w:tc>
          <w:tcPr>
            <w:tcW w:w="15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Name:</w:t>
            </w:r>
          </w:p>
        </w:tc>
        <w:tc>
          <w:tcPr>
            <w:tcW w:w="904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Olivier Lansac</w:t>
            </w: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9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 Class B</w:t>
            </w: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Benjamin Hazan</w:t>
            </w:r>
          </w:p>
        </w:tc>
        <w:tc>
          <w:tcPr>
            <w:tcW w:w="9040" w:type="dxa"/>
            <w:vAlign w:val="bottom"/>
          </w:tcPr>
          <w:p>
            <w:pPr>
              <w:spacing w:after="0"/>
              <w:rPr>
                <w:sz w:val="24"/>
                <w:szCs w:val="24"/>
                <w:color w:val="auto"/>
              </w:rPr>
            </w:pPr>
          </w:p>
        </w:tc>
      </w:tr>
      <w:tr>
        <w:trPr>
          <w:trHeight w:val="48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Benjamin Hazan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256" w:right="479" w:bottom="1440" w:gutter="0" w:footer="0" w:header="0"/>
        </w:sectPr>
      </w:pPr>
    </w:p>
    <w:bookmarkStart w:id="3" w:name="page4"/>
    <w:bookmarkEnd w:id="3"/>
    <w:p>
      <w:pPr>
        <w:spacing w:after="0" w:line="231" w:lineRule="auto"/>
        <w:tabs>
          <w:tab w:leader="none" w:pos="117"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Ava Private Markets S.à r.l. is a private limited liability company (</w:t>
      </w:r>
      <w:r>
        <w:rPr>
          <w:rFonts w:ascii="Times New Roman" w:cs="Times New Roman" w:eastAsia="Times New Roman" w:hAnsi="Times New Roman"/>
          <w:sz w:val="20"/>
          <w:szCs w:val="20"/>
          <w:i w:val="1"/>
          <w:iCs w:val="1"/>
          <w:color w:val="auto"/>
        </w:rPr>
        <w:t>société à responsabilité limitée</w:t>
      </w:r>
      <w:r>
        <w:rPr>
          <w:rFonts w:ascii="Times New Roman" w:cs="Times New Roman" w:eastAsia="Times New Roman" w:hAnsi="Times New Roman"/>
          <w:sz w:val="20"/>
          <w:szCs w:val="20"/>
          <w:color w:val="auto"/>
        </w:rPr>
        <w:t>) incorporated under the laws of the Grand Duchy of Luxembourg, with its registered office at 6, Rue Dicks, L-1417 Luxembourg, and registered with the Luxembourg Trade and Companies Register (</w:t>
      </w:r>
      <w:r>
        <w:rPr>
          <w:rFonts w:ascii="Times New Roman" w:cs="Times New Roman" w:eastAsia="Times New Roman" w:hAnsi="Times New Roman"/>
          <w:sz w:val="20"/>
          <w:szCs w:val="20"/>
          <w:i w:val="1"/>
          <w:iCs w:val="1"/>
          <w:color w:val="auto"/>
        </w:rPr>
        <w:t>Registre de Commerce et des Sociétés, Luxembourg</w:t>
      </w:r>
      <w:r>
        <w:rPr>
          <w:rFonts w:ascii="Times New Roman" w:cs="Times New Roman" w:eastAsia="Times New Roman" w:hAnsi="Times New Roman"/>
          <w:sz w:val="20"/>
          <w:szCs w:val="20"/>
          <w:color w:val="auto"/>
        </w:rPr>
        <w:t>) under number B283362.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779780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800"/>
          </w:cols>
          <w:pgMar w:left="480" w:top="1061" w:right="619" w:bottom="1440" w:gutter="0" w:footer="0" w:header="0"/>
        </w:sectPr>
      </w:pPr>
    </w:p>
    <w:bookmarkStart w:id="4" w:name="page5"/>
    <w:bookmarkEnd w:id="4"/>
    <w:p>
      <w:pPr>
        <w:ind w:left="968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5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20"/>
          <w:szCs w:val="20"/>
          <w:color w:val="auto"/>
        </w:rPr>
        <w:t>This Statement on Form 3 is filed jointly by the Reporting Persons listed below. The principal business address of each of these Reporting Persons can be found on the Form 3 filed herewith.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Designated Filer: AVA INVESTORS S.A.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Event Requiring Statement: January 13,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Issuer Name and Ticker or Trading Symbol: Blaize Holdings, Inc. [ BAIZ ]</w:t>
      </w:r>
    </w:p>
    <w:p>
      <w:pPr>
        <w:spacing w:after="0" w:line="250" w:lineRule="exact"/>
        <w:rPr>
          <w:sz w:val="20"/>
          <w:szCs w:val="20"/>
          <w:color w:val="auto"/>
        </w:rPr>
      </w:pPr>
    </w:p>
    <w:tbl>
      <w:tblPr>
        <w:tblLayout w:type="fixed"/>
        <w:tblInd w:w="14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Ava Investors S.A.</w:t>
            </w:r>
          </w:p>
        </w:tc>
        <w:tc>
          <w:tcPr>
            <w:tcW w:w="8740" w:type="dxa"/>
            <w:vAlign w:val="bottom"/>
          </w:tcPr>
          <w:p>
            <w:pPr>
              <w:spacing w:after="0"/>
              <w:rPr>
                <w:sz w:val="22"/>
                <w:szCs w:val="22"/>
                <w:color w:val="auto"/>
              </w:rPr>
            </w:pPr>
          </w:p>
        </w:tc>
      </w:tr>
      <w:tr>
        <w:trPr>
          <w:trHeight w:val="48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Barthélémy Debray</w:t>
            </w:r>
          </w:p>
        </w:tc>
      </w:tr>
      <w:tr>
        <w:trPr>
          <w:trHeight w:val="215"/>
        </w:trPr>
        <w:tc>
          <w:tcPr>
            <w:tcW w:w="1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Name:</w:t>
            </w:r>
          </w:p>
        </w:tc>
        <w:tc>
          <w:tcPr>
            <w:tcW w:w="874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Barthélémy Debray</w:t>
            </w:r>
          </w:p>
        </w:tc>
      </w:t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r>
      <w:tr>
        <w:trPr>
          <w:trHeight w:val="48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Raphaëlle Mahieu</w:t>
            </w:r>
          </w:p>
        </w:tc>
      </w:tr>
      <w:tr>
        <w:trPr>
          <w:trHeight w:val="215"/>
        </w:trPr>
        <w:tc>
          <w:tcPr>
            <w:tcW w:w="1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Name:</w:t>
            </w:r>
          </w:p>
        </w:tc>
        <w:tc>
          <w:tcPr>
            <w:tcW w:w="874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Raphaëlle Mahieu</w:t>
            </w:r>
          </w:p>
        </w:tc>
      </w:t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Ava Private Markets S.à r.l., acting in respect of its Compartment Blaize</w:t>
      </w:r>
      <w:r>
        <w:rPr>
          <w:rFonts w:ascii="Times New Roman" w:cs="Times New Roman" w:eastAsia="Times New Roman" w:hAnsi="Times New Roman"/>
          <w:sz w:val="26"/>
          <w:szCs w:val="26"/>
          <w:color w:val="auto"/>
          <w:vertAlign w:val="superscript"/>
        </w:rPr>
        <w:t>1</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Barthélémy Debray</w:t>
            </w:r>
          </w:p>
        </w:tc>
      </w:tr>
      <w:tr>
        <w:trPr>
          <w:trHeight w:val="215"/>
        </w:trPr>
        <w:tc>
          <w:tcPr>
            <w:tcW w:w="1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Name:</w:t>
            </w:r>
          </w:p>
        </w:tc>
        <w:tc>
          <w:tcPr>
            <w:tcW w:w="874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Barthélémy Debray</w:t>
            </w:r>
          </w:p>
        </w:tc>
      </w:t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 Class A</w:t>
            </w:r>
          </w:p>
        </w:tc>
      </w:tr>
      <w:tr>
        <w:trPr>
          <w:trHeight w:val="48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Olivier Lansac</w:t>
            </w:r>
          </w:p>
        </w:tc>
      </w:tr>
      <w:tr>
        <w:trPr>
          <w:trHeight w:val="215"/>
        </w:trPr>
        <w:tc>
          <w:tcPr>
            <w:tcW w:w="1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Name:</w:t>
            </w:r>
          </w:p>
        </w:tc>
        <w:tc>
          <w:tcPr>
            <w:tcW w:w="874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Olivier Lansac</w:t>
            </w:r>
          </w:p>
        </w:tc>
      </w:t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Manager, Class B</w:t>
            </w:r>
          </w:p>
        </w:tc>
      </w:tr>
      <w:tr>
        <w:trPr>
          <w:trHeight w:val="48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Barthélémy Debray</w:t>
            </w:r>
          </w:p>
        </w:tc>
        <w:tc>
          <w:tcPr>
            <w:tcW w:w="8740" w:type="dxa"/>
            <w:vAlign w:val="bottom"/>
          </w:tcPr>
          <w:p>
            <w:pPr>
              <w:spacing w:after="0"/>
              <w:rPr>
                <w:sz w:val="24"/>
                <w:szCs w:val="24"/>
                <w:color w:val="auto"/>
              </w:rPr>
            </w:pPr>
          </w:p>
        </w:tc>
      </w:tr>
      <w:tr>
        <w:trPr>
          <w:trHeight w:val="48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Barthélémy Debray</w:t>
            </w:r>
          </w:p>
        </w:tc>
      </w:tr>
      <w:tr>
        <w:trPr>
          <w:trHeight w:val="475"/>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Raphaëlle Mahieu</w:t>
            </w:r>
          </w:p>
        </w:tc>
        <w:tc>
          <w:tcPr>
            <w:tcW w:w="8740" w:type="dxa"/>
            <w:vAlign w:val="bottom"/>
          </w:tcPr>
          <w:p>
            <w:pPr>
              <w:spacing w:after="0"/>
              <w:rPr>
                <w:sz w:val="24"/>
                <w:szCs w:val="24"/>
                <w:color w:val="auto"/>
              </w:rPr>
            </w:pPr>
          </w:p>
        </w:tc>
      </w:tr>
      <w:tr>
        <w:trPr>
          <w:trHeight w:val="48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Raphaëlle Mahieu</w:t>
            </w:r>
          </w:p>
        </w:tc>
      </w:tr>
      <w:tr>
        <w:trPr>
          <w:trHeight w:val="475"/>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Benjamin Hazan</w:t>
            </w:r>
          </w:p>
        </w:tc>
        <w:tc>
          <w:tcPr>
            <w:tcW w:w="8740" w:type="dxa"/>
            <w:vAlign w:val="bottom"/>
          </w:tcPr>
          <w:p>
            <w:pPr>
              <w:spacing w:after="0"/>
              <w:rPr>
                <w:sz w:val="24"/>
                <w:szCs w:val="24"/>
                <w:color w:val="auto"/>
              </w:rPr>
            </w:pPr>
          </w:p>
        </w:tc>
      </w:tr>
      <w:tr>
        <w:trPr>
          <w:trHeight w:val="48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Benjamin Hazan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320675</wp:posOffset>
            </wp:positionV>
            <wp:extent cx="1873885" cy="5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873885" cy="5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spacing w:after="0" w:line="212" w:lineRule="auto"/>
        <w:tabs>
          <w:tab w:leader="none" w:pos="32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Ava Private Markets S.à r.l. is a private limited liability company (</w:t>
      </w:r>
      <w:r>
        <w:rPr>
          <w:rFonts w:ascii="Times New Roman" w:cs="Times New Roman" w:eastAsia="Times New Roman" w:hAnsi="Times New Roman"/>
          <w:sz w:val="16"/>
          <w:szCs w:val="16"/>
          <w:i w:val="1"/>
          <w:iCs w:val="1"/>
          <w:color w:val="auto"/>
        </w:rPr>
        <w:t>société à responsabilité limitée</w:t>
      </w:r>
      <w:r>
        <w:rPr>
          <w:rFonts w:ascii="Times New Roman" w:cs="Times New Roman" w:eastAsia="Times New Roman" w:hAnsi="Times New Roman"/>
          <w:sz w:val="16"/>
          <w:szCs w:val="16"/>
          <w:color w:val="auto"/>
        </w:rPr>
        <w:t>) incorporated under the laws of the Grand Duchy of Luxembourg, with its registered office at 6, Rue Dicks, L-1417 Luxembourg, and registered with the Luxembourg Trade and Companies Register (</w:t>
      </w:r>
      <w:r>
        <w:rPr>
          <w:rFonts w:ascii="Times New Roman" w:cs="Times New Roman" w:eastAsia="Times New Roman" w:hAnsi="Times New Roman"/>
          <w:sz w:val="16"/>
          <w:szCs w:val="16"/>
          <w:i w:val="1"/>
          <w:iCs w:val="1"/>
          <w:color w:val="auto"/>
        </w:rPr>
        <w:t>Registre de Commerce et des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Sociétés, Luxembourg</w:t>
      </w:r>
      <w:r>
        <w:rPr>
          <w:rFonts w:ascii="Times New Roman" w:cs="Times New Roman" w:eastAsia="Times New Roman" w:hAnsi="Times New Roman"/>
          <w:sz w:val="16"/>
          <w:szCs w:val="16"/>
          <w:color w:val="auto"/>
        </w:rPr>
        <w:t>) under number B283362.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587375</wp:posOffset>
            </wp:positionV>
            <wp:extent cx="6972300"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25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0" Type="http://schemas.openxmlformats.org/officeDocument/2006/relationships/hyperlink" Target="http://www.sec.gov/cgi-bin/browse-edgar?action=getcompany&amp;CIK=0002048130" TargetMode="External"/><Relationship Id="rId11" Type="http://schemas.openxmlformats.org/officeDocument/2006/relationships/hyperlink" Target="http://www.sec.gov/cgi-bin/browse-edgar?action=getcompany&amp;CIK=0001871638" TargetMode="External"/><Relationship Id="rId13" Type="http://schemas.openxmlformats.org/officeDocument/2006/relationships/hyperlink" Target="http://www.sec.gov/cgi-bin/browse-edgar?action=getcompany&amp;CIK=0002048126" TargetMode="External"/><Relationship Id="rId14" Type="http://schemas.openxmlformats.org/officeDocument/2006/relationships/hyperlink" Target="http://www.sec.gov/cgi-bin/browse-edgar?action=getcompany&amp;CIK=0002048131" TargetMode="External"/><Relationship Id="rId15" Type="http://schemas.openxmlformats.org/officeDocument/2006/relationships/hyperlink" Target="http://www.sec.gov/cgi-bin/browse-edgar?action=getcompany&amp;CIK=0002048145" TargetMode="External"/><Relationship Id="rId16" Type="http://schemas.openxmlformats.org/officeDocument/2006/relationships/hyperlink" Target="http://www.sec.gov/cgi-bin/browse-edgar?action=getcompany&amp;CIK=00020481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2025-01-21T20:35:52Z</dcterms:created>
  <dcterms:modified xsi:type="dcterms:W3CDTF">2025-01-21T20:35:52Z</dcterms:modified>
</cp:coreProperties>
</file>