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134" w:lineRule="exact"/>
        <w:rPr>
          <w:sz w:val="24"/>
          <w:szCs w:val="24"/>
          <w:color w:val="auto"/>
        </w:rPr>
      </w:pPr>
    </w:p>
    <w:p>
      <w:pPr>
        <w:ind w:left="3960" w:right="1920" w:hanging="2045"/>
        <w:spacing w:after="0" w:line="359" w:lineRule="auto"/>
        <w:tabs>
          <w:tab w:leader="none" w:pos="214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ANNUAL REPORT PURSUANT TO SECTION 13 OR 15(d) OF THE SECURITIES EXCHANGE ACT OF 1934 </w:t>
      </w:r>
      <w:r>
        <w:rPr>
          <w:rFonts w:ascii="Times New Roman" w:cs="Times New Roman" w:eastAsia="Times New Roman" w:hAnsi="Times New Roman"/>
          <w:sz w:val="13"/>
          <w:szCs w:val="13"/>
          <w:color w:val="auto"/>
        </w:rPr>
        <w:t xml:space="preserve">For the fiscal year ended </w:t>
      </w:r>
      <w:r>
        <w:rPr>
          <w:rFonts w:ascii="Times New Roman" w:cs="Times New Roman" w:eastAsia="Times New Roman" w:hAnsi="Times New Roman"/>
          <w:sz w:val="13"/>
          <w:szCs w:val="13"/>
          <w:b w:val="1"/>
          <w:bCs w:val="1"/>
          <w:u w:val="single" w:color="auto"/>
          <w:color w:val="auto"/>
        </w:rPr>
        <w:t>December 31, 2023</w:t>
      </w:r>
    </w:p>
    <w:p>
      <w:pPr>
        <w:ind w:left="5060"/>
        <w:spacing w:after="0"/>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or</w:t>
      </w:r>
    </w:p>
    <w:p>
      <w:pPr>
        <w:spacing w:after="0" w:line="91" w:lineRule="exact"/>
        <w:rPr>
          <w:rFonts w:ascii="MS PGothic" w:cs="MS PGothic" w:eastAsia="MS PGothic" w:hAnsi="MS PGothic"/>
          <w:sz w:val="13"/>
          <w:szCs w:val="13"/>
          <w:color w:val="auto"/>
        </w:rPr>
      </w:pPr>
    </w:p>
    <w:p>
      <w:pPr>
        <w:ind w:left="2240" w:hanging="232"/>
        <w:spacing w:after="0"/>
        <w:tabs>
          <w:tab w:leader="none" w:pos="2240" w:val="left"/>
        </w:tabs>
        <w:numPr>
          <w:ilvl w:val="1"/>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UNDER SECTION 13 OR 15(d) OF THE SECURITIES EXCHANGE ACT OF 1934</w:t>
      </w:r>
    </w:p>
    <w:p>
      <w:pPr>
        <w:spacing w:after="0" w:line="59" w:lineRule="exact"/>
        <w:rPr>
          <w:sz w:val="24"/>
          <w:szCs w:val="24"/>
          <w:color w:val="auto"/>
        </w:rPr>
      </w:pPr>
    </w:p>
    <w:tbl>
      <w:tblPr>
        <w:tblLayout w:type="fixed"/>
        <w:tblInd w:w="3760" w:type="dxa"/>
        <w:tblCellMar>
          <w:top w:w="0" w:type="dxa"/>
          <w:left w:w="0" w:type="dxa"/>
          <w:bottom w:w="0" w:type="dxa"/>
          <w:right w:w="0" w:type="dxa"/>
        </w:tblCellMar>
      </w:tblPr>
      <w:tr>
        <w:trPr>
          <w:trHeight w:val="149"/>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w w:val="95"/>
              </w:rPr>
              <w:t>For the transition period from</w:t>
            </w: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w w:val="78"/>
              </w:rPr>
              <w:t>to</w:t>
            </w:r>
          </w:p>
        </w:tc>
        <w:tc>
          <w:tcPr>
            <w:tcW w:w="540" w:type="dxa"/>
            <w:vAlign w:val="bottom"/>
            <w:tcBorders>
              <w:bottom w:val="single" w:sz="8" w:color="auto"/>
            </w:tcBorders>
            <w:gridSpan w:val="2"/>
          </w:tcPr>
          <w:p>
            <w:pPr>
              <w:spacing w:after="0"/>
              <w:rPr>
                <w:sz w:val="12"/>
                <w:szCs w:val="12"/>
                <w:color w:val="auto"/>
              </w:rPr>
            </w:pPr>
          </w:p>
        </w:tc>
      </w:tr>
      <w:tr>
        <w:trPr>
          <w:trHeight w:val="209"/>
        </w:trPr>
        <w:tc>
          <w:tcPr>
            <w:tcW w:w="2700" w:type="dxa"/>
            <w:vAlign w:val="bottom"/>
            <w:gridSpan w:val="6"/>
          </w:tcPr>
          <w:p>
            <w:pPr>
              <w:ind w:left="420"/>
              <w:spacing w:after="0"/>
              <w:rPr>
                <w:sz w:val="20"/>
                <w:szCs w:val="20"/>
                <w:color w:val="auto"/>
              </w:rPr>
            </w:pPr>
            <w:r>
              <w:rPr>
                <w:rFonts w:ascii="Times New Roman" w:cs="Times New Roman" w:eastAsia="Times New Roman" w:hAnsi="Times New Roman"/>
                <w:sz w:val="13"/>
                <w:szCs w:val="13"/>
                <w:color w:val="auto"/>
              </w:rPr>
              <w:t xml:space="preserve">Commission file number: </w:t>
            </w:r>
            <w:r>
              <w:rPr>
                <w:rFonts w:ascii="Times New Roman" w:cs="Times New Roman" w:eastAsia="Times New Roman" w:hAnsi="Times New Roman"/>
                <w:sz w:val="13"/>
                <w:szCs w:val="13"/>
                <w:b w:val="1"/>
                <w:bCs w:val="1"/>
                <w:color w:val="auto"/>
              </w:rPr>
              <w:t>001-41139</w:t>
            </w:r>
          </w:p>
        </w:tc>
      </w:tr>
      <w:tr>
        <w:trPr>
          <w:trHeight w:val="20"/>
        </w:trPr>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6800" w:type="dxa"/>
            <w:vAlign w:val="bottom"/>
            <w:gridSpan w:val="7"/>
          </w:tcPr>
          <w:p>
            <w:pPr>
              <w:jc w:val="center"/>
              <w:ind w:left="3294"/>
              <w:spacing w:after="0"/>
              <w:rPr>
                <w:sz w:val="20"/>
                <w:szCs w:val="20"/>
                <w:color w:val="auto"/>
              </w:rPr>
            </w:pPr>
            <w:r>
              <w:rPr>
                <w:rFonts w:ascii="Times New Roman" w:cs="Times New Roman" w:eastAsia="Times New Roman" w:hAnsi="Times New Roman"/>
                <w:sz w:val="22"/>
                <w:szCs w:val="22"/>
                <w:b w:val="1"/>
                <w:bCs w:val="1"/>
                <w:color w:val="auto"/>
                <w:w w:val="97"/>
              </w:rPr>
              <w:t>BURTECH ACQUISITION CORP.</w:t>
            </w:r>
          </w:p>
        </w:tc>
        <w:tc>
          <w:tcPr>
            <w:tcW w:w="3400" w:type="dxa"/>
            <w:vAlign w:val="bottom"/>
          </w:tcPr>
          <w:p>
            <w:pPr>
              <w:spacing w:after="0"/>
              <w:rPr>
                <w:sz w:val="22"/>
                <w:szCs w:val="22"/>
                <w:color w:val="auto"/>
              </w:rPr>
            </w:pPr>
          </w:p>
        </w:tc>
      </w:tr>
      <w:tr>
        <w:trPr>
          <w:trHeight w:val="164"/>
        </w:trPr>
        <w:tc>
          <w:tcPr>
            <w:tcW w:w="20" w:type="dxa"/>
            <w:vAlign w:val="bottom"/>
          </w:tcPr>
          <w:p>
            <w:pPr>
              <w:spacing w:after="0"/>
              <w:rPr>
                <w:sz w:val="14"/>
                <w:szCs w:val="14"/>
                <w:color w:val="auto"/>
              </w:rPr>
            </w:pPr>
          </w:p>
        </w:tc>
        <w:tc>
          <w:tcPr>
            <w:tcW w:w="6800" w:type="dxa"/>
            <w:vAlign w:val="bottom"/>
            <w:gridSpan w:val="7"/>
          </w:tcPr>
          <w:p>
            <w:pPr>
              <w:jc w:val="center"/>
              <w:ind w:left="3294"/>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3400" w:type="dxa"/>
            <w:vAlign w:val="bottom"/>
          </w:tcPr>
          <w:p>
            <w:pPr>
              <w:spacing w:after="0"/>
              <w:rPr>
                <w:sz w:val="14"/>
                <w:szCs w:val="14"/>
                <w:color w:val="auto"/>
              </w:rPr>
            </w:pPr>
          </w:p>
        </w:tc>
      </w:tr>
      <w:tr>
        <w:trPr>
          <w:trHeight w:val="218"/>
        </w:trPr>
        <w:tc>
          <w:tcPr>
            <w:tcW w:w="20" w:type="dxa"/>
            <w:vAlign w:val="bottom"/>
          </w:tcPr>
          <w:p>
            <w:pPr>
              <w:spacing w:after="0"/>
              <w:rPr>
                <w:sz w:val="19"/>
                <w:szCs w:val="19"/>
                <w:color w:val="auto"/>
              </w:rPr>
            </w:pPr>
          </w:p>
        </w:tc>
        <w:tc>
          <w:tcPr>
            <w:tcW w:w="442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right"/>
              <w:ind w:right="2138"/>
              <w:spacing w:after="0"/>
              <w:rPr>
                <w:sz w:val="20"/>
                <w:szCs w:val="20"/>
                <w:color w:val="auto"/>
              </w:rPr>
            </w:pPr>
            <w:r>
              <w:rPr>
                <w:rFonts w:ascii="Times New Roman" w:cs="Times New Roman" w:eastAsia="Times New Roman" w:hAnsi="Times New Roman"/>
                <w:sz w:val="13"/>
                <w:szCs w:val="13"/>
                <w:b w:val="1"/>
                <w:bCs w:val="1"/>
                <w:color w:val="auto"/>
              </w:rPr>
              <w:t>85-2708752</w:t>
            </w:r>
          </w:p>
        </w:tc>
      </w:tr>
      <w:tr>
        <w:trPr>
          <w:trHeight w:val="110"/>
        </w:trPr>
        <w:tc>
          <w:tcPr>
            <w:tcW w:w="20" w:type="dxa"/>
            <w:vAlign w:val="bottom"/>
          </w:tcPr>
          <w:p>
            <w:pPr>
              <w:spacing w:after="0"/>
              <w:rPr>
                <w:sz w:val="9"/>
                <w:szCs w:val="9"/>
                <w:color w:val="auto"/>
              </w:rPr>
            </w:pPr>
          </w:p>
        </w:tc>
        <w:tc>
          <w:tcPr>
            <w:tcW w:w="4420" w:type="dxa"/>
            <w:vAlign w:val="bottom"/>
            <w:gridSpan w:val="2"/>
          </w:tcPr>
          <w:p>
            <w:pPr>
              <w:jc w:val="center"/>
              <w:ind w:left="454"/>
              <w:spacing w:after="0" w:line="110"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(IRS Employer Identification No.)</w:t>
            </w:r>
          </w:p>
        </w:tc>
      </w:tr>
      <w:tr>
        <w:trPr>
          <w:trHeight w:val="164"/>
        </w:trPr>
        <w:tc>
          <w:tcPr>
            <w:tcW w:w="20" w:type="dxa"/>
            <w:vAlign w:val="bottom"/>
          </w:tcPr>
          <w:p>
            <w:pPr>
              <w:spacing w:after="0"/>
              <w:rPr>
                <w:sz w:val="14"/>
                <w:szCs w:val="14"/>
                <w:color w:val="auto"/>
              </w:rPr>
            </w:pPr>
          </w:p>
        </w:tc>
        <w:tc>
          <w:tcPr>
            <w:tcW w:w="4420" w:type="dxa"/>
            <w:vAlign w:val="bottom"/>
            <w:gridSpan w:val="2"/>
          </w:tcPr>
          <w:p>
            <w:pPr>
              <w:jc w:val="center"/>
              <w:ind w:left="454"/>
              <w:spacing w:after="0"/>
              <w:rPr>
                <w:sz w:val="20"/>
                <w:szCs w:val="20"/>
                <w:color w:val="auto"/>
              </w:rPr>
            </w:pPr>
            <w:r>
              <w:rPr>
                <w:rFonts w:ascii="Times New Roman" w:cs="Times New Roman" w:eastAsia="Times New Roman" w:hAnsi="Times New Roman"/>
                <w:sz w:val="13"/>
                <w:szCs w:val="13"/>
                <w:color w:val="auto"/>
                <w:w w:val="95"/>
              </w:rPr>
              <w:t>incorporation or organization)</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239"/>
        </w:trPr>
        <w:tc>
          <w:tcPr>
            <w:tcW w:w="20" w:type="dxa"/>
            <w:vAlign w:val="bottom"/>
          </w:tcPr>
          <w:p>
            <w:pPr>
              <w:spacing w:after="0"/>
              <w:rPr>
                <w:sz w:val="20"/>
                <w:szCs w:val="20"/>
                <w:color w:val="auto"/>
              </w:rPr>
            </w:pPr>
          </w:p>
        </w:tc>
        <w:tc>
          <w:tcPr>
            <w:tcW w:w="4420" w:type="dxa"/>
            <w:vAlign w:val="bottom"/>
            <w:gridSpan w:val="2"/>
          </w:tcPr>
          <w:p>
            <w:pPr>
              <w:jc w:val="center"/>
              <w:ind w:left="454"/>
              <w:spacing w:after="0"/>
              <w:rPr>
                <w:sz w:val="20"/>
                <w:szCs w:val="20"/>
                <w:color w:val="auto"/>
              </w:rPr>
            </w:pPr>
            <w:r>
              <w:rPr>
                <w:rFonts w:ascii="Times New Roman" w:cs="Times New Roman" w:eastAsia="Times New Roman" w:hAnsi="Times New Roman"/>
                <w:sz w:val="13"/>
                <w:szCs w:val="13"/>
                <w:b w:val="1"/>
                <w:bCs w:val="1"/>
                <w:color w:val="auto"/>
                <w:w w:val="95"/>
              </w:rPr>
              <w:t>1300 Pennsylvania Ave NW, Suite 700</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442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3"/>
                <w:szCs w:val="13"/>
                <w:b w:val="1"/>
                <w:bCs w:val="1"/>
                <w:color w:val="auto"/>
                <w:w w:val="95"/>
              </w:rPr>
              <w:t>Washington, DC 20004</w:t>
            </w: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jc w:val="right"/>
              <w:ind w:right="2298"/>
              <w:spacing w:after="0"/>
              <w:rPr>
                <w:sz w:val="20"/>
                <w:szCs w:val="20"/>
                <w:color w:val="auto"/>
              </w:rPr>
            </w:pPr>
            <w:r>
              <w:rPr>
                <w:rFonts w:ascii="Times New Roman" w:cs="Times New Roman" w:eastAsia="Times New Roman" w:hAnsi="Times New Roman"/>
                <w:sz w:val="13"/>
                <w:szCs w:val="13"/>
                <w:b w:val="1"/>
                <w:bCs w:val="1"/>
                <w:color w:val="auto"/>
              </w:rPr>
              <w:t>20004</w:t>
            </w:r>
          </w:p>
        </w:tc>
      </w:tr>
      <w:tr>
        <w:trPr>
          <w:trHeight w:val="158"/>
        </w:trPr>
        <w:tc>
          <w:tcPr>
            <w:tcW w:w="20" w:type="dxa"/>
            <w:vAlign w:val="bottom"/>
          </w:tcPr>
          <w:p>
            <w:pPr>
              <w:spacing w:after="0"/>
              <w:rPr>
                <w:sz w:val="13"/>
                <w:szCs w:val="13"/>
                <w:color w:val="auto"/>
              </w:rPr>
            </w:pPr>
          </w:p>
        </w:tc>
        <w:tc>
          <w:tcPr>
            <w:tcW w:w="4420" w:type="dxa"/>
            <w:vAlign w:val="bottom"/>
            <w:gridSpan w:val="2"/>
          </w:tcPr>
          <w:p>
            <w:pPr>
              <w:jc w:val="center"/>
              <w:ind w:left="474"/>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(Zip Code)</w:t>
            </w:r>
          </w:p>
        </w:tc>
      </w:tr>
      <w:tr>
        <w:trPr>
          <w:trHeight w:val="211"/>
        </w:trPr>
        <w:tc>
          <w:tcPr>
            <w:tcW w:w="20" w:type="dxa"/>
            <w:vAlign w:val="bottom"/>
          </w:tcPr>
          <w:p>
            <w:pPr>
              <w:spacing w:after="0"/>
              <w:rPr>
                <w:sz w:val="18"/>
                <w:szCs w:val="18"/>
                <w:color w:val="auto"/>
              </w:rPr>
            </w:pPr>
          </w:p>
        </w:tc>
        <w:tc>
          <w:tcPr>
            <w:tcW w:w="6800" w:type="dxa"/>
            <w:vAlign w:val="bottom"/>
            <w:gridSpan w:val="7"/>
          </w:tcPr>
          <w:p>
            <w:pPr>
              <w:jc w:val="center"/>
              <w:ind w:left="3294"/>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(202) 600-5757</w:t>
            </w:r>
          </w:p>
        </w:tc>
        <w:tc>
          <w:tcPr>
            <w:tcW w:w="34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gridSpan w:val="7"/>
          </w:tcPr>
          <w:p>
            <w:pPr>
              <w:jc w:val="center"/>
              <w:ind w:left="3314"/>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40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4420" w:type="dxa"/>
            <w:vAlign w:val="bottom"/>
            <w:gridSpan w:val="2"/>
          </w:tcPr>
          <w:p>
            <w:pPr>
              <w:ind w:left="15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380" w:type="dxa"/>
            <w:vAlign w:val="bottom"/>
            <w:gridSpan w:val="5"/>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3400" w:type="dxa"/>
            <w:vAlign w:val="bottom"/>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10"/>
        </w:trPr>
        <w:tc>
          <w:tcPr>
            <w:tcW w:w="20" w:type="dxa"/>
            <w:vAlign w:val="bottom"/>
          </w:tcPr>
          <w:p>
            <w:pPr>
              <w:spacing w:after="0"/>
              <w:rPr>
                <w:sz w:val="9"/>
                <w:szCs w:val="9"/>
                <w:color w:val="auto"/>
              </w:rPr>
            </w:pPr>
          </w:p>
        </w:tc>
        <w:tc>
          <w:tcPr>
            <w:tcW w:w="414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Units, each consisting of one share of Class A Common Stock and one</w:t>
            </w:r>
          </w:p>
        </w:tc>
        <w:tc>
          <w:tcPr>
            <w:tcW w:w="2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2"/>
          </w:tcPr>
          <w:p>
            <w:pPr>
              <w:jc w:val="center"/>
              <w:ind w:right="580"/>
              <w:spacing w:after="0" w:line="110" w:lineRule="exact"/>
              <w:rPr>
                <w:sz w:val="20"/>
                <w:szCs w:val="20"/>
                <w:color w:val="auto"/>
              </w:rPr>
            </w:pPr>
            <w:r>
              <w:rPr>
                <w:rFonts w:ascii="Times New Roman" w:cs="Times New Roman" w:eastAsia="Times New Roman" w:hAnsi="Times New Roman"/>
                <w:sz w:val="12"/>
                <w:szCs w:val="12"/>
                <w:color w:val="auto"/>
              </w:rPr>
              <w:t>BRKHU</w:t>
            </w:r>
          </w:p>
        </w:tc>
        <w:tc>
          <w:tcPr>
            <w:tcW w:w="2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400" w:type="dxa"/>
            <w:vAlign w:val="bottom"/>
            <w:tcBorders>
              <w:top w:val="single" w:sz="8" w:color="auto"/>
            </w:tcBorders>
          </w:tcPr>
          <w:p>
            <w:pPr>
              <w:jc w:val="center"/>
              <w:ind w:right="158"/>
              <w:spacing w:after="0" w:line="110" w:lineRule="exact"/>
              <w:rPr>
                <w:sz w:val="20"/>
                <w:szCs w:val="20"/>
                <w:color w:val="auto"/>
              </w:rPr>
            </w:pPr>
            <w:r>
              <w:rPr>
                <w:rFonts w:ascii="Times New Roman" w:cs="Times New Roman" w:eastAsia="Times New Roman" w:hAnsi="Times New Roman"/>
                <w:sz w:val="12"/>
                <w:szCs w:val="12"/>
                <w:color w:val="auto"/>
              </w:rPr>
              <w:t>The Nasdaq Stock Market LLC</w:t>
            </w:r>
          </w:p>
        </w:tc>
      </w:tr>
      <w:tr>
        <w:trPr>
          <w:trHeight w:val="135"/>
        </w:trPr>
        <w:tc>
          <w:tcPr>
            <w:tcW w:w="44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Redeemable Warrant to purchase one share of Class A common stock for $11.50</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0" w:type="dxa"/>
            <w:vAlign w:val="bottom"/>
          </w:tcPr>
          <w:p>
            <w:pPr>
              <w:spacing w:after="0"/>
              <w:rPr>
                <w:sz w:val="11"/>
                <w:szCs w:val="11"/>
                <w:color w:val="auto"/>
              </w:rPr>
            </w:pPr>
          </w:p>
        </w:tc>
      </w:tr>
      <w:tr>
        <w:trPr>
          <w:trHeight w:val="135"/>
        </w:trPr>
        <w:tc>
          <w:tcPr>
            <w:tcW w:w="44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per share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0" w:type="dxa"/>
            <w:vAlign w:val="bottom"/>
          </w:tcPr>
          <w:p>
            <w:pPr>
              <w:spacing w:after="0"/>
              <w:rPr>
                <w:sz w:val="11"/>
                <w:szCs w:val="11"/>
                <w:color w:val="auto"/>
              </w:rPr>
            </w:pPr>
          </w:p>
        </w:tc>
      </w:tr>
      <w:tr>
        <w:trPr>
          <w:trHeight w:val="135"/>
        </w:trPr>
        <w:tc>
          <w:tcPr>
            <w:tcW w:w="44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Class A Common Stock, par value $0.0001 per share</w:t>
            </w:r>
          </w:p>
        </w:tc>
        <w:tc>
          <w:tcPr>
            <w:tcW w:w="560" w:type="dxa"/>
            <w:vAlign w:val="bottom"/>
          </w:tcPr>
          <w:p>
            <w:pPr>
              <w:spacing w:after="0"/>
              <w:rPr>
                <w:sz w:val="11"/>
                <w:szCs w:val="11"/>
                <w:color w:val="auto"/>
              </w:rPr>
            </w:pPr>
          </w:p>
        </w:tc>
        <w:tc>
          <w:tcPr>
            <w:tcW w:w="1820" w:type="dxa"/>
            <w:vAlign w:val="bottom"/>
            <w:gridSpan w:val="4"/>
          </w:tcPr>
          <w:p>
            <w:pPr>
              <w:jc w:val="center"/>
              <w:ind w:right="1060"/>
              <w:spacing w:after="0" w:line="135" w:lineRule="exact"/>
              <w:rPr>
                <w:sz w:val="20"/>
                <w:szCs w:val="20"/>
                <w:color w:val="auto"/>
              </w:rPr>
            </w:pPr>
            <w:r>
              <w:rPr>
                <w:rFonts w:ascii="Times New Roman" w:cs="Times New Roman" w:eastAsia="Times New Roman" w:hAnsi="Times New Roman"/>
                <w:sz w:val="13"/>
                <w:szCs w:val="13"/>
                <w:color w:val="auto"/>
                <w:w w:val="99"/>
              </w:rPr>
              <w:t>BRKH</w:t>
            </w:r>
          </w:p>
        </w:tc>
        <w:tc>
          <w:tcPr>
            <w:tcW w:w="340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164"/>
        </w:trPr>
        <w:tc>
          <w:tcPr>
            <w:tcW w:w="44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Warrants, each exercisable for one share of Common Stock for $11.50 per share</w:t>
            </w:r>
          </w:p>
        </w:tc>
        <w:tc>
          <w:tcPr>
            <w:tcW w:w="560" w:type="dxa"/>
            <w:vAlign w:val="bottom"/>
          </w:tcPr>
          <w:p>
            <w:pPr>
              <w:spacing w:after="0"/>
              <w:rPr>
                <w:sz w:val="14"/>
                <w:szCs w:val="14"/>
                <w:color w:val="auto"/>
              </w:rPr>
            </w:pPr>
          </w:p>
        </w:tc>
        <w:tc>
          <w:tcPr>
            <w:tcW w:w="1820" w:type="dxa"/>
            <w:vAlign w:val="bottom"/>
            <w:gridSpan w:val="4"/>
          </w:tcPr>
          <w:p>
            <w:pPr>
              <w:jc w:val="center"/>
              <w:ind w:right="1060"/>
              <w:spacing w:after="0"/>
              <w:rPr>
                <w:sz w:val="20"/>
                <w:szCs w:val="20"/>
                <w:color w:val="auto"/>
              </w:rPr>
            </w:pPr>
            <w:r>
              <w:rPr>
                <w:rFonts w:ascii="Times New Roman" w:cs="Times New Roman" w:eastAsia="Times New Roman" w:hAnsi="Times New Roman"/>
                <w:sz w:val="13"/>
                <w:szCs w:val="13"/>
                <w:color w:val="auto"/>
                <w:w w:val="99"/>
              </w:rPr>
              <w:t>BRKHW</w:t>
            </w:r>
          </w:p>
        </w:tc>
        <w:tc>
          <w:tcPr>
            <w:tcW w:w="3400" w:type="dxa"/>
            <w:vAlign w:val="bottom"/>
          </w:tcPr>
          <w:p>
            <w:pPr>
              <w:jc w:val="center"/>
              <w:ind w:right="158"/>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229"/>
        </w:trPr>
        <w:tc>
          <w:tcPr>
            <w:tcW w:w="20" w:type="dxa"/>
            <w:vAlign w:val="bottom"/>
          </w:tcPr>
          <w:p>
            <w:pPr>
              <w:spacing w:after="0"/>
              <w:rPr>
                <w:sz w:val="19"/>
                <w:szCs w:val="19"/>
                <w:color w:val="auto"/>
              </w:rPr>
            </w:pPr>
          </w:p>
        </w:tc>
        <w:tc>
          <w:tcPr>
            <w:tcW w:w="6800" w:type="dxa"/>
            <w:vAlign w:val="bottom"/>
            <w:gridSpan w:val="7"/>
          </w:tcPr>
          <w:p>
            <w:pPr>
              <w:jc w:val="center"/>
              <w:ind w:left="3294"/>
              <w:spacing w:after="0"/>
              <w:rPr>
                <w:sz w:val="20"/>
                <w:szCs w:val="20"/>
                <w:color w:val="auto"/>
              </w:rPr>
            </w:pPr>
            <w:r>
              <w:rPr>
                <w:rFonts w:ascii="Times New Roman" w:cs="Times New Roman" w:eastAsia="Times New Roman" w:hAnsi="Times New Roman"/>
                <w:sz w:val="13"/>
                <w:szCs w:val="13"/>
                <w:color w:val="auto"/>
                <w:w w:val="96"/>
              </w:rPr>
              <w:t xml:space="preserve">Securities registered pursuant to Section 12(g) of the Act: </w:t>
            </w:r>
            <w:r>
              <w:rPr>
                <w:rFonts w:ascii="Times New Roman" w:cs="Times New Roman" w:eastAsia="Times New Roman" w:hAnsi="Times New Roman"/>
                <w:sz w:val="13"/>
                <w:szCs w:val="13"/>
                <w:b w:val="1"/>
                <w:bCs w:val="1"/>
                <w:color w:val="auto"/>
                <w:w w:val="96"/>
              </w:rPr>
              <w:t>None.</w:t>
            </w:r>
          </w:p>
        </w:tc>
        <w:tc>
          <w:tcPr>
            <w:tcW w:w="3400" w:type="dxa"/>
            <w:vAlign w:val="bottom"/>
          </w:tcPr>
          <w:p>
            <w:pPr>
              <w:spacing w:after="0"/>
              <w:rPr>
                <w:sz w:val="19"/>
                <w:szCs w:val="19"/>
                <w:color w:val="auto"/>
              </w:rPr>
            </w:pPr>
          </w:p>
        </w:tc>
      </w:tr>
      <w:tr>
        <w:trPr>
          <w:trHeight w:val="277"/>
        </w:trPr>
        <w:tc>
          <w:tcPr>
            <w:tcW w:w="6820" w:type="dxa"/>
            <w:vAlign w:val="bottom"/>
            <w:gridSpan w:val="8"/>
          </w:tcPr>
          <w:p>
            <w:pPr>
              <w:spacing w:after="0" w:line="150" w:lineRule="exact"/>
              <w:rPr>
                <w:sz w:val="20"/>
                <w:szCs w:val="20"/>
                <w:color w:val="auto"/>
              </w:rPr>
            </w:pPr>
            <w:r>
              <w:rPr>
                <w:rFonts w:ascii="Times New Roman" w:cs="Times New Roman" w:eastAsia="Times New Roman" w:hAnsi="Times New Roman"/>
                <w:sz w:val="13"/>
                <w:szCs w:val="13"/>
                <w:color w:val="auto"/>
                <w:w w:val="99"/>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9"/>
              </w:rPr>
              <w:t>☐</w:t>
            </w:r>
            <w:r>
              <w:rPr>
                <w:rFonts w:ascii="Times New Roman" w:cs="Times New Roman" w:eastAsia="Times New Roman" w:hAnsi="Times New Roman"/>
                <w:sz w:val="13"/>
                <w:szCs w:val="13"/>
                <w:color w:val="auto"/>
                <w:w w:val="99"/>
              </w:rPr>
              <w:t xml:space="preserve"> No </w:t>
            </w:r>
            <w:r>
              <w:rPr>
                <w:rFonts w:ascii="MS PGothic" w:cs="MS PGothic" w:eastAsia="MS PGothic" w:hAnsi="MS PGothic"/>
                <w:sz w:val="13"/>
                <w:szCs w:val="13"/>
                <w:color w:val="auto"/>
                <w:w w:val="99"/>
              </w:rPr>
              <w:t>☒</w:t>
            </w:r>
          </w:p>
        </w:tc>
        <w:tc>
          <w:tcPr>
            <w:tcW w:w="3400" w:type="dxa"/>
            <w:vAlign w:val="bottom"/>
          </w:tcPr>
          <w:p>
            <w:pPr>
              <w:spacing w:after="0"/>
              <w:rPr>
                <w:sz w:val="24"/>
                <w:szCs w:val="24"/>
                <w:color w:val="auto"/>
              </w:rPr>
            </w:pPr>
          </w:p>
        </w:tc>
      </w:tr>
      <w:tr>
        <w:trPr>
          <w:trHeight w:val="243"/>
        </w:trPr>
        <w:tc>
          <w:tcPr>
            <w:tcW w:w="6820" w:type="dxa"/>
            <w:vAlign w:val="bottom"/>
            <w:gridSpan w:val="8"/>
          </w:tcPr>
          <w:p>
            <w:pPr>
              <w:spacing w:after="0"/>
              <w:rPr>
                <w:sz w:val="20"/>
                <w:szCs w:val="20"/>
                <w:color w:val="auto"/>
              </w:rPr>
            </w:pPr>
            <w:r>
              <w:rPr>
                <w:rFonts w:ascii="Times New Roman" w:cs="Times New Roman" w:eastAsia="Times New Roman" w:hAnsi="Times New Roman"/>
                <w:sz w:val="13"/>
                <w:szCs w:val="13"/>
                <w:color w:val="auto"/>
                <w:w w:val="97"/>
              </w:rPr>
              <w:t>Indicate by check mark if the registrant is not required to file reports pursuant to Section 13 or Section 15(d) of the Exchange Act. Yes</w:t>
            </w:r>
          </w:p>
        </w:tc>
        <w:tc>
          <w:tcPr>
            <w:tcW w:w="340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bl>
    <w:p>
      <w:pPr>
        <w:spacing w:after="0" w:line="45"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62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rPr>
              <w:t>☐</w:t>
            </w:r>
          </w:p>
        </w:tc>
        <w:tc>
          <w:tcPr>
            <w:tcW w:w="400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Accelerated filer</w:t>
            </w:r>
          </w:p>
        </w:tc>
        <w:tc>
          <w:tcPr>
            <w:tcW w:w="122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62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rPr>
              <w:t>☒</w:t>
            </w:r>
          </w:p>
        </w:tc>
        <w:tc>
          <w:tcPr>
            <w:tcW w:w="400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2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2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0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Emerging Growth Company</w:t>
            </w:r>
          </w:p>
        </w:tc>
        <w:tc>
          <w:tcPr>
            <w:tcW w:w="122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9" w:lineRule="exact"/>
        <w:rPr>
          <w:sz w:val="24"/>
          <w:szCs w:val="24"/>
          <w:color w:val="auto"/>
        </w:rPr>
      </w:pPr>
    </w:p>
    <w:p>
      <w:pPr>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has filed a report on and attestation to its management’s assessment of the effectiveness of its internal control over financial reporting under Section 404(b)</w:t>
      </w:r>
    </w:p>
    <w:p>
      <w:pPr>
        <w:spacing w:after="0" w:line="20" w:lineRule="exact"/>
        <w:rPr>
          <w:sz w:val="24"/>
          <w:szCs w:val="24"/>
          <w:color w:val="auto"/>
        </w:rPr>
      </w:pPr>
    </w:p>
    <w:p>
      <w:pPr>
        <w:spacing w:after="0" w:line="150" w:lineRule="exact"/>
        <w:tabs>
          <w:tab w:leader="none" w:pos="6940" w:val="left"/>
        </w:tabs>
        <w:rPr>
          <w:sz w:val="20"/>
          <w:szCs w:val="20"/>
          <w:color w:val="auto"/>
        </w:rPr>
      </w:pPr>
      <w:r>
        <w:rPr>
          <w:rFonts w:ascii="Times New Roman" w:cs="Times New Roman" w:eastAsia="Times New Roman" w:hAnsi="Times New Roman"/>
          <w:sz w:val="13"/>
          <w:szCs w:val="13"/>
          <w:color w:val="auto"/>
        </w:rPr>
        <w:t>of the Sarbanes-Oxley Act (15 U.S.C. 7262(b)) by the registered public accounting firm that prepared or issued its audit report.</w:t>
      </w:r>
      <w:r>
        <w:rPr>
          <w:sz w:val="20"/>
          <w:szCs w:val="20"/>
          <w:color w:val="auto"/>
        </w:rPr>
        <w:tab/>
      </w:r>
      <w:r>
        <w:rPr>
          <w:rFonts w:ascii="MS PGothic" w:cs="MS PGothic" w:eastAsia="MS PGothic" w:hAnsi="MS PGothic"/>
          <w:sz w:val="12"/>
          <w:szCs w:val="12"/>
          <w:color w:val="auto"/>
        </w:rPr>
        <w:t>☐</w:t>
      </w:r>
    </w:p>
    <w:p>
      <w:pPr>
        <w:spacing w:after="0" w:line="71"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5" w:lineRule="exact"/>
        <w:rPr>
          <w:sz w:val="24"/>
          <w:szCs w:val="24"/>
          <w:color w:val="auto"/>
        </w:rPr>
      </w:pPr>
    </w:p>
    <w:p>
      <w:pPr>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June 30, 2023, the aggregate market value of the registrant’s common stock held by non-affiliates of the registrant was $69,290,846. The registrant’s units began trading on The Nasdaq Global Market (“NASDAQ”) on December 13, 2021 and the registrant’s shares of Class A common stock, par value $0.0001 and warrants began trading on the NASDAQ on January 31, 2022.</w:t>
      </w:r>
    </w:p>
    <w:p>
      <w:pPr>
        <w:spacing w:after="0" w:line="66" w:lineRule="exact"/>
        <w:rPr>
          <w:sz w:val="24"/>
          <w:szCs w:val="24"/>
          <w:color w:val="auto"/>
        </w:rPr>
      </w:pPr>
    </w:p>
    <w:p>
      <w:pPr>
        <w:jc w:val="center"/>
        <w:ind w:right="100"/>
        <w:spacing w:after="0" w:line="368" w:lineRule="auto"/>
        <w:rPr>
          <w:sz w:val="20"/>
          <w:szCs w:val="20"/>
          <w:color w:val="auto"/>
        </w:rPr>
      </w:pPr>
      <w:r>
        <w:rPr>
          <w:rFonts w:ascii="Times New Roman" w:cs="Times New Roman" w:eastAsia="Times New Roman" w:hAnsi="Times New Roman"/>
          <w:sz w:val="13"/>
          <w:szCs w:val="13"/>
          <w:color w:val="auto"/>
        </w:rPr>
        <w:t xml:space="preserve">As of May 7, 2024, there were 15,162,663 shares of Class A common stock, par value $0.0001 per share, and zero shares of Class B common stock, par value $0.0001 per share, issued and outstanding. </w:t>
      </w:r>
      <w:r>
        <w:rPr>
          <w:rFonts w:ascii="Times New Roman" w:cs="Times New Roman" w:eastAsia="Times New Roman" w:hAnsi="Times New Roman"/>
          <w:sz w:val="13"/>
          <w:szCs w:val="13"/>
          <w:b w:val="1"/>
          <w:bCs w:val="1"/>
          <w:color w:val="auto"/>
        </w:rPr>
        <w:t>DOCUMENTS INCORPORATED BY REFERENCE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482600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53975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96520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gridSpan w:val="17"/>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BURTECH ACQUISITION CORP.</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00" w:type="dxa"/>
            <w:vAlign w:val="bottom"/>
            <w:gridSpan w:val="21"/>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 for the Year Ended December 31, 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PART I</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020" w:type="dxa"/>
            <w:vAlign w:val="bottom"/>
            <w:gridSpan w:val="27"/>
          </w:tcPr>
          <w:p>
            <w:pPr>
              <w:ind w:left="22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3"/>
              </w:rPr>
              <w:t>ITEM 1A.</w:t>
            </w:r>
          </w:p>
        </w:tc>
        <w:tc>
          <w:tcPr>
            <w:tcW w:w="200" w:type="dxa"/>
            <w:vAlign w:val="bottom"/>
            <w:shd w:val="clear" w:color="auto" w:fill="CCEEFF"/>
          </w:tcPr>
          <w:p>
            <w:pPr>
              <w:spacing w:after="0"/>
              <w:rPr>
                <w:sz w:val="15"/>
                <w:szCs w:val="15"/>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4"/>
              </w:rPr>
              <w:t>ITEM 1B.</w:t>
            </w:r>
          </w:p>
        </w:tc>
        <w:tc>
          <w:tcPr>
            <w:tcW w:w="200" w:type="dxa"/>
            <w:vAlign w:val="bottom"/>
          </w:tcPr>
          <w:p>
            <w:pPr>
              <w:spacing w:after="0"/>
              <w:rPr>
                <w:sz w:val="15"/>
                <w:szCs w:val="15"/>
                <w:color w:val="auto"/>
              </w:rPr>
            </w:pPr>
          </w:p>
        </w:tc>
        <w:tc>
          <w:tcPr>
            <w:tcW w:w="8020" w:type="dxa"/>
            <w:vAlign w:val="bottom"/>
            <w:gridSpan w:val="27"/>
          </w:tcPr>
          <w:p>
            <w:pPr>
              <w:ind w:left="22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020" w:type="dxa"/>
            <w:vAlign w:val="bottom"/>
            <w:gridSpan w:val="27"/>
          </w:tcPr>
          <w:p>
            <w:pPr>
              <w:ind w:left="2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89"/>
              </w:rPr>
              <w:t>PART II</w:t>
            </w:r>
          </w:p>
        </w:tc>
        <w:tc>
          <w:tcPr>
            <w:tcW w:w="340" w:type="dxa"/>
            <w:vAlign w:val="bottom"/>
            <w:tcBorders>
              <w:top w:val="single" w:sz="8" w:color="CCEEFF"/>
            </w:tcBorders>
            <w:gridSpan w:val="2"/>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SHAREHOLDER MATTERS AND</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20" w:type="dxa"/>
            <w:vAlign w:val="bottom"/>
            <w:tcBorders>
              <w:right w:val="single" w:sz="8" w:color="CCEEFF"/>
            </w:tcBorders>
            <w:gridSpan w:val="27"/>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0000EE"/>
              </w:rPr>
              <w:t>ISSUER PURCHASES OF EQUITY SECURITIES</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020" w:type="dxa"/>
            <w:vAlign w:val="bottom"/>
            <w:gridSpan w:val="27"/>
          </w:tcPr>
          <w:p>
            <w:pPr>
              <w:ind w:left="22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20" w:type="dxa"/>
            <w:vAlign w:val="bottom"/>
            <w:tcBorders>
              <w:right w:val="single" w:sz="8" w:color="CCEEFF"/>
            </w:tcBorders>
            <w:gridSpan w:val="27"/>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8020" w:type="dxa"/>
            <w:vAlign w:val="bottom"/>
            <w:gridSpan w:val="27"/>
          </w:tcPr>
          <w:p>
            <w:pPr>
              <w:ind w:left="2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8020" w:type="dxa"/>
            <w:vAlign w:val="bottom"/>
            <w:gridSpan w:val="27"/>
          </w:tcPr>
          <w:p>
            <w:pPr>
              <w:ind w:left="22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gridSpan w:val="27"/>
          </w:tcPr>
          <w:p>
            <w:pPr>
              <w:ind w:left="220"/>
              <w:spacing w:after="0" w:line="196" w:lineRule="exact"/>
              <w:rPr>
                <w:sz w:val="20"/>
                <w:szCs w:val="20"/>
                <w:color w:val="auto"/>
              </w:rPr>
            </w:pPr>
            <w:r>
              <w:rPr>
                <w:rFonts w:ascii="Times New Roman" w:cs="Times New Roman" w:eastAsia="Times New Roman" w:hAnsi="Times New Roman"/>
                <w:sz w:val="18"/>
                <w:szCs w:val="18"/>
                <w:color w:val="0000EE"/>
              </w:rPr>
              <w:t>FINANCIAL DISCLOSURE</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3"/>
              </w:rPr>
              <w:t>ITEM 9A.</w:t>
            </w:r>
          </w:p>
        </w:tc>
        <w:tc>
          <w:tcPr>
            <w:tcW w:w="200" w:type="dxa"/>
            <w:vAlign w:val="bottom"/>
            <w:shd w:val="clear" w:color="auto" w:fill="CCEEFF"/>
          </w:tcPr>
          <w:p>
            <w:pPr>
              <w:spacing w:after="0"/>
              <w:rPr>
                <w:sz w:val="15"/>
                <w:szCs w:val="15"/>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4"/>
              </w:rPr>
              <w:t>ITEM 9B.</w:t>
            </w:r>
          </w:p>
        </w:tc>
        <w:tc>
          <w:tcPr>
            <w:tcW w:w="200" w:type="dxa"/>
            <w:vAlign w:val="bottom"/>
          </w:tcPr>
          <w:p>
            <w:pPr>
              <w:spacing w:after="0"/>
              <w:rPr>
                <w:sz w:val="15"/>
                <w:szCs w:val="15"/>
                <w:color w:val="auto"/>
              </w:rPr>
            </w:pPr>
          </w:p>
        </w:tc>
        <w:tc>
          <w:tcPr>
            <w:tcW w:w="8020" w:type="dxa"/>
            <w:vAlign w:val="bottom"/>
            <w:gridSpan w:val="27"/>
          </w:tcPr>
          <w:p>
            <w:pPr>
              <w:ind w:left="2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10.</w:t>
            </w:r>
          </w:p>
        </w:tc>
        <w:tc>
          <w:tcPr>
            <w:tcW w:w="200" w:type="dxa"/>
            <w:vAlign w:val="bottom"/>
            <w:shd w:val="clear" w:color="auto" w:fill="CCEEFF"/>
          </w:tcPr>
          <w:p>
            <w:pPr>
              <w:spacing w:after="0"/>
              <w:rPr>
                <w:sz w:val="15"/>
                <w:szCs w:val="15"/>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11.</w:t>
            </w:r>
          </w:p>
        </w:tc>
        <w:tc>
          <w:tcPr>
            <w:tcW w:w="200" w:type="dxa"/>
            <w:vAlign w:val="bottom"/>
          </w:tcPr>
          <w:p>
            <w:pPr>
              <w:spacing w:after="0"/>
              <w:rPr>
                <w:sz w:val="15"/>
                <w:szCs w:val="15"/>
                <w:color w:val="auto"/>
              </w:rPr>
            </w:pPr>
          </w:p>
        </w:tc>
        <w:tc>
          <w:tcPr>
            <w:tcW w:w="8020" w:type="dxa"/>
            <w:vAlign w:val="bottom"/>
            <w:gridSpan w:val="27"/>
          </w:tcPr>
          <w:p>
            <w:pPr>
              <w:ind w:left="22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12.</w:t>
            </w:r>
          </w:p>
        </w:tc>
        <w:tc>
          <w:tcPr>
            <w:tcW w:w="200" w:type="dxa"/>
            <w:vAlign w:val="bottom"/>
            <w:shd w:val="clear" w:color="auto" w:fill="CCEEFF"/>
          </w:tcPr>
          <w:p>
            <w:pPr>
              <w:spacing w:after="0"/>
              <w:rPr>
                <w:sz w:val="15"/>
                <w:szCs w:val="15"/>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20" w:type="dxa"/>
            <w:vAlign w:val="bottom"/>
            <w:gridSpan w:val="14"/>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4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20" w:type="dxa"/>
            <w:vAlign w:val="bottom"/>
            <w:tcBorders>
              <w:right w:val="single" w:sz="8" w:color="CCEEFF"/>
            </w:tcBorders>
            <w:gridSpan w:val="27"/>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0000EE"/>
              </w:rPr>
              <w:t>RELATED SHAREHOLDER MATTERS</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8020" w:type="dxa"/>
            <w:vAlign w:val="bottom"/>
            <w:gridSpan w:val="27"/>
          </w:tcPr>
          <w:p>
            <w:pPr>
              <w:ind w:left="220"/>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14.</w:t>
            </w:r>
          </w:p>
        </w:tc>
        <w:tc>
          <w:tcPr>
            <w:tcW w:w="200" w:type="dxa"/>
            <w:vAlign w:val="bottom"/>
            <w:shd w:val="clear" w:color="auto" w:fill="CCEEFF"/>
          </w:tcPr>
          <w:p>
            <w:pPr>
              <w:spacing w:after="0"/>
              <w:rPr>
                <w:sz w:val="17"/>
                <w:szCs w:val="17"/>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References to “the Company,” “our,” “us” or “we” refer to BurTech Acquisition Corp., a blank check company incorporated in Delaware on March 2, 2021. References to our “Sponsor” refer to BurTech LP LLC, a Delaware limited liability company. References to our “IPO” refer to the initial public offering of BurTech Acquisition Corp., which closed on December 15, 2021.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spacing w:after="0" w:line="188" w:lineRule="exact"/>
        <w:rPr>
          <w:sz w:val="20"/>
          <w:szCs w:val="20"/>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complete our initial business combination;</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 following our initial business combination;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ability to obtain additional financing to complete our initial business combination;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 of prospective target businesses;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 in control if we acquire one or more target businesses for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not held in the trust account or available to us from interest income on the trust account balance;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following our IPO.</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Registration Statement for our initial public offering was declared effective on December 10, 2021 (the “Initial Public Offering,” or “IPO”). On December 15, 2021, we consummated its Initial Public Offering of 25,000,000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at $10.00 per Unit, each Unit comprised of one share of Class A Common Stock, $0.0001 par value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and one redeemable warrant to purchase one share of Class A Common Stock at a purchase price of $11.50 per share(the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generating gross proceeds of $250,000,000, and incurring offering costs of $16,919,619 of which $10,062,500 was for deferred underwriting commissions. We granted the underwriter a 45-day option to purchase up to an additional 3,750,000 Units at the Initial Public Offering price to cover over-allotments, if any. On December 15, 2021, the over-allotment option was exercised in full.</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15, 2021, simultaneously with the consummation of the IPO, the Company completed the private sale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of 804,500 units (the “</w:t>
      </w:r>
      <w:r>
        <w:rPr>
          <w:rFonts w:ascii="Times New Roman" w:cs="Times New Roman" w:eastAsia="Times New Roman" w:hAnsi="Times New Roman"/>
          <w:sz w:val="18"/>
          <w:szCs w:val="18"/>
          <w:b w:val="1"/>
          <w:bCs w:val="1"/>
          <w:color w:val="auto"/>
        </w:rPr>
        <w:t>Placement Units</w:t>
      </w:r>
      <w:r>
        <w:rPr>
          <w:rFonts w:ascii="Times New Roman" w:cs="Times New Roman" w:eastAsia="Times New Roman" w:hAnsi="Times New Roman"/>
          <w:sz w:val="18"/>
          <w:szCs w:val="18"/>
          <w:color w:val="auto"/>
        </w:rPr>
        <w:t>”) to BurTech LP, LLC, the Company’s sponsor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at a purchase price of $10.00 per Placement Unit, generating gross proceeds to the Company of $8,045,000. Also on December 15, 2021, the Sponsor purchased an additional 93,750 Placement Units when the underwriter exercised their over-allotment option, generating additional proceeds of $937,500.</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on December 15, 2021, a total of $291,812,500 ($10.15 per Unit) from the net proceeds of the sale of the Units in the Initial Public Offering and a portion of the proceeds from the sale of the Placement Units was placed in a trust account (the “Trust Account”), located in the United States and held as cash items or may be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us, until the earlier of: (i) the consummation of a Business Combination or (ii) the distribution of the funds in the Trust Account to our stockholders.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Prior Extensions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At a special meeting of stockholders held on March 10, 2023 (the “</w:t>
      </w:r>
      <w:r>
        <w:rPr>
          <w:rFonts w:ascii="Times New Roman" w:cs="Times New Roman" w:eastAsia="Times New Roman" w:hAnsi="Times New Roman"/>
          <w:sz w:val="18"/>
          <w:szCs w:val="18"/>
          <w:b w:val="1"/>
          <w:bCs w:val="1"/>
          <w:color w:val="auto"/>
        </w:rPr>
        <w:t>First Extension Meeting</w:t>
      </w:r>
      <w:r>
        <w:rPr>
          <w:rFonts w:ascii="Times New Roman" w:cs="Times New Roman" w:eastAsia="Times New Roman" w:hAnsi="Times New Roman"/>
          <w:sz w:val="18"/>
          <w:szCs w:val="18"/>
          <w:color w:val="auto"/>
        </w:rPr>
        <w:t>”), the Company’s stockholders approved (i) a proposal to amend its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and (ii) a proposal to amend the Management Trust Agreement with the Transfer Agent, to extend the date by which it has to consummate a business combination until December 15, 2023.</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stockholders’ vote at the First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a special meeting of stockholders held on December 11, 2023 (the “</w:t>
      </w:r>
      <w:r>
        <w:rPr>
          <w:rFonts w:ascii="Times New Roman" w:cs="Times New Roman" w:eastAsia="Times New Roman" w:hAnsi="Times New Roman"/>
          <w:sz w:val="18"/>
          <w:szCs w:val="18"/>
          <w:b w:val="1"/>
          <w:bCs w:val="1"/>
          <w:color w:val="auto"/>
        </w:rPr>
        <w:t>Second Extension Meeting</w:t>
      </w:r>
      <w:r>
        <w:rPr>
          <w:rFonts w:ascii="Times New Roman" w:cs="Times New Roman" w:eastAsia="Times New Roman" w:hAnsi="Times New Roman"/>
          <w:sz w:val="18"/>
          <w:szCs w:val="18"/>
          <w:color w:val="auto"/>
        </w:rPr>
        <w:t>”), the Company’s stockholders approved (i) a proposal to amend its Charter, and (ii) a proposal to amend the Management Trust Agreement with the Transfer Agent, to extend the date by which it has to consummate a business combination until December 15, 2024 with twelve (12) one-month extensions until December 15, 2024, by depositing into the Trust Account the lesser of $0.03 per unredeemed share of Class A common stock or $150,000 (the “</w:t>
      </w:r>
      <w:r>
        <w:rPr>
          <w:rFonts w:ascii="Times New Roman" w:cs="Times New Roman" w:eastAsia="Times New Roman" w:hAnsi="Times New Roman"/>
          <w:sz w:val="18"/>
          <w:szCs w:val="18"/>
          <w:b w:val="1"/>
          <w:bCs w:val="1"/>
          <w:color w:val="auto"/>
        </w:rPr>
        <w:t>Extension Payment</w:t>
      </w:r>
      <w:r>
        <w:rPr>
          <w:rFonts w:ascii="Times New Roman" w:cs="Times New Roman" w:eastAsia="Times New Roman" w:hAnsi="Times New Roman"/>
          <w:sz w:val="18"/>
          <w:szCs w:val="18"/>
          <w:color w:val="auto"/>
        </w:rPr>
        <w:t>”) for each one-month Extension. In addition, a proposal to amend the Charter was approved to change Section 4.3 (b)(i) of the Charter to allow the holders of shares of Class B Shares to convert their shares of Class B common stock to Class A Shares at the option of the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stockholders’ vote at the Second Extension Meeting, 2,285,040 shares were tendered for redemption. As a result, approximately $ 24.4 million (approximately $10.70 per share) was removed from the Trust Account to pay such stockholders.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11, 2023, the Company issued an aggregate of 9,487,495 Class A Shares, to the holders of the Company’s Class B Shares, upon the exchange of an equal number of Class B Shares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by December 15, 2024, after the payment into the Trust Account for each Extension,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22, 2023, BurTech entered into an Agreement and Plan of Merger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xml:space="preserve">”) by and among BurTech, BurTech Merger Sub Inc., a Delaware corporation and a direct, wholly owned subsidiary of BurTech (“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b w:val="1"/>
          <w:bCs w:val="1"/>
          <w:u w:val="single" w:color="auto"/>
          <w:color w:val="auto"/>
        </w:rPr>
        <w:t>Blaize</w:t>
      </w:r>
      <w:r>
        <w:rPr>
          <w:rFonts w:ascii="Times New Roman" w:cs="Times New Roman" w:eastAsia="Times New Roman" w:hAnsi="Times New Roman"/>
          <w:sz w:val="18"/>
          <w:szCs w:val="18"/>
          <w:color w:val="auto"/>
        </w:rPr>
        <w:t>”), and, solely for the limited purposes set forth therein, Burkhan Capital LLC, a Delaware limited liability company (“</w:t>
      </w:r>
      <w:r>
        <w:rPr>
          <w:rFonts w:ascii="Times New Roman" w:cs="Times New Roman" w:eastAsia="Times New Roman" w:hAnsi="Times New Roman"/>
          <w:sz w:val="18"/>
          <w:szCs w:val="18"/>
          <w:b w:val="1"/>
          <w:bCs w:val="1"/>
          <w:u w:val="single" w:color="auto"/>
          <w:color w:val="auto"/>
        </w:rPr>
        <w:t>Burkhan</w:t>
      </w:r>
      <w:r>
        <w:rPr>
          <w:rFonts w:ascii="Times New Roman" w:cs="Times New Roman" w:eastAsia="Times New Roman" w:hAnsi="Times New Roman"/>
          <w:sz w:val="18"/>
          <w:szCs w:val="18"/>
          <w:color w:val="auto"/>
        </w:rPr>
        <w:t>”),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“Merger” and, collectively with the other transactions described in the Merger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connection with the consummation of the Business Combination, BurTech will be renamed “Blaize Holdings, Inc.” (“</w:t>
      </w:r>
      <w:r>
        <w:rPr>
          <w:rFonts w:ascii="Times New Roman" w:cs="Times New Roman" w:eastAsia="Times New Roman" w:hAnsi="Times New Roman"/>
          <w:sz w:val="18"/>
          <w:szCs w:val="18"/>
          <w:b w:val="1"/>
          <w:bCs w:val="1"/>
          <w:color w:val="auto"/>
        </w:rPr>
        <w:t>New Blaize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Merger Agreement further provides that as soon as reasonably practicable following the date of the Merger Agreement, Burkhan and/or its affiliates and/or nominees shall purchase from Blaize (i) convertible promissory notes of Blaize and (ii) a pre-funded warrant to purchase up to a number of shares of common stock of Blaize, par value $0.00001 per share (“</w:t>
      </w:r>
      <w:r>
        <w:rPr>
          <w:rFonts w:ascii="Times New Roman" w:cs="Times New Roman" w:eastAsia="Times New Roman" w:hAnsi="Times New Roman"/>
          <w:sz w:val="18"/>
          <w:szCs w:val="18"/>
          <w:b w:val="1"/>
          <w:bCs w:val="1"/>
          <w:u w:val="single" w:color="auto"/>
          <w:color w:val="auto"/>
        </w:rPr>
        <w:t>Blaize Common Stock</w:t>
      </w:r>
      <w:r>
        <w:rPr>
          <w:rFonts w:ascii="Times New Roman" w:cs="Times New Roman" w:eastAsia="Times New Roman" w:hAnsi="Times New Roman"/>
          <w:sz w:val="18"/>
          <w:szCs w:val="18"/>
          <w:color w:val="auto"/>
        </w:rPr>
        <w:t>”), that, following the conversion of Blaize Common Stock at the effective time of the Merger (the “</w:t>
      </w:r>
      <w:r>
        <w:rPr>
          <w:rFonts w:ascii="Times New Roman" w:cs="Times New Roman" w:eastAsia="Times New Roman" w:hAnsi="Times New Roman"/>
          <w:sz w:val="18"/>
          <w:szCs w:val="18"/>
          <w:b w:val="1"/>
          <w:bCs w:val="1"/>
          <w:u w:val="single" w:color="auto"/>
          <w:color w:val="auto"/>
        </w:rPr>
        <w:t>Effective Time</w:t>
      </w:r>
      <w:r>
        <w:rPr>
          <w:rFonts w:ascii="Times New Roman" w:cs="Times New Roman" w:eastAsia="Times New Roman" w:hAnsi="Times New Roman"/>
          <w:sz w:val="18"/>
          <w:szCs w:val="18"/>
          <w:color w:val="auto"/>
        </w:rPr>
        <w:t>”) pursuant to the Merger Agreement, would result in up to 6,833,333 shares of BurTech Class A common stock (the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for aggregate gross proceeds to Blaize of $25.0 million. Blaize issued the Warrant, which has an aggregate exercise price of approximately $68,333 and an assumed purchase price of approximately $68,333, to Burkhan concurrently with the execution of the Merger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Among other things, at the Effective Time, (A) the outstanding shares of Blaize Common Stock issued and outstanding immediately prior to the Effective Time, and following the conversion or exercise of the outstanding convertible notes, preferred stock and warrants of Blaize (but excluding any (i) shares of Blaize Common Stock held by Blaize as treasury stock, (ii) shares the holders of which perfect rights of appraisal under Delaware law, and (iii) shares of Blaize Common Stock subject to any Blaize restricted stock unit (“</w:t>
      </w:r>
      <w:r>
        <w:rPr>
          <w:rFonts w:ascii="Times New Roman" w:cs="Times New Roman" w:eastAsia="Times New Roman" w:hAnsi="Times New Roman"/>
          <w:sz w:val="18"/>
          <w:szCs w:val="18"/>
          <w:b w:val="1"/>
          <w:bCs w:val="1"/>
          <w:u w:val="single" w:color="auto"/>
          <w:color w:val="auto"/>
        </w:rPr>
        <w:t>RSU</w:t>
      </w:r>
      <w:r>
        <w:rPr>
          <w:rFonts w:ascii="Times New Roman" w:cs="Times New Roman" w:eastAsia="Times New Roman" w:hAnsi="Times New Roman"/>
          <w:sz w:val="18"/>
          <w:szCs w:val="18"/>
          <w:color w:val="auto"/>
        </w:rPr>
        <w:t>”) and Blaize stock option that will be assumed) will be cancelled in exchange for the right to receive a number of shares of BurTech Class A common stock (rounded up to the nearest whole share) equal to the quotient obtained by dividing (a) 77,000,000 by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8"/>
        <w:spacing w:after="0" w:line="258" w:lineRule="auto"/>
        <w:tabs>
          <w:tab w:leader="none" w:pos="2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Company Shares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(B) each Blaize stock option that is outstanding and unexercised as of immediately prior to the Effective Time will be converted into an option to purchase shares of BurTech Class A common stock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Blaize Options</w:t>
      </w:r>
      <w:r>
        <w:rPr>
          <w:rFonts w:ascii="Times New Roman" w:cs="Times New Roman" w:eastAsia="Times New Roman" w:hAnsi="Times New Roman"/>
          <w:sz w:val="18"/>
          <w:szCs w:val="18"/>
          <w:color w:val="auto"/>
        </w:rPr>
        <w:t>”) as set forth in the Merger Agreement, and (C) each Blaize RSU that is outstanding and unsettled as of immediately prior to the Effective Time will be converted into an award of RSUs relating to shares of BurTech Class A common stock (“</w:t>
      </w:r>
      <w:r>
        <w:rPr>
          <w:rFonts w:ascii="Times New Roman" w:cs="Times New Roman" w:eastAsia="Times New Roman" w:hAnsi="Times New Roman"/>
          <w:sz w:val="18"/>
          <w:szCs w:val="18"/>
          <w:u w:val="single" w:color="auto"/>
          <w:color w:val="auto"/>
        </w:rPr>
        <w:t>New Blaize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as set forth in the Merger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Company Shares</w:t>
      </w:r>
      <w:r>
        <w:rPr>
          <w:rFonts w:ascii="Times New Roman" w:cs="Times New Roman" w:eastAsia="Times New Roman" w:hAnsi="Times New Roman"/>
          <w:sz w:val="18"/>
          <w:szCs w:val="18"/>
          <w:color w:val="auto"/>
        </w:rPr>
        <w:t>” means, without duplication, (i) the sum of the number of shares of Blaize Common Stock that are</w:t>
      </w:r>
    </w:p>
    <w:p>
      <w:pPr>
        <w:spacing w:after="0" w:line="27" w:lineRule="exact"/>
        <w:rPr>
          <w:sz w:val="20"/>
          <w:szCs w:val="20"/>
          <w:color w:val="auto"/>
        </w:rPr>
      </w:pPr>
    </w:p>
    <w:p>
      <w:pPr>
        <w:jc w:val="both"/>
        <w:ind w:firstLine="8"/>
        <w:spacing w:after="0" w:line="252"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and outstanding immediately prior to the Effective Time (following the conversion or exercise of the outstanding convertible notes, preferred stock and warrants of Blaize but excluding any shares of Burkhan Company Stock (as defined in the Merger Agreement), and any treasury stock to be cancelled) and (b) issuable upon the exercise or settlement of Blaize stock awards (in each case, whether or not vested or currently exercisable) that are outstanding immediately prior to the Effective Time minus (ii) a number of shares of Blaize Common Stock equal to the quotient of (x) the sum of the aggregate cash exercise prices of all Blaize stock options divided by (y) the Exchange Ratio.</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16.3 million shares of New Blaize common stock may be issued as earnout shares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for a period from the closing of the Business Combination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until the five-year anniversary thereof (the “</w:t>
      </w:r>
      <w:r>
        <w:rPr>
          <w:rFonts w:ascii="Times New Roman" w:cs="Times New Roman" w:eastAsia="Times New Roman" w:hAnsi="Times New Roman"/>
          <w:sz w:val="18"/>
          <w:szCs w:val="18"/>
          <w:u w:val="single" w:color="auto"/>
          <w:color w:val="auto"/>
        </w:rPr>
        <w:t>Earnout Period</w:t>
      </w:r>
      <w:r>
        <w:rPr>
          <w:rFonts w:ascii="Times New Roman" w:cs="Times New Roman" w:eastAsia="Times New Roman" w:hAnsi="Times New Roman"/>
          <w:sz w:val="18"/>
          <w:szCs w:val="18"/>
          <w:color w:val="auto"/>
        </w:rPr>
        <w:t>”), in accordance with the schedule set forth in the Merger Agreement. The earnout shares are to be issued to Burkhan and shareholders of Blaize contingent, in each case, on the closing stock price of the New Blaize common stock exceeding the following thresholds:</w:t>
      </w:r>
    </w:p>
    <w:p>
      <w:pPr>
        <w:spacing w:after="0" w:line="180" w:lineRule="exact"/>
        <w:rPr>
          <w:sz w:val="20"/>
          <w:szCs w:val="20"/>
          <w:color w:val="auto"/>
        </w:rPr>
      </w:pPr>
    </w:p>
    <w:p>
      <w:pPr>
        <w:jc w:val="both"/>
        <w:ind w:left="100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$12.50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$15.00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$17.50 per share for 20 trading days within any 30 consecutive trading day period during the Earnout Period, then (i) 3,750,000 Earnout Shares will be issued to Blaize shareholders and (ii) 325,000 Earnout Shares will be issued to Burkhan; and</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$20.00 per share for 20 trading days within any 30 consecutive trading day period during the Earnout Period, then (i) 3,750,000 Earnout Shares will be issued to Blaize shareholders and (ii) 325,000 Earnout Shares will be issued to Burkhan.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Blaize shareholders and Burkhan will be entitled to receive all of the remaining Earnout Shares that have not previously been issued to Blaize shareholders and Burkhan in the event there occurs a transaction resulting in a change in control of New Blaize or Blaize during the Earnout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is subject to the satisfaction or waiver of certain customary closing conditions, including, among others,</w:t>
      </w:r>
    </w:p>
    <w:p>
      <w:pPr>
        <w:spacing w:after="0" w:line="27"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and related agreements and transactions by the respective shareholders of BurTech and Blaize,</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registration statement on Form S-4 to be filed by BurTech in connection with the Business Combination, (iii) expiration or termination of the waiting period under the Hart-Scott-Rodino Antitrust Improvements Act, if applicable, (iv) approval of the Business Combination under the United Kingdom’s National Security and Investment Act 2021, (v) the absence of any injunction, order, statute, rule, or regulation enjoining or prohibiting the consummation of the Merger, and (vi) receipt of approval for listing on Nasdaq the shares of New Blaize common stock to be issued in connection with the Merger.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conditions to BurTech’s obligations to consummate the Merger include, among others, that as of the Closing, (i) the representations and warranties of Blaize being true and correct, subject to the materiality standards contained in the Merger Agreement,</w:t>
      </w:r>
    </w:p>
    <w:p>
      <w:pPr>
        <w:jc w:val="both"/>
        <w:ind w:firstLine="8"/>
        <w:spacing w:after="0" w:line="253" w:lineRule="auto"/>
        <w:tabs>
          <w:tab w:leader="none" w:pos="2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shall have performed all covenants required to be performed by Blaize in all material respects, (iii) no Company Material Adverse Effect (as defined in the Merger Agreement) shall have occurred between the date of the Merger Agreement and Closing and be continuing, and (iv) Blaize shall have effectuated the conversion or exercise of the outstanding convertible notes, preferred stock and warrants of Blaize.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Other conditions to Blaize’s obligations to consummate the Merger include, among others, that as of the Closing, (i) the representations and warranties of BurTech and Merger Sub being true and correct, subject to the materiality standards contained in the Merger Agreement, (ii) BurTech shall have performed all covenants required to be performed by BurTech in all material respects, (iii) no Acquiror Material Adverse Effect (as defined in the Merger Agreement) shall have occurred between the date of the Merger Agreement and Closing and be continuing, (iv) the amount of cash available in the trust account into which substantially all of the proceeds of BurTech’s initial public offering and private placement of its warrants have been deposited for the benefit of its public shareholders following redemptions by BurTech’s stockholders in connection with the BurTech stockholder meeting held for purposes of approving the Business Combination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plus the proceeds of any financing transaction of BurTech or Blaize prior to the Closing, plus the aggregate gross proceeds of $5.0 million received by Blaize pursuant to a previous convertible note financing transaction, and subject to the deductions and conditions set forth in the Merger Agreement, including deductions for certain BurTech and Blaize transaction expenses, is equal to or greater than $125,000,000 and (v) other than persons designated by the parties to the Merger Agreement to be nominated for election to the board of directors of New Blaize in accordance with the terms of the Merger Agreement, all members of the board of directors and executive officers of BurTech shall have executed written resignations effective as of the Effective Time.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use commercially reasonable efforts to conduct their respective businesses in the ordinary course through the Closing, (ii) Blaize to prepare and deliver to BurTech certain audited and unaudited consolidated financial statements of Blaize, (iii) BurTech to prepare and file a registration statement on Form S-4 and take certain other actions to obtain the requisite approval of BurTech shareholders of certain proposals regarding the Business Combination and (iv) the parties to use reasonable best efforts to obtain necessary approvals from governmental agencies.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by BurTech, Merger Sub and Blaize that are customary for transactions of this type. The representations and warranties of the respective parties to the Merger Agreement will not survive the Closing.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Closing (i) by mutual written consent of BurTech and Blaize,</w:t>
      </w:r>
    </w:p>
    <w:p>
      <w:pPr>
        <w:spacing w:after="0" w:line="27" w:lineRule="exact"/>
        <w:rPr>
          <w:sz w:val="20"/>
          <w:szCs w:val="20"/>
          <w:color w:val="auto"/>
        </w:rPr>
      </w:pPr>
    </w:p>
    <w:p>
      <w:pPr>
        <w:jc w:val="both"/>
        <w:ind w:firstLine="8"/>
        <w:spacing w:after="0" w:line="251" w:lineRule="auto"/>
        <w:tabs>
          <w:tab w:leader="none" w:pos="2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BurTech or Blaize, if requisite approvals of the shareholders of BurTech are not obtained as set forth therein, (iii) by Blaize if there is a Modification in Recommendation (as defined in the Merger Agreement), (iv) by BurTech if requisite approvals of the shareholders of Blaize are not obtained as soon as reasonably practicable following the effectiveness of the registration statement on Form S-4 to be filed by BurTech in connection with the Business Combination, (v) by Blaize if Burkhan, its affiliates and/or nominees fail to fund certain principal amounts of the Burkhan Convertible Notes (as defined in the Merger Agreement) on the terms and subject to the conditions set forth in the Merger Agreement and (vi) by either BurTech or Blaize in certain other circumstances set forth in the Merger Agreement, including (a) if any Governmental Authority (as defined in the Merger Agreement) shall have issued or otherwise entered a final, nonappealable order making consummation of the Merger illegal or otherwise preventing or prohibiting consummation of the Merger, (b) in the event of certain uncured breaches by the other party or (c) if the Closing has not occurred on or before December 31,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Between the date of the Merger Agreement and the Closing, BurTech has agreed that it will not, directly or indirectly, (i) encourage, solicit, initiate, facilitate or continue inquiries regarding a Business Combination Proposal (as defined below); (ii) enter into discussions or negotiations with, or provide any information to, any person concerning a possible Business Combination Proposal; or (iii) enter into any agreements or other instruments (whether or not binding) regarding a Business Combination Proposal. BurTech also agreed to cease and cause to be terminated any existing discussions or negotiations with any persons (other than Blaize and its representatives) previously conducted with respect to, or that could lead to, any Business Combination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BurTech is not restricted from responding to unsolicited inbound inquiries to the extent required for the board of directors of BurTech to comply with its fiduciary duties. “</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means any offer, inquiry, proposal or indication of interest (whether written or oral, binding or non-binding), relating to a Business Combination.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Between the date of the Merger Agreement and the Closing, Blaize has agreed that it will not, directly or indirectly, (i) encourage, solicit, initiate, facilitate or continue inquiries regarding a Company Acquisition Proposal (as defined below); (ii) enter into discussions or negotiations with, or provide any information to, any person concerning a possible Company Acquisition Proposal; or (iii) enter into any agreements or other instruments (whether or not binding) regarding a Company Acquisition Proposal. The Company also agreed that it will cease and cause to be terminated any existing discussions or negotiations with any persons (other than BurTech and its representatives) previously conducted with respect to, or that could lead to, any Company Acquisition Proposal. “</w:t>
      </w:r>
      <w:r>
        <w:rPr>
          <w:rFonts w:ascii="Times New Roman" w:cs="Times New Roman" w:eastAsia="Times New Roman" w:hAnsi="Times New Roman"/>
          <w:sz w:val="18"/>
          <w:szCs w:val="18"/>
          <w:u w:val="single" w:color="auto"/>
          <w:color w:val="auto"/>
        </w:rPr>
        <w:t>Company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means any inquiry, proposal or offer concerning a merger, consolidation, liquidation, recapitalization, share exchange or other transaction involving the sale, lease, exchange or other disposition of more than fifteen percent (15%) of the properties or assets or equity interests of Blaize or any of its subsidiaries, excluding, for the avoidance of doubt, any Company Financing.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Financing” means, subject to certain limited exceptions contained in the Merger Agreement, a private placement of</w:t>
      </w:r>
    </w:p>
    <w:p>
      <w:pPr>
        <w:spacing w:after="0" w:line="27" w:lineRule="exact"/>
        <w:rPr>
          <w:sz w:val="20"/>
          <w:szCs w:val="20"/>
          <w:color w:val="auto"/>
        </w:rPr>
      </w:pPr>
    </w:p>
    <w:p>
      <w:pPr>
        <w:jc w:val="both"/>
        <w:ind w:firstLine="8"/>
        <w:spacing w:after="0" w:line="252" w:lineRule="auto"/>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convertible promissory notes of Blaize by, or any other form of investment in or financing of (either directly or indirectly), Blaize that is consummated with Burkhan and/or its affiliates and/or nominees after December 22, 2023 and prior to or substantially concurrently with the Closing providing up to an aggregate amount of $25.0 million to Blaize, and (ii) equity, equity-linked or debt securities of Blaize by, or any other form of investment or financing of (either director or indirectly), Blaize that is consummated with any person (other than Burkhan and/or its affiliates and/or nominees) after December 22, 2023 and prior to or substantially concurrently with the Closing.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required under applicable rules of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BurTech will use its reasonable best efforts to cause the shares of BurTech Class A common stock to be issued in connection with the Business Combination to be approved for listing on Nasdaq at the Closing. Until the Closing, BurTech must use its reasonable best efforts to cause BurTech to remain listed as a public company on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Ancillary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Support Agreement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with BurTech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Company Capital Stock (as defined in the Company Support Agreement), subject to certain exceptions, and termination of certain stockholder agreements and other affiliate agreements of Blaize.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BurTech and Blaize entered into an agreement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with BurTech LP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pursuant to which, among other things, in connection with the Closing, the Sponsor agreed to (i) vote all its shares of BurTech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is sought, (ii) vote against and withhold consent with respect to any Business Combination Proposal or other business combination transaction (other than the Merger Agreement and the Business Combination), (iii) vote against any proposal, action or agreement that would (a) impede, frustrate, prevent or nullify any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 of the Sponsor Support Agreements, the Merger Agreement or the timely consummation of the Merger, (b) result in a breach in any respect of any covenant, representation, warranty or any other obligation or agreement of BurTech or Merger Sub under the Merger Agreement, (c) result in any of the conditions set forth in the Merger Agreement not being fulfilled or (d) result in a breach of any covenant, representation or warranty or other obligation or agreement of the Sponsor contained in the Sponsor Support Agreements, (iv) waive any adjustment to the conversion ratio or any other anti-dilution or similar protection set forth in the governing documents of BurTech with respect to the Class B common stock of BurTech, in each case, on the terms and subject to the conditions set forth in the Sponsor Support Agreement, and (v) be bound by certain other covenants and agreements related to the Business Combination, including a restriction on the transfer of BurTech Class B common stock and private placement units of BurTech, subject to certain exceptions.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pursuant to which New Blaize will agree to register for resale, pursuant to Rule 415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certain shares of New Blaize common stock and other equity securities of New Blaize that are held by the parties thereto from time to time on the terms and subject to the conditions set forth therein.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with the Sponsor, Burkhan and certain other controlled affiliates of Burkhan (collectively,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descriptions of the Merger Agreement, the Company Support Agreement, the Sponsor Support Agreement, the Registration Rights Agreement, the Lock-up Agreement, and the Stockholders’ Agreement and the transactions and documents contemplated thereby, are not complete and are subject to and qualified in their entirety by reference to the Merger Agreement, the Company Support Agreement, the Sponsor Support Agreement, the form of Registration Rights Agreement, the form of Lock-up Agreement, and the form of Stockholders’ Agreement, copies of which were filed with a Current Report on Form 8-K on December 28, 2023, as Exhibit 2.1, Exhibit 10.1, Exhibit 10.2, Exhibit 10.3, Exhibit 10.4, and Exhibit 10.5 respectively, and the terms of which are incorporated by reference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Side Letters with RT-AI and Ava</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 convertible note financing of up to $125.0 million (the “Blaize Note Financing”) conducted by Blaize with the RT Parties (defined below), on April 22, 2024, BurTech entered into a letter agreement (the “RT Letter Agreement”) with Blaize and RT-AI I, LLC, a Delaware limited liability company (“RT-AI” and, together with its affiliates, the “RT Parties”). Under the RT Letter Agreement, it is agreed that as long as at least $70.0 million in aggregate principal amount of such convertible notes is funded no later than April 24, 2024 (the “Funding Condition”), RT Parties and their transferees or distributees will not be required to execute any lock-up or similar agreement restricting transfer or disposition of all shares of common stock of Blaize (“Blaize Shares”) issuable upon the conversion of the notes (the “RT Conversion Shares”), all Blaize Shares issuable upon the exercise of the warrant issued to RT-AI I, LLC along with the notes (the “RT Warrant Shares”), all securities of New Blaize to be issued on account of the RT Conversion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and the RT Warrant Shares pursuant to the Business Combination, and other securities of Blaize or New Blaize owned by the RT Parties (collectively, the “RT Registrable Securities”). Additionally, as long as the Funding Condition is met, any securities of New Blaize issued on account of the RT Conversion Shares and the RT Warrant Shares pursuant to the Business Combination will be registered on a registration statement on Form S-4 filed for the Business Combination, and the RT Registrable Securities will be promptly registered on a registration statement on Form S-1 covering the resale of the RT Registrable Securities following the Business Combination.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Blaize Note Financing and a concurrent issuance of pre-funded warrants (the “Blaize Warrant Financing”) to Ava Investors SA, a société anonyme incorporated under the laws of Switzerland (“Ava”, together with its affiliates and their respective transferees, the “Ava Parties”), on April 22, 2024, BurTech entered into a letter agreement (the “Ava Letter Agreement”) with Blaize and Ava. Under the Ava Letter Agreement, it is agreed that as long as the Funding Condition is met, the parties shall, within 14 days of the Ava Letter Agreement, agree on a form of registration rights agreement to be entered into and become effective at the closing of the Business Combination, providing for the registration of the resale of all Blaize Shares issuable upon the exercise of the pre-funded warrants (the “Ava Warrant Shares”) and all securities of New Blaize to be issued on account of the Ava Warrant Shares pursuant to the Business Combination, and other securities of Blaize or New Blaize owned by the Ava Parties. The Ava Parties, along with their transferees or distributees, will not be required to enter into a lock-up or similar restrictive agreement in connection with the Business Combination. The Funding Condition was satisfied on April 22, 2024.</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RT Letter Agreement and the Ava Letter Agreement were filed with a Current Report on Form 8-K on April 26, 2024, as Exhibits 10.1 and 10.2, respectively, the terms of which are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Backstop Subscription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22, 2024, BurTech LP LLC (the “Sponsor”) entered into a backstop subscription agreement (the “Backstop Subscription Agreement”) with BurTech and Blaize. Pursuant to the Backstop Subscription Agreement, in the event that the amount of cash in BurTech’s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BurTech (“BurTech Shares”) equal to the quotient of (a) the difference of (x) $30,000,000 minus (y) the Trust Amount divided by (b) $10.00, at a per share purchase price of $10.00 per share.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Backstop Subscription Agreement was filed with a Current Report on Form 8-K on April 26, 2024, as Exhibit 10.3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Forfeiture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22, 2024, the Sponsor and BurTech entered into a letter agreement (the “Sponsor Forfeiture Agreement”). Under this agreement, conditioned upon the occurrence of the closing of the Business Combination, Sponsor agreed to forfeit 2,000,000 BurTech Shares to be effective immediately prior to the closing of the Business Combination.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Sponsor Forfeiture Agreement was filed with a Current Report on Form 8-K on April 26, 2024, as Exhibit 10.4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Agreement and Plan of Merger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22, 2024, BurTech, BurTech Merger Sub Inc., Blaize and Burkhan entered into an Amendment to Agreement and Plan of Merger (the “Merger Agreement Amendment”). The Merger Agreement Amendment amended the original Merger Agreement to make the following adjustments in connection with the Blaize Note Financing and the Blaize Warrant Financing:</w:t>
      </w:r>
    </w:p>
    <w:p>
      <w:pPr>
        <w:spacing w:after="0" w:line="17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Base Purchase Price from $700 million to $767 million;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the definition of “Aggregate Company Shares” to exclude Blaize Shares issued upon exercise of warrants or conversion of convertible notes issued by Blaize on or after April 22, 2024 (collectively, the “</w:t>
      </w:r>
      <w:r>
        <w:rPr>
          <w:rFonts w:ascii="Times New Roman" w:cs="Times New Roman" w:eastAsia="Times New Roman" w:hAnsi="Times New Roman"/>
          <w:sz w:val="18"/>
          <w:szCs w:val="18"/>
          <w:b w:val="1"/>
          <w:bCs w:val="1"/>
          <w:color w:val="auto"/>
        </w:rPr>
        <w:t>Excluded Company Stock</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“Base Merger Consideration”, which is the product of (i) the number of shares of the Excluded Company Stock multiplied by (ii) the Per Company Share Merger Consideration;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282" w:lineRule="auto"/>
        <w:tabs>
          <w:tab w:leader="none" w:pos="9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the Blaize Note Financing and the Blaize Warrant Financing constitute a Company Financing for all purposes of the Merger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BurTech, including:</w:t>
      </w:r>
    </w:p>
    <w:p>
      <w:pPr>
        <w:spacing w:after="0" w:line="176" w:lineRule="exact"/>
        <w:rPr>
          <w:sz w:val="20"/>
          <w:szCs w:val="20"/>
          <w:color w:val="auto"/>
        </w:rPr>
      </w:pPr>
    </w:p>
    <w:p>
      <w:pPr>
        <w:ind w:firstLine="656"/>
        <w:spacing w:after="0" w:line="282" w:lineRule="auto"/>
        <w:tabs>
          <w:tab w:leader="none" w:pos="9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“Available Acquiror Cash”, which is the amount contributed by the Sponsor pursuant to the Backstop Subscription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definition of “Cash Ratio,” which means the ratio equal to (x) Available Acquiror Cash, divided by (y) the Minimum Cash Amount;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definition of “Proportionate Shares Number,” which means (i) 325,000 BurTech Shares multiplied by (ii)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Ratio;</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closing condition for the benefit of Blaize requiring that the sum of the Trust Amount plus the amount of funds received pursuant to the Backstop Subscription Agreement shall be no less than the Backstop Amount;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Burkhan had purchased certain convertible notes, as well as pre-funded warrants to purchase Blaize Shares, which, following the exchange pursuant to the Business Combination, would result in up to 2,000,000 shares of Class A common stock of New Blaize (the “</w:t>
      </w:r>
      <w:r>
        <w:rPr>
          <w:rFonts w:ascii="Times New Roman" w:cs="Times New Roman" w:eastAsia="Times New Roman" w:hAnsi="Times New Roman"/>
          <w:sz w:val="18"/>
          <w:szCs w:val="18"/>
          <w:b w:val="1"/>
          <w:bCs w:val="1"/>
          <w:color w:val="auto"/>
        </w:rPr>
        <w:t>Burkhan Warrant Stock</w:t>
      </w:r>
      <w:r>
        <w:rPr>
          <w:rFonts w:ascii="Times New Roman" w:cs="Times New Roman" w:eastAsia="Times New Roman" w:hAnsi="Times New Roman"/>
          <w:sz w:val="18"/>
          <w:szCs w:val="18"/>
          <w:color w:val="auto"/>
        </w:rPr>
        <w:t>”) for an aggregate exercise price of $20,000 and a purchase price of $20,000, and removed failures to meet relevant funding commitments as grounds for terminating the Merger Agreement;</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Tied the number of Burkhan Earnout Shares to the Cash Ratio and capped the aggregate Burkhan Earnout Shares amount at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2,600,000.</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Amendment also revised the aggregate reserve size under the Equity Incentive Plan and ESPP to 20% and the evergreen percentage for the Equity Incentive Plan to 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Amendment, the form of Lock-Up Agreement attached to the Merger Agreement was amended to include certain consent requirement to the transfer of the Burkhan Warrant Stock and grant the Blaize board of directors the discretion to determine whether certain persons will be subject to the lock-up (the “</w:t>
      </w:r>
      <w:r>
        <w:rPr>
          <w:rFonts w:ascii="Times New Roman" w:cs="Times New Roman" w:eastAsia="Times New Roman" w:hAnsi="Times New Roman"/>
          <w:sz w:val="18"/>
          <w:szCs w:val="18"/>
          <w:b w:val="1"/>
          <w:bCs w:val="1"/>
          <w:color w:val="auto"/>
        </w:rPr>
        <w:t>Amended Lock-Up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Amendment and the form of Amended Lock-Up Agreement were filed with a Current Report on Form 8-K on April 26, 2024, as Exhibit 10.5 and Annex A to the Exhibit 10.5, and are incorporated herein by reference.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Merger Agreement, the Merger Agreement Amendment, the Company Support Agreement, the Sponsor Support Agreement, the Registration Rights Agreement, the Lock-up Agreement, the Stockholders’ Agreement, the Sponsor Forfeiture Agreement, the Backstop Subscription Agreement and the other documents related thereto (collectively, the “Transaction Documents”) have been included to provide investors with information regarding their terms. They are not intended to provide any other factual information about BurTech, Blaize or their respective affiliates. The representations, warranties, covenants and agreements contained in the Transaction Documents were made only for purposes of the Merger Agreement as of the specific dates therein, were solely for the benefit of the parties to the Transaction Documents and may be subject to limitations agreed upon by the contracting parties, including being qualified by confidential disclosures made for the purposes of allocating contractual risk between the parties to the Transaction Documents instead of establishing these matters as facts, and may be subject to standards of materiality applicable to the contracting parties that differ from those applicable to investors. Investors are not third-party beneficiaries under the Transaction Documents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applicable dates of the Transaction Documents, which subsequent information may or may not be fully reflected in BurTech’s public disclosures.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26, 2024, the Company and EF Hutton entered into an amendment to the Underwriting Agreement, pursuant to that certain Satisfaction and Discharge of Indebtedness Pursuant to Underwriting Agreement Dated December 10 2021 (the “Amendment”). The Amendment provides, among other things, that in lieu of the Company tendering the full amount of the Deferred Underwriting</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Commission, EF Hutton accepts cash of an aggregate sum of $1,500,000, payable at the Closing, in full and final payment and satisfaction of the Deferred Underwriting Commission (the “Cash Payment”). Upon delivery of the Cash Payment in accordance with terms of the Amendment, any obligations pursuant to the Underwriting Agreement for the Company to deliver the Deferred Underwriting Commission to EF Hutton shall be automatically discharged and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Management Team</w:t>
      </w:r>
    </w:p>
    <w:p>
      <w:pPr>
        <w:spacing w:after="0" w:line="2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3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Shahal M. Khan </w:t>
      </w:r>
      <w:r>
        <w:rPr>
          <w:rFonts w:ascii="Times New Roman" w:cs="Times New Roman" w:eastAsia="Times New Roman" w:hAnsi="Times New Roman"/>
          <w:sz w:val="18"/>
          <w:szCs w:val="18"/>
          <w:color w:val="auto"/>
        </w:rPr>
        <w:t>is our Chairman of the Board of Directors and Chief Executive Officer. Mr. Khan’s career as an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entrepreneur and social 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Isaac Chetrit </w:t>
      </w:r>
      <w:r>
        <w:rPr>
          <w:rFonts w:ascii="Times New Roman" w:cs="Times New Roman" w:eastAsia="Times New Roman" w:hAnsi="Times New Roman"/>
          <w:sz w:val="18"/>
          <w:szCs w:val="18"/>
          <w:color w:val="auto"/>
        </w:rPr>
        <w:t>is our President and one of our directors. Mr. Chetrit is a real estate veteran with a background in architecture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electrical engineering. 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Roman V. Livson </w:t>
      </w:r>
      <w:r>
        <w:rPr>
          <w:rFonts w:ascii="Times New Roman" w:cs="Times New Roman" w:eastAsia="Times New Roman" w:hAnsi="Times New Roman"/>
          <w:sz w:val="18"/>
          <w:szCs w:val="18"/>
          <w:color w:val="auto"/>
        </w:rPr>
        <w:t>is our Chief Financial Officer. Since February 2021, Mr. Livson has been the Chief Financial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Burkhan World, a family 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Payel Farasat </w:t>
      </w:r>
      <w:r>
        <w:rPr>
          <w:rFonts w:ascii="Times New Roman" w:cs="Times New Roman" w:eastAsia="Times New Roman" w:hAnsi="Times New Roman"/>
          <w:sz w:val="18"/>
          <w:szCs w:val="18"/>
          <w:color w:val="auto"/>
        </w:rPr>
        <w:t>is our Chief Investment Officer. Since December 2020, Ms. Farasat has been the Chief Investment Officer (CIO)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Burkhan World 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spacing w:after="0" w:line="19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Christopher Schroeder </w:t>
      </w:r>
      <w:r>
        <w:rPr>
          <w:rFonts w:ascii="Times New Roman" w:cs="Times New Roman" w:eastAsia="Times New Roman" w:hAnsi="Times New Roman"/>
          <w:sz w:val="18"/>
          <w:szCs w:val="18"/>
          <w:color w:val="auto"/>
        </w:rPr>
        <w:t>is our Chief Marketing Officer. Over the last 30 years, Mr. Schroeder has also been an interactive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resort developer, 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Leon Golden </w:t>
      </w:r>
      <w:r>
        <w:rPr>
          <w:rFonts w:ascii="Times New Roman" w:cs="Times New Roman" w:eastAsia="Times New Roman" w:hAnsi="Times New Roman"/>
          <w:sz w:val="18"/>
          <w:szCs w:val="18"/>
          <w:color w:val="auto"/>
        </w:rPr>
        <w:t>serves as a member of our Board of Directors as of the date of this prospectus. Mr. Golden is a chartered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accountant and has worked as an accountant at ARG Associates, Inc. 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Scott Young </w:t>
      </w:r>
      <w:r>
        <w:rPr>
          <w:rFonts w:ascii="Times New Roman" w:cs="Times New Roman" w:eastAsia="Times New Roman" w:hAnsi="Times New Roman"/>
          <w:sz w:val="18"/>
          <w:szCs w:val="18"/>
          <w:color w:val="auto"/>
        </w:rPr>
        <w:t>serves as a member of our Board of Directors as of the date of this prospectus. Since January 2010, Mr. Young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a Senior Advisor and director of Dial Partners LLP, And 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2003 and is currently a member of its Nominating and Corporate Governance Committee.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Joseph A. Porrello </w:t>
      </w:r>
      <w:r>
        <w:rPr>
          <w:rFonts w:ascii="Times New Roman" w:cs="Times New Roman" w:eastAsia="Times New Roman" w:hAnsi="Times New Roman"/>
          <w:sz w:val="18"/>
          <w:szCs w:val="18"/>
          <w:color w:val="auto"/>
        </w:rPr>
        <w:t>serves as a member of our Board of Directors as of the date of this prospectus. Mr. Porrello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practicing law in South Florida for over twenty four years, representing the 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Advisors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His Highness Sheikh Ahmed Dalmook Al Maktoum </w:t>
      </w:r>
      <w:r>
        <w:rPr>
          <w:rFonts w:ascii="Times New Roman" w:cs="Times New Roman" w:eastAsia="Times New Roman" w:hAnsi="Times New Roman"/>
          <w:sz w:val="18"/>
          <w:szCs w:val="18"/>
          <w:color w:val="auto"/>
        </w:rPr>
        <w:t>is one of our advisors. HH Sheikh Maktoum is a member of the Ruling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 Family of Dubai, 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ducation and agriculture projects operated throughout Africa, South Asia, Russia and the Middle East.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Mohammad Shaikh is one of our advisors. Mr. Shaikh is the Head of Blockchain Strategic Partnerships for Facebook, responsible for global partnerships and strategy. Mr. Shaikh has over a decade of multi-national financial services and blockchain/crypto experience. Previously, Mr. Shaikh was the Founder and CEO of Meridio, a blockchain-based company backed by ConsenSys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Currencies (CBDCs). He is an active angel investor and serves on the board of two logistics companies. Mr. Shaikh holds a Bachelor’s degree from Hunter College and an MBA from the University of Rochester.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Alexis Johnson is one of our advisors. Ms. Johnson has over five years of experience in real estate development and construction management ranging from high-end residential to commercial and healthcare.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A recipient of the Little Rock 9 Scholarship, Ms. Johnson holds a bachelor’s degree in Civil Engineering from Johns Hopkins University’s Whiting School of Engineering.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Patrick Orlando is one of our advisors. Mr. Orlando leverages decades of experience and contacts within industries including SPACs, finance, commodities, and derivatives in an effort to create significant value for stakeholders. Having held leadership roles at Digital World Acquisition Corp, (Nasdaq: DWAC) Benessere Capital Acquisition Corp, (Nasdaq: BENE) and Maquia Capital Acquisition Corp. (Nasdaq: MAQC), Deutsche Bank, JP Morgan, BT Capital Markets, Sucro Can, and Pure Biofuels Corporation, Mr.</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Orlando has developed an extensive network and his knowledge and exposure will enable us to locate and attract attractive potential targets, potentially negotiate favorable deals, and potentially attract significant financing on a global scale. Mr. Orlando received his B.S. in Mechanical Engineering and his B.S. in Management Science from the Sloan School of Management at the Massachusetts Institute of Technology (MIT).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Effecting Our Initial Business Combination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effectuate our initial business combination using cash from the proceeds of the IPO and the private placement of the private warrants, our shares, new debt, or a combination of these, as the consideration to be paid in our initial business combination.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disclosed in our Current Report on Form 8-K filed with the SEC on December 28, 2023, we signed a Merger Agreement with Blaize, as described more fully in this report. Although our management will assess the risks inherent with this business combination, this assessment may not result in our identifying all risks that this business combination may encounter. Furthermore, some of those risks may be outside of our control, meaning that we can do nothing to control or reduce the chances that those risks will adversely impact a target business.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seeking to raise additional funds through a private offering of debt or equity securities to complete the consummation of our business combination and will effectuate our initial business combination using the amounts held in the trust account in addition to funds raised in any such debt or equity fund raises, specifically to have the amount of cash available in the trust account into which substantially all of the proceeds of BurTech’s initial public offering and private placement of its warrants have been deposited for the benefit of its public shareholders following redemptions by BurTech’s stockholders in connection with the BurTech stockholder meeting held for purposes of approving the Business Combination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plus the proceeds of any financing transaction of BurTech or Blaize prior to the Closing, plus the aggregate gross proceeds of $5.0 million received by Blaize pursuant to a previous convertible note financing transaction, and subject to the deductions and conditions set forth in the Merger Agreement, including deductions for certain BurTech and Blaize transaction expenses, is equal to or greater than $125,000,000. Description and disclosure of the business combination will be more fully described in our filing of a Form S-4 which will include proxy materials and a more detailed description of the terms of the business combination. At this time, we are not a party to any arrangement or understanding with any third party with respect to raising any additional funds through the sale of securities or otherwise in connection with the business combination.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Target Businesses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transaction with Blaize does not close, our acquisition strategy will be to capitalize on the strengths of our management team to allow us to identify other businesses that have the capacity for cash flow creation, opportunity for operational improvement, robust company fundamentals, and qualified and driven management teams. 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annual report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Market Value of Target Business or Businesses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target business for this business combination meets the Nasdaq requirement of having a collective fair market value equal to at least 80% of the value of the trust account (excluding any taxes payable) at the time of the agreement to enter into such initial business combination.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market value of the target business or businesses or assets has been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Business Diversification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83" w:lineRule="exact"/>
        <w:rPr>
          <w:sz w:val="20"/>
          <w:szCs w:val="20"/>
          <w:color w:val="auto"/>
        </w:rPr>
      </w:pPr>
    </w:p>
    <w:p>
      <w:pPr>
        <w:ind w:left="10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Ability to Evaluate the Target’s Management Team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have met with and evaluated the target business’ management, the future role of members of our management team, if any, in the target business cannot presently be stated with any certainty.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May Not Have the Ability to Approve an Initial Business Combination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networks and relationships from sourcing, evaluating, due diligence, and executing transactions and operating businesses will provide us with the ability to completing our business combination. If the transaction with Blaize does not close, we believe that our management team is well positioned to identify and implement attractive business combination opportunities in an efficient manner. In identifying, evaluating and selecting another target business for an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including Blaize, and our outstanding warrants, and the future dilution they potentially represent, may not be viewed favorably.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have five officers. These individuals are not obligated to devote any specific number of hours to our matters but they intend to devote as much of their time as they deem necessary, in the exercise of their respective business judgement,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 We do not intend to have any full-time employees prior to the completion of our initial business combination. We do not have an employment agreement with any member of our management team.</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discussion of the general development of our business, see our final prospectus on Form 424B4, filed with the SEC on December 14, 2021.</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 Excise Tax included in the Inflation Reduction Act of 2022 in connection with redemptions of our Class A Common Stock after December 31, 2022.</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among other things, imposes a 1% excise tax on any publicly traded domestic corporation that repurchases its stock after December 31, 2022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 Excise Tax is imposed on the fair market value of the repurchased stock, with certain exceptions. Because we are a Delaware corporation and because our securities trade on Nasdaq, we are a “covered corporation” within the meaning of the Inflation Reduction Act. While not free from doubt, absent any further guidance from the U.S. Department of the Treasury (the “</w:t>
      </w:r>
      <w:r>
        <w:rPr>
          <w:rFonts w:ascii="Times New Roman" w:cs="Times New Roman" w:eastAsia="Times New Roman" w:hAnsi="Times New Roman"/>
          <w:sz w:val="18"/>
          <w:szCs w:val="18"/>
          <w:b w:val="1"/>
          <w:bCs w:val="1"/>
          <w:color w:val="auto"/>
        </w:rPr>
        <w:t>Treasury</w:t>
      </w:r>
      <w:r>
        <w:rPr>
          <w:rFonts w:ascii="Times New Roman" w:cs="Times New Roman" w:eastAsia="Times New Roman" w:hAnsi="Times New Roman"/>
          <w:sz w:val="18"/>
          <w:szCs w:val="18"/>
          <w:color w:val="auto"/>
        </w:rPr>
        <w:t>”), who has been given authority to provide regulations and other guidance to carry out and prevent the abuse or avoidance of the Excise Tax, the Excise Tax may apply to any redemptions of our Class A Common Stock after December 31, 2022. In 2023, approximately $252.3 million was redeemed in connection with a special meeting and any additional redemptions in connection with the Business Combination may be subject the Excise Tax, unless an exemption is available. Generally, issuances of securities in connection with an initial business combination transaction (including any PIPE transaction at the time of an initial business combination), as well as any other issuances of securities not in connection with an initial business combination, would be expected to reduce the amount of the Excise Tax in connection with redemptions occurring in the same calendar year, but the number of securities redeemed may exceed the number of securities issued. In addition, the Excise Tax would be payable by us, and not by the redeeming holder. Further, based on recently issued interim guidance from the IRS and Treasury, subject to certain exceptions, the Excise Tax should not apply in the event of our liquidation.</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including events or concerns involving liquidity, defaults or non-performance by financial institutions, could adversely affect our business, financial condition or results of operations, or our prospects.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funds in our operating account and our trust account are held in banks or other financial institutions. Our cash held in non-interest bearing and interest-bearing accounts would exceed any applicable Federal Deposit Insurance Corporation (“FDIC”) insurance limits. Should events, including limited liquidity, defaults, non-performance or other adverse developments occur with respect to the banks or other financial institutions that hold our funds, or that affect financial institutions or the financial services industry generally,</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concerns or rumors about any events of these kinds or other similar risks, our liquidity may be adversely affected. For example, on March 10, 2023, the FDIC announced that Silicon Valley Bank had been closed by the California Department of Financial Protection and Innovation. Although we did not have any funds in Silicon Valley Bank or other institutions that have been closed, we cannot guarantee that the banks or other financial institutions that hold our funds will not experience similar issues.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terms favorable to us in connection with a potential business combination, or at all, and could have material adverse impacts on our liquidity, our business, financial condition or results of operations, and our prospects. Our business may be adversely impacted by these developments in ways that we cannot predict at this time, there may be additional risks that we have not yet identified, and we cannot guarantee that we will be able to avoid negative consequences.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Being Deemed an Investment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were deemed to be an investment company for purposes of the Investment Company Act of 1940, as amended (the “Investment Company Act”), we may be forced to abandon our efforts to complete an initial business combination and instead be required to liquidate the Company.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currently uncertainty concerning the applicability of the Investment Company Act to a special purpose acquisition company (“SPAC”) and we may in the future be subject to a claim that we have been operating as an unregistered investment company. If we are deemed to be an investment company for purposes of the Investment Company Act, we might be forced to abandon our efforts to complete an initial business combination and instead be required to liquidate. If we are required to liquidate, our investors would not be able to realize the benefits of owning stock in a successor operating business, including the potential appreciation in the value of our stock and warrants following such a transaction, and our warrants would expire worthless.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longer that the funds in the trust account are held in short-term U.S. government securities or in money market funds invested exclusively in such securities, the greater the risk that we may be considered an unregistered investment company, in which case we may be required to liquidate.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not in compliance with the Nasdaq continued listing requirements. If we are unable to regain compliance with Nasdaq’s listing requirements, our securities could be delisted, which could affect our securities’ market price and liquidity.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October 11, 2023, BurTech received a notification letter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from the Listing Qualifications Department of The Nasdaq Stock Market LLC (“Nasdaq”) indicating that it was not in compliance with Nasdaq Listing Rule 5450(a)(2) (the “</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for failing to maintain a minimum of 400 Total Holders for continued listing, which is required by the Nasdaq Global Market.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Notice had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relating to our inadequate control for the withdrawal of funds from the Trust Account and inadequate control for the accounting for class a common stock subject to possible redemption as of December 31, 2023.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elsewhere in this Report, we have identified material weaknesses in our internal controls over financial reporting relating to our inadequate control for the timing of withdrawals of funds from the Trust Account and inadequate control for the accounting for class a common stock subject to possible redemption.</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prevent fraud. To respond to the material weakness we identified, we plan to incorporate enhanced communication and documentation procedures between our operations team and the individuals responsible for preparation of financial statements, as described in Part II, Item 9A: Controls and Procedures included in this Report. We continue to evaluate steps to remediate the material weakness. These remediation measures may be time consuming and costly and there is no assurance that these initiatives will ultimately have the intended effects.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following our initial business combination, the post-business combination company, may face litigation and other risks as a result of the material weaknesses in our internal control over financial reporting.</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identified material weaknesses in our internal controls over financial reporting. As a result of such material weaknesses and other matters raised or that may in the future be raised by the SEC, we face the potential for litigation or other disputes which may include, among others, claims invoking the federal and state securities laws, contractual claims or other claims arising from the material weaknesses in our internal control over financial reporting and the preparation of our financial statements. As of the date of this Report,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 or our ability to complete a business combination.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 CYBERSECURITY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special purpose acquisition company with no business operations. Since our IPO, our sole business activity has been identifying and evaluating suitable acquisition transaction candidates. Therefore, we do not consider that we face significant cybersecurity risk and have not adopted any cybersecurity risk management program or formal processes for assessing cybersecurity risk. Our board of directors is generally responsible for the oversight of risks from cybersecurity threats, if there is any. We have not encountered any cybersecurity incidents since our IPO.</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1300 Pennsylvania Ave NW, Suite 700, Washington, DC 20004, and our telephone number is (202) 600-5757.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Commencing on the date our securities are first listed on Nasdaq, we have agreed to pay BurTech LP, LLC, our sponsor, a total of $10,000 per month for office space, utilities and secretarial and administrative support. We consider our current office space adequate for our current operations.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units began to trade on The Nasdaq Global Market, or Nasdaq, under the symbol “BRKHU” on or about December 13, 2021. The Class A common stock and redeemable warrants comprising the units began separate trading on January 31, 2022, under the symbols “BRKH” and “BRKHW,”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May 7, 2024, there were 15,162,663 of our shares of Class A common stock issued and outstanding held by approximately 522 stockholders of record. The number of record holders was determined from the records of our transfer agent and does not include beneficial owners of shares of common stock whose shares are held in the names of various security brokers, dealers, and registered clearing agencies.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unregistered securities to report which have not been previously included in a Quarterly Report on Form 10-Q or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these financial statements and related notes included elsewhere in this Annual Report on Form 10-K.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“Forward-Looking Statements” appearing elsewhere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holders. Following redemptions, the Company has 6,630,703 shares of Class A common stock outstanding, and approximately $68.0 million will remain in the Company’s trust account.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Second Special Meeting of stockholders held by the Company on December 11, 2023, The Company’s stockholders redeemed 2,285,040 shares during the Second Special Meeting. As a result, approximately $24.5 million (approximately $10.74 per share) was removed from the Company’s trust account to pay such holders. The amount was removed from the Trust Account on January 5, 2024.</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On January 16, 2024, February 9, 2024, March 12, 2024 and April 10, 2024, the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Sponsor deposited $130,370 on each date into the Trust account to extend the life of the Company from January 15, 2024 to May 15, 2024.</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unable to complete the initial business combination within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5" w:lineRule="exact"/>
        <w:rPr>
          <w:sz w:val="20"/>
          <w:szCs w:val="20"/>
          <w:color w:val="auto"/>
        </w:rPr>
      </w:pPr>
    </w:p>
    <w:p>
      <w:pPr>
        <w:jc w:val="both"/>
        <w:ind w:firstLine="8"/>
        <w:spacing w:after="0" w:line="253" w:lineRule="auto"/>
        <w:tabs>
          <w:tab w:leader="none" w:pos="3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following the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announced, on December 22, 2023, the Company entered into an Agreement and Plan of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Merger Sub a Delaware corporation and a direct, wholly owned subsidiary of the Company,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and, solely for the limited purposes set forth therein, Burkhan Capital LLC, a Delaware limited liability company (“</w:t>
      </w:r>
      <w:r>
        <w:rPr>
          <w:rFonts w:ascii="Times New Roman" w:cs="Times New Roman" w:eastAsia="Times New Roman" w:hAnsi="Times New Roman"/>
          <w:sz w:val="18"/>
          <w:szCs w:val="18"/>
          <w:u w:val="single" w:color="auto"/>
          <w:color w:val="auto"/>
        </w:rPr>
        <w:t>Burkhan</w:t>
      </w:r>
      <w:r>
        <w:rPr>
          <w:rFonts w:ascii="Times New Roman" w:cs="Times New Roman" w:eastAsia="Times New Roman" w:hAnsi="Times New Roman"/>
          <w:sz w:val="18"/>
          <w:szCs w:val="18"/>
          <w:color w:val="auto"/>
        </w:rPr>
        <w:t>”),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connection with the consummation of the Business Combination, The Company will be renamed “Blaize Holdings, Inc.” (“New Blaize”).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Merger Agreement further provides that as soon as reasonably practicable following the date of the Merger Agreement, Burkhan and/or its affiliates and/or nominees shall purchase from Blaize (i) convertible promissory notes of Blaize and (ii) a pre-funded warrant to purchase up to a number of shares of common stock of Blaize, par value $0.00001 per share (“</w:t>
      </w:r>
      <w:r>
        <w:rPr>
          <w:rFonts w:ascii="Times New Roman" w:cs="Times New Roman" w:eastAsia="Times New Roman" w:hAnsi="Times New Roman"/>
          <w:sz w:val="18"/>
          <w:szCs w:val="18"/>
          <w:u w:val="single" w:color="auto"/>
          <w:color w:val="auto"/>
        </w:rPr>
        <w:t>Blaize Common Stock</w:t>
      </w:r>
      <w:r>
        <w:rPr>
          <w:rFonts w:ascii="Times New Roman" w:cs="Times New Roman" w:eastAsia="Times New Roman" w:hAnsi="Times New Roman"/>
          <w:sz w:val="18"/>
          <w:szCs w:val="18"/>
          <w:color w:val="auto"/>
        </w:rPr>
        <w:t>”), that, following the conversion of Blaize Common Stock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pursuant to the Merger Agreement, would result in up to 6,833,333 shares of The Company Class A common stock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for aggregate gross proceeds to Blaize of $25.0 million. Blaize issued the Warrant, which has an aggregate exercise price of $68,333.33 and an assumed purchase price of $68,333.33, to Burkhan concurrently with the execution of the Merger Agreement.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Among other things, at the Effective Time, (A) the outstanding shares of Blaize Common Stock issued and outstanding immediately prior to the Effective Time, and following the conversion or exercise of the outstanding convertible notes, preferred stock and warrants of Blaize (but excluding any (i) shares of Blaize Common Stock held by Blaize as treasury stock, (ii) shares the holders of which perfect rights of appraisal under Delaware law, and (iii) shares of Blaize Common Stock subject to any Blaize restricted stock unit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and Blaize stock option that will be assumed) will be cancelled in exchange for the right to receive a number of shares of the Company Class A common stock (rounded up to the nearest whole share) equal to the quotient obtained by dividing (a) 77,000,000 by</w:t>
      </w:r>
    </w:p>
    <w:p>
      <w:pPr>
        <w:spacing w:after="0" w:line="5" w:lineRule="exact"/>
        <w:rPr>
          <w:sz w:val="20"/>
          <w:szCs w:val="20"/>
          <w:color w:val="auto"/>
        </w:rPr>
      </w:pPr>
    </w:p>
    <w:p>
      <w:pPr>
        <w:jc w:val="both"/>
        <w:ind w:firstLine="8"/>
        <w:spacing w:after="0" w:line="253" w:lineRule="auto"/>
        <w:tabs>
          <w:tab w:leader="none" w:pos="2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Company Shares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(B) each Blaize stock option that is outstanding and unexercised as of immediately prior to the Effective Time will be converted into an option to purchase shares of The Company Class A common stock (“</w:t>
      </w:r>
      <w:r>
        <w:rPr>
          <w:rFonts w:ascii="Times New Roman" w:cs="Times New Roman" w:eastAsia="Times New Roman" w:hAnsi="Times New Roman"/>
          <w:sz w:val="18"/>
          <w:szCs w:val="18"/>
          <w:u w:val="single" w:color="auto"/>
          <w:color w:val="auto"/>
        </w:rPr>
        <w:t>New Blaize Options</w:t>
      </w:r>
      <w:r>
        <w:rPr>
          <w:rFonts w:ascii="Times New Roman" w:cs="Times New Roman" w:eastAsia="Times New Roman" w:hAnsi="Times New Roman"/>
          <w:sz w:val="18"/>
          <w:szCs w:val="18"/>
          <w:color w:val="auto"/>
        </w:rPr>
        <w:t>”) as set forth in the Merger Agreement, and (C) each Blaize RSU that is outstanding and unsettled as of immediately prior to the Effective Time will be converted into an award of RSUs relating to shares of The Company Class A common stock (“</w:t>
      </w:r>
      <w:r>
        <w:rPr>
          <w:rFonts w:ascii="Times New Roman" w:cs="Times New Roman" w:eastAsia="Times New Roman" w:hAnsi="Times New Roman"/>
          <w:sz w:val="18"/>
          <w:szCs w:val="18"/>
          <w:u w:val="single" w:color="auto"/>
          <w:color w:val="auto"/>
        </w:rPr>
        <w:t>New Blaize RSUs</w:t>
      </w:r>
      <w:r>
        <w:rPr>
          <w:rFonts w:ascii="Times New Roman" w:cs="Times New Roman" w:eastAsia="Times New Roman" w:hAnsi="Times New Roman"/>
          <w:sz w:val="18"/>
          <w:szCs w:val="18"/>
          <w:color w:val="auto"/>
        </w:rPr>
        <w:t>”) as set forth in the Merger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Company Shares</w:t>
      </w:r>
      <w:r>
        <w:rPr>
          <w:rFonts w:ascii="Times New Roman" w:cs="Times New Roman" w:eastAsia="Times New Roman" w:hAnsi="Times New Roman"/>
          <w:sz w:val="18"/>
          <w:szCs w:val="18"/>
          <w:color w:val="auto"/>
        </w:rPr>
        <w:t>” means, without duplication, (i) the sum of the number of shares of Blaize Common Stock that are</w:t>
      </w:r>
    </w:p>
    <w:p>
      <w:pPr>
        <w:spacing w:after="0" w:line="27" w:lineRule="exact"/>
        <w:rPr>
          <w:sz w:val="20"/>
          <w:szCs w:val="20"/>
          <w:color w:val="auto"/>
        </w:rPr>
      </w:pPr>
    </w:p>
    <w:p>
      <w:pPr>
        <w:jc w:val="both"/>
        <w:ind w:firstLine="8"/>
        <w:spacing w:after="0" w:line="252"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and outstanding immediately prior to the Effective Time (following the conversion or exercise of the outstanding convertible notes, preferred stock and warrants of Blaize but excluding any shares of Burkhan Company Stock (as defined in the Merger Agreement), and any treasury stock to be cancelled) and (b) issuable upon the exercise or settlement of Blaize stock awards (in each case, whether or not vested or currently exercisable) that are outstanding immediately prior to the Effective Time minus (ii) a number of shares of Blaize Common Stock equal to the quotient of (x) the sum of the aggregate cash exercise prices of all Blaize stock options divided by (y) the Exchange Ratio.</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16.3 million shares of New Blaize common stock may be issued as earnout shares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for a period from the closing of the Business Combination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until the five-year anniversary thereof (the “</w:t>
      </w:r>
      <w:r>
        <w:rPr>
          <w:rFonts w:ascii="Times New Roman" w:cs="Times New Roman" w:eastAsia="Times New Roman" w:hAnsi="Times New Roman"/>
          <w:sz w:val="18"/>
          <w:szCs w:val="18"/>
          <w:u w:val="single" w:color="auto"/>
          <w:color w:val="auto"/>
        </w:rPr>
        <w:t>Earnout Period</w:t>
      </w:r>
      <w:r>
        <w:rPr>
          <w:rFonts w:ascii="Times New Roman" w:cs="Times New Roman" w:eastAsia="Times New Roman" w:hAnsi="Times New Roman"/>
          <w:sz w:val="18"/>
          <w:szCs w:val="18"/>
          <w:color w:val="auto"/>
        </w:rPr>
        <w:t>”), in accordance with the schedule set forth in the Merger Agreement. The earnout shares are to be issued to Burkhan and shareholders of Blaize contingent, in each case, on the closing stock price of the New Blaize common stock exceeding the following thresholds:</w:t>
      </w:r>
    </w:p>
    <w:p>
      <w:pPr>
        <w:spacing w:after="0" w:line="180" w:lineRule="exact"/>
        <w:rPr>
          <w:sz w:val="20"/>
          <w:szCs w:val="20"/>
          <w:color w:val="auto"/>
        </w:rPr>
      </w:pPr>
    </w:p>
    <w:p>
      <w:pPr>
        <w:jc w:val="both"/>
        <w:ind w:left="10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$12.50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$15.00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$17.50 per share for 20 trading days within any 30 consecutive trading day period during the Earnout Period, then (i) 3,750,000 Earnout Shares will be issued to Blaize shareholders and (ii) 325,000 Earnout Shares will be issued to Burkhan; and</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$20.00 per share for 20 trading days within any 30 consecutive trading day period during the Earnout Period, then (i) 3,750,000 Earnout Shares will be issued to Blaize shareholders and (ii) 325,000 Earnout Shares will be issued to Burkhan.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Blaize shareholders and Burkhan will be entitled to receive all of the remaining Earnout Shares that have not previously been issued to Blaize shareholders and Burkhan in the event there occurs a transaction resulting in a change in control of New Blaize or Blaize during the Earnout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is subject to the satisfaction or waiver of certain customary closing conditions, including, among others,</w:t>
      </w:r>
    </w:p>
    <w:p>
      <w:pPr>
        <w:spacing w:after="0" w:line="27" w:lineRule="exact"/>
        <w:rPr>
          <w:sz w:val="20"/>
          <w:szCs w:val="20"/>
          <w:color w:val="auto"/>
        </w:rPr>
      </w:pPr>
    </w:p>
    <w:p>
      <w:pPr>
        <w:jc w:val="both"/>
        <w:ind w:firstLine="8"/>
        <w:spacing w:after="0" w:line="250" w:lineRule="auto"/>
        <w:tabs>
          <w:tab w:leader="none" w:pos="2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and related agreements and transactions by the respective shareholders of The Company and Blaize, (ii) effectiveness of the registration statement on Form S-4 to be filed by The Company in connection with the Business Combination, (iii) expiration or termination of the waiting period under the Hart-Scott-Rodino Antitrust Improvements Act, if applicable,</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under the United Kingdom’s National Security and Investment Act 2021, (v) the absence of any injunction, order, statute, rule, or regulation enjoining or prohibiting the consummation of the Merger, and (vi) receipt of approval for listing on Nasdaq the shares of New Blaize common stock to be issued in connection with the Merger.</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conditions to The Company’s obligations to consummate the Merger include, among others, that as of the Closing, (i) the representations and warranties of Blaize being true and correct, subject to the materiality standards contained in the Merger Agreement,</w:t>
      </w:r>
    </w:p>
    <w:p>
      <w:pPr>
        <w:jc w:val="both"/>
        <w:ind w:firstLine="8"/>
        <w:spacing w:after="0" w:line="253" w:lineRule="auto"/>
        <w:tabs>
          <w:tab w:leader="none" w:pos="2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shall have performed all covenants required to be performed by Blaize in all material respects, (iii) no Company Material Adverse Effect (as defined in the Merger Agreement) shall have occurred between the date of the Merger Agreement and Closing and be continuing, and (iv) Blaize shall have effectuated the conversion or exercise of the outstanding convertible notes, preferred stock and warrants of Blaize.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conditions to Blaize’s obligations to consummate the Merger include, among others, that as of the Closing, (i) the representations and warranties of The Company and Merger Sub being true and correct, subject to the materiality standards contained in the Merger Agreement, (ii) The Company shall have performed all covenants required to be performed by The Company in all material respects, (iii) no Acquiror Material Adverse Effect (as defined in the Merger Agreement) shall have occurred between the date of the Merger Agreement and Closing and be continuing, (iv) the amount of cash available in the trust account into which substantially all of the proceeds of The Company’s initial public offering and private placement of its warrants have been deposited for the benefit of its public shareholders following redemptions by The Company’s stockholders in connection with the The Company stockholder meeting held for purposes of approving the Business Combination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plus the proceeds of any financing transaction of The Company or Blaize prior to the Closing, plus the aggregate gross proceeds of $5.0 million received by Blaize pursuant to a previous convertible note financing transaction, and subject to the deductions and conditions set forth in the Merger Agreement, including deductions for certain The Company and Blaize transaction expenses, is equal to or greater than $125,000,000 and (v) other than persons designated by the parties to the Merger Agreement to be nominated for election to the board of directors of New Blaize in accordance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terms of the Merger Agreement, all members of the board of directors and executive officers of The Company shall have executed written resignations effective as of the Effective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use commercially reasonable efforts to conduct their respective businesses in the ordinary course through the Closing, (ii) Blaize to prepare and deliver to The Company certain audited and unaudited consolidated financial statements of Blaize, (iii) The Company to prepare and file a registration statement on Form S-4 and take certain other actions to obtain the requisite approval of The Company shareholders of certain proposals regarding the Business Combination and (iv) the parties to use reasonable best efforts to obtain necessary approvals from governmental agencies.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by The Company, Merger Sub and Blaize that are customary for transactions of this type. The representations and warranties of the respective parties to the Merger Agreement will not survive the Closing.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Closing (i) by mutual written consent of The Company and Blaize, (ii) by The Company or Blaize, if requisite approvals of the shareholders of The Company are not obtained as set forth therein,</w:t>
      </w:r>
    </w:p>
    <w:p>
      <w:pPr>
        <w:jc w:val="both"/>
        <w:ind w:firstLine="8"/>
        <w:spacing w:after="0" w:line="251" w:lineRule="auto"/>
        <w:tabs>
          <w:tab w:leader="none" w:pos="3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Blaize if there is a Modification in Recommendation (as defined in the Merger Agreement), (iv) by The Company if requisite approvals of the shareholders of Blaize are not obtained as soon as reasonably practicable following the effectiveness of the registration statement on Form S-4 to be filed by The Company in connection with the Business Combination, (v) by Blaize if Burkhan, its affiliates and/or nominees fail to fund certain principal amounts of the Burkhan Convertible Notes (as defined in the Merger Agreement) on the terms and subject to the conditions set forth in the Merger Agreement and (vi) by either The Company or Blaize in certain other circumstances set forth in the Merger Agreement, including (a) if any Governmental Authority (as defined in the Merger Agreement) shall have issued or otherwise entered a final, nonappealable order making consummation of the Merger illegal or otherwise preventing or prohibiting consummation of the Merger, (b) in the event of certain uncured breaches by the other party or (c) if the Closing has not occurred on or before December 31,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Between the date of the Merger Agreement and the Closing, The Company has agreed that it will not, directly or indirectly, (i) encourage, solicit, initiate, facilitate or continue inquiries regarding a Business Combination Proposal (as defined below); (ii) enter into discussions or negotiations with, or provide any information to, any person concerning a possible Business Combination Proposal; or (iii) enter into any agreements or other instruments (whether or not binding) regarding a Business Combination Proposal. The Company also agreed to cease and cause to be terminated any existing discussions or negotiations with any persons (other than Blaize and its representatives) previously conducted with respect to, or that could lead to, any Business Combination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is not restricted from responding to unsolicited inbound inquiries to the extent required for the board of directors of The Company to comply with its fiduciary duties. “</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means any offer, inquiry, proposal or indication of interest (whether written or oral, binding or non-binding), relating to a Business Combination.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Between the date of the Merger Agreement and the Closing, Blaize has agreed that it will not, directly or indirectly, (i) encourage, solicit, initiate, facilitate or continue inquiries regarding a Company Acquisition Proposal (as defined below); (ii) enter into discussions or negotiations with, or provide any information to, any person concerning a possible Company Acquisition Proposal; or (iii) enter into any agreements or other instruments (whether or not binding) regarding a Company Acquisition Proposal. The Company also agreed that it will cease and cause to be terminated any existing discussions or negotiations with any persons (other than The Company and its representatives) previously conducted with respect to, or that could lead to, any Company Acquisition Proposal.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inquiry, proposal or offer concerning a merger, consolidation, liquidation, recapitalization, share exchange or other transaction involving the sale, lease, exchange or other disposition of more than fifteen percent (15%) of the properties or assets or equity interests of Blaize or any of its subsidiaries, excluding, for the avoidance of doubt, any Company Financing.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Financing” means, subject to certain limited exceptions contained in the Merger Agreement, a private placement of</w:t>
      </w:r>
    </w:p>
    <w:p>
      <w:pPr>
        <w:spacing w:after="0" w:line="27" w:lineRule="exact"/>
        <w:rPr>
          <w:sz w:val="20"/>
          <w:szCs w:val="20"/>
          <w:color w:val="auto"/>
        </w:rPr>
      </w:pPr>
    </w:p>
    <w:p>
      <w:pPr>
        <w:jc w:val="both"/>
        <w:ind w:firstLine="8"/>
        <w:spacing w:after="0" w:line="252" w:lineRule="auto"/>
        <w:tabs>
          <w:tab w:leader="none" w:pos="2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convertible promissory notes of Blaize by, or any other form of investment in or financing of (either directly or indirectly), Blaize that is consummated with Burkhan and/or its affiliates and/or nominees after December 22, 2023 and prior to or substantially concurrently with the Closing providing up to an aggregate amount of $25.0 million to Blaize, and (ii) equity, equity-linked or debt securities of Blaize by, or any other form of investment or financing of (either director or indirectly), Blaize that is consummated with any person (other than Burkhan and/or its affiliates and/or nominees) after December 22, 2023 and prior to or substantially concurrently with the Closing.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required under applicable rules of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the Company will use its reasonable best efforts to cause the shares of the Company’s Class A common stock to be issued in connection with the Business Combination to be approved for listing on Nasdaq at the Closing. Until the Closing, The Company must use its reasonable best efforts to cause the Company to remain listed as a public company on Nasdaq.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Support Agreement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Company’s Capital Stock (as defined in the Company’s Support Agreement), subject to certain exceptions, and termination of certain stockholder agreements and other affiliate agreements of Blaize.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with the Sponsor, pursuant to which, among other things, in connection with the Closing, the Sponsor agreed to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is sought, (ii) vote against and withhold consent with respect to any Business Combination Proposal or other business combination transaction (other than the Merger Agreement and the Business Combination), (iii) vote against any proposal, action or agreement that would (a) impede, frustrate, prevent or nullify any provision of the Sponsor Support Agreements, the Merger Agreement or the timely consummation of the Merger, (b) result in a breach in any respect of any covenant, representation, warranty or any other obligation or agreement of the Company or Merger Sub under the Merger Agreement, (c) result in any of the conditions set forth in the Merger Agreement not being fulfilled or (d) result in a breach of any covenant, representation or warranty or other obligation or agreement of the Sponsor contained in the Sponsor Support Agreements, (iv) waive any adjustment to the conversion ratio or any other anti-dilution or similar protection set forth in the governing documents of the Company with respect to the Class B common stock of the Company, in each case, on the terms and subject to the conditions set forth in the Sponsor Support Agreement, and (v) be bound by certain other covenants and agreements related to the Business Combination, including a restriction on the transfer of the Company’s Class B common stock and private placement units of the Company, subject to certain exceptions.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pursuant to which New Blaize will agree to register for resale, pursuant to Rule 415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certain shares of New Blaize common stock and other equity securities of New Blaize that are held by the parties thereto from time to time on the terms and subject to the conditions set forth therein.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with the Sponsor, Burkhan and certain other controlled affiliates of Burkhan (collectively,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descriptions of the Merger Agreement, the Company’s Support Agreement, the Sponsor Support Agreement, the Registration Rights Agreement, the Lock-up Agreement, and the Stockholders’ Agreement and the transactions and documents contemplated thereby, are not complete and are subject to and qualified in their entirety by reference to the Merger Agreement, the Company’s Support Agreement, the Sponsor Support Agreement, the form of Registration Rights Agreement, the form of Lock-up Agreement, and the form of Stockholders’ Agreement, copies of which are filed with this Current Report on Form 8-K as Exhibit 2.1, Exhibit 10.1, Exhibit 10.2, Exhibit 10.3, Exhibit 10.4, and Exhibit 10.5 respectively, and the terms of which are incorporated by reference herein.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Merger Agreement, the Company’s Support Agreement, the Sponsor Support Agreement, the Registration Rights Agreement, the Lock-up Agreement, and the Stockholders’ Agreement and the other documents related thereto (collectively, the “Transaction Documents”) have been included to provide investors with information regarding their terms. They are not intended to provide any other factual information about The Company, Blaize or their respective affiliates. The representations, warranties, covenants and agreements contained in the Transaction Documents were made only for purposes of the Merger Agreement as of the specific dates therein, were solely for the benefit of the parties to the Transaction Documents and may be subject to limitations agreed upon by the contracting parties, including being qualified by confidential disclosures made for the purposes of allocating contractual risk between the parties to the Transaction Documents instead of establishing these matters as facts, and may be subject to standards of materiality applicable to the contracting parties that differ from those applicable to investors. Investors are not third-party beneficiaries under the Transaction Documents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applicable dates of the Transaction Documents, which subsequent information may or may not be fully reflected in The Company’s public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through December 31, 2023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dividends on marketable securities held in the Trust Account. We incur expenses as a result of being a public company (for legal, financial reporting, accounting and auditing compliance), as well as for due diligence and transaction expenses.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had a net income of $1,339,142, which consisted of interest from investments held in our Trust Account of $5,751,596, offset by $3,384,810 in operating costs and franchise taxes and provision for income taxes of $1,027,644.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had a net income of $1,673,607, which consisted of interest from marketable securities held in our Trust Account of $3,989,294, offset by formation and operating costs of $1,523,929 and provision for income taxes of $791,758.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$843,313 in its restricted cash account and $71,432,177 in investments held in trust. Restricted cash is held exclusively for payment of current tax liabilities. The investments held in trust are to be used for Business Combination or to repurchase or redeem its Public shares, which includes $24,539,002 restricted to pay its current redemption liability. As of December 31, 2023, $5,751,596 of the amount on deposit in the Trust Account represents interest income.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liquidity needs up to December 31, 2023 had been satisfied through a payment from our sponsor of $25,000 for the Founder Shares to cover certain offering costs, the loan under an unsecured promissory note from the Sponsor of $810,345 and the net proceeds from the consummation of the Initial Public Offering held outside of the trust account. As of December 31, 2023, the Company had $810,345 outstanding under a Convertible Promissory Note. As of December 31, 2023, no working capital loans were outstanding.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less than 7 months from its mandatory liquidation as of the time of filing this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financial statements contained in this Annual Report on Form 10-K are issued.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December 31, 2023.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December 31, 2023 and 2022, 4,345,663 and 28,750,000 Class A common stock subject to possible redemption are presented at redemption value as temporary equity, outside of the stockholders’ deficit section of our balance sheets, respectively.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date thereafter. Changes in the estimated fair value of liability-classified warrants are recognized as a non-cash gain or loss on the statements of operations.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year ended December 31, 2023 and 2022 because the warrants are contingently exercisable, and the contingencies have not yet been met and its inclusion would be anti-dilutive. As a result, diluted net income or loss per common stock is the same as basic net income or loss per common stock for the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We are currently assessing the impact, if any, that ASU 2020-06 would have on our financial position, results of operations or cash flows. We have not adopted this guidance as of December 31, 2023.</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other recently issued, but not yet effective, accounting standards if currently adopted would have a material effect on the accompanying financial statement.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information appears following Item 15 of this Annual Report and is included herein by reference.</w:t>
      </w:r>
    </w:p>
    <w:p>
      <w:pPr>
        <w:spacing w:after="0" w:line="221" w:lineRule="exact"/>
        <w:rPr>
          <w:sz w:val="20"/>
          <w:szCs w:val="20"/>
          <w:color w:val="auto"/>
        </w:rPr>
      </w:pPr>
    </w:p>
    <w:p>
      <w:pPr>
        <w:jc w:val="both"/>
        <w:ind w:left="980" w:right="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principal executive officer and principal financial officer, we conducted an evaluation of the effectiveness of our disclosure controls and procedures as of the end of the fiscal period ended December 31, 2023, as such term is defined in Rules 13a-15(e) and 15d-15(e) under the Exchange Act. Based on this evaluation, our principal executive officer and principal financial officer concluded that during the period covered by this report, our disclosure controls and procedures were not effective due to the inadequate controls for the withdrawal of funds from the Trust Account and inadequate control for the accounting for class a common stock subject to possible redemption. Material weaknesses, as defined in the SEC regulations, is a deficiency, or combination of deficiencies, in internal control over financial reporting, such that there is a reasonable possibility that a material misstatement of the company’s annual or interim financial statements will not be prevented or detected on a timely basis. In light of these material weaknesses, we performed additional analysis as deemed necessary to ensure that our financial statements were prepared in accordance with U.S. generally accepted accounting principles.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plans to remediate the material weaknesses by enhancing our control process around the withdrawals of funds from the Trust Account. The elements of our remediation plan can only be accomplished over time, and these initiatives may not ultimately have the intended effects.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spacing w:after="0" w:line="183" w:lineRule="exact"/>
        <w:rPr>
          <w:sz w:val="20"/>
          <w:szCs w:val="20"/>
          <w:color w:val="auto"/>
        </w:rPr>
      </w:pPr>
    </w:p>
    <w:p>
      <w:pPr>
        <w:ind w:right="20" w:firstLine="8"/>
        <w:spacing w:after="0" w:line="282"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2023. In making these assessments, management used the criteria set forth by the Committee of Sponsoring Organizations of the Treadway Commission (COSO) in Internal Control — Integrated Framework (2013). Based on our assessments and those criteria, management determined that we did not maintain effective internal controls for the withdrawal of funds from the Trust Account as of December 31, 2023.</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implemented remediation steps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accounting applications and consideration of additional staff with the requisite experience and training to supplement existing accounting professionals.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status as an emerging growth company under the JOBS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about our directors and executive officers.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6"/>
                <w:szCs w:val="16"/>
                <w:color w:val="auto"/>
              </w:rPr>
            </w:pPr>
          </w:p>
        </w:tc>
        <w:tc>
          <w:tcPr>
            <w:tcW w:w="47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0"/>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Shahal Khan</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top w:val="single" w:sz="8" w:color="CCEEFF"/>
            </w:tcBorders>
            <w:shd w:val="clear" w:color="auto" w:fill="CCEEFF"/>
          </w:tcPr>
          <w:p>
            <w:pPr>
              <w:spacing w:after="0"/>
              <w:rPr>
                <w:sz w:val="19"/>
                <w:szCs w:val="19"/>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Isaac Chetrit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Director</w:t>
            </w:r>
          </w:p>
        </w:tc>
      </w:tr>
      <w:tr>
        <w:trPr>
          <w:trHeight w:val="23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Roman Livson</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Payel Farasat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Investment Officer</w:t>
            </w:r>
          </w:p>
        </w:tc>
      </w:tr>
      <w:tr>
        <w:trPr>
          <w:trHeight w:val="22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Schroeder</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 Golden</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Young</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A. Porrello</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Shahal M. Khan </w:t>
      </w:r>
      <w:r>
        <w:rPr>
          <w:rFonts w:ascii="Times New Roman" w:cs="Times New Roman" w:eastAsia="Times New Roman" w:hAnsi="Times New Roman"/>
          <w:sz w:val="18"/>
          <w:szCs w:val="18"/>
          <w:color w:val="auto"/>
        </w:rPr>
        <w:t>is our Chairman of the Board of Directors and Chief Executive Officer. Mr. Khan’s career as an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entrepreneur and social 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Isaac Chetrit </w:t>
      </w:r>
      <w:r>
        <w:rPr>
          <w:rFonts w:ascii="Times New Roman" w:cs="Times New Roman" w:eastAsia="Times New Roman" w:hAnsi="Times New Roman"/>
          <w:sz w:val="18"/>
          <w:szCs w:val="18"/>
          <w:color w:val="auto"/>
        </w:rPr>
        <w:t>is our President and one of our directors. Mr. Chetrit is a real estate veteran with a background in architecture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electrical engineering. 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Roman V. Livson </w:t>
      </w:r>
      <w:r>
        <w:rPr>
          <w:rFonts w:ascii="Times New Roman" w:cs="Times New Roman" w:eastAsia="Times New Roman" w:hAnsi="Times New Roman"/>
          <w:sz w:val="18"/>
          <w:szCs w:val="18"/>
          <w:color w:val="auto"/>
        </w:rPr>
        <w:t>is our Chief Financial Officer. Since February 2021, Mr. Livson has been the Chief Financial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Burkhan World, a family 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Payel Farasat </w:t>
      </w:r>
      <w:r>
        <w:rPr>
          <w:rFonts w:ascii="Times New Roman" w:cs="Times New Roman" w:eastAsia="Times New Roman" w:hAnsi="Times New Roman"/>
          <w:sz w:val="18"/>
          <w:szCs w:val="18"/>
          <w:color w:val="auto"/>
        </w:rPr>
        <w:t>is our Chief Investment Officer. Since December 2020, Ms. Farasat has been the Chief Investment Officer (CIO)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Burkhan World 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Christopher Schroeder </w:t>
      </w:r>
      <w:r>
        <w:rPr>
          <w:rFonts w:ascii="Times New Roman" w:cs="Times New Roman" w:eastAsia="Times New Roman" w:hAnsi="Times New Roman"/>
          <w:sz w:val="18"/>
          <w:szCs w:val="18"/>
          <w:color w:val="auto"/>
        </w:rPr>
        <w:t>is our Chief Marketing Officer. Over the last 30 years, Mr. Schroeder has also been an interactive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resort developer, 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Leon Golden </w:t>
      </w:r>
      <w:r>
        <w:rPr>
          <w:rFonts w:ascii="Times New Roman" w:cs="Times New Roman" w:eastAsia="Times New Roman" w:hAnsi="Times New Roman"/>
          <w:sz w:val="18"/>
          <w:szCs w:val="18"/>
          <w:color w:val="auto"/>
        </w:rPr>
        <w:t>serves as a member of our Board of Directors as of the date of this prospectus. Mr. Golden is a chartered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accountant and has worked as an accountant at ARG Associates, Inc. 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Scott Young </w:t>
      </w:r>
      <w:r>
        <w:rPr>
          <w:rFonts w:ascii="Times New Roman" w:cs="Times New Roman" w:eastAsia="Times New Roman" w:hAnsi="Times New Roman"/>
          <w:sz w:val="18"/>
          <w:szCs w:val="18"/>
          <w:color w:val="auto"/>
        </w:rPr>
        <w:t>serves as a member of our Board of Directors as of the date of this prospectus. Since January 2010, Mr. Young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a Senior Advisor and director of Dial Partners LLP, And 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2003 and is currently a member of its Nominating and Corporate Governance Committee.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Joseph A. Porrello </w:t>
      </w:r>
      <w:r>
        <w:rPr>
          <w:rFonts w:ascii="Times New Roman" w:cs="Times New Roman" w:eastAsia="Times New Roman" w:hAnsi="Times New Roman"/>
          <w:sz w:val="18"/>
          <w:szCs w:val="18"/>
          <w:color w:val="auto"/>
        </w:rPr>
        <w:t>serves as a member of our Board of Directors as of the date of this prospectus. Mr. Porrello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practicing law in South Florida for over twenty four years, representing the 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five directors. In accordance with Nasdaq corporate governance requirements, we are not required to hold an annual meeting until one year after our first fiscal year end following our listing on Nasdaq. Our board is divided into two classes with only one class of directors being elected in each year and each class (except for those directors appointed prior to our first annual meeting of stockholders) serving a two-year term. In accordance with Nasdaq corporate governance requirements, we are not required to hold an annual meeting until one year after our first fiscal year end following our listing on Nasdaq. The term of office of the first class of directors, consisting of Joseph Porrello and Isaac Chetrit, will expire at our first annual meeting of stockholders. The term of office of the second class of directors, consisting of Shahal Khan, Scott Young and Leon Golden will expire at the second annual meeting of stockholders.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Chief Investment Officer, Chief Operating Officer, President, Vice Presidents, Secretary, Treasurer, Assistant Secretaries and such other offices as may be determined by the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expect that our board of directors will determine that Scott Young, Joseph Porrello and Leon Golden and are “independent directors” as defined in the Nasdaq listing standards and applicable SEC rules. Our independent directors will have regularly scheduled meetings at which only independent directors are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Leon Golden, Scott Young and Joseph Porrello serve as members of our audit committee, and Leon Golden chairs the audit committee. Under the Nasdaq listing standards and applicable SEC rules, we are required to have at least three members of the audit committee, all of whom must be independent. Each of Leon Golden, Scott Young and Josph Porrello meet the independent director standard under Nasdaq listing standards and under Rule 10-A-3(b)(1) of the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Committee’s duties, which are specified in our Audit Committee Charter, include, but are not limited to:</w:t>
      </w:r>
    </w:p>
    <w:p>
      <w:pPr>
        <w:spacing w:after="0" w:line="225" w:lineRule="exact"/>
        <w:rPr>
          <w:sz w:val="20"/>
          <w:szCs w:val="20"/>
          <w:color w:val="auto"/>
        </w:rPr>
      </w:pPr>
    </w:p>
    <w:p>
      <w:pPr>
        <w:ind w:left="1000" w:right="2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replacement, and oversight of the work of the independent registered public accounting firm engaged by us;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permitted non-audit services to be provided by the independent registered public accounting firm engaged by us, and establishing pre-approval policies and procedures;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and, as appropriate, reviewing with management and the independent registered public accounting firm our financial statements and annual and quarterly reports, discussing with the independent registered public accounting firm any other matters required to be discussed by accounting and auditing standards, and recommending to the Board whether the audited financial statements should be included in our annual report;</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independent registered public accounting firm, or by any inquiry or investigation by governmental or professional authorities, within the preceding five years, respecting one or more independent audits carried out by the independent registered public accounting firm and any steps taken to deal with such issues and (iii) all relationships between the independent registered public accounting firm and us to assess the independent registered public accounting firm’s independence;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 on a regular basis;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 required to be disclosed pursuant to Item 404 of Regulation S-K promulgated by the SEC prior to us entering into such transaction;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Experts on Audit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Nasdaq rules, the audit committee will at all times be composed exclusively of “independent directors” who are able to read and understand fundamental financial statements, including a company’s balance sheet, income statement and cash flow statement.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member of the audit committee is financially literate and our board of directors has determined that Mr. Golden qualifies as an “audit committee financial expert” as defined in applicable SEC rules, which generally is any person who has past employment experience in finance or accounting, requisite professional certification in accounting, or other comparable experience or background that results in the individual’s financial sophistication.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Leon Golden and Scott Young each of whom is an independent director under the Nasdaq listing standards. Mr. Young is the Chairperson of the compensation committee. The compensation committee’s duties, which are specified in our Compensation Committee Charter, include, but are not limited to:</w:t>
      </w:r>
    </w:p>
    <w:p>
      <w:pPr>
        <w:spacing w:after="0" w:line="176" w:lineRule="exact"/>
        <w:rPr>
          <w:sz w:val="20"/>
          <w:szCs w:val="20"/>
          <w:color w:val="auto"/>
        </w:rPr>
      </w:pPr>
    </w:p>
    <w:p>
      <w:pPr>
        <w:jc w:val="both"/>
        <w:ind w:left="1000" w:hanging="317"/>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compensation, if any is paid by us, of all of our other officers;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annual basis our executive compensation policies and plans;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as indicated above, other than the payment to our financial advisor of $10,000 per month, for up to 15 months, for office space, utilities and secretarial and administrative support,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entered into in connection with such initial business combination.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Leon Golden, Scott Young and Joseph Porrello. In accordance with Rule 5605 of the Nasdaq rules, all such directors are independent. As there is no standing nominating committee, we do not have a nominating committee charter in place.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 Code of Ethics applicable to our directors, officers and employees. We have filed copies of our Code of Ethics and our audit and compensation committee charters as exhibits to the registration statement of which this prospectus is a part. You can review these documents by accessing our public filings at the SEC’s web site at www.sec.gov. In addition, a copy of the Code of Ethics will be provided without charge upon request from us. In addition, a copy of our Code of Ethics will be provided without charge upon request from us. We intend to disclose any amendments to or waivers of certain provisions of our Code of Ethics in a Current Report on Form 8-K.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or the Exchange Act, requires our executive officers, directors and persons who beneficially own more than 10% of a registered class of our equity securities to file with the Securities and Exchange Commission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employment agreements with our executive officers and have not made any agreements to provide benefits upon termination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us. 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None of our officers currently serves, or in the past year has served, as a member of the compensation committee of any entity that has one or more officers serving on our board of directors.</w:t>
      </w:r>
    </w:p>
    <w:p>
      <w:pPr>
        <w:spacing w:after="0" w:line="158" w:lineRule="exact"/>
        <w:rPr>
          <w:sz w:val="20"/>
          <w:szCs w:val="20"/>
          <w:color w:val="auto"/>
        </w:rPr>
      </w:pPr>
    </w:p>
    <w:p>
      <w:pPr>
        <w:jc w:val="both"/>
        <w:ind w:left="980" w:right="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sets forth as of April 24, 2024 the number of shares of Class A common stock and Class B common stock beneficially owned by (i) each person who is known by us to be the beneficial owner of more than five percent of our issued and outstanding shares of Class A common stock and Class B common stock (ii) each of our officers and directors; and (iii) all of our officers and directors as a group. As of March 31, 2022, we had 898,250 shares of Class A common stock and 9,487,500 shares of Class B common stock, issued and outstanding. The Class B common stock are convertible into shares of Class A common stock on a one-for-one basis, subject to adjustment. As of April 20, 2023, the Company had 15,162,662 shares of Class A Common stock and one share of Class B common stock, issued and outstanding.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March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231F20"/>
              </w:rPr>
              <w:t>Number of</w:t>
            </w:r>
          </w:p>
        </w:tc>
        <w:tc>
          <w:tcPr>
            <w:tcW w:w="108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231F20"/>
              </w:rPr>
              <w:t>Percentage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231F20"/>
              </w:rPr>
              <w:t>Shares</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Name and Address of Beneficial Owner</w:t>
            </w:r>
            <w:r>
              <w:rPr>
                <w:rFonts w:ascii="Times New Roman" w:cs="Times New Roman" w:eastAsia="Times New Roman" w:hAnsi="Times New Roman"/>
                <w:sz w:val="21"/>
                <w:szCs w:val="21"/>
                <w:b w:val="1"/>
                <w:bCs w:val="1"/>
                <w:color w:val="231F20"/>
                <w:vertAlign w:val="superscript"/>
              </w:rPr>
              <w:t>(1)</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231F20"/>
              </w:rPr>
              <w:t>Beneficially</w:t>
            </w:r>
          </w:p>
        </w:tc>
        <w:tc>
          <w:tcPr>
            <w:tcW w:w="108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231F20"/>
              </w:rPr>
              <w:t>Outstanding</w:t>
            </w:r>
          </w:p>
        </w:tc>
        <w:tc>
          <w:tcPr>
            <w:tcW w:w="0" w:type="dxa"/>
            <w:vAlign w:val="bottom"/>
          </w:tcPr>
          <w:p>
            <w:pPr>
              <w:spacing w:after="0"/>
              <w:rPr>
                <w:sz w:val="1"/>
                <w:szCs w:val="1"/>
                <w:color w:val="auto"/>
              </w:rPr>
            </w:pPr>
          </w:p>
        </w:tc>
      </w:tr>
      <w:tr>
        <w:trPr>
          <w:trHeight w:val="173"/>
        </w:trPr>
        <w:tc>
          <w:tcPr>
            <w:tcW w:w="7700" w:type="dxa"/>
            <w:vAlign w:val="bottom"/>
            <w:gridSpan w:val="3"/>
            <w:vMerge w:val="continue"/>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231F20"/>
              </w:rPr>
              <w:t>Owned</w:t>
            </w:r>
          </w:p>
        </w:tc>
        <w:tc>
          <w:tcPr>
            <w:tcW w:w="10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0" w:type="dxa"/>
            <w:vAlign w:val="bottom"/>
          </w:tcPr>
          <w:p>
            <w:pPr>
              <w:spacing w:after="0"/>
              <w:rPr>
                <w:sz w:val="1"/>
                <w:szCs w:val="1"/>
                <w:color w:val="auto"/>
              </w:rPr>
            </w:pPr>
          </w:p>
        </w:tc>
      </w:tr>
      <w:tr>
        <w:trPr>
          <w:trHeight w:val="209"/>
        </w:trPr>
        <w:tc>
          <w:tcPr>
            <w:tcW w:w="746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Shahal Khan </w:t>
            </w:r>
            <w:r>
              <w:rPr>
                <w:rFonts w:ascii="Times New Roman" w:cs="Times New Roman" w:eastAsia="Times New Roman" w:hAnsi="Times New Roman"/>
                <w:sz w:val="24"/>
                <w:szCs w:val="24"/>
                <w:color w:val="auto"/>
                <w:vertAlign w:val="superscript"/>
              </w:rPr>
              <w:t>(2)</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10,385,750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231F20"/>
              </w:rPr>
              <w:t xml:space="preserve">Roman Livson </w:t>
            </w:r>
            <w:r>
              <w:rPr>
                <w:rFonts w:ascii="Times New Roman" w:cs="Times New Roman" w:eastAsia="Times New Roman" w:hAnsi="Times New Roman"/>
                <w:sz w:val="25"/>
                <w:szCs w:val="25"/>
                <w:color w:val="231F20"/>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10,385,750</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68.5 %</w:t>
            </w: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231F20"/>
              </w:rPr>
              <w:t>Patrick Orlando</w:t>
            </w:r>
            <w:r>
              <w:rPr>
                <w:rFonts w:ascii="Times New Roman" w:cs="Times New Roman" w:eastAsia="Times New Roman" w:hAnsi="Times New Roman"/>
                <w:sz w:val="25"/>
                <w:szCs w:val="25"/>
                <w:color w:val="231F20"/>
                <w:vertAlign w:val="superscript"/>
              </w:rPr>
              <w:t>(1)(2)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10,385,750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68.5 %</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231F20"/>
              </w:rPr>
              <w:t xml:space="preserve">Isaac Chetrit </w:t>
            </w:r>
            <w:r>
              <w:rPr>
                <w:rFonts w:ascii="Times New Roman" w:cs="Times New Roman" w:eastAsia="Times New Roman" w:hAnsi="Times New Roman"/>
                <w:sz w:val="25"/>
                <w:szCs w:val="25"/>
                <w:color w:val="231F20"/>
                <w:vertAlign w:val="superscript"/>
              </w:rPr>
              <w:t>(4)</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231F20"/>
              </w:rPr>
              <w:t xml:space="preserve">Payel Farasat </w:t>
            </w:r>
            <w:r>
              <w:rPr>
                <w:rFonts w:ascii="Times New Roman" w:cs="Times New Roman" w:eastAsia="Times New Roman" w:hAnsi="Times New Roman"/>
                <w:sz w:val="25"/>
                <w:szCs w:val="25"/>
                <w:color w:val="231F20"/>
                <w:vertAlign w:val="superscript"/>
              </w:rPr>
              <w:t>(4)</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231F20"/>
              </w:rPr>
              <w:t xml:space="preserve">Christopher Schroeder </w:t>
            </w:r>
            <w:r>
              <w:rPr>
                <w:rFonts w:ascii="Times New Roman" w:cs="Times New Roman" w:eastAsia="Times New Roman" w:hAnsi="Times New Roman"/>
                <w:sz w:val="25"/>
                <w:szCs w:val="25"/>
                <w:color w:val="231F20"/>
                <w:vertAlign w:val="superscript"/>
              </w:rPr>
              <w:t>(4)</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231F20"/>
              </w:rPr>
              <w:t>All officers and directors as a group</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10,385,750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68.5 %</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(5 individuals)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BurTech LP LLC</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10,385,750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68.5 %</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these individuals is c/o BurTech Acquisition Corp., 1300 Pennsylvania Ave NW, Suite 700, Washington, DC 20004.</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of the outstanding shares upon completion of this offering (excluding the shares of Class A common stock issued to the representative or its designees, the placement units and securities underlying the placement units and assuming the initial stockholders do not purchase units in this offering). As of December 31, 2021, the Sponsor owned 9,487,500 shares of Class B common stock and 898,250 shares of Class A Common Stock. As the underwriters’ over-allotment option has been exercised in full, none of the Class B shares of Common Stock held by the Sponsor are subject to forfeiture.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21, 2021, the Sponsor issued to us an unsecured promissory note, pursuant to which we may borrow up to an aggregate principal amount of $300,000, to be used for payment of costs related to the Initial Public Offering. The note is non-interest bearing and payable on the earlier of the consummation of the Initial Public Offering or the date on which we determine not to proceed with the Initial Public Offering. These amounts were paid out of the proceeds that had been allocated for the payment of offering expenses of the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our officers and directors may, but are not obligated to, loan us funds as may be required (“Working Capital Loans”). Such Working Capital Loans would be evidenced by promissory notes. The notes would either be repaid upon consummation of a Business Combination, without interest, or, at the lender’s discretion, up to $1,500,000 of notes may be converted upon consummation of a Business Combination into additional Placement Units at a price of $10.00 per Unit. In the event that a Business Combination does not close, we may use a portion of proceeds held outside the Trust Account to repay the Working Capital Loans, but no proceeds held in the Trust Account would be used to repay the Working Capital Loans. As of December 31, 2021, there was no amount outstanding under any Working Capital Loan.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Arrangement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financial advisor has agreed, commencing from the date that our securities are first listed on NASDAQ through the earlier of our consummation of a Business Combination and its liquidation, to make available to us certain general and administrative services, including office space, utilities and administrative services, as we may require from time to time. We have agreed to pay the financial advisor $10,000 per month for these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payment to our financial advisor of $10,000 per month, for up to 15 months, for office space, utilities and secretarial and administrative support,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Code of Ethics, which we adopted on December 15, 2021,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audit committee, pursuant to a written charter that we adopted on December 15, 2021, is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adopted on December 13, 2021, is filed as an exhibit to the registration statement of which this prospectus is a part. We also require each of our directors and executive officers to complete a directors’ and officers’ questionnaire that elicits information about related party transactions.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entity that commonly renders valuation opinions that our initial business combination is fair to our company from a financial point of view. Furthermore, no finder’s fees, reimbursements, consulting fee, monies in respect of any payment of a loan or other compensation will be paid by us to our Sponsor, officers or directors or any affiliate of our Sponsor, officers or directors prior to, for services rendered to us prior to, or in connection with any services rendered in order to effectuate, the consummation of our initial business combination (regardless of the type of transaction that it is). However,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payments will be made to our Sponsor, officers or directors, or our or their affiliates, none of which will be made from the proceeds of our public offering held in the trust account prior to the completion of our initial business combination:</w:t>
      </w:r>
    </w:p>
    <w:p>
      <w:pPr>
        <w:spacing w:after="0" w:line="162" w:lineRule="exact"/>
        <w:rPr>
          <w:sz w:val="20"/>
          <w:szCs w:val="20"/>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up to an aggregate of $300,000 in loans made to us by our Sponsor to cover offering-related and organizational expenses;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our financial advisor of $10,000 per month, for up to 15 months, for office space, utilities and secretarial and administrative support;</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out-of-pocket expenses related to identifying, investigating and completing an initial business combination;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non-interest bearing loans which may be made by our Sponsor or an affiliate of our Sponsor or certain of our officers and directors to finance transaction costs in connection with an intended initial business combination, the terms of which (other than as described above) have not been determined nor have any written agreements been executed with respect thereto. Up to $1,500,000 of such loans may be convertible into units, at a price of $10.00 per unit at the option of the lender, upon consummation of our initial business combination. The units would be identical to the placement units.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will review on a quarterly basis all payments that were made to our Sponsor, officers, directors or our or their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Nasdaq listing standards require that a majority of our board of directors be independent. For a description of the director independence, see “— </w:t>
      </w:r>
      <w:r>
        <w:rPr>
          <w:rFonts w:ascii="Times New Roman" w:cs="Times New Roman" w:eastAsia="Times New Roman" w:hAnsi="Times New Roman"/>
          <w:sz w:val="18"/>
          <w:szCs w:val="18"/>
          <w:i w:val="1"/>
          <w:iCs w:val="1"/>
          <w:color w:val="auto"/>
        </w:rPr>
        <w:t>Part III, Item 10 - Directors, Executive Officers and Corporate Governance”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fees paid or to be paid to Marcum LLP, or Marcum, for services rendered.</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consist of fees for professional services rendered for the audit of our year-end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are normally provided by Marcum in connection with regulatory filings. The aggregate fees of Marcum for professional services rendered for the audit of our annual financial statements, review of the financial information included in our Forms 8-K for the respective periods and other required filings with the SEC for the year ended December 31, 2023 and 2022, totaled approximately $124,631 and $134,819, respectively. The above amounts include interim procedures and audit fees, as well as attendance at audit committee meetings.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fees consist of fees billed for assurance and related services that are reasonably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audit or review of our financial statements and are not reported under “Audit Fees.” These services include attest services that are not required by statute or regulation and consultations concerning financial accounting and reporting standards. For the year ended December 31, 2023 and 2022, we did not pay Marcum any audit-related fees.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We did not pay Marcum for tax return services, planning and tax advice for the year ended December 31, 2023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We did not pay Marcum for any other services for the year ended December 31, 2023 and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79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 AND CONSOLIDATED FINANCIAL STATEMENT SCHEDULES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(a)  The following documents are filed as part of this Form 10-K:</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9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4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600" w:type="dxa"/>
            <w:vAlign w:val="bottom"/>
            <w:tcBorders>
              <w:top w:val="single" w:sz="8" w:color="CCEEFF"/>
            </w:tcBorders>
            <w:gridSpan w:val="2"/>
          </w:tcPr>
          <w:p>
            <w:pPr>
              <w:spacing w:after="0"/>
              <w:rPr>
                <w:sz w:val="15"/>
                <w:szCs w:val="15"/>
                <w:color w:val="auto"/>
              </w:rPr>
            </w:pPr>
          </w:p>
        </w:tc>
        <w:tc>
          <w:tcPr>
            <w:tcW w:w="11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4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Deficit</w:t>
            </w: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5940" w:type="dxa"/>
            <w:vAlign w:val="bottom"/>
            <w:tcBorders>
              <w:bottom w:val="single" w:sz="8" w:color="CCEEFF"/>
            </w:tcBorders>
            <w:gridSpan w:val="4"/>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Notes to Financial Statements</w:t>
            </w:r>
          </w:p>
        </w:tc>
        <w:tc>
          <w:tcPr>
            <w:tcW w:w="5660" w:type="dxa"/>
            <w:vAlign w:val="bottom"/>
            <w:gridSpan w:val="3"/>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466"/>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9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Consolidated Financial Statement Schedules: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None.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9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exhibits are filed with this report. Exhibits which are incorporated herein by reference can be obtained from the SEC’s website at sec.gov.</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85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4"/>
                <w:szCs w:val="24"/>
                <w:color w:val="auto"/>
              </w:rPr>
            </w:pPr>
          </w:p>
        </w:tc>
        <w:tc>
          <w:tcPr>
            <w:tcW w:w="7840" w:type="dxa"/>
            <w:vAlign w:val="bottom"/>
            <w:tcBorders>
              <w:top w:val="single" w:sz="8" w:color="auto"/>
              <w:bottom w:val="single" w:sz="8" w:color="0000EE"/>
            </w:tcBorders>
            <w:gridSpan w:val="12"/>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Underwriting Agreement, dated December 10, 2021, by and among the Company and EF Hutton, division of</w:t>
              </w:r>
            </w:hyperlink>
          </w:p>
        </w:tc>
        <w:tc>
          <w:tcPr>
            <w:tcW w:w="700" w:type="dxa"/>
            <w:vAlign w:val="bottom"/>
            <w:tcBorders>
              <w:top w:val="single" w:sz="8" w:color="auto"/>
            </w:tcBorders>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Benchmark Investments, LLC, as representative of the several underwriters (incorporated by reference to Exhibit 1.1</w:t>
              </w:r>
            </w:hyperlink>
          </w:p>
        </w:tc>
        <w:tc>
          <w:tcPr>
            <w:tcW w:w="12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filed with the Form 8-K filed by the Registrant on December 16, 2021).</w:t>
              </w:r>
            </w:hyperlink>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17"/>
                <w:szCs w:val="17"/>
                <w:color w:val="auto"/>
              </w:rPr>
            </w:pPr>
          </w:p>
        </w:tc>
        <w:tc>
          <w:tcPr>
            <w:tcW w:w="83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Agreement and Plan of Merger, dated as of December 22, 2023 by and among BurTech Acquisition Corp., BurTech</w:t>
              </w:r>
            </w:hyperlink>
          </w:p>
        </w:tc>
        <w:tc>
          <w:tcPr>
            <w:tcW w:w="22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Merger Sub Inc., Blaize, Inc. and Burkhan Capital LLC filed as Exhibit 2,1 to the Current Report on Form 8-K filed</w:t>
              </w:r>
            </w:hyperlink>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on December 28, 2023.</w:t>
              </w:r>
            </w:hyperlink>
          </w:p>
        </w:tc>
        <w:tc>
          <w:tcPr>
            <w:tcW w:w="6660" w:type="dxa"/>
            <w:vAlign w:val="bottom"/>
            <w:tcBorders>
              <w:top w:val="single" w:sz="8" w:color="0000EE"/>
            </w:tcBorders>
            <w:gridSpan w:val="17"/>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7"/>
                <w:szCs w:val="17"/>
                <w:color w:val="auto"/>
              </w:rPr>
            </w:pPr>
          </w:p>
        </w:tc>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Second Amended and Restated Certificate of Incorporation (incorporated by reference to Exhibit 3.1 filed with the</w:t>
              </w:r>
            </w:hyperlink>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8-K filed by the Registrant on December 16, 2021).</w:t>
              </w:r>
            </w:hyperlink>
          </w:p>
        </w:tc>
        <w:tc>
          <w:tcPr>
            <w:tcW w:w="30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7"/>
                <w:szCs w:val="17"/>
                <w:color w:val="auto"/>
              </w:rPr>
            </w:pPr>
          </w:p>
        </w:tc>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Bylaws (incorporated by reference to Exhibit 3.3 filed with the Form S-1/A filed by the Registrant on August 19,</w:t>
              </w:r>
            </w:hyperlink>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59">
              <w:r>
                <w:rPr>
                  <w:rFonts w:ascii="Times New Roman" w:cs="Times New Roman" w:eastAsia="Times New Roman" w:hAnsi="Times New Roman"/>
                  <w:sz w:val="18"/>
                  <w:szCs w:val="18"/>
                  <w:color w:val="0000EE"/>
                  <w:w w:val="94"/>
                </w:rPr>
                <w:t>2021).</w:t>
              </w:r>
            </w:hyperlink>
          </w:p>
        </w:tc>
        <w:tc>
          <w:tcPr>
            <w:tcW w:w="2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7"/>
                <w:szCs w:val="17"/>
                <w:color w:val="auto"/>
              </w:rPr>
            </w:pPr>
          </w:p>
        </w:tc>
        <w:tc>
          <w:tcPr>
            <w:tcW w:w="84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Specimen Unit Certificate (incorporated by reference to Exhibit 4.1 filed with the Form S-1/A filed by the Registrant</w:t>
              </w:r>
            </w:hyperlink>
          </w:p>
        </w:tc>
        <w:tc>
          <w:tcPr>
            <w:tcW w:w="12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on November 19, 2021).</w:t>
              </w:r>
            </w:hyperlink>
          </w:p>
        </w:tc>
        <w:tc>
          <w:tcPr>
            <w:tcW w:w="6780" w:type="dxa"/>
            <w:vAlign w:val="bottom"/>
            <w:gridSpan w:val="21"/>
          </w:tcPr>
          <w:p>
            <w:pPr>
              <w:spacing w:after="0"/>
              <w:rPr>
                <w:sz w:val="17"/>
                <w:szCs w:val="17"/>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7"/>
                <w:szCs w:val="17"/>
                <w:color w:val="auto"/>
              </w:rPr>
            </w:pPr>
          </w:p>
        </w:tc>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Specimen Class A Common Stock Certificate (incorporated by reference to Exhibit 4.2 filed with the Form S-1/A</w:t>
              </w:r>
            </w:hyperlink>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filed by the Registrant on November 19, 2021).</w:t>
              </w:r>
            </w:hyperlink>
          </w:p>
        </w:tc>
        <w:tc>
          <w:tcPr>
            <w:tcW w:w="360" w:type="dxa"/>
            <w:vAlign w:val="bottom"/>
            <w:gridSpan w:val="9"/>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17"/>
                <w:szCs w:val="17"/>
                <w:color w:val="auto"/>
              </w:rPr>
            </w:pPr>
          </w:p>
        </w:tc>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Specimen Warrant Certificate (incorporated by reference to Exhibit 4.3 filed with the Form S-1/A filed by the</w:t>
              </w:r>
            </w:hyperlink>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Registrant on November 19, 2021).</w:t>
              </w:r>
            </w:hyperlink>
          </w:p>
        </w:tc>
        <w:tc>
          <w:tcPr>
            <w:tcW w:w="660" w:type="dxa"/>
            <w:vAlign w:val="bottom"/>
            <w:gridSpan w:val="1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7"/>
                <w:szCs w:val="17"/>
                <w:color w:val="auto"/>
              </w:rPr>
            </w:pPr>
          </w:p>
        </w:tc>
        <w:tc>
          <w:tcPr>
            <w:tcW w:w="84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Warrant Agreement, dated December 10, 2021, by and between the Company and Continental Stock Transfer &amp; Trust</w:t>
              </w:r>
            </w:hyperlink>
          </w:p>
        </w:tc>
        <w:tc>
          <w:tcPr>
            <w:tcW w:w="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Company, LLC (incorporated by reference to Exhibit 4.1 filed with the Form 8-K filed by the Registrant on December</w:t>
              </w:r>
            </w:hyperlink>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63">
              <w:r>
                <w:rPr>
                  <w:rFonts w:ascii="Times New Roman" w:cs="Times New Roman" w:eastAsia="Times New Roman" w:hAnsi="Times New Roman"/>
                  <w:sz w:val="18"/>
                  <w:szCs w:val="18"/>
                  <w:color w:val="0000EE"/>
                  <w:w w:val="95"/>
                </w:rPr>
                <w:t>16, 2021).</w:t>
              </w:r>
            </w:hyperlink>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7"/>
                <w:szCs w:val="17"/>
                <w:color w:val="auto"/>
              </w:rPr>
            </w:pPr>
          </w:p>
        </w:tc>
        <w:tc>
          <w:tcPr>
            <w:tcW w:w="8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Promissory Note, dated May 21, 2021, issued to BurTech LP LLC (incorporated by reference to Exhibit 10.2 filed</w:t>
              </w:r>
            </w:hyperlink>
          </w:p>
        </w:tc>
        <w:tc>
          <w:tcPr>
            <w:tcW w:w="32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with the Form S-1 filed by the Registrant on August 19, 2021).</w:t>
              </w:r>
            </w:hyperlink>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6"/>
            <w:shd w:val="clear" w:color="auto" w:fill="0000EE"/>
          </w:tcPr>
          <w:p>
            <w:pPr>
              <w:spacing w:after="0" w:line="20" w:lineRule="exact"/>
              <w:rPr>
                <w:sz w:val="1"/>
                <w:szCs w:val="1"/>
                <w:color w:val="auto"/>
              </w:rPr>
            </w:pPr>
          </w:p>
        </w:tc>
        <w:tc>
          <w:tcPr>
            <w:tcW w:w="2000" w:type="dxa"/>
            <w:vAlign w:val="bottom"/>
            <w:tcBorders>
              <w:left w:val="single" w:sz="8" w:color="0000EE"/>
            </w:tcBorders>
            <w:gridSpan w:val="3"/>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7"/>
                <w:szCs w:val="17"/>
                <w:color w:val="auto"/>
              </w:rPr>
            </w:pPr>
          </w:p>
        </w:tc>
        <w:tc>
          <w:tcPr>
            <w:tcW w:w="76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Subscription Agreement, dated May 21, 2021, between the Registrant and BurTech Capital Holdings LLC</w:t>
              </w:r>
            </w:hyperlink>
          </w:p>
        </w:tc>
        <w:tc>
          <w:tcPr>
            <w:tcW w:w="900" w:type="dxa"/>
            <w:vAlign w:val="bottom"/>
            <w:gridSpan w:val="1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9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(incorporated by reference to Exhibit 10.5 filed with the Form S-1 filed by the Registrant on August 19, 2021).</w:t>
              </w:r>
            </w:hyperlink>
          </w:p>
        </w:tc>
        <w:tc>
          <w:tcPr>
            <w:tcW w:w="560" w:type="dxa"/>
            <w:vAlign w:val="bottom"/>
            <w:gridSpan w:val="11"/>
          </w:tcPr>
          <w:p>
            <w:pPr>
              <w:spacing w:after="0"/>
              <w:rPr>
                <w:sz w:val="17"/>
                <w:szCs w:val="17"/>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17"/>
                <w:szCs w:val="17"/>
                <w:color w:val="auto"/>
              </w:rPr>
            </w:pPr>
          </w:p>
        </w:tc>
        <w:tc>
          <w:tcPr>
            <w:tcW w:w="84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Letter Agreement, dated December 10, 2021, by and among the Company, its officers and directors, the Sponsor and</w:t>
              </w:r>
            </w:hyperlink>
          </w:p>
        </w:tc>
        <w:tc>
          <w:tcPr>
            <w:tcW w:w="14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certain other stockholders party thereto (incorporated by reference to Exhibit 10.1 filed with the Form 8-K filed by the</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Registrant on December 16, 2021).</w:t>
              </w:r>
            </w:hyperlink>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36"/>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84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Investment Management Trust Agreement, dated December 10, 2021, by and between the Company and Continental</w:t>
              </w:r>
            </w:hyperlink>
          </w:p>
        </w:tc>
        <w:tc>
          <w:tcPr>
            <w:tcW w:w="12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Stock Transfer &amp; Trust Company (incorporated by reference to Exhibit 10.2 filed with the Form 8-K filed by the</w:t>
              </w:r>
            </w:hyperlink>
          </w:p>
        </w:tc>
        <w:tc>
          <w:tcPr>
            <w:tcW w:w="42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gridSpan w:val="24"/>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Registrant on December 10, 2021).</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85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Registration Rights Agreement, dated December 10, 2021, by and among the Company, the Sponsor, and certain other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stockholders party thereto (incorporated by reference to Exhibit 10.3 filed with the Form 8-K filed by the Registrant</w:t>
              </w:r>
            </w:hyperlink>
          </w:p>
        </w:tc>
        <w:tc>
          <w:tcPr>
            <w:tcW w:w="1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on December 10, 2021).</w:t>
              </w:r>
            </w:hyperlink>
          </w:p>
        </w:tc>
        <w:tc>
          <w:tcPr>
            <w:tcW w:w="6780" w:type="dxa"/>
            <w:vAlign w:val="bottom"/>
            <w:gridSpan w:val="21"/>
          </w:tcPr>
          <w:p>
            <w:pPr>
              <w:spacing w:after="0"/>
              <w:rPr>
                <w:sz w:val="17"/>
                <w:szCs w:val="17"/>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83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Administrative Support Agreement, dated December 10, 2021, by and between the Company and BurTech LP, LLC</w:t>
              </w:r>
            </w:hyperlink>
          </w:p>
        </w:tc>
        <w:tc>
          <w:tcPr>
            <w:tcW w:w="18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(incorporated by reference to Exhibit 10.4 filed with the Form 8-K filed by the Registrant on J December 10, 2021).</w:t>
              </w:r>
            </w:hyperlink>
          </w:p>
        </w:tc>
        <w:tc>
          <w:tcPr>
            <w:tcW w:w="180" w:type="dxa"/>
            <w:vAlign w:val="bottom"/>
            <w:gridSpan w:val="7"/>
          </w:tcPr>
          <w:p>
            <w:pPr>
              <w:spacing w:after="0"/>
              <w:rPr>
                <w:sz w:val="17"/>
                <w:szCs w:val="17"/>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8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Indemnity Agreement, dated December 10, 2021, by and between the Company and each of its officers and</w:t>
              </w:r>
            </w:hyperlink>
          </w:p>
        </w:tc>
        <w:tc>
          <w:tcPr>
            <w:tcW w:w="1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gridSpan w:val="24"/>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directors (incorporated by reference to Exhibit 10.5 filed with the Form 8-K filed by the Registrant on December 10,</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60" w:type="dxa"/>
            <w:vAlign w:val="bottom"/>
            <w:gridSpan w:val="2"/>
          </w:tcPr>
          <w:p>
            <w:pPr>
              <w:ind w:left="100"/>
              <w:spacing w:after="0" w:line="196" w:lineRule="exact"/>
              <w:rPr>
                <w:rFonts w:ascii="Times New Roman" w:cs="Times New Roman" w:eastAsia="Times New Roman" w:hAnsi="Times New Roman"/>
                <w:sz w:val="18"/>
                <w:szCs w:val="18"/>
                <w:color w:val="0000EE"/>
                <w:w w:val="90"/>
              </w:rPr>
            </w:pPr>
            <w:hyperlink r:id="rId71">
              <w:r>
                <w:rPr>
                  <w:rFonts w:ascii="Times New Roman" w:cs="Times New Roman" w:eastAsia="Times New Roman" w:hAnsi="Times New Roman"/>
                  <w:sz w:val="18"/>
                  <w:szCs w:val="18"/>
                  <w:color w:val="0000EE"/>
                  <w:w w:val="90"/>
                </w:rPr>
                <w:t>2021).</w:t>
              </w:r>
            </w:hyperlink>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7"/>
                <w:szCs w:val="17"/>
                <w:color w:val="auto"/>
              </w:rPr>
            </w:pPr>
          </w:p>
        </w:tc>
        <w:tc>
          <w:tcPr>
            <w:tcW w:w="8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Private Placement Unit Subscription Agreement, dated December 10, 2021, by and between the Company and the</w:t>
              </w:r>
            </w:hyperlink>
          </w:p>
        </w:tc>
        <w:tc>
          <w:tcPr>
            <w:tcW w:w="32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Sponsor (incorporated by reference to Exhibit 10.6 filed with the Form 8-K filed by the Registrant on December 10,</w:t>
              </w:r>
            </w:hyperlink>
          </w:p>
        </w:tc>
        <w:tc>
          <w:tcPr>
            <w:tcW w:w="1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60" w:type="dxa"/>
            <w:vAlign w:val="bottom"/>
            <w:gridSpan w:val="2"/>
          </w:tcPr>
          <w:p>
            <w:pPr>
              <w:ind w:left="100"/>
              <w:spacing w:after="0" w:line="196" w:lineRule="exact"/>
              <w:rPr>
                <w:rFonts w:ascii="Times New Roman" w:cs="Times New Roman" w:eastAsia="Times New Roman" w:hAnsi="Times New Roman"/>
                <w:sz w:val="18"/>
                <w:szCs w:val="18"/>
                <w:color w:val="0000EE"/>
                <w:w w:val="90"/>
              </w:rPr>
            </w:pPr>
            <w:hyperlink r:id="rId72">
              <w:r>
                <w:rPr>
                  <w:rFonts w:ascii="Times New Roman" w:cs="Times New Roman" w:eastAsia="Times New Roman" w:hAnsi="Times New Roman"/>
                  <w:sz w:val="18"/>
                  <w:szCs w:val="18"/>
                  <w:color w:val="0000EE"/>
                  <w:w w:val="90"/>
                </w:rPr>
                <w:t>2021).</w:t>
              </w:r>
            </w:hyperlink>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852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Letter agreement dated April 22, 2024, by and among Blaize, Inc., RT-AI I, LLC and BurTech Acquisition Corp. filed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with the Form 8-K filed by the Registrant on April 26, 2024 as Exhibit 10.1</w:t>
              </w:r>
            </w:hyperlink>
          </w:p>
        </w:tc>
        <w:tc>
          <w:tcPr>
            <w:tcW w:w="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7"/>
                <w:szCs w:val="17"/>
                <w:color w:val="auto"/>
              </w:rPr>
            </w:pPr>
          </w:p>
        </w:tc>
        <w:tc>
          <w:tcPr>
            <w:tcW w:w="852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Letter agreement dated April 22, 2024, by and among Blaize, Inc., AVA Investors SA and BurTech Acquisition Corp.</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filed with the Form 8-K filed by the Registrant on April 26, 2024 as Exhibit 10.2</w:t>
              </w:r>
            </w:hyperlink>
          </w:p>
        </w:tc>
        <w:tc>
          <w:tcPr>
            <w:tcW w:w="2620" w:type="dxa"/>
            <w:vAlign w:val="bottom"/>
            <w:tcBorders>
              <w:top w:val="single" w:sz="8" w:color="0000EE"/>
            </w:tcBorders>
            <w:gridSpan w:val="12"/>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7"/>
                <w:szCs w:val="17"/>
                <w:color w:val="auto"/>
              </w:rPr>
            </w:pPr>
          </w:p>
        </w:tc>
        <w:tc>
          <w:tcPr>
            <w:tcW w:w="8520" w:type="dxa"/>
            <w:vAlign w:val="bottom"/>
            <w:gridSpan w:val="24"/>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Backstop Subscription Agreement, dated April 22, 2024, by and among BurTech Acquisition Corp., Blaize, Inc. and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BurTech LP LLC. filed with the Form 8-K filed by the Registrant on April 26, 2024 as Exhibit 10.3</w:t>
              </w:r>
            </w:hyperlink>
          </w:p>
        </w:tc>
        <w:tc>
          <w:tcPr>
            <w:tcW w:w="14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17"/>
                <w:szCs w:val="17"/>
                <w:color w:val="auto"/>
              </w:rPr>
            </w:pPr>
          </w:p>
        </w:tc>
        <w:tc>
          <w:tcPr>
            <w:tcW w:w="8520" w:type="dxa"/>
            <w:vAlign w:val="bottom"/>
            <w:gridSpan w:val="24"/>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Sponsor Forfeiture Agreement, dated April 22, 2024, by and between BurTech Acquisition Corp. and BurTech LP</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LLC. filed with the Form 8-K filed by the Registrant on April 26, 2024 as Exhibit 10.4</w:t>
              </w:r>
            </w:hyperlink>
          </w:p>
        </w:tc>
        <w:tc>
          <w:tcPr>
            <w:tcW w:w="32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17"/>
                <w:szCs w:val="17"/>
                <w:color w:val="auto"/>
              </w:rPr>
            </w:pPr>
          </w:p>
        </w:tc>
        <w:tc>
          <w:tcPr>
            <w:tcW w:w="80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Amendment to Agreement and Plan of Merger, dated April 22, 2024, by and among BurTech Acquisition Corp.,</w:t>
              </w:r>
            </w:hyperlink>
          </w:p>
        </w:tc>
        <w:tc>
          <w:tcPr>
            <w:tcW w:w="44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gridSpan w:val="2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BurTech Merger Sub Inc., BurTech Merger Sub Inc. and Burkhan Capital LLC. filed with the Form 8-K filed by the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Registrant on April 26, 2024 as Exhibit 10.5</w:t>
              </w:r>
            </w:hyperlink>
          </w:p>
        </w:tc>
        <w:tc>
          <w:tcPr>
            <w:tcW w:w="18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7"/>
                <w:szCs w:val="17"/>
                <w:color w:val="auto"/>
              </w:rPr>
            </w:pPr>
          </w:p>
        </w:tc>
        <w:tc>
          <w:tcPr>
            <w:tcW w:w="84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Code of Ethics (incorporated by reference to Exhibit 14.1 filed with the Registration Statement on Form S-1</w:t>
              </w:r>
            </w:hyperlink>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gridSpan w:val="24"/>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filed by the Registrant on November 19, 2021)</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7"/>
                <w:szCs w:val="17"/>
                <w:color w:val="auto"/>
              </w:rPr>
            </w:pP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w:t>
            </w: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 Sarbanes-Oxley Act of 2002.</w:t>
            </w:r>
          </w:p>
        </w:tc>
        <w:tc>
          <w:tcPr>
            <w:tcW w:w="234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7"/>
                <w:szCs w:val="17"/>
                <w:color w:val="auto"/>
              </w:rPr>
            </w:pPr>
          </w:p>
        </w:tc>
        <w:tc>
          <w:tcPr>
            <w:tcW w:w="84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w:t>
            </w:r>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 Sarbanes-Oxley Act of 2002.</w:t>
            </w:r>
          </w:p>
        </w:tc>
        <w:tc>
          <w:tcPr>
            <w:tcW w:w="2400" w:type="dxa"/>
            <w:vAlign w:val="bottom"/>
            <w:gridSpan w:val="14"/>
          </w:tcPr>
          <w:p>
            <w:pPr>
              <w:spacing w:after="0"/>
              <w:rPr>
                <w:sz w:val="17"/>
                <w:szCs w:val="17"/>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82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Pursuant to 18 U.S.C. Section 1350, as</w:t>
            </w:r>
          </w:p>
        </w:tc>
        <w:tc>
          <w:tcPr>
            <w:tcW w:w="28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3540" w:type="dxa"/>
            <w:vAlign w:val="bottom"/>
            <w:gridSpan w:val="17"/>
          </w:tcPr>
          <w:p>
            <w:pPr>
              <w:spacing w:after="0"/>
              <w:rPr>
                <w:sz w:val="17"/>
                <w:szCs w:val="17"/>
                <w:color w:val="auto"/>
              </w:rPr>
            </w:pPr>
          </w:p>
        </w:tc>
      </w:tr>
      <w:tr>
        <w:trPr>
          <w:trHeight w:val="196"/>
        </w:trPr>
        <w:tc>
          <w:tcPr>
            <w:tcW w:w="12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97.1*</w:t>
            </w:r>
          </w:p>
        </w:tc>
        <w:tc>
          <w:tcPr>
            <w:tcW w:w="100" w:type="dxa"/>
            <w:vAlign w:val="bottom"/>
          </w:tcPr>
          <w:p>
            <w:pPr>
              <w:spacing w:after="0"/>
              <w:rPr>
                <w:sz w:val="17"/>
                <w:szCs w:val="17"/>
                <w:color w:val="auto"/>
              </w:rPr>
            </w:pPr>
          </w:p>
        </w:tc>
        <w:tc>
          <w:tcPr>
            <w:tcW w:w="12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Clawback Policy</w:t>
            </w:r>
          </w:p>
        </w:tc>
        <w:tc>
          <w:tcPr>
            <w:tcW w:w="7300" w:type="dxa"/>
            <w:vAlign w:val="bottom"/>
            <w:gridSpan w:val="22"/>
          </w:tcPr>
          <w:p>
            <w:pPr>
              <w:spacing w:after="0"/>
              <w:rPr>
                <w:sz w:val="17"/>
                <w:szCs w:val="17"/>
                <w:color w:val="auto"/>
              </w:rPr>
            </w:pPr>
          </w:p>
        </w:tc>
      </w:tr>
      <w:tr>
        <w:trPr>
          <w:trHeight w:val="232"/>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0"/>
                <w:szCs w:val="20"/>
                <w:color w:val="auto"/>
              </w:rPr>
            </w:pPr>
          </w:p>
        </w:tc>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0"/>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9"/>
                <w:szCs w:val="19"/>
                <w:color w:val="auto"/>
              </w:rPr>
            </w:pPr>
          </w:p>
        </w:tc>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9"/>
                <w:szCs w:val="19"/>
                <w:color w:val="auto"/>
              </w:rPr>
            </w:pPr>
          </w:p>
        </w:tc>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101.DEF</w:t>
            </w:r>
          </w:p>
        </w:tc>
        <w:tc>
          <w:tcPr>
            <w:tcW w:w="100" w:type="dxa"/>
            <w:vAlign w:val="bottom"/>
          </w:tcPr>
          <w:p>
            <w:pPr>
              <w:spacing w:after="0"/>
              <w:rPr>
                <w:sz w:val="19"/>
                <w:szCs w:val="19"/>
                <w:color w:val="auto"/>
              </w:rPr>
            </w:pPr>
          </w:p>
        </w:tc>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9"/>
                <w:szCs w:val="19"/>
                <w:color w:val="auto"/>
              </w:rPr>
            </w:pPr>
          </w:p>
        </w:tc>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34"/>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101.PRE</w:t>
            </w:r>
          </w:p>
        </w:tc>
        <w:tc>
          <w:tcPr>
            <w:tcW w:w="100" w:type="dxa"/>
            <w:vAlign w:val="bottom"/>
          </w:tcPr>
          <w:p>
            <w:pPr>
              <w:spacing w:after="0"/>
              <w:rPr>
                <w:sz w:val="20"/>
                <w:szCs w:val="20"/>
                <w:color w:val="auto"/>
              </w:rPr>
            </w:pPr>
          </w:p>
        </w:tc>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80" w:hanging="1013"/>
        <w:spacing w:after="0"/>
        <w:tabs>
          <w:tab w:leader="none" w:pos="1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-187960</wp:posOffset>
            </wp:positionV>
            <wp:extent cx="15684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48"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of 1934, the registrant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BURTECH ACQUISITION CORP.</w:t>
            </w:r>
          </w:p>
        </w:tc>
      </w:tr>
      <w:tr>
        <w:trPr>
          <w:trHeight w:val="46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2024</w:t>
            </w:r>
          </w:p>
        </w:tc>
        <w:tc>
          <w:tcPr>
            <w:tcW w:w="27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211"/>
        </w:trPr>
        <w:tc>
          <w:tcPr>
            <w:tcW w:w="3220" w:type="dxa"/>
            <w:vAlign w:val="bottom"/>
          </w:tcPr>
          <w:p>
            <w:pPr>
              <w:spacing w:after="0"/>
              <w:rPr>
                <w:sz w:val="18"/>
                <w:szCs w:val="18"/>
                <w:color w:val="auto"/>
              </w:rPr>
            </w:pPr>
          </w:p>
        </w:tc>
        <w:tc>
          <w:tcPr>
            <w:tcW w:w="27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3220" w:type="dxa"/>
            <w:vAlign w:val="bottom"/>
          </w:tcPr>
          <w:p>
            <w:pPr>
              <w:spacing w:after="0"/>
              <w:rPr>
                <w:sz w:val="20"/>
                <w:szCs w:val="20"/>
                <w:color w:val="auto"/>
              </w:rPr>
            </w:pPr>
          </w:p>
        </w:tc>
        <w:tc>
          <w:tcPr>
            <w:tcW w:w="27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53"/>
        </w:trPr>
        <w:tc>
          <w:tcPr>
            <w:tcW w:w="20" w:type="dxa"/>
            <w:vAlign w:val="bottom"/>
          </w:tcPr>
          <w:p>
            <w:pPr>
              <w:spacing w:after="0"/>
              <w:rPr>
                <w:sz w:val="24"/>
                <w:szCs w:val="24"/>
                <w:color w:val="auto"/>
              </w:rPr>
            </w:pPr>
          </w:p>
        </w:tc>
        <w:tc>
          <w:tcPr>
            <w:tcW w:w="2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Shahal Khan</w:t>
            </w:r>
          </w:p>
        </w:tc>
        <w:tc>
          <w:tcPr>
            <w:tcW w:w="240" w:type="dxa"/>
            <w:vAlign w:val="bottom"/>
          </w:tcPr>
          <w:p>
            <w:pPr>
              <w:spacing w:after="0"/>
              <w:rPr>
                <w:sz w:val="24"/>
                <w:szCs w:val="24"/>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40" w:type="dxa"/>
            <w:vAlign w:val="bottom"/>
          </w:tcPr>
          <w:p>
            <w:pPr>
              <w:spacing w:after="0"/>
              <w:rPr>
                <w:sz w:val="24"/>
                <w:szCs w:val="24"/>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7, 2024</w:t>
            </w: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Shahal Khan</w:t>
            </w:r>
          </w:p>
        </w:tc>
        <w:tc>
          <w:tcPr>
            <w:tcW w:w="240" w:type="dxa"/>
            <w:vAlign w:val="bottom"/>
          </w:tcPr>
          <w:p>
            <w:pPr>
              <w:spacing w:after="0"/>
              <w:rPr>
                <w:sz w:val="20"/>
                <w:szCs w:val="20"/>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Roman Livson</w:t>
            </w:r>
          </w:p>
        </w:tc>
        <w:tc>
          <w:tcPr>
            <w:tcW w:w="24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2024</w:t>
            </w: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Roman Livson</w:t>
            </w:r>
          </w:p>
        </w:tc>
        <w:tc>
          <w:tcPr>
            <w:tcW w:w="240" w:type="dxa"/>
            <w:vAlign w:val="bottom"/>
          </w:tcPr>
          <w:p>
            <w:pPr>
              <w:spacing w:after="0"/>
              <w:rPr>
                <w:sz w:val="20"/>
                <w:szCs w:val="20"/>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Isaac Chetrit</w:t>
            </w:r>
          </w:p>
        </w:tc>
        <w:tc>
          <w:tcPr>
            <w:tcW w:w="24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2024</w:t>
            </w:r>
          </w:p>
        </w:tc>
      </w:tr>
      <w:tr>
        <w:trPr>
          <w:trHeight w:val="234"/>
        </w:trPr>
        <w:tc>
          <w:tcPr>
            <w:tcW w:w="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Isaac Chetrit</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Leon Golden</w:t>
            </w:r>
          </w:p>
        </w:tc>
        <w:tc>
          <w:tcPr>
            <w:tcW w:w="24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2024</w:t>
            </w:r>
          </w:p>
        </w:tc>
      </w:tr>
      <w:tr>
        <w:trPr>
          <w:trHeight w:val="234"/>
        </w:trPr>
        <w:tc>
          <w:tcPr>
            <w:tcW w:w="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Leon Golden</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Young</w:t>
            </w:r>
          </w:p>
        </w:tc>
        <w:tc>
          <w:tcPr>
            <w:tcW w:w="24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2024</w:t>
            </w: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Scott Young</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Joseph Porrello</w:t>
            </w:r>
          </w:p>
        </w:tc>
        <w:tc>
          <w:tcPr>
            <w:tcW w:w="240" w:type="dxa"/>
            <w:vAlign w:val="bottom"/>
          </w:tcPr>
          <w:p>
            <w:pPr>
              <w:spacing w:after="0"/>
              <w:rPr>
                <w:sz w:val="24"/>
                <w:szCs w:val="24"/>
                <w:color w:val="auto"/>
              </w:rPr>
            </w:pPr>
          </w:p>
        </w:tc>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2024</w:t>
            </w:r>
          </w:p>
        </w:tc>
      </w:tr>
      <w:tr>
        <w:trPr>
          <w:trHeight w:val="23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Porrello</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900" w:type="dxa"/>
            <w:vAlign w:val="bottom"/>
            <w:gridSpan w:val="7"/>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BURTECH ACQUISITION CORP. AND SUBSIDIARY</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00" w:type="dxa"/>
            <w:vAlign w:val="bottom"/>
            <w:gridSpan w:val="7"/>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80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Firm ID: 688)</w:t>
            </w:r>
          </w:p>
        </w:tc>
        <w:tc>
          <w:tcPr>
            <w:tcW w:w="164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860" w:type="dxa"/>
            <w:vAlign w:val="bottom"/>
            <w:tcBorders>
              <w:top w:val="single" w:sz="8" w:color="CCEEFF"/>
            </w:tcBorders>
            <w:gridSpan w:val="5"/>
          </w:tcPr>
          <w:p>
            <w:pPr>
              <w:spacing w:after="0"/>
              <w:rPr>
                <w:sz w:val="19"/>
                <w:szCs w:val="19"/>
                <w:color w:val="auto"/>
              </w:rPr>
            </w:pPr>
          </w:p>
        </w:tc>
        <w:tc>
          <w:tcPr>
            <w:tcW w:w="1640" w:type="dxa"/>
            <w:vAlign w:val="bottom"/>
            <w:tcBorders>
              <w:top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164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2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as of December 31, 2023 and 2022</w:t>
            </w:r>
          </w:p>
        </w:tc>
        <w:tc>
          <w:tcPr>
            <w:tcW w:w="164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Deficit as of December 31, 2023 and 2022</w:t>
            </w:r>
          </w:p>
        </w:tc>
        <w:tc>
          <w:tcPr>
            <w:tcW w:w="84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080" w:type="dxa"/>
            <w:vAlign w:val="bottom"/>
            <w:gridSpan w:val="9"/>
          </w:tcPr>
          <w:p>
            <w:pPr>
              <w:ind w:left="26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as of December 31, 2023 and 2022</w:t>
            </w:r>
          </w:p>
        </w:tc>
        <w:tc>
          <w:tcPr>
            <w:tcW w:w="164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080" w:type="dxa"/>
            <w:vAlign w:val="bottom"/>
            <w:gridSpan w:val="9"/>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4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F-7 to F-26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100" w:type="dxa"/>
            <w:vAlign w:val="bottom"/>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gridSpan w:val="5"/>
          </w:tcPr>
          <w:p>
            <w:pPr>
              <w:ind w:left="520"/>
              <w:spacing w:after="0"/>
              <w:rPr>
                <w:sz w:val="20"/>
                <w:szCs w:val="20"/>
                <w:color w:val="auto"/>
              </w:rPr>
            </w:pPr>
            <w:r>
              <w:rPr>
                <w:rFonts w:ascii="Times New Roman" w:cs="Times New Roman" w:eastAsia="Times New Roman" w:hAnsi="Times New Roman"/>
                <w:sz w:val="18"/>
                <w:szCs w:val="18"/>
                <w:color w:val="auto"/>
              </w:rPr>
              <w:t>F-1</w:t>
            </w:r>
          </w:p>
        </w:tc>
        <w:tc>
          <w:tcPr>
            <w:tcW w:w="164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 and Subsidiary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BurTech Acquisition Corp. and Subsidiary (the “Company”) as of December 31, 2023 and 2022, the related consolidated statements of operations,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described in Note 1 to the financial statements, the Company is a Special Purpose Acquisition Corporation that was formed for the purpose of completing a merger, capital stock exchange, asset acquisition, stock purchase, reorganization or similar business combination with one or more businesses or entities on or before December 15, 2024. The Company entered into a definitive business combination agreement with a business combination target on December 22, 2023; however, the completion of this transaction is subject to the approval of the Company’s stockholders among other conditions. There is no assurance that the Company will obtain the necessary approvals, satisfy the required closing conditions, raise the additional capital it needs to fund its operations, and complete the transaction prior to December 15, 2024, if at all. The Company also has no approved plan in place to extend the business combination deadline and fund operations for any period of time after December 15, 2024, in the event that it is unable to complete a business combination by that date. These matters raise substantial doubt about the Company’s ability to continue as a going concern. Management’s plans with regard to these matters are also described in Note 1. The financial statements do not include any adjustments that may be necessary should the Company be unable to continue as a going concern.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Trust Account - Restricted for Redeeming Shareholders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25,701,203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46,893,175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295,802,694</w:t>
            </w:r>
          </w:p>
        </w:tc>
        <w:tc>
          <w:tcPr>
            <w:tcW w:w="0" w:type="dxa"/>
            <w:vAlign w:val="bottom"/>
          </w:tcPr>
          <w:p>
            <w:pPr>
              <w:spacing w:after="0"/>
              <w:rPr>
                <w:sz w:val="1"/>
                <w:szCs w:val="1"/>
                <w:color w:val="auto"/>
              </w:rPr>
            </w:pPr>
          </w:p>
        </w:tc>
      </w:tr>
      <w:tr>
        <w:trPr>
          <w:trHeight w:val="25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296,011,458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2,123,846</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Redeemed stock payable to public stockholders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2,523,150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31,378,675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41,441,175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11,359,210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4,345,663 and 28,750,000 shares at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value of approximately $10.81 and $10.25 as of December 31, 2023 and 2022,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46,991,932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294,796,918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10,817,000 and</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1,329,500 shares issued and outstanding (excluding 2,285,040 shares to be redeemed as of</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2023 and excluding 4,345,663 and 28,750,000 shares subject to possible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 as of December 31, 2023 and 2022, respectively</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0 and 9,487,500 shares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December 31, 2023 and 2022, respectively</w:t>
            </w:r>
          </w:p>
        </w:tc>
        <w:tc>
          <w:tcPr>
            <w:tcW w:w="1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(15,839,811)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(15,838,729)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(10,144,670)</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296,011,458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3,040,539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344,271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(3,384,810)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(1,523,929)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 earned on Trust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5,751,596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5,751,596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(1,027,644)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1,339,142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A common stock subject to redemption, basic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10,578,271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stock, Class A subject to redemption</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of non-redeemable Class A common stock, basic and diluted</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1,803,670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1,329,500</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stock, non-redeemable Class A</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6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of Class B common stock, basic and diluted</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9,071,610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B common stock</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BURTECH ACQUISITION CORP. AND SUBSIDIARY CONSOLIDATED STATEMENTS OF CHANGES IN STOCKHOLDERS’ DEFICIT FOR THE YEAR ENDED DECEMBER 31,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0" w:type="dxa"/>
            <w:vAlign w:val="bottom"/>
          </w:tcPr>
          <w:p>
            <w:pPr>
              <w:spacing w:after="0"/>
              <w:rPr>
                <w:sz w:val="13"/>
                <w:szCs w:val="13"/>
                <w:color w:val="auto"/>
              </w:rPr>
            </w:pP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4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60" w:type="dxa"/>
            <w:vAlign w:val="bottom"/>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(8,834,941)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(8,833,859)</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(2,984,418)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(2,984,418)</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1,673,607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1,673,607</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1,329,500</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(10,145,752)</w:t>
            </w:r>
          </w:p>
        </w:tc>
        <w:tc>
          <w:tcPr>
            <w:tcW w:w="1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(10,144,670)</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to Class A Shares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(9,487,500)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Stockholder Non-Redemption Agreement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Non-Redemption Agreement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Excise tax liability arising from redemption of Class A</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(2,523,150)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(2,523,150)</w:t>
            </w:r>
          </w:p>
        </w:tc>
        <w:tc>
          <w:tcPr>
            <w:tcW w:w="0" w:type="dxa"/>
            <w:vAlign w:val="bottom"/>
          </w:tcPr>
          <w:p>
            <w:pPr>
              <w:spacing w:after="0"/>
              <w:rPr>
                <w:sz w:val="1"/>
                <w:szCs w:val="1"/>
                <w:color w:val="auto"/>
              </w:rPr>
            </w:pPr>
          </w:p>
        </w:tc>
      </w:tr>
      <w:tr>
        <w:trPr>
          <w:trHeight w:val="20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(4,510,051)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(4,510,051)</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1,339,142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1,339,142</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10,817,000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1,082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(15,839,811)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(15,838,729)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1,339,142</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(5,751,596)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Franchise tax payable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related party</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(2,335,341)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(130,370)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withdrawn from Trust Account used to pay franchise and income taxes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227,776,035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230,122,112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of note payable-related party</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(227,776,035)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(226,965,690)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821,081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restricted cash, beginning of the year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year</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843,313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791,758</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Excise tax liability arising from redemption of Class A shares</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2,523,150</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Accretion of Class A common stock subject to possible redemption</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4,510,051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2,984,418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Beginning of Year</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Cash and Restricted Cash – Beginning of Year</w:t>
            </w: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22,232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1,539,548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 End of Year</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and Restricted Cash – End of Year</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843,313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wholly owned inactive subsidiary, Burtech Merger Sub Inc. (the “Merger Sub”), a Delaware corporation, formed on December 6,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March 2, 2021 (inception) through December 31, 2023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sponsor is BurTech LP LLC, (the “Sponsor”).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10, 2023, the Company and Sponsor entered into a non-redemption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2023, the Company’s non-binding letter of intent for a potential business combination with CleanBay Renewables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 Following thorough initial negotiations, the Company has chosen not to pursue the business combination.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March 12, 2024 and April 10, 2024, the Sponsor deposited $130,370 on each date into the Trust account to extend the life of the Company from January 15, 2024 to May 15, 2024.</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$843,313 in its restricted cash account and $71,432,177 in investments held in trust. Restricted cash is held exclusively for payment of current tax liabilities. The investments held in trust are to be used for Business Combination or to repurchase or redeem its Public shares, which includes $24,539,002 restricted to pay its current redemption liability. As of December 31, 2023, $5,751,596 of the amount on deposit in the Trust Account represents interest income.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liquidity needs up to December 31, 2023 had been satisfied through a payment from our sponsor of $25,000 for the Founder Shares to cover certain offering costs, the loan under an unsecured promissory note from the Sponsor of $810,345 and the net proceeds from the consummation of the Initial Public Offering held outside of the trust account. As of December 31, 2023, the Company had $810,345 outstanding under a Convertible Promissory Note. As of December 31, 2023, no working capital loans were outstanding.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less than 7 months from its mandatory liquidation as of the time of filing this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consolidated financial statements are issued.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consolidated financial statements do not include any adjustments relating to the recovery of the recorded assets or the classification of the liabilities that might be necessary should the Company be unable to continue as a going concern.</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due from sponsor and trust payable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Trust agreement, the Company is permitted to withdraw funds from the trust account to pay its tax obligations, including income and franchise taxes. During the year ended December 31, 2023, the Company withdrew $1,162,201 from the trust account for the purposes of settling its current tax liabilities. However, the Company identified that $318,888 was erroneously withdrawn from the trust account and used for operating expenses during the year, which is not a permitted use of the trust funds per the trust agreement. As a result, the Company recorded a receivable due from the sponsor and related payable to the trust for this amount. The receivable reflects the amount due to be reimbursed to the trust account from the sponsor for the funds used for operating expenses. The sponsor has committed to reimburse the Company for this amount, ensuring that the trust account will be made whole. As of December 31, 2023, the balance of this withdrawal is included in restricted cash in the amount of $843,313 on the accompanying balance sheet, which represents the amounts withheld from the trust account available exclusively for payment of current tax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 is presented in conformity with accounting principles generally accepted in the United States of America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One of the more significant accounting estimates included in these consolidated financial statements is the determination of fair value of the warrant liabilities. Such estimates may be subject to change as more current information becomes available and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December 31, 2023 and 2022, the Company had $0 and $22,232 in cash, respectively, and no cash equivalents. At December 31, 2023 and 2022, the Company also had $843,313 and $0 of restricted cash, respectively, related to funds withdrawn from the Trust Account reserved to the payment of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2023 and 2022, the Company had $71,432,177 (as of December 31, 2023, $24,539,002 of this amount was restricted for redeeming shareholders, which were redeemed in December 2023 and subsequently distributed in January 2024.) and $295,802,694 ,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December 31, 2023 and 2022, 4,345,663 and 28,750,000 Class A common stock subject to possible redemption are presented at redemption value as temporary equity, outside of the stockholders’ deficit section of the Company’s balance sheets,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December 31, 2023 and 2022, the Company's deferred tax asset had a full valuation allowance recorded against 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year ended December 31, 2023 and 2022 because the warrants are contingently exercisable, and the contingencies have not yet been met and its inclusion would be anti- dilutive. As a result, diluted net income per common stock is the same as basic net income per common stock for the periods. The table below presents a reconciliation of the numerator and denominator used to compute basic and diluted net income per share for each class of common stock:</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4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60" w:type="dxa"/>
            <w:vAlign w:val="bottom"/>
          </w:tcPr>
          <w:p>
            <w:pPr>
              <w:spacing w:after="0"/>
              <w:rPr>
                <w:sz w:val="10"/>
                <w:szCs w:val="10"/>
                <w:color w:val="auto"/>
              </w:rPr>
            </w:pPr>
          </w:p>
        </w:tc>
        <w:tc>
          <w:tcPr>
            <w:tcW w:w="10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40" w:type="dxa"/>
            <w:vAlign w:val="bottom"/>
          </w:tcPr>
          <w:p>
            <w:pPr>
              <w:spacing w:after="0"/>
              <w:rPr>
                <w:sz w:val="10"/>
                <w:szCs w:val="10"/>
                <w:color w:val="auto"/>
              </w:rPr>
            </w:pPr>
          </w:p>
        </w:tc>
        <w:tc>
          <w:tcPr>
            <w:tcW w:w="10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660,301</w:t>
            </w:r>
          </w:p>
        </w:tc>
        <w:tc>
          <w:tcPr>
            <w:tcW w:w="3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1,216,069</w:t>
            </w:r>
          </w:p>
        </w:tc>
        <w:tc>
          <w:tcPr>
            <w:tcW w:w="3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common stock subject to</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10,578,271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1,803,670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9,071,610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3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3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December 31, 2023 and 2022, the Company had not experienced losses on this account and management believes the Company is not exposed to significant risks on such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ind w:left="680" w:hanging="321"/>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fair value measurement are unobservable inputs, such as estimates, assumptions, and valuation techniques when little or no market data exists for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Classification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December 31, 2023.</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(“ASU 2016-13”). </w:t>
      </w:r>
      <w:r>
        <w:rPr>
          <w:rFonts w:ascii="Times New Roman" w:cs="Times New Roman" w:eastAsia="Times New Roman" w:hAnsi="Times New Roman"/>
          <w:sz w:val="18"/>
          <w:szCs w:val="18"/>
          <w:color w:val="auto"/>
        </w:rPr>
        <w:t>This update requires financial assets measured at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w:t>
      </w:r>
    </w:p>
    <w:p>
      <w:pPr>
        <w:sectPr>
          <w:pgSz w:w="11900" w:h="16838" w:orient="portrait"/>
          <w:cols w:equalWidth="0" w:num="1">
            <w:col w:w="9920"/>
          </w:cols>
          <w:pgMar w:left="980" w:top="513"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interim periods within those fiscal years, with early adoption permitted. The Company adopted ASU 2016-13 on January 1, 2023. The adoption of ASU 2016-13 did not have a material impact on its consolidated financial statements.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common stock subject to redemption reflected on the balance sheet are reconciled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January 1, 2022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291,812,500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2,984,418</w:t>
            </w: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294,796,918</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1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(252,315,037)</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1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4,510,051</w:t>
            </w:r>
          </w:p>
        </w:tc>
      </w:tr>
      <w:tr>
        <w:trPr>
          <w:trHeight w:val="210"/>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46,991,932</w:t>
            </w:r>
          </w:p>
        </w:tc>
      </w:tr>
      <w:tr>
        <w:trPr>
          <w:trHeight w:val="20"/>
        </w:trPr>
        <w:tc>
          <w:tcPr>
            <w:tcW w:w="6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during the year ended December 31, 2023 an excess of $318,888 was erroneously withdrawn from the interest earned in the Trust Account for operating expenses. As of December 31, 2023, the Company recorded a receivable due from the sponsor to reimburse the Trust Account for these funds used for operating expenses.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December 31, 2023 and 2022, the Company incurred $120,000 and $112,903 for the administrative service fees, respectively, of which $60,000 and $0 are recorded as accrued expenses in the balance sheets,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December 31, 2023, $810,345 in working capital loans were outstanding. As of December 31, 2022, no working capital loans were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Non-Redeeming Stockholders not to redeem the Non-Redeemed Shares, with a corresponding charge to additional paid-in capital to recognize the fair value of the Founder Shares subject to transfer as an offering cost.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 (the “IR Act”)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5" w:lineRule="exact"/>
        <w:rPr>
          <w:sz w:val="20"/>
          <w:szCs w:val="20"/>
          <w:color w:val="auto"/>
        </w:rPr>
      </w:pPr>
    </w:p>
    <w:p>
      <w:pPr>
        <w:jc w:val="both"/>
        <w:ind w:firstLine="8"/>
        <w:spacing w:after="0" w:line="253" w:lineRule="auto"/>
        <w:tabs>
          <w:tab w:leader="none" w:pos="3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current status and probability of completing a Business Combination as of December 31, 2023 and concluded that it is probable that a contingent liability should be recorded. As of December 31, 2023, the Company recorded $2,523,150 of excise tax liability calculated as 1% of shares redeemed on March 10, 2023 and December 15,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(the “Merger Agreement”) by and among the Company, BurTech Merger Sub Inc., a Delaware corporation and a direct, wholly owned subsidiary of the Company (“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Support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“Lock-up Agreements”)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reorganizations, recapitalizations and the like) for any 20 trading days within any 30-trading day period commencing at least 150 days after the Closing and (y) the liquidation of New Blaize.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the Merger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22,2024, the Company entered into an amendment of its Merger Agreement which modified certain terms and conditions as follows:</w:t>
      </w:r>
    </w:p>
    <w:p>
      <w:pPr>
        <w:spacing w:after="0" w:line="162" w:lineRule="exact"/>
        <w:rPr>
          <w:sz w:val="20"/>
          <w:szCs w:val="20"/>
          <w:color w:val="auto"/>
        </w:rPr>
      </w:pPr>
    </w:p>
    <w:p>
      <w:pPr>
        <w:ind w:left="680" w:right="2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which modified its convertible note financing and certain lock-up provisions which will exist in the closing of the Company’s Business Combination.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in connection with its convertible note financing subject to funding conditions which will exist in the closing of the Company’s Business Combination.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 entered into an additional letter agreement, under which the Sponsor agreed to forfeit 2,000,000 Company Shares to be effective immediately prior to the closing of the Business Combination.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Amendment also revised the aggregate reserve size under the Equity Incentive Plan and ESPP to 20% and the evergreen percentage for the Equity Incentive Plan to 7%.</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Merger Sub, Blaize and Burkhan amended the Agreement and Plan of Merger, amending the original Merger Agreement to make the following adjustments:</w:t>
      </w:r>
    </w:p>
    <w:p>
      <w:pPr>
        <w:spacing w:after="0" w:line="162"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Base Purchase Price from $700 million to $767 million.</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the Blaize Note Financing and the Blaize Warrant Financing constitute a Company Financing for all purposes of the Merger Agreement.</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“Base Merger Consideration”, which is the product of (a) the number of shares of the Excluded Company Stock multiplied by (b) the Per Company Share Merger Consideration.</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w:t>
      </w:r>
    </w:p>
    <w:p>
      <w:pPr>
        <w:spacing w:after="0" w:line="175" w:lineRule="exact"/>
        <w:rPr>
          <w:rFonts w:ascii="Times New Roman" w:cs="Times New Roman" w:eastAsia="Times New Roman" w:hAnsi="Times New Roman"/>
          <w:sz w:val="18"/>
          <w:szCs w:val="18"/>
          <w:color w:val="auto"/>
        </w:rPr>
      </w:pPr>
    </w:p>
    <w:p>
      <w:pPr>
        <w:jc w:val="both"/>
        <w:ind w:left="1300" w:right="20" w:hanging="320"/>
        <w:spacing w:after="0" w:line="261"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definition of “Proportionate Shares Number,” which means (a) 325,000 Company Shares multiplied by (b.) the Cash Ratio; (viii) Added a closing condition for the benefit of Blaize requiring that the sum of the Trust Amount plus the amount of funds received pursuant to the Backstop Subscription Agreement shall be no less than the Backstop Amount.</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Underwriting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and 2022, there were no shares of preferred stock issued or outstanding.</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280,000,000 shares of Class A common stock with a par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December 31, 2023 and 2022, there were 10,817,000 and 1,329,500 shares issued and outstanding (excluding 2,285,040 shares to be redeemed as of December 31, 2023 and excluding 4,345,663 and 28,750,000 shares subject to possible redemption) as of December 31, 2023 and 2022, respectively.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10, 2023, the Company’s stockholders redeemed 22,119,297 shares at approximately $10.30 per share.</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20,000,000 shares of Class B common stock with a par value of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December 31, 2023 and 2022, there were 0 and 9,487,500 shares of Class B common stock issued and outstanding,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225"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deferred tax assets (liability) at December 31, 2023 and 2022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475,133</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(475,133)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(liability), net of allowance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2023 and 2022 consists of the following:</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187,264</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1,027,644</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$0, respectively, of U.S. federal operating loss carryovers available to offset future taxable income, which do not expire.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the realization of the deferred tax assets (liability), management considers whether it is more likely than not that some portion of all of the deferred tax assets will not be realized. The ultimate realization of deferred tax assets (liability) is dependent upon the generation of future taxable income during the periods in which temporary differences representing net future deductible amounts become deductible. Management considers the scheduled reversal of deferred tax assets (liability), projected future taxable income and tax planning strategies in making this assessment. After consideration of all of the information available, management believes that significant uncertainty exists with respect to future realization of the deferred tax assets (liability) and has therefore established a full valuation allowance. For the year ended December 31, 2023, the change in the valuation allowance was $187,264. For the year ended December 31, 2022, the change in the valuation allowance was $274,031.</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43.4% and 32.1% for the year ended December 31, 2023 and 2022, respectively. The effective tax rate differs from the statutory tax rate of 21% due to the valuation allowance on the deferred tax assets and deductibility of penalties on tax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2023 and 2022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r>
      <w:tr>
        <w:trPr>
          <w:trHeight w:val="20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Fines and Penalties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11.1 %</w:t>
            </w: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is subject to examination since inception.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December 31, 2023 and 2022 and indicates the fair value hierarchy of the valuation techniques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71,432,177</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71,432,177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295,802,694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295,802,694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295,802,694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295,802,694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F-25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consolidated financial statements were issued. Based upon this review, the Company did not identify any subsequent events, other than below, that would have required adjustment or disclosure in the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16, 2024, February 9, 2024, March 12, 2024 and April 10, 2024, as disclosed in Note 1, the Sponsor deposited $130,370 on each date into the Trust account to extend the life of the Company from January 15, 2024 to May 15,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22, 2024, as disclosed in Note 6, the Company amended its Merger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26, 2024, as disclosed in Note 6, the Company amended its 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26, 2024, as disclosed in Note 1, the Company received confirmation of compliance from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7, 2024, BurTech Acquisition Corp. 15,162,658 shares of Class A common stock, par value $0.0001 per share, and five shares of Class B common stock, par value $0.0001 per share, issued and outstanding. We have three classes of securities registered under Section 12 of the Securities Exchange Act of 1934, as amended (the “Exchange Act”): (1) our units; (2) our common stock; and (3) our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units, common stock, and warrants is a summary and does not purport to be complete. It is subject to and qualified in its entirety by reference to our Second Amended and Restated Certificate of Incorporation, which is incorporated by reference as an exhibit to the Annual Report on Form 10-K of which this Exhibit 4.5 is a part.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Terms not otherwise defined herein shall have the meaning assigned to them in the Annual Report on Form 10-K of which this Exhibit 4.5 is a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unit has an offering price of $10.00 and consists of one share of Class A common stock and one redeemable warrant. Each warrant entitles the holder to purchase one share of common stock. Pursuant to the warrant agreement, a warrant holder may exercise his, her or its warrants only for a whole number of shares of common stock. No fractional warrants will be issued upon separation of the units and only whole warrants will trade.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warrants comprising the units began separate trading on January 31, 2022.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placement units are identical to the units sold in the initial public offering except that the placement units and their component securities will not be transferable, assignable or salable until 30 days after the consummation of our initial business combination except to permitted transferees, and will be entitled to registration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15,162,663 shares of our common stock outstanding including:</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15,162,658 shares of our Class A common stock underlying the units sold in the initial public offering and the private placement;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 shares of our Class A common stock issued to the representative of the underwriters;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shares of our Class B common stock held by our initial stockholders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sponsor has purchased an aggregate of 898.250 placement units at a price of $10.00 per unit, for an aggregate purchase price of $8,982,500. The initial stockholders will hold an aggregate of approximately 26.6% of the issued and outstanding common stock following the offering and the expiration of the underwriters’ over-allotment option (including the placement shares to be issued to the sponsor, excluding representative shares and assuming they do not purchase any units in the initial public offering or the public market). Our initial stockholders hold 24.81% of the issued and outstanding shares of our common stock (excluding the shares of Class A common stock issued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4" w:name="page75"/>
    <w:bookmarkEnd w:id="74"/>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 or its designees, the placement units and underlying securities of the foregoing and assuming they do not purchase any units in the initial public offering) upon the consummation of the initial public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our stockholders,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our amended and restated certificate of incorporation authorizes the issuance of up to 280,000,000 shares of Class A common stock, if we were to enter into an initial business combination, we may (depending on the terms of such an initial business combination) be required to increase the number of shares of Class A common stock which we are authorized to issue at the same time as our stockholders vote on the initial business combination to the extent we seek stockholder approval in connection with our initial business combination.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$10.15 per public share.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will agree to waive their redemption rights with respect to any founder shares and placement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requirements,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requirements,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jc w:val="both"/>
        <w:spacing w:after="0" w:line="252" w:lineRule="auto"/>
        <w:rPr>
          <w:sz w:val="20"/>
          <w:szCs w:val="20"/>
          <w:color w:val="auto"/>
        </w:rPr>
      </w:pPr>
      <w:r>
        <w:rPr>
          <w:rFonts w:ascii="Times New Roman" w:cs="Times New Roman" w:eastAsia="Times New Roman" w:hAnsi="Times New Roman"/>
          <w:sz w:val="18"/>
          <w:szCs w:val="18"/>
          <w:color w:val="auto"/>
        </w:rPr>
        <w:t>majority of the voting power of all outstanding shares of capital stock of the company entitled to vote at such meeting. The underwriters will have the same redemption rights as a public stockholder with respect to any public shares it acquires. The representative has informed us that it has no current commitments, plans or intentions to acquire any public shares for its own account; however, if they do acquire public shares, it will do so in the ordinary course of business or in the types of transaction described in the first paragraph under “Proposed Business — Effecting our Initial Business Combination — Permitted purchases of our securities.” The underwriters will not make any such purchases when in possession of any material nonpublic information not disclosed to the seller, during a restricted period under Regulation M under the Exchange Act, in transactions that would violate Section 9(a)(2) or Rule 10(b)-5 under the Exchange Act, or if prohibited by applicable state securities laws or broker-dealer regulations. To the extent our initial stockholders or purchasers of placement units transfer any of these securities to certain permitted transferees, such permitted transferees will agree, as a condition to such transfer, to waive these same redemption rights. Also, our sponsor has committed to purchase 804,500 placement units (or up to 898,250 placement units if the over-allotment option is exercised in full) at the price of $10.00 per unit in a private placement that will occur simultaneously with the completion of the initial public offering. If we submit our initial business combination to our public stockholders for a vote, our sponsor, the other initial stockholders, our officers and our directors have agreed to vote their respective founder shares, placement shares and any public shares held by them in favor of our initial business combination.</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participation of our sponsor, officers, directors or their affiliates in privately-negotiated transactions (as described in the public offering prospectus dated December 10, 2021),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the initial public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seek stockholder approval in connection with our initial business combination, pursuant to the letter agreement our sponsor, officers and directors have agreed to vote any founder shares and placement shares held by them and any public shares they may acquire during or after the initial public offering (including in open market and privately negotiated transactions) in favor of our initial business combination. As a result, in addition to our initial stockholders’ founder shares and placement shares, we would need no additional public shares sold in the initial public offering to be voted in favor of an initial business combination (assuming only the minimum number of shares representing a quorum are voted) in order to have our initial business combination approved (assuming the over-allotment option is not exercised and that the initial stockholders do not purchase any units in the initial public offering or units or shares in the after-market and excluding the representative’s shares). In the event that all shares of our outstanding common stock are voted, we would need 8,160,251 or 32.64%, of the 25,000,000 public shares sold in the initial public offering to be voted in favor of an initial business combination in order to have our initial business combination approved (assuming the over-allotment option is not exercised, that the initial stockholders do not purchase any units in the initial public offering or units or shares in the after-market and excluding the representative’s shares). Additionally,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each public stockholder may elect to redeem its public shares irrespective of whether they vote for or against the proposed transaction (subject to the limitation described in the preceding paragraph).</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if we are unable to complete our initial business combination within 15 months from the closing of the initial public offering,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3" w:lineRule="exact"/>
        <w:rPr>
          <w:sz w:val="20"/>
          <w:szCs w:val="20"/>
          <w:color w:val="auto"/>
        </w:rPr>
      </w:pPr>
    </w:p>
    <w:p>
      <w:pPr>
        <w:jc w:val="both"/>
        <w:ind w:firstLine="8"/>
        <w:spacing w:after="0" w:line="251" w:lineRule="auto"/>
        <w:tabs>
          <w:tab w:leader="none" w:pos="32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Our sponsor, officers and directors have entered into a letter agreement with us, pursuant to which they will agree to waive their rights to liquidating distributions from the trust account with respect to any founder shares and placement shares held by them if we fail to complete our initial business combination within 15 months from the closing of the initial public offering. However, if our initial stockholders acquire public shares in or after the initial public offering, they will be entitled to liquidating distributions from the trust account with respect to such public shares if we fail to complete our initial business combination within the prescribed time period.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 and Placement Shares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founder shares and placement shares are identical to the shares of Class A common stock included in the units being sold in the initial public offering, and holders of founder shares and placement shares have the same stockholder rights as public stockholders, except that (i) the founder shares and placement shares are subject to certain transfer restrictions, as described in more detail below, (ii) our sponsor, officers and directors have entered into a letter agreement with us, pursuant to which they have agreed (A) to waive their redemption rights with respect to any founder shares and placement shares and any public shares held by them in connection with the completion of our initial business combination, (B) to waive their redemption rights with respect to their founder shares and placement shares and any public shares in connection with a stockholder vote to approve an amendment to our amended and restated certificate of incorporation (x)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the initial public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15 months from the closing of the initial public offering, although they will be entitled to liquidating distributions from the trust account with respect to any public shares they hold if we fail to complete our initial business combination within such time period, (iii) the founder shares are shares of our Class B common stock that will automatically convert into shares of our Class A common stock at the time of the consummation of our initial business combination, on a one-for-one basis, subject to adjustment as described herein, and (iv) are entitled to registration rights. If we submit our initial business combination to our public stockholders for a vote, our sponsor, officers and directors have agreed pursuant to the letter agreement to vote any founder shares and placement shares held by them and any public shares purchased during or after the initial public offering (including in open market and privately negotiated transactions) in favor of our initial business combination. The placement shares will not be transferable, assignable or saleable until 30 days after the consummation of our initial business combination except to permitted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jc w:val="both"/>
        <w:spacing w:after="0" w:line="251"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Class A common stock at the time of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the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62% of the sum of the total number of all shares of common stock outstanding upon completion of the initial public offering (excluding the shares of Class A common stock issued to the representative or its designees, the placement units and securities underlying the placement units and assuming the initial stockholders do not purchase units in the initial public offering)plus all shares of Class A common stock and equity-linked securities issued or deemed issued in connection with the initial business combination (excluding any shares or equity-linked securities issued, or to be issued, to any seller in the initial business combination, any private placement-equivalent units and their underlying securities issued to our sponsor or its affiliates upon conversion of loans made to us). We cannot determine at this time whether a majority of the holders of our Class B common stock at the time of any future issuance would agree to waive such adjustment to the conversion ratio. They may waive such adjustment due to (but not limited to) the following: (i) closing conditions which are part of the agreement for our initial business combination; (ii) negotiation with Class A stockholders on structuring an initial business combination; or (iii) negotiation with parties providing financing which would trigger the anti-dilution provisions of the Class B common stock.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The term “equity-linked securities” refers to any debt or equity securities that are convertible, exercisable or exchangeable for shares of Class A common stock issues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certain limited exceptions, the founder shares are not transferable, assignable or saleable (except to our officers and directors and other persons or entities affiliated with our sponsor, each of whom will be subject to the same transfer restrictions)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were issued or registered in the initial public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Stockholders’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warrant entitles the registered holder to purchase one share of our Class A common stock at a price of $11.50 per share, subject to adjustment as discussed below, at any time commencing on the later of 12 months from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18"/>
          <w:szCs w:val="18"/>
          <w:color w:val="auto"/>
        </w:rPr>
        <w:t>closing of the initial public offering and 30 days after the completion of our initial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warrants will expire five years after the completion of our initial business combination, at 5:00 p.m., New York City time, or earlier upon redemption or liquidation.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Class A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placement warrants, as well as any warrants underlying additional units we issue to our sponsor, officers, directors, initial stockholders or their affiliates in payment of working capital loans made to us, will be identical to the warrants underlying the units being offered in the initial public offering, except that they will not be transferable, assignable or saleable until 30 days after the consummation of the initial business combination.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9" w:name="page80"/>
    <w:bookmarkEnd w:id="79"/>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 and’</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any holder that wishes to exercise its warrant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Class A common stock for the 5 trading days ending on the third trading day prior to the date on which the notice of redemption is sent to the holders of warrants.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w:t>
      </w:r>
    </w:p>
    <w:p>
      <w:pPr>
        <w:jc w:val="both"/>
        <w:ind w:firstLine="8"/>
        <w:spacing w:after="0" w:line="252" w:lineRule="auto"/>
        <w:tabs>
          <w:tab w:leader="none" w:pos="2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correct any mistake, including to conform the provisions of the warrant agreement to the description of the terms of the warrants and the warrant agreement set forth in the public offering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written consent or vote, of the holders of at least 50% of the then outstanding public warrants in order to make any change that adversely affects the interests of the registered holders.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(x) we issue additional shares of Class A common stock or equity-linked securities for capital raising purposes in connection with the closing of our initial business combination at a Newly Issued Price of less than $9.20 per share of Class A common stock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then the exercise price of the warrants will be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adjusted (to the nearest cent) to be equal to 115% of the greater of (i) the Market Value or (ii) the Newly Issued Price, and the $18.00 per share redemption trigger price of the warrants will be adjusted (to the nearest cent) to be equal to 180% of the greater of (i) the Market Value or (ii) the Newly Issued Price.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placement warrants have terms and provisions that are identical to those of the warrants being sold as part of the units in the public offering, including as to exercise price, exercisability and exercise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holders of our placement warrants are entitled to certain registration rights.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sponsor has agreed not to transfer, assign or sell any of the placement warrants (including the Class A common stock issuable upon exercise of any of these warrants) until the date that is 30 days after the date we complete our initial business combination, except among other limited exceptions as described under the section of the public offering prospectus entitled “Principal Stockholders — Restrictions on Transfers of Founder Shares and Placement Warrants” made to our officers and directors and other persons or entities affiliated with our sponsor.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issued to the representative or its designees, the placement units and the securities underlying the placement units and assuming they do not purchase any units in the initial public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1" w:name="page82"/>
    <w:bookmarkEnd w:id="81"/>
    <w:p>
      <w:pPr>
        <w:spacing w:after="0" w:line="282" w:lineRule="auto"/>
        <w:rPr>
          <w:sz w:val="20"/>
          <w:szCs w:val="20"/>
          <w:color w:val="auto"/>
        </w:rPr>
      </w:pPr>
      <w:r>
        <w:rPr>
          <w:rFonts w:ascii="Times New Roman" w:cs="Times New Roman" w:eastAsia="Times New Roman" w:hAnsi="Times New Roman"/>
          <w:sz w:val="18"/>
          <w:szCs w:val="18"/>
          <w:color w:val="auto"/>
        </w:rPr>
        <w:t>offering) upon the consummation of the initial public offering. Further, if we incur any indebtedness, our ability to declare dividends may be limited by restrictive covenants we may agree to in connection therewith.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Shahal Khan, certify that:</w:t>
      </w:r>
    </w:p>
    <w:p>
      <w:pPr>
        <w:spacing w:after="0" w:line="22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13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17145</wp:posOffset>
            </wp:positionV>
            <wp:extent cx="31546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Livson, certify that:</w:t>
      </w:r>
    </w:p>
    <w:p>
      <w:pPr>
        <w:spacing w:after="0" w:line="22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13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BurTech Acquisition Corp. (the “Company”) on Form 10-K for the year ended December 31, 2023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0"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Exhibit:97.1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BURTECH </w:t>
      </w:r>
      <w:r>
        <w:rPr>
          <w:rFonts w:ascii="Times New Roman" w:cs="Times New Roman" w:eastAsia="Times New Roman" w:hAnsi="Times New Roman"/>
          <w:sz w:val="21"/>
          <w:szCs w:val="21"/>
          <w:b w:val="1"/>
          <w:bCs w:val="1"/>
          <w:color w:val="auto"/>
        </w:rPr>
        <w:t>ACQUISITION CORP.</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w:t>
      </w:r>
      <w:r>
        <w:rPr>
          <w:rFonts w:ascii="Times New Roman" w:cs="Times New Roman" w:eastAsia="Times New Roman" w:hAnsi="Times New Roman"/>
          <w:sz w:val="17"/>
          <w:szCs w:val="17"/>
          <w:b w:val="1"/>
          <w:bCs w:val="1"/>
          <w:color w:val="auto"/>
        </w:rPr>
        <w:t>BACK POLICY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 Company and its stockholders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rules and amendments adopted by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 implement the aforementioned legislation, and the listing standards of the national securities exchange on which the Company’s securities are listed.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by the Board in accordance with Section 10D of the Exchange Act and the listing standards of the national securities exchange on which the Company’s securities are listed, and such other senior executives/employees who may from time to time be deemed subject to the Policy by the Board (“</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Recoupment; Accounting Restatement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(as defined below) received by any Covered Executive during the three completed fiscal years immediately preceding the date on which the Company is required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this Policy, Incentive Compensation means any of the following; provided that, such compensation is granted, earned, or vested based wholly or in part on the attainment of a financial reporting measure:</w:t>
      </w:r>
    </w:p>
    <w:p>
      <w:pPr>
        <w:spacing w:after="0" w:line="16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reporting measures are measures that are determined and presented in accordance with the accounting principles used in preparing the Company’s financial statements, and any measures that are derived wholly or in part from such measures and may include, among other things, any of the following:</w:t>
      </w:r>
    </w:p>
    <w:p>
      <w:pPr>
        <w:spacing w:after="0" w:line="17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price.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 for purposes of Exchange Act Regulation G and 17CFR 229.10.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Excess Incentive Compensation: Amount Subject to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 on the applicable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auto"/>
        </w:rPr>
        <w:t>Method of Recoupment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will determine, in its sole discretion, the method for recouping Incentive Compensation hereunder which may include, without limitation:</w:t>
      </w:r>
    </w:p>
    <w:p>
      <w:pPr>
        <w:spacing w:after="0" w:line="162"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7" w:lineRule="exact"/>
        <w:rPr>
          <w:rFonts w:ascii="Times New Roman" w:cs="Times New Roman" w:eastAsia="Times New Roman" w:hAnsi="Times New Roman"/>
          <w:sz w:val="18"/>
          <w:szCs w:val="18"/>
          <w:color w:val="auto"/>
        </w:rPr>
      </w:pPr>
    </w:p>
    <w:p>
      <w:pPr>
        <w:ind w:firstLine="8"/>
        <w:spacing w:after="0" w:line="250" w:lineRule="auto"/>
        <w:tabs>
          <w:tab w:leader="none" w:pos="2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cancelling outstanding vested or unvested equity awards;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taking any other remedial and recovery action permitted by law, as determined by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indemnify any Covered Executives against the loss of any incorrectly awarded Incentive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shall apply to any excess Incentive Compensation received by Covered Executives during the three immediately completed fiscal years preceding the date on which a company is required to prepare an accounting restatement. Notwithstanding the foregoing, this Policy shall be effective as of October 2,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Incentive Compensation that is approved, awarded or granted to Covered Executives on or after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Recoupment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Impracticability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Successors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lvl w:ilvl="1">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2"/>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lowerRoman"/>
      <w:start w:val="1"/>
    </w:lvl>
  </w:abstractNum>
  <w:abstractNum w:abstractNumId="6">
    <w:nsid w:val="189A769B"/>
    <w:multiLevelType w:val="hybridMultilevel"/>
    <w:lvl w:ilvl="0">
      <w:lvlJc w:val="left"/>
      <w:lvlText w:val="(%1)"/>
      <w:numFmt w:val="lowerRoman"/>
      <w:start w:val="2"/>
    </w:lvl>
  </w:abstractNum>
  <w:abstractNum w:abstractNumId="7">
    <w:nsid w:val="54E49EB4"/>
    <w:multiLevelType w:val="hybridMultilevel"/>
    <w:lvl w:ilvl="0">
      <w:lvlJc w:val="left"/>
      <w:lvlText w:val="(%1)"/>
      <w:numFmt w:val="lowerRoman"/>
      <w:start w:val="2"/>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4"/>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Roman"/>
      <w:start w:val="3"/>
    </w:lvl>
  </w:abstractNum>
  <w:abstractNum w:abstractNumId="14">
    <w:nsid w:val="1E7FF521"/>
    <w:multiLevelType w:val="hybridMultilevel"/>
    <w:lvl w:ilvl="0">
      <w:lvlJc w:val="left"/>
      <w:lvlText w:val="(%1)"/>
      <w:numFmt w:val="lowerLetter"/>
      <w:start w:val="2"/>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Roman"/>
      <w:start w:val="1"/>
    </w:lvl>
  </w:abstractNum>
  <w:abstractNum w:abstractNumId="18">
    <w:nsid w:val="22221A70"/>
    <w:multiLevelType w:val="hybridMultilevel"/>
    <w:lvl w:ilvl="0">
      <w:lvlJc w:val="left"/>
      <w:lvlText w:val="(%1)"/>
      <w:numFmt w:val="lowerRoman"/>
      <w:start w:val="4"/>
    </w:lvl>
  </w:abstractNum>
  <w:abstractNum w:abstractNumId="19">
    <w:nsid w:val="4516DDE9"/>
    <w:multiLevelType w:val="hybridMultilevel"/>
    <w:lvl w:ilvl="0">
      <w:lvlJc w:val="left"/>
      <w:lvlText w:val="(%1)"/>
      <w:numFmt w:val="lowerRoman"/>
      <w:start w:val="2"/>
    </w:lvl>
  </w:abstractNum>
  <w:abstractNum w:abstractNumId="20">
    <w:nsid w:val="3006C83E"/>
    <w:multiLevelType w:val="hybridMultilevel"/>
    <w:lvl w:ilvl="0">
      <w:lvlJc w:val="left"/>
      <w:lvlText w:val="(%1)"/>
      <w:numFmt w:val="lowerRoman"/>
      <w:start w:val="3"/>
    </w:lvl>
  </w:abstractNum>
  <w:abstractNum w:abstractNumId="21">
    <w:nsid w:val="614FD4A1"/>
    <w:multiLevelType w:val="hybridMultilevel"/>
    <w:lvl w:ilvl="0">
      <w:lvlJc w:val="left"/>
      <w:lvlText w:val="(%1)"/>
      <w:numFmt w:val="lowerRoman"/>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lvl w:ilvl="1">
      <w:lvlJc w:val="left"/>
      <w:lvlText w:val="%2"/>
      <w:numFmt w:val="decimal"/>
      <w:start w:val="104"/>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lowerRoman"/>
      <w:start w:val="4"/>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o"/>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lowerRoman"/>
      <w:start w:val="3"/>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7"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56" Type="http://schemas.openxmlformats.org/officeDocument/2006/relationships/hyperlink" Target="https://www.sec.gov/Archives/edgar/data/1871638/000110465921150569/tm2135631d1_ex1-1.htm" TargetMode="External"/><Relationship Id="rId57" Type="http://schemas.openxmlformats.org/officeDocument/2006/relationships/hyperlink" Target="https://www.sec.gov/Archives/edgar/data/1871638/000110465923130196/tm2333322d3_ex2-1.htm" TargetMode="External"/><Relationship Id="rId58" Type="http://schemas.openxmlformats.org/officeDocument/2006/relationships/hyperlink" Target="https://www.sec.gov/Archives/edgar/data/1871638/000110465921150569/tm2135631d1_ex3-1.htm" TargetMode="External"/><Relationship Id="rId59" Type="http://schemas.openxmlformats.org/officeDocument/2006/relationships/hyperlink" Target="https://www.sec.gov/Archives/edgar/data/1871638/000110465921107433/tm2124406d1_ex3-3.htm" TargetMode="External"/><Relationship Id="rId60" Type="http://schemas.openxmlformats.org/officeDocument/2006/relationships/hyperlink" Target="https://www.sec.gov/Archives/edgar/data/1871638/000110465921141949/tm2124406d5_ex4-1.htm" TargetMode="External"/><Relationship Id="rId61" Type="http://schemas.openxmlformats.org/officeDocument/2006/relationships/hyperlink" Target="https://www.sec.gov/Archives/edgar/data/1871638/000110465921141949/tm2124406d5_ex4-2.htm" TargetMode="External"/><Relationship Id="rId62" Type="http://schemas.openxmlformats.org/officeDocument/2006/relationships/hyperlink" Target="https://www.sec.gov/Archives/edgar/data/1871638/000110465921141949/tm2124406d5_ex4-3.htm" TargetMode="External"/><Relationship Id="rId63" Type="http://schemas.openxmlformats.org/officeDocument/2006/relationships/hyperlink" Target="https://www.sec.gov/Archives/edgar/data/1871638/000110465921150569/tm2135631d1_ex4-1.htm" TargetMode="External"/><Relationship Id="rId64" Type="http://schemas.openxmlformats.org/officeDocument/2006/relationships/hyperlink" Target="https://www.sec.gov/Archives/edgar/data/1871638/000110465921107433/tm2124406d1_ex10-2.htm" TargetMode="External"/><Relationship Id="rId65" Type="http://schemas.openxmlformats.org/officeDocument/2006/relationships/hyperlink" Target="https://www.sec.gov/Archives/edgar/data/1871638/000110465921107433/tm2124406d1_ex10-5.htm" TargetMode="External"/><Relationship Id="rId66" Type="http://schemas.openxmlformats.org/officeDocument/2006/relationships/hyperlink" Target="https://www.sec.gov/Archives/edgar/data/1871638/000110465921150569/tm2135631d1_ex10-2.htm" TargetMode="External"/><Relationship Id="rId68" Type="http://schemas.openxmlformats.org/officeDocument/2006/relationships/hyperlink" Target="https://www.sec.gov/Archives/edgar/data/1871638/000110465921150569/tm2135631d1_ex10-3.htm" TargetMode="External"/><Relationship Id="rId69" Type="http://schemas.openxmlformats.org/officeDocument/2006/relationships/hyperlink" Target="https://www.sec.gov/Archives/edgar/data/1871638/000110465921150569/tm2135631d1_ex10-1.htm" TargetMode="External"/><Relationship Id="rId70" Type="http://schemas.openxmlformats.org/officeDocument/2006/relationships/hyperlink" Target="https://www.sec.gov/Archives/edgar/data/1871638/000110465921150569/tm2135631d1_ex10-4.htm" TargetMode="External"/><Relationship Id="rId71" Type="http://schemas.openxmlformats.org/officeDocument/2006/relationships/hyperlink" Target="https://www.sec.gov/Archives/edgar/data/1866547/000149315222000323/ex10-5.htm" TargetMode="External"/><Relationship Id="rId72" Type="http://schemas.openxmlformats.org/officeDocument/2006/relationships/hyperlink" Target="https://www.sec.gov/Archives/edgar/data/1866547/000149315222000323/ex10-6.htm" TargetMode="External"/><Relationship Id="rId73" Type="http://schemas.openxmlformats.org/officeDocument/2006/relationships/hyperlink" Target="https://www.sec.gov/Archives/edgar/data/1871638/000110465924053068/tm2412714d1_ex10-1.htm" TargetMode="External"/><Relationship Id="rId74" Type="http://schemas.openxmlformats.org/officeDocument/2006/relationships/hyperlink" Target="https://www.sec.gov/Archives/edgar/data/1871638/000110465924053068/tm2412714d1_ex10-2.htm" TargetMode="External"/><Relationship Id="rId75" Type="http://schemas.openxmlformats.org/officeDocument/2006/relationships/hyperlink" Target="https://www.sec.gov/Archives/edgar/data/1871638/000110465924053068/tm2412714d1_ex10-3.htm" TargetMode="External"/><Relationship Id="rId76" Type="http://schemas.openxmlformats.org/officeDocument/2006/relationships/hyperlink" Target="https://www.sec.gov/Archives/edgar/data/1871638/000110465924053068/tm2412714d1_ex10-4.htm" TargetMode="External"/><Relationship Id="rId77" Type="http://schemas.openxmlformats.org/officeDocument/2006/relationships/hyperlink" Target="https://www.sec.gov/Archives/edgar/data/1871638/000110465924053068/tm2412714d1_ex10-5.htm" TargetMode="External"/><Relationship Id="rId78" Type="http://schemas.openxmlformats.org/officeDocument/2006/relationships/hyperlink" Target="https://www.sec.gov/Archives/edgar/data/1871638/000110465921141949/tm2124406d5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2024-05-07T15:19:37Z</dcterms:created>
  <dcterms:modified xsi:type="dcterms:W3CDTF">2024-05-07T15:19:37Z</dcterms:modified>
</cp:coreProperties>
</file>