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As filed with the Securities and Exchange Commission on August 18, 2021.</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BurTech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420"/>
              <w:spacing w:after="0"/>
              <w:rPr>
                <w:sz w:val="20"/>
                <w:szCs w:val="20"/>
                <w:color w:val="auto"/>
              </w:rPr>
            </w:pPr>
            <w:r>
              <w:rPr>
                <w:rFonts w:ascii="Arial" w:cs="Arial" w:eastAsia="Arial" w:hAnsi="Arial"/>
                <w:sz w:val="18"/>
                <w:szCs w:val="18"/>
                <w:b w:val="1"/>
                <w:bCs w:val="1"/>
                <w:color w:val="auto"/>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85-2708752</w:t>
            </w:r>
          </w:p>
        </w:tc>
      </w:tr>
      <w:tr>
        <w:trPr>
          <w:trHeight w:val="195"/>
        </w:trPr>
        <w:tc>
          <w:tcPr>
            <w:tcW w:w="362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ind w:left="720"/>
              <w:spacing w:after="0"/>
              <w:rPr>
                <w:sz w:val="20"/>
                <w:szCs w:val="20"/>
                <w:color w:val="auto"/>
              </w:rPr>
            </w:pPr>
            <w:r>
              <w:rPr>
                <w:rFonts w:ascii="Arial" w:cs="Arial" w:eastAsia="Arial" w:hAnsi="Arial"/>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w:t>
      </w:r>
      <w:r>
        <w:rPr>
          <w:rFonts w:ascii="Arial" w:cs="Arial" w:eastAsia="Arial" w:hAnsi="Arial"/>
          <w:sz w:val="18"/>
          <w:szCs w:val="18"/>
          <w:color w:val="auto"/>
        </w:rPr>
        <w:t>202) 600-5757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Shahal Khan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(202) 600-5757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53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Mitchell S. Nussbaum</w:t>
            </w:r>
          </w:p>
        </w:tc>
        <w:tc>
          <w:tcPr>
            <w:tcW w:w="5320" w:type="dxa"/>
            <w:vAlign w:val="bottom"/>
          </w:tcPr>
          <w:p>
            <w:pPr>
              <w:spacing w:after="0"/>
              <w:rPr>
                <w:sz w:val="24"/>
                <w:szCs w:val="24"/>
                <w:color w:val="auto"/>
              </w:rPr>
            </w:pP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G. Alex Weniger-Araujo</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88"/>
              </w:rPr>
              <w:t>Joseph M. Lucosky, Esq.</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4"/>
              </w:rPr>
              <w:t>Loeb &amp; Loeb LLP</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92"/>
              </w:rPr>
              <w:t>Lucosky Brookman LLP</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345 Park Avenue</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90"/>
              </w:rPr>
              <w:t>101 Wood Avenue South; 5th Floor</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New York, NY 10154</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89"/>
              </w:rPr>
              <w:t>Woodbridge, New Jersey 08830</w:t>
            </w:r>
          </w:p>
        </w:tc>
      </w:tr>
      <w:tr>
        <w:trPr>
          <w:trHeight w:val="234"/>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Telephone: (212) 407-4000</w:t>
            </w:r>
          </w:p>
        </w:tc>
        <w:tc>
          <w:tcPr>
            <w:tcW w:w="53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Telephone: (732) 395-4402</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394"/>
        </w:trPr>
        <w:tc>
          <w:tcPr>
            <w:tcW w:w="3760" w:type="dxa"/>
            <w:vAlign w:val="bottom"/>
          </w:tcPr>
          <w:p>
            <w:pPr>
              <w:spacing w:after="0"/>
              <w:rPr>
                <w:sz w:val="24"/>
                <w:szCs w:val="24"/>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CALCULATION OF REGISTRATION FEE</w:t>
            </w:r>
            <w:r>
              <w:rPr>
                <w:rFonts w:ascii="Arial" w:cs="Arial" w:eastAsia="Arial" w:hAnsi="Arial"/>
                <w:sz w:val="29"/>
                <w:szCs w:val="29"/>
                <w:b w:val="1"/>
                <w:bCs w:val="1"/>
                <w:color w:val="auto"/>
                <w:vertAlign w:val="superscript"/>
              </w:rPr>
              <w:t>1</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91"/>
        </w:trPr>
        <w:tc>
          <w:tcPr>
            <w:tcW w:w="3760" w:type="dxa"/>
            <w:vAlign w:val="bottom"/>
          </w:tcPr>
          <w:p>
            <w:pPr>
              <w:spacing w:after="0"/>
              <w:rPr>
                <w:sz w:val="20"/>
                <w:szCs w:val="20"/>
                <w:color w:val="auto"/>
              </w:rPr>
            </w:pPr>
            <w:r>
              <w:rPr>
                <w:rFonts w:ascii="Arial" w:cs="Arial" w:eastAsia="Arial" w:hAnsi="Arial"/>
                <w:sz w:val="18"/>
                <w:szCs w:val="18"/>
                <w:b w:val="1"/>
                <w:bCs w:val="1"/>
                <w:color w:val="auto"/>
                <w:w w:val="90"/>
              </w:rPr>
              <w:t>Title of Each Class of Security Being Registered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Proposed</w:t>
            </w: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Proposed</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7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Being</w:t>
            </w: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Maximum</w:t>
            </w: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37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0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Offering</w:t>
            </w:r>
          </w:p>
        </w:tc>
        <w:tc>
          <w:tcPr>
            <w:tcW w:w="16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c>
          <w:tcPr>
            <w:tcW w:w="1420" w:type="dxa"/>
            <w:vAlign w:val="bottom"/>
          </w:tcPr>
          <w:p>
            <w:pPr>
              <w:jc w:val="center"/>
              <w:ind w:left="430"/>
              <w:spacing w:after="0"/>
              <w:rPr>
                <w:sz w:val="20"/>
                <w:szCs w:val="20"/>
                <w:color w:val="auto"/>
              </w:rPr>
            </w:pPr>
            <w:r>
              <w:rPr>
                <w:rFonts w:ascii="Arial" w:cs="Arial" w:eastAsia="Arial" w:hAnsi="Arial"/>
                <w:sz w:val="18"/>
                <w:szCs w:val="18"/>
                <w:b w:val="1"/>
                <w:bCs w:val="1"/>
                <w:color w:val="auto"/>
                <w:w w:val="83"/>
              </w:rPr>
              <w:t>Fee</w:t>
            </w:r>
          </w:p>
        </w:tc>
      </w:tr>
    </w:tbl>
    <w:p>
      <w:pPr>
        <w:sectPr>
          <w:pgSz w:w="11900" w:h="16838" w:orient="portrait"/>
          <w:cols w:equalWidth="0" w:num="1">
            <w:col w:w="11240"/>
          </w:cols>
          <w:pgMar w:left="320" w:top="476"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Price per</w:t>
            </w:r>
          </w:p>
        </w:tc>
        <w:tc>
          <w:tcPr>
            <w:tcW w:w="280" w:type="dxa"/>
            <w:vAlign w:val="bottom"/>
          </w:tcPr>
          <w:p>
            <w:pPr>
              <w:spacing w:after="0"/>
              <w:rPr>
                <w:sz w:val="19"/>
                <w:szCs w:val="19"/>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Offering</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1"/>
        </w:trPr>
        <w:tc>
          <w:tcPr>
            <w:tcW w:w="9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gridSpan w:val="2"/>
          </w:tcPr>
          <w:p>
            <w:pPr>
              <w:ind w:left="140"/>
              <w:spacing w:after="0" w:line="271" w:lineRule="exact"/>
              <w:rPr>
                <w:sz w:val="20"/>
                <w:szCs w:val="20"/>
                <w:color w:val="auto"/>
              </w:rPr>
            </w:pPr>
            <w:r>
              <w:rPr>
                <w:rFonts w:ascii="Arial" w:cs="Arial" w:eastAsia="Arial" w:hAnsi="Arial"/>
                <w:sz w:val="18"/>
                <w:szCs w:val="18"/>
                <w:b w:val="1"/>
                <w:bCs w:val="1"/>
                <w:color w:val="auto"/>
              </w:rPr>
              <w:t>Security</w:t>
            </w:r>
            <w:r>
              <w:rPr>
                <w:rFonts w:ascii="Arial" w:cs="Arial" w:eastAsia="Arial" w:hAnsi="Arial"/>
                <w:sz w:val="29"/>
                <w:szCs w:val="29"/>
                <w:b w:val="1"/>
                <w:bCs w:val="1"/>
                <w:color w:val="auto"/>
                <w:vertAlign w:val="superscript"/>
              </w:rPr>
              <w:t>(1)</w:t>
            </w:r>
          </w:p>
        </w:tc>
        <w:tc>
          <w:tcPr>
            <w:tcW w:w="280" w:type="dxa"/>
            <w:vAlign w:val="bottom"/>
          </w:tcPr>
          <w:p>
            <w:pPr>
              <w:spacing w:after="0"/>
              <w:rPr>
                <w:sz w:val="23"/>
                <w:szCs w:val="23"/>
                <w:color w:val="auto"/>
              </w:rPr>
            </w:pPr>
          </w:p>
        </w:tc>
        <w:tc>
          <w:tcPr>
            <w:tcW w:w="1560" w:type="dxa"/>
            <w:vAlign w:val="bottom"/>
            <w:gridSpan w:val="2"/>
          </w:tcPr>
          <w:p>
            <w:pPr>
              <w:jc w:val="right"/>
              <w:ind w:right="760"/>
              <w:spacing w:after="0" w:line="271" w:lineRule="exact"/>
              <w:rPr>
                <w:sz w:val="20"/>
                <w:szCs w:val="20"/>
                <w:color w:val="auto"/>
              </w:rPr>
            </w:pPr>
            <w:r>
              <w:rPr>
                <w:rFonts w:ascii="Arial" w:cs="Arial" w:eastAsia="Arial" w:hAnsi="Arial"/>
                <w:sz w:val="18"/>
                <w:szCs w:val="18"/>
                <w:b w:val="1"/>
                <w:bCs w:val="1"/>
                <w:color w:val="auto"/>
              </w:rPr>
              <w:t>Price</w:t>
            </w:r>
            <w:r>
              <w:rPr>
                <w:rFonts w:ascii="Arial" w:cs="Arial" w:eastAsia="Arial" w:hAnsi="Arial"/>
                <w:sz w:val="29"/>
                <w:szCs w:val="29"/>
                <w:b w:val="1"/>
                <w:bCs w:val="1"/>
                <w:color w:val="auto"/>
                <w:vertAlign w:val="superscript"/>
              </w:rPr>
              <w:t>(1)</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95"/>
        </w:trPr>
        <w:tc>
          <w:tcPr>
            <w:tcW w:w="36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Units, each consisting of one share of Class A</w:t>
            </w:r>
          </w:p>
        </w:tc>
        <w:tc>
          <w:tcPr>
            <w:tcW w:w="14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20"/>
        </w:trPr>
        <w:tc>
          <w:tcPr>
            <w:tcW w:w="3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common stock, $0.0001 par value, and one-half</w:t>
            </w:r>
          </w:p>
        </w:tc>
        <w:tc>
          <w:tcPr>
            <w:tcW w:w="1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67"/>
        </w:trPr>
        <w:tc>
          <w:tcPr>
            <w:tcW w:w="3820" w:type="dxa"/>
            <w:vAlign w:val="bottom"/>
            <w:gridSpan w:val="3"/>
            <w:shd w:val="clear" w:color="auto" w:fill="CCEEFF"/>
          </w:tcPr>
          <w:p>
            <w:pPr>
              <w:ind w:left="180"/>
              <w:spacing w:after="0" w:line="267" w:lineRule="exact"/>
              <w:rPr>
                <w:sz w:val="20"/>
                <w:szCs w:val="20"/>
                <w:color w:val="auto"/>
              </w:rPr>
            </w:pPr>
            <w:r>
              <w:rPr>
                <w:rFonts w:ascii="Arial" w:cs="Arial" w:eastAsia="Arial" w:hAnsi="Arial"/>
                <w:sz w:val="18"/>
                <w:szCs w:val="18"/>
                <w:color w:val="auto"/>
              </w:rPr>
              <w:t>of one redeemable warrant</w:t>
            </w:r>
            <w:r>
              <w:rPr>
                <w:rFonts w:ascii="Arial" w:cs="Arial" w:eastAsia="Arial" w:hAnsi="Arial"/>
                <w:sz w:val="29"/>
                <w:szCs w:val="29"/>
                <w:color w:val="auto"/>
                <w:vertAlign w:val="superscript"/>
              </w:rPr>
              <w:t>(2)</w:t>
            </w:r>
          </w:p>
        </w:tc>
        <w:tc>
          <w:tcPr>
            <w:tcW w:w="20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28,750,000 Units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287,500,000</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160" w:type="dxa"/>
            <w:vAlign w:val="bottom"/>
            <w:shd w:val="clear" w:color="auto" w:fill="CCEEFF"/>
          </w:tcPr>
          <w:p>
            <w:pPr>
              <w:spacing w:after="0"/>
              <w:rPr>
                <w:sz w:val="23"/>
                <w:szCs w:val="23"/>
                <w:color w:val="auto"/>
              </w:rPr>
            </w:pPr>
          </w:p>
        </w:tc>
      </w:tr>
      <w:tr>
        <w:trPr>
          <w:trHeight w:val="205"/>
        </w:trPr>
        <w:tc>
          <w:tcPr>
            <w:tcW w:w="3820" w:type="dxa"/>
            <w:vAlign w:val="bottom"/>
            <w:gridSpan w:val="3"/>
          </w:tcPr>
          <w:p>
            <w:pPr>
              <w:spacing w:after="0" w:line="206" w:lineRule="exact"/>
              <w:rPr>
                <w:sz w:val="20"/>
                <w:szCs w:val="20"/>
                <w:color w:val="auto"/>
              </w:rPr>
            </w:pPr>
            <w:r>
              <w:rPr>
                <w:rFonts w:ascii="Arial" w:cs="Arial" w:eastAsia="Arial" w:hAnsi="Arial"/>
                <w:sz w:val="18"/>
                <w:szCs w:val="18"/>
                <w:color w:val="auto"/>
                <w:w w:val="95"/>
              </w:rPr>
              <w:t>Shares of Class A common stock included as part</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73"/>
        </w:trPr>
        <w:tc>
          <w:tcPr>
            <w:tcW w:w="980" w:type="dxa"/>
            <w:vAlign w:val="bottom"/>
          </w:tcPr>
          <w:p>
            <w:pPr>
              <w:ind w:left="180"/>
              <w:spacing w:after="0" w:line="173" w:lineRule="exact"/>
              <w:rPr>
                <w:sz w:val="20"/>
                <w:szCs w:val="20"/>
                <w:color w:val="auto"/>
              </w:rPr>
            </w:pPr>
            <w:r>
              <w:rPr>
                <w:rFonts w:ascii="Arial" w:cs="Arial" w:eastAsia="Arial" w:hAnsi="Arial"/>
                <w:sz w:val="18"/>
                <w:szCs w:val="18"/>
                <w:color w:val="auto"/>
                <w:w w:val="88"/>
              </w:rPr>
              <w:t>of the units</w:t>
            </w:r>
          </w:p>
        </w:tc>
        <w:tc>
          <w:tcPr>
            <w:tcW w:w="2700" w:type="dxa"/>
            <w:vAlign w:val="bottom"/>
          </w:tcPr>
          <w:p>
            <w:pPr>
              <w:jc w:val="right"/>
              <w:ind w:right="2445"/>
              <w:spacing w:after="0"/>
              <w:rPr>
                <w:sz w:val="20"/>
                <w:szCs w:val="20"/>
                <w:color w:val="auto"/>
              </w:rPr>
            </w:pPr>
            <w:r>
              <w:rPr>
                <w:rFonts w:ascii="Arial" w:cs="Arial" w:eastAsia="Arial" w:hAnsi="Arial"/>
                <w:sz w:val="15"/>
                <w:szCs w:val="15"/>
                <w:color w:val="auto"/>
                <w:w w:val="87"/>
              </w:rPr>
              <w:t>(3)</w:t>
            </w:r>
          </w:p>
        </w:tc>
        <w:tc>
          <w:tcPr>
            <w:tcW w:w="140" w:type="dxa"/>
            <w:vAlign w:val="bottom"/>
          </w:tcPr>
          <w:p>
            <w:pPr>
              <w:spacing w:after="0"/>
              <w:rPr>
                <w:sz w:val="15"/>
                <w:szCs w:val="15"/>
                <w:color w:val="auto"/>
              </w:rPr>
            </w:pPr>
          </w:p>
        </w:tc>
        <w:tc>
          <w:tcPr>
            <w:tcW w:w="2040" w:type="dxa"/>
            <w:vAlign w:val="bottom"/>
            <w:gridSpan w:val="2"/>
          </w:tcPr>
          <w:p>
            <w:pPr>
              <w:jc w:val="center"/>
              <w:ind w:right="140"/>
              <w:spacing w:after="0" w:line="173" w:lineRule="exact"/>
              <w:rPr>
                <w:sz w:val="20"/>
                <w:szCs w:val="20"/>
                <w:color w:val="auto"/>
              </w:rPr>
            </w:pPr>
            <w:r>
              <w:rPr>
                <w:rFonts w:ascii="Arial" w:cs="Arial" w:eastAsia="Arial" w:hAnsi="Arial"/>
                <w:sz w:val="18"/>
                <w:szCs w:val="18"/>
                <w:color w:val="auto"/>
                <w:w w:val="88"/>
              </w:rPr>
              <w:t>28,750,000 Shares</w:t>
            </w:r>
          </w:p>
        </w:tc>
        <w:tc>
          <w:tcPr>
            <w:tcW w:w="220" w:type="dxa"/>
            <w:vAlign w:val="bottom"/>
          </w:tcPr>
          <w:p>
            <w:pPr>
              <w:spacing w:after="0"/>
              <w:rPr>
                <w:sz w:val="15"/>
                <w:szCs w:val="15"/>
                <w:color w:val="auto"/>
              </w:rPr>
            </w:pPr>
          </w:p>
        </w:tc>
        <w:tc>
          <w:tcPr>
            <w:tcW w:w="1560" w:type="dxa"/>
            <w:vAlign w:val="bottom"/>
            <w:gridSpan w:val="2"/>
          </w:tcPr>
          <w:p>
            <w:pPr>
              <w:jc w:val="right"/>
              <w:ind w:right="240"/>
              <w:spacing w:after="0" w:line="17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560" w:type="dxa"/>
            <w:vAlign w:val="bottom"/>
            <w:gridSpan w:val="2"/>
          </w:tcPr>
          <w:p>
            <w:pPr>
              <w:jc w:val="right"/>
              <w:ind w:right="260"/>
              <w:spacing w:after="0" w:line="173"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1160" w:type="dxa"/>
            <w:vAlign w:val="bottom"/>
            <w:gridSpan w:val="3"/>
          </w:tcPr>
          <w:p>
            <w:pPr>
              <w:jc w:val="right"/>
              <w:ind w:right="180"/>
              <w:spacing w:after="0" w:line="173" w:lineRule="exact"/>
              <w:rPr>
                <w:sz w:val="20"/>
                <w:szCs w:val="20"/>
                <w:color w:val="auto"/>
              </w:rPr>
            </w:pPr>
            <w:r>
              <w:rPr>
                <w:rFonts w:ascii="Arial" w:cs="Arial" w:eastAsia="Arial" w:hAnsi="Arial"/>
                <w:sz w:val="18"/>
                <w:szCs w:val="18"/>
                <w:color w:val="auto"/>
              </w:rPr>
              <w:t>—</w:t>
            </w:r>
          </w:p>
        </w:tc>
      </w:tr>
      <w:tr>
        <w:trPr>
          <w:trHeight w:val="94"/>
        </w:trPr>
        <w:tc>
          <w:tcPr>
            <w:tcW w:w="9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(4)</w:t>
            </w:r>
          </w:p>
        </w:tc>
      </w:tr>
      <w:tr>
        <w:trPr>
          <w:trHeight w:val="205"/>
        </w:trPr>
        <w:tc>
          <w:tcPr>
            <w:tcW w:w="382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Redeemable warrants included as part of the</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7"/>
        </w:trPr>
        <w:tc>
          <w:tcPr>
            <w:tcW w:w="9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units</w:t>
            </w:r>
            <w:r>
              <w:rPr>
                <w:rFonts w:ascii="Arial" w:cs="Arial" w:eastAsia="Arial" w:hAnsi="Arial"/>
                <w:sz w:val="29"/>
                <w:szCs w:val="29"/>
                <w:color w:val="auto"/>
                <w:vertAlign w:val="superscript"/>
              </w:rPr>
              <w:t>(3)</w:t>
            </w:r>
          </w:p>
        </w:tc>
        <w:tc>
          <w:tcPr>
            <w:tcW w:w="2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14,375,000 Warrants</w:t>
            </w:r>
          </w:p>
        </w:tc>
        <w:tc>
          <w:tcPr>
            <w:tcW w:w="2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287,500,000</w:t>
            </w:r>
          </w:p>
        </w:tc>
        <w:tc>
          <w:tcPr>
            <w:tcW w:w="260" w:type="dxa"/>
            <w:vAlign w:val="bottom"/>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31,366</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w w:val="87"/>
              </w:rPr>
              <w:t>(5)</w:t>
            </w:r>
          </w:p>
        </w:tc>
      </w:tr>
      <w:tr>
        <w:trPr>
          <w:trHeight w:val="20"/>
        </w:trPr>
        <w:tc>
          <w:tcPr>
            <w:tcW w:w="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5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of 1933, as amended (the “Securities Act”).</w:t>
      </w:r>
    </w:p>
    <w:p>
      <w:pPr>
        <w:spacing w:after="0" w:line="170" w:lineRule="exact"/>
        <w:rPr>
          <w:rFonts w:ascii="Arial" w:cs="Arial" w:eastAsia="Arial" w:hAnsi="Arial"/>
          <w:sz w:val="18"/>
          <w:szCs w:val="18"/>
          <w:color w:val="auto"/>
        </w:rPr>
      </w:pPr>
    </w:p>
    <w:p>
      <w:pPr>
        <w:ind w:left="580" w:right="1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3,750,000 units, consisting of 3,750,000 shares of Class A common stock and 1,875,000 redeemable warrants, which may be issued upon exercise of a 45-day option granted to the underwriters to cover over-allotments, if any.</w:t>
      </w:r>
    </w:p>
    <w:p>
      <w:pPr>
        <w:spacing w:after="0" w:line="170" w:lineRule="exact"/>
        <w:rPr>
          <w:rFonts w:ascii="Arial" w:cs="Arial" w:eastAsia="Arial" w:hAnsi="Arial"/>
          <w:sz w:val="18"/>
          <w:szCs w:val="18"/>
          <w:color w:val="auto"/>
        </w:rPr>
      </w:pPr>
    </w:p>
    <w:p>
      <w:pPr>
        <w:ind w:left="580" w:right="66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stock splits, stock dividends or similar transactions.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Paid herewith.</w:t>
      </w:r>
    </w:p>
    <w:p>
      <w:pPr>
        <w:spacing w:after="0" w:line="221"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100"/>
        <w:spacing w:after="0" w:line="289" w:lineRule="auto"/>
        <w:rPr>
          <w:sz w:val="20"/>
          <w:szCs w:val="20"/>
          <w:color w:val="auto"/>
        </w:rPr>
      </w:pPr>
      <w:r>
        <w:rPr>
          <w:rFonts w:ascii="Arial" w:cs="Arial" w:eastAsia="Arial" w:hAnsi="Arial"/>
          <w:sz w:val="17"/>
          <w:szCs w:val="17"/>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98"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AUGUST 18,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 Units</w:t>
      </w:r>
    </w:p>
    <w:p>
      <w:pPr>
        <w:spacing w:after="0" w:line="211" w:lineRule="exact"/>
        <w:rPr>
          <w:sz w:val="20"/>
          <w:szCs w:val="20"/>
          <w:color w:val="auto"/>
        </w:rPr>
      </w:pPr>
    </w:p>
    <w:p>
      <w:pPr>
        <w:ind w:right="360" w:firstLine="324"/>
        <w:spacing w:after="0" w:line="296" w:lineRule="auto"/>
        <w:rPr>
          <w:sz w:val="20"/>
          <w:szCs w:val="20"/>
          <w:color w:val="auto"/>
        </w:rPr>
      </w:pPr>
      <w:r>
        <w:rPr>
          <w:rFonts w:ascii="Arial" w:cs="Arial" w:eastAsia="Arial" w:hAnsi="Arial"/>
          <w:sz w:val="16"/>
          <w:szCs w:val="16"/>
          <w:color w:val="auto"/>
        </w:rPr>
        <w:t>BurTech Acquisition Corp. is a newly organized blank check company formed for the purpose of effecting a merger, capital stock exchange, asset acquisition, stock purchase, reorganization or similar business combination with one or more businesses, which we refer to as our initial business combination throughout this prospectus. We have not selected any specific business combination target and we have not, nor has anyone on our behalf, initiated any substantive discussions, directly or indirectly, with any business combination target. While we may pursue an initial business combination target in any business or industry, we intend to focus our search on the retail, lifestyle, hospitality, technology or real estate markets.</w:t>
      </w:r>
    </w:p>
    <w:p>
      <w:pPr>
        <w:spacing w:after="0" w:line="16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This is an initial public offering of our securities. Each unit has an offering price of $10.00 and consists of one share of our Class A common stock and one-half of one redeemable warrant as described in more detail in this prospectus. Only whole warrants are exercisable. Each whole warrant entitles the holder thereof to purchase one share of our Class A common stock at a price of $11.50 per share, subject to adjustment as described herein. No fractional warrants will be issued upon separation of the units and only whole warrants will trade. The underwriters have a 45-day option from the date of this prospectus to purchase up to an additional 3,750,000 units to cover over-allotments, if any.</w:t>
      </w:r>
    </w:p>
    <w:p>
      <w:pPr>
        <w:spacing w:after="0" w:line="17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our Class A common stock upon the completion of our initial business combination, subject to the limitations described herein. If we are unable to complete our initial business combination within 24 months from the closing of this offering, we will redeem 100% of the public shares for cash, subject to applicable law and certain conditions as further described herein.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sponsor, BurTech LP LLC, has agreed to purchase an aggregate of 429,500 placement units (or 467,000 placement units if the over-allotment option is exercised in full) at a price of $10.00 per unit, for an aggregate purchase price of $4,295,000 ($4,670,000 if the over-allotment option is exercised in full). Each placement unit will be identical to the units sold in this offering, except as described in this prospectus. The placement units will be sold in a private placement that will close simultaneously with the closing of this offering.</w:t>
      </w:r>
    </w:p>
    <w:p>
      <w:pPr>
        <w:spacing w:after="0" w:line="187"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Our initial stockholders owns an aggregate of 8,625,000 shares of our Class B common stock (up to 1,125,000 shares of which are subject to forfeiture depending on the extent to which the underwriters’ over-allotment option is exercised), which will automatically convert into shares of Class A common stock at the time of the consummation of our initial business combination, on a one-for-one basis, subject to adjustment as described herein.</w:t>
      </w:r>
    </w:p>
    <w:p>
      <w:pPr>
        <w:spacing w:after="0" w:line="14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Currently, there is no public market for our units, Class A common stock or warrants. We have applied to list our units on The Nasdaq Capital Market, or Nasdaq, under the symbol “BRKH</w:t>
      </w:r>
      <w:r>
        <w:rPr>
          <w:rFonts w:ascii="Arial" w:cs="Arial" w:eastAsia="Arial" w:hAnsi="Arial"/>
          <w:sz w:val="16"/>
          <w:szCs w:val="16"/>
          <w:u w:val="single" w:color="auto"/>
          <w:color w:val="auto"/>
        </w:rPr>
        <w:t>U</w:t>
      </w:r>
      <w:r>
        <w:rPr>
          <w:rFonts w:ascii="Arial" w:cs="Arial" w:eastAsia="Arial" w:hAnsi="Arial"/>
          <w:sz w:val="16"/>
          <w:szCs w:val="16"/>
          <w:color w:val="auto"/>
        </w:rPr>
        <w:t>.” We expect that our units will be listed on The Nasdaq Capital Market on or promptly after the date of this prospectus. We cannot guarantee that our securities will be approved for listing on Nasdaq. We expect the Class A common stock and warrants comprising</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units will begin separate trading on the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following the date of this prospectus unless the representative informs us of its decision to allow earlier separate trading, subject to our satisfaction of certain conditions. Once the securities comprising the units begin separate trading, we expect that the Class A common stock and warrants will be listed on Nasdaq under the symbols “BRKH” and “BRKHW,” respectively.</w:t>
      </w:r>
    </w:p>
    <w:p>
      <w:pPr>
        <w:spacing w:after="0" w:line="200"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34 for a discussion of information that should be considered in connection with an investment in our securities. Investors will not be entitled to protections normally afforded to investors in Rule 419 blank check offerings.</w:t>
      </w:r>
    </w:p>
    <w:p>
      <w:pPr>
        <w:spacing w:after="0" w:line="180"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 Unit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24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11,250,000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BurTech Acquisition Corp.</w:t>
            </w:r>
          </w:p>
        </w:tc>
        <w:tc>
          <w:tcPr>
            <w:tcW w:w="2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238,750,000</w:t>
            </w:r>
          </w:p>
        </w:tc>
      </w:tr>
    </w:tbl>
    <w:p>
      <w:pPr>
        <w:spacing w:after="0" w:line="202" w:lineRule="exact"/>
        <w:rPr>
          <w:sz w:val="20"/>
          <w:szCs w:val="20"/>
          <w:color w:val="auto"/>
        </w:rPr>
      </w:pPr>
    </w:p>
    <w:p>
      <w:pPr>
        <w:ind w:left="760" w:hanging="428"/>
        <w:spacing w:after="0" w:line="271"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 be released to the representative of the underwriters only on completion of an initial business combination, as described in this prospectus. Does not include certain fees and expenses payable to the underwriters in connection with this offering. In addition we have agreed to issue 375,000 shares (or 431,250 shares if the underwriters’ over-allotment option is exercised in full) of our Class A common stock upon consummation of this offering to designees of the representative of the underwriters, which we refer to herein as the “representative shares” as compensation in connection with this offering. See the section of this prospectus entitled “Underwriting” beginning on page 34 for a description of compensation and other items of value payable to the underwriters.</w:t>
      </w:r>
    </w:p>
    <w:p>
      <w:pPr>
        <w:spacing w:after="0" w:line="178"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Of the proceeds we receive from this offering and the sale of the placement units described in this prospectus, $250,000,000 or $287,500,000 if the underwriters’ over-allotment option is exercised in full ($10.00 per unit in either case) will be deposited into a trust account in the United States with Continental Stock Transfer &amp; Trust Company acting as trustee and J.P. Morgan Securities LLC acting as investment manager.</w:t>
      </w:r>
    </w:p>
    <w:p>
      <w:pPr>
        <w:spacing w:after="0" w:line="149" w:lineRule="exact"/>
        <w:rPr>
          <w:sz w:val="20"/>
          <w:szCs w:val="20"/>
          <w:color w:val="auto"/>
        </w:rPr>
      </w:pPr>
    </w:p>
    <w:p>
      <w:pPr>
        <w:ind w:left="420" w:right="120" w:hanging="80"/>
        <w:spacing w:after="0" w:line="277" w:lineRule="auto"/>
        <w:rPr>
          <w:sz w:val="20"/>
          <w:szCs w:val="20"/>
          <w:color w:val="auto"/>
        </w:rPr>
      </w:pPr>
      <w:r>
        <w:rPr>
          <w:rFonts w:ascii="Arial" w:cs="Arial" w:eastAsia="Arial" w:hAnsi="Arial"/>
          <w:sz w:val="18"/>
          <w:szCs w:val="18"/>
          <w:color w:val="auto"/>
        </w:rPr>
        <w:t>The underwriters are offering the units for sale on a firm commitment basis. The underwriters expect to deliver the units to the purchasers on or about , 2021.</w:t>
      </w:r>
    </w:p>
    <w:p>
      <w:pPr>
        <w:sectPr>
          <w:pgSz w:w="11900" w:h="16838" w:orient="portrait"/>
          <w:cols w:equalWidth="0" w:num="1">
            <w:col w:w="11240"/>
          </w:cols>
          <w:pgMar w:left="320" w:top="904" w:right="3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32"/>
          <w:szCs w:val="32"/>
          <w:b w:val="1"/>
          <w:bCs w:val="1"/>
          <w:color w:val="auto"/>
        </w:rPr>
        <w:t>EF HUTTON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division of Benchmark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60" w:type="dxa"/>
            <w:vAlign w:val="bottom"/>
            <w:gridSpan w:val="2"/>
          </w:tcPr>
          <w:p>
            <w:pPr>
              <w:ind w:left="50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08"/>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120" w:type="dxa"/>
            <w:vAlign w:val="bottom"/>
            <w:gridSpan w:val="18"/>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640" w:type="dxa"/>
            <w:vAlign w:val="bottom"/>
            <w:gridSpan w:val="6"/>
            <w:shd w:val="clear" w:color="auto" w:fill="CCEEFF"/>
          </w:tcPr>
          <w:p>
            <w:pPr>
              <w:jc w:val="center"/>
              <w:ind w:left="39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34</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416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Cautionary Note Regarding Forward-Looking Statements</w:t>
              </w:r>
            </w:hyperlink>
          </w:p>
        </w:tc>
        <w:tc>
          <w:tcPr>
            <w:tcW w:w="5960" w:type="dxa"/>
            <w:vAlign w:val="bottom"/>
            <w:tcBorders>
              <w:bottom w:val="single" w:sz="8" w:color="CCEEFF"/>
            </w:tcBorders>
            <w:gridSpan w:val="2"/>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3"/>
            <w:shd w:val="clear" w:color="auto" w:fill="CCEEFF"/>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71</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Use of Proceeds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72</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120" w:type="dxa"/>
            <w:vAlign w:val="bottom"/>
            <w:gridSpan w:val="18"/>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Dividend Policy</w:t>
              </w:r>
            </w:hyperlink>
          </w:p>
        </w:tc>
        <w:tc>
          <w:tcPr>
            <w:tcW w:w="640" w:type="dxa"/>
            <w:vAlign w:val="bottom"/>
            <w:gridSpan w:val="6"/>
            <w:shd w:val="clear" w:color="auto" w:fill="CCEEFF"/>
          </w:tcPr>
          <w:p>
            <w:pPr>
              <w:jc w:val="center"/>
              <w:ind w:left="37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76</w:t>
              </w:r>
            </w:hyperlink>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16"/>
        </w:trPr>
        <w:tc>
          <w:tcPr>
            <w:tcW w:w="1180" w:type="dxa"/>
            <w:vAlign w:val="bottom"/>
            <w:tcBorders>
              <w:top w:val="single" w:sz="8" w:color="0000EE"/>
            </w:tcBorders>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Dilution</w:t>
              </w:r>
            </w:hyperlink>
          </w:p>
        </w:tc>
        <w:tc>
          <w:tcPr>
            <w:tcW w:w="8940" w:type="dxa"/>
            <w:vAlign w:val="bottom"/>
            <w:tcBorders>
              <w:top w:val="single" w:sz="8" w:color="CCEEFF"/>
            </w:tcBorders>
            <w:gridSpan w:val="10"/>
          </w:tcPr>
          <w:p>
            <w:pPr>
              <w:spacing w:after="0"/>
              <w:rPr>
                <w:sz w:val="18"/>
                <w:szCs w:val="18"/>
                <w:color w:val="auto"/>
              </w:rPr>
            </w:pPr>
          </w:p>
        </w:tc>
        <w:tc>
          <w:tcPr>
            <w:tcW w:w="46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77</w:t>
              </w:r>
            </w:hyperlink>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Capitalization</w:t>
              </w:r>
            </w:hyperlink>
          </w:p>
        </w:tc>
        <w:tc>
          <w:tcPr>
            <w:tcW w:w="9100" w:type="dxa"/>
            <w:vAlign w:val="bottom"/>
            <w:tcBorders>
              <w:bottom w:val="single" w:sz="8" w:color="CCEEFF"/>
            </w:tcBorders>
            <w:gridSpan w:val="11"/>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3"/>
            <w:shd w:val="clear" w:color="auto" w:fill="CCEEFF"/>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79</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80</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Proposed Business</w:t>
              </w:r>
            </w:hyperlink>
          </w:p>
        </w:tc>
        <w:tc>
          <w:tcPr>
            <w:tcW w:w="640" w:type="dxa"/>
            <w:vAlign w:val="bottom"/>
            <w:gridSpan w:val="6"/>
            <w:shd w:val="clear" w:color="auto" w:fill="CCEEFF"/>
          </w:tcPr>
          <w:p>
            <w:pPr>
              <w:jc w:val="center"/>
              <w:ind w:left="37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86</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360" w:type="dxa"/>
            <w:vAlign w:val="bottom"/>
            <w:gridSpan w:val="9"/>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Management</w:t>
              </w:r>
            </w:hyperlink>
          </w:p>
        </w:tc>
        <w:tc>
          <w:tcPr>
            <w:tcW w:w="8760" w:type="dxa"/>
            <w:vAlign w:val="bottom"/>
            <w:gridSpan w:val="9"/>
          </w:tcPr>
          <w:p>
            <w:pPr>
              <w:spacing w:after="0"/>
              <w:rPr>
                <w:sz w:val="18"/>
                <w:szCs w:val="18"/>
                <w:color w:val="auto"/>
              </w:rPr>
            </w:pPr>
          </w:p>
        </w:tc>
        <w:tc>
          <w:tcPr>
            <w:tcW w:w="700" w:type="dxa"/>
            <w:vAlign w:val="bottom"/>
            <w:gridSpan w:val="8"/>
          </w:tcPr>
          <w:p>
            <w:pPr>
              <w:jc w:val="center"/>
              <w:ind w:left="330"/>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118</w:t>
              </w:r>
            </w:hyperlink>
          </w:p>
        </w:tc>
        <w:tc>
          <w:tcPr>
            <w:tcW w:w="420" w:type="dxa"/>
            <w:vAlign w:val="bottom"/>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Principal Stockholders</w:t>
              </w:r>
            </w:hyperlink>
          </w:p>
        </w:tc>
        <w:tc>
          <w:tcPr>
            <w:tcW w:w="1120" w:type="dxa"/>
            <w:vAlign w:val="bottom"/>
            <w:gridSpan w:val="9"/>
            <w:shd w:val="clear" w:color="auto" w:fill="CCEEFF"/>
          </w:tcPr>
          <w:p>
            <w:pPr>
              <w:jc w:val="center"/>
              <w:spacing w:after="0"/>
              <w:rPr>
                <w:rFonts w:ascii="Arial" w:cs="Arial" w:eastAsia="Arial" w:hAnsi="Arial"/>
                <w:sz w:val="18"/>
                <w:szCs w:val="18"/>
                <w:color w:val="0000EE"/>
                <w:w w:val="93"/>
              </w:rPr>
            </w:pPr>
            <w:hyperlink w:anchor="page138">
              <w:r>
                <w:rPr>
                  <w:rFonts w:ascii="Arial" w:cs="Arial" w:eastAsia="Arial" w:hAnsi="Arial"/>
                  <w:sz w:val="18"/>
                  <w:szCs w:val="18"/>
                  <w:color w:val="0000EE"/>
                  <w:w w:val="93"/>
                </w:rPr>
                <w:t>131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Certain Relationships and Related Party Transactions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41">
              <w:r>
                <w:rPr>
                  <w:rFonts w:ascii="Arial" w:cs="Arial" w:eastAsia="Arial" w:hAnsi="Arial"/>
                  <w:sz w:val="18"/>
                  <w:szCs w:val="18"/>
                  <w:color w:val="0000EE"/>
                  <w:w w:val="93"/>
                </w:rPr>
                <w:t>134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80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Description of Securities</w:t>
              </w:r>
            </w:hyperlink>
          </w:p>
        </w:tc>
        <w:tc>
          <w:tcPr>
            <w:tcW w:w="8320" w:type="dxa"/>
            <w:vAlign w:val="bottom"/>
            <w:tcBorders>
              <w:bottom w:val="single" w:sz="8" w:color="CCEEFF"/>
            </w:tcBorders>
            <w:gridSpan w:val="7"/>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137</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United States Federal Income Tax Considerations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58">
              <w:r>
                <w:rPr>
                  <w:rFonts w:ascii="Arial" w:cs="Arial" w:eastAsia="Arial" w:hAnsi="Arial"/>
                  <w:sz w:val="18"/>
                  <w:szCs w:val="18"/>
                  <w:color w:val="0000EE"/>
                  <w:w w:val="93"/>
                </w:rPr>
                <w:t>150</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8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4"/>
              </w:rPr>
            </w:pPr>
            <w:hyperlink w:anchor="page167">
              <w:r>
                <w:rPr>
                  <w:rFonts w:ascii="Arial" w:cs="Arial" w:eastAsia="Arial" w:hAnsi="Arial"/>
                  <w:sz w:val="18"/>
                  <w:szCs w:val="18"/>
                  <w:color w:val="0000EE"/>
                  <w:w w:val="94"/>
                </w:rPr>
                <w:t>Underwriting</w:t>
              </w:r>
            </w:hyperlink>
          </w:p>
        </w:tc>
        <w:tc>
          <w:tcPr>
            <w:tcW w:w="9140" w:type="dxa"/>
            <w:vAlign w:val="bottom"/>
            <w:tcBorders>
              <w:bottom w:val="single" w:sz="8" w:color="CCEEFF"/>
            </w:tcBorders>
            <w:gridSpan w:val="12"/>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67">
              <w:r>
                <w:rPr>
                  <w:rFonts w:ascii="Arial" w:cs="Arial" w:eastAsia="Arial" w:hAnsi="Arial"/>
                  <w:sz w:val="18"/>
                  <w:szCs w:val="18"/>
                  <w:color w:val="0000EE"/>
                  <w:w w:val="93"/>
                </w:rPr>
                <w:t>159</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Legal Matters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76">
              <w:r>
                <w:rPr>
                  <w:rFonts w:ascii="Arial" w:cs="Arial" w:eastAsia="Arial" w:hAnsi="Arial"/>
                  <w:sz w:val="18"/>
                  <w:szCs w:val="18"/>
                  <w:color w:val="0000EE"/>
                  <w:w w:val="93"/>
                </w:rPr>
                <w:t>168</w:t>
              </w:r>
            </w:hyperlink>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5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76">
              <w:r>
                <w:rPr>
                  <w:rFonts w:ascii="Arial" w:cs="Arial" w:eastAsia="Arial" w:hAnsi="Arial"/>
                  <w:sz w:val="18"/>
                  <w:szCs w:val="18"/>
                  <w:color w:val="0000EE"/>
                  <w:w w:val="88"/>
                </w:rPr>
                <w:t>Experts</w:t>
              </w:r>
            </w:hyperlink>
          </w:p>
        </w:tc>
        <w:tc>
          <w:tcPr>
            <w:tcW w:w="9560" w:type="dxa"/>
            <w:vAlign w:val="bottom"/>
            <w:tcBorders>
              <w:bottom w:val="single" w:sz="8" w:color="CCEEFF"/>
            </w:tcBorders>
            <w:gridSpan w:val="17"/>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76">
              <w:r>
                <w:rPr>
                  <w:rFonts w:ascii="Arial" w:cs="Arial" w:eastAsia="Arial" w:hAnsi="Arial"/>
                  <w:sz w:val="18"/>
                  <w:szCs w:val="18"/>
                  <w:color w:val="0000EE"/>
                  <w:w w:val="93"/>
                </w:rPr>
                <w:t>168</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Where You Can Find Additional Information</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77">
              <w:r>
                <w:rPr>
                  <w:rFonts w:ascii="Arial" w:cs="Arial" w:eastAsia="Arial" w:hAnsi="Arial"/>
                  <w:sz w:val="18"/>
                  <w:szCs w:val="18"/>
                  <w:color w:val="0000EE"/>
                  <w:w w:val="93"/>
                </w:rPr>
                <w:t>169</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Index to Financial Statements</w:t>
              </w:r>
            </w:hyperlink>
          </w:p>
        </w:tc>
        <w:tc>
          <w:tcPr>
            <w:tcW w:w="420" w:type="dxa"/>
            <w:vAlign w:val="bottom"/>
            <w:shd w:val="clear" w:color="auto" w:fill="CCEEFF"/>
          </w:tcPr>
          <w:p>
            <w:pPr>
              <w:spacing w:after="0"/>
              <w:rPr>
                <w:sz w:val="18"/>
                <w:szCs w:val="18"/>
                <w:color w:val="auto"/>
              </w:rPr>
            </w:pPr>
          </w:p>
        </w:tc>
        <w:tc>
          <w:tcPr>
            <w:tcW w:w="700" w:type="dxa"/>
            <w:vAlign w:val="bottom"/>
            <w:gridSpan w:val="8"/>
            <w:shd w:val="clear" w:color="auto" w:fill="CCEEFF"/>
          </w:tcPr>
          <w:p>
            <w:pPr>
              <w:jc w:val="center"/>
              <w:ind w:right="420"/>
              <w:spacing w:after="0"/>
              <w:rPr>
                <w:rFonts w:ascii="Arial" w:cs="Arial" w:eastAsia="Arial" w:hAnsi="Arial"/>
                <w:sz w:val="18"/>
                <w:szCs w:val="18"/>
                <w:color w:val="0000EE"/>
                <w:w w:val="88"/>
              </w:rPr>
            </w:pPr>
            <w:hyperlink w:anchor="page178">
              <w:r>
                <w:rPr>
                  <w:rFonts w:ascii="Arial" w:cs="Arial" w:eastAsia="Arial" w:hAnsi="Arial"/>
                  <w:sz w:val="18"/>
                  <w:szCs w:val="18"/>
                  <w:color w:val="0000EE"/>
                  <w:w w:val="88"/>
                </w:rPr>
                <w:t>F-1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the section of this prospectus entitled “Risk Factors” and our financial statements and the related notes included elsewhere in this prospectus, before investing.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“Affiliated SPAC” are to GSD Quantum AI Acquisition Corp. and Bridge Media Acquisition Corp;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 collectively;</w:t>
      </w:r>
    </w:p>
    <w:p>
      <w:pPr>
        <w:spacing w:after="0" w:line="225"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“founder shares” are to shares of our Class B common stock initially purchased by our sponsor or its designees in a private placement prior to this offering, and the shares of our Class A common stock issuable upon the conversion thereof as provided herein;</w:t>
      </w:r>
    </w:p>
    <w:p>
      <w:pPr>
        <w:spacing w:after="0" w:line="14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its designees and any other holders of our founder shares prior to this offering (or their permitted transferees);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“placement units” are to the units being purchased by our sponsor, with each placement unit consisting of one placement share and one-half of one placement warrant;</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“placement shares” are to the shares of our common stock included within the placement units being purchased by our sponsor in the private placement;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“placement warrants” are to the warrants included within the placement units being purchased by our sponsor in the private placement;</w:t>
      </w:r>
    </w:p>
    <w:p>
      <w:pPr>
        <w:spacing w:after="0" w:line="236" w:lineRule="exact"/>
        <w:rPr>
          <w:rFonts w:ascii="Arial" w:cs="Arial" w:eastAsia="Arial" w:hAnsi="Arial"/>
          <w:sz w:val="17"/>
          <w:szCs w:val="17"/>
          <w:color w:val="auto"/>
        </w:rPr>
      </w:pPr>
    </w:p>
    <w:p>
      <w:pPr>
        <w:ind w:left="660" w:right="30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are to the private placement of 429,500 placement units (up to 467,000 placement units if the over-allotment option is exercised in full) at a price of $10.00 per unit, for an aggregate purchase price of $4,295,000 (up to $4,670,000 if the over-allotment option is exercised in full), which will occur simultaneously with the completion of this offering;</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660" w:right="2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shall only exist with respect to such public shares;</w:t>
      </w:r>
    </w:p>
    <w:p>
      <w:pPr>
        <w:spacing w:after="0" w:line="165" w:lineRule="exact"/>
        <w:rPr>
          <w:rFonts w:ascii="Arial" w:cs="Arial" w:eastAsia="Arial" w:hAnsi="Arial"/>
          <w:sz w:val="17"/>
          <w:szCs w:val="17"/>
          <w:color w:val="auto"/>
        </w:rPr>
      </w:pPr>
    </w:p>
    <w:p>
      <w:pPr>
        <w:ind w:left="660" w:right="28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warrants” are to our redeemable warrants sold as part of the units in this offering (whether they are purchased in this offering or thereafter in the open market, including warrants that may be acquired by our sponsor or its affiliates in this offering or thereafter in the open market);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“representative” are to EF Hutton, division of Benchmark Investments, LLC, who is the representative of the underwriters in this offering;</w:t>
      </w:r>
    </w:p>
    <w:p>
      <w:pPr>
        <w:spacing w:after="0" w:line="236"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representative shares” are to the 375,000 shares (or up to 431,250 shares if the underwriters’ over-allotment option is exercised in full)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common stock which we have agreed to issue to the representative and its designees upon consummation of this offering;</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BurTech LP LLC, a Delaware limited liability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“underwriters” are to the underwriters of this offering, for which the representative acting as representative;</w:t>
      </w:r>
    </w:p>
    <w:p>
      <w:pPr>
        <w:spacing w:after="0" w:line="225" w:lineRule="exact"/>
        <w:rPr>
          <w:rFonts w:ascii="Arial" w:cs="Arial" w:eastAsia="Arial" w:hAnsi="Arial"/>
          <w:sz w:val="18"/>
          <w:szCs w:val="18"/>
          <w:i w:val="1"/>
          <w:iCs w:val="1"/>
          <w:color w:val="auto"/>
        </w:rPr>
      </w:pPr>
    </w:p>
    <w:p>
      <w:pPr>
        <w:ind w:left="660" w:right="20" w:hanging="328"/>
        <w:spacing w:after="0" w:line="263"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“warrants” are to our redeemable warrants, which includes the public warrants as well as the placement warrants and any warrants sold as part of the placement units issued upon conversion of working capital loans to the extent they are no longer held by the initial holders or their permitted transferees; and</w:t>
      </w:r>
    </w:p>
    <w:p>
      <w:pPr>
        <w:spacing w:after="0" w:line="18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BurTech Acquisition Corp.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Unless we tell you otherwise, the information in this prospectus assumes that the underwriters will not exercise their over-allotment option.</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spacing w:after="0" w:line="18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71"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66"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Shahal M. Khan </w:t>
      </w:r>
      <w:r>
        <w:rPr>
          <w:rFonts w:ascii="Arial" w:cs="Arial" w:eastAsia="Arial" w:hAnsi="Arial"/>
          <w:sz w:val="17"/>
          <w:szCs w:val="17"/>
          <w:color w:val="auto"/>
        </w:rPr>
        <w:t>is our Chairman of the Board of Directors and Chief Executive Officer. Mr. Khan’s career as an investor, entrepreneur and social</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been directly responsible for syndication of over $5 billion in equity for projects as a principal through his family trust.</w:t>
      </w:r>
    </w:p>
    <w:p>
      <w:pPr>
        <w:spacing w:after="0" w:line="16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pioneering Cyber security company based out of New York City and London with four patents in data security. Since 2019, Mr. Khan has served as chief executive officer and Chairman of the Board of Trinity Hospitality Group LLC based out of New York City, which is currently developing a hotel property in New York City which will be a fully tech-enabled live and work destination in New York City with WIRED, a Condé Naste company. Trinity is currently developing over two billion dollars of a pipeline of “Digital Nomad” properties.</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2018, closed the transaction, then agreed to the sale of the hotel to the Qatari SWF.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40" w:firstLine="648"/>
        <w:spacing w:after="0" w:line="284" w:lineRule="auto"/>
        <w:rPr>
          <w:sz w:val="20"/>
          <w:szCs w:val="20"/>
          <w:color w:val="auto"/>
        </w:rPr>
      </w:pPr>
      <w:r>
        <w:rPr>
          <w:rFonts w:ascii="Arial" w:cs="Arial" w:eastAsia="Arial" w:hAnsi="Arial"/>
          <w:sz w:val="16"/>
          <w:szCs w:val="16"/>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over 60 technology companies as well as leading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the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Khan was the chief executive officer of Centile, a software company located in the South of France, which was sold to the European Development Bank in 2008. In 2009 Mr. Khan founded Zebasolar, one of the first developers of Solar power in India. Mr. Khan also served as a director on the boards of GD360 from 2017 through 2019,</w:t>
      </w:r>
    </w:p>
    <w:p>
      <w:pPr>
        <w:spacing w:after="0" w:line="1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which is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 in Washington DC.</w:t>
      </w:r>
    </w:p>
    <w:p>
      <w:pPr>
        <w:spacing w:after="0" w:line="1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Isaac Chetrit </w:t>
      </w:r>
      <w:r>
        <w:rPr>
          <w:rFonts w:ascii="Arial" w:cs="Arial" w:eastAsia="Arial" w:hAnsi="Arial"/>
          <w:sz w:val="17"/>
          <w:szCs w:val="17"/>
          <w:color w:val="auto"/>
        </w:rPr>
        <w:t>is our President. Mr. Chetrit is a real estate veteran with a background in architecture and electrical engineering. Mr. Chetrit is</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under the belt of The Taubman Company, where he built a reputation across major cities in the US. He was instrumental during his career with Taubman in making Dolphin Mall an institution in the industry and led the expansion and business development of many other luxury high end brands, restaurants, and entertainment venues in the USA and overseas. He has cemented valuable credibility in the Real Estate industry through his continuous involvement in functional management areas, project development, and consistently developing projects and brands that have become staples and powerhouses, both in the USA and globally.</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Mr. Chetrit has also spent the last 20 years merchandising malls, shopping centers, hotels, and specializing in location assessment and negotiations. Later as the vice president of Westfield, Mr. Chetrit was solely responsible for high-end retail and entertainment development for the eastern U.S. During the last two decades, Mr. Chetrit has procured hundreds of millions of dollars in transactions across the U.S. and other parts of the world. For the past couple years, Mr. Chetrit has deep dived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7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w:t>
      </w:r>
      <w:r>
        <w:rPr>
          <w:rFonts w:ascii="Arial" w:cs="Arial" w:eastAsia="Arial" w:hAnsi="Arial"/>
          <w:sz w:val="17"/>
          <w:szCs w:val="17"/>
          <w:b w:val="1"/>
          <w:bCs w:val="1"/>
          <w:color w:val="auto"/>
        </w:rPr>
        <w:t xml:space="preserve"> </w:t>
      </w:r>
      <w:r>
        <w:rPr>
          <w:rFonts w:ascii="Arial" w:cs="Arial" w:eastAsia="Arial" w:hAnsi="Arial"/>
          <w:sz w:val="17"/>
          <w:szCs w:val="17"/>
          <w:color w:val="auto"/>
        </w:rPr>
        <w:t>family 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holds Series 7, 24, and 63 registrations with the FINRA. Mr. Livson has a Master’s degree in Mathematical Finance from Columbia University, a Masters in Physics from Moscow Institute Of Electronics Engineering, and a Banking and Financing Degree from The London School of Economics.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ind w:firstLine="648"/>
        <w:spacing w:after="0" w:line="268" w:lineRule="auto"/>
        <w:rPr>
          <w:sz w:val="20"/>
          <w:szCs w:val="20"/>
          <w:color w:val="auto"/>
        </w:rPr>
      </w:pPr>
      <w:r>
        <w:rPr>
          <w:rFonts w:ascii="Arial" w:cs="Arial" w:eastAsia="Arial" w:hAnsi="Arial"/>
          <w:sz w:val="17"/>
          <w:szCs w:val="17"/>
          <w:b w:val="1"/>
          <w:bCs w:val="1"/>
          <w:color w:val="auto"/>
        </w:rPr>
        <w:t xml:space="preserve">Payel Farasat </w:t>
      </w:r>
      <w:r>
        <w:rPr>
          <w:rFonts w:ascii="Arial" w:cs="Arial" w:eastAsia="Arial" w:hAnsi="Arial"/>
          <w:sz w:val="17"/>
          <w:szCs w:val="17"/>
          <w:color w:val="auto"/>
        </w:rPr>
        <w:t>is our Chief Investment Officer. Since December 2020, Ms. Farasat has been the Chief Investment Officer (CIO) of Burkhan World</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LLC (“Burkhan”) and the Co-founder and Managing Partner of V4 Capital LLC, a bespoke consultancy and private equity firm that specializes in investing with purpose, impact and heart. Since December 2017, Ms. Farasat has been the Managing Principal of Farasat Consulting Group LLC (“FCG”), a business and management consulting firm. Ms. Farasat is also the Founder &amp; Master Coach of Project Me Coaching, a transformational coaching and advisory organization which she founded in June 2017. Ms. Farasat has over 20 years of experience, intuition, and conviction in asset management and financial advising. This combination enables Ms. Farasat to quickly capture data, patterns, and themes that shape her views on sentiment and positioning, as well as, inform her vision about the future relative to global economics and changing demographics. Consistently searching for new ways to interpret capital market dynamics, Ms. Farasat chairs Burkhan’s Investment Committee and curates investment policy and portfolio management for Burkhan’s global ecosystem of group companies. Deploying modern academic thinking that strives to improve expected returns, manage risk, and reduce costs,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grow. Ms. Farasat guides the process of infusing capital into innovative ventures that bring revolutionary technologies and experiences expected to have long-term positive impact on the world and our future. In this process, she creates custom capital raise solutions for Burkhan’s portfolio companies. Ms. Farasat is passionate about enabling democratized access to private equity investments and tailors custom participation strategies for institutional and accredited investors interested in co-investing in companies that Burkhan is taking public. "See the entire landscape with a diverse set of eyes within an endless feedback loop - Iterate, Rinse, Repeat.” is Ms. Farasat’s mantra for financial consciousness, profitability, growth, and sustainable global impact.</w:t>
      </w:r>
    </w:p>
    <w:p>
      <w:pPr>
        <w:spacing w:after="0" w:line="181"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directly responsible for the firm’s investment philosophy, policy, portfolio management, and messaging. She also managed the development of all investment strategy,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comprehensive financial planning and asset management to clients, businesses, and 401(k)s from</w:t>
      </w:r>
    </w:p>
    <w:p>
      <w:pPr>
        <w:spacing w:after="0" w:line="5"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July 2002 to September 2007. Ms. Farasat earned a Bachelors in Economics from University of California at Berkeley, with a double minor in Computer Science and Business Administration, from the Haas School of Business, Summa cum Laude, and a Master’s of Science in Financial Analysis (MScFA) from University of San Francisco, Magna cum Laude. Ms. Farasat is also ICF Certified Coach and a PHI Certified Pranic Healer.</w:t>
      </w:r>
    </w:p>
    <w:p>
      <w:pPr>
        <w:spacing w:after="0" w:line="15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Christopher Schroeder </w:t>
      </w:r>
      <w:r>
        <w:rPr>
          <w:rFonts w:ascii="Arial" w:cs="Arial" w:eastAsia="Arial" w:hAnsi="Arial"/>
          <w:sz w:val="17"/>
          <w:szCs w:val="17"/>
          <w:color w:val="auto"/>
        </w:rPr>
        <w:t>is our Chief Marketing Officer. Over the last 30 years, Mr. Schroeder has also been an interactive media pioneer,</w:t>
      </w:r>
      <w:r>
        <w:rPr>
          <w:rFonts w:ascii="Arial" w:cs="Arial" w:eastAsia="Arial" w:hAnsi="Arial"/>
          <w:sz w:val="17"/>
          <w:szCs w:val="17"/>
          <w:b w:val="1"/>
          <w:bCs w:val="1"/>
          <w:color w:val="auto"/>
        </w:rPr>
        <w:t xml:space="preserve"> </w:t>
      </w:r>
      <w:r>
        <w:rPr>
          <w:rFonts w:ascii="Arial" w:cs="Arial" w:eastAsia="Arial" w:hAnsi="Arial"/>
          <w:sz w:val="17"/>
          <w:szCs w:val="17"/>
          <w:color w:val="auto"/>
        </w:rPr>
        <w:t>visionary resort developer, brand creator and marketing leader for globally recognized brands. He brings and award-winning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 leading experiential hotel brand development company, where Mr. Schroeder manages all aspects of the business. From February 2016 through July 2019, Mr. Schroeder served as the managing partner and a director of Dakia Entertainment &amp; Hospitality. He was a founding partner of the UMUSIC hotel and entertainment center concept that is a partnership with the world’s largest music company, Universal Music Group. He is also a key player in its expansion, creating iconic projects. Mr. Schroeder is also leading the creation and expansion of the WIRED Hotel brand, having an exclusive license to the brand. Mr. Schroeder is also leading the creation and expansion of other major projects with legacy brands including Sports Illustrated, Condé Nast, Authentic Brands Group and Emmitt Smith.</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firstLine="648"/>
        <w:spacing w:after="0" w:line="279" w:lineRule="auto"/>
        <w:rPr>
          <w:sz w:val="20"/>
          <w:szCs w:val="20"/>
          <w:color w:val="auto"/>
        </w:rPr>
      </w:pPr>
      <w:r>
        <w:rPr>
          <w:rFonts w:ascii="Arial" w:cs="Arial" w:eastAsia="Arial" w:hAnsi="Arial"/>
          <w:sz w:val="17"/>
          <w:szCs w:val="17"/>
          <w:color w:val="auto"/>
        </w:rPr>
        <w:t>From 2013 to 2015, Mr. Schroeder previously served as chief marketing officer for Veremonte, a multi-billion-dollar investment company based in London, where he worked to create the largest leisure development in Europe, bringing partnerships with Hard Rock Hotels and Cirque du Soleil. He also worked to incubate and launch Formula E, the first fully electric racing championship in the world, with such notable partners as Leonardo di Caprio, Michael Andretti, Alain Prost, and Virgin Racing. Races are held in iconic cities including Paris, London, and New York.</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an interactive media pioneer, in 1995 Mr. Schroeder founded Reservation, the world’s leading internet development company for the hospitality industry at the time. From 1995 through 2003, he led the development of the first online reservation system of its kind in the travel industry for MGM Resorts and Hilton/Park Place Entertainment. During this time Mr. Schroeder also played a lead role in creating and implementing the largest rebranding and redevelopment campaign in history for MGM Resorts, which included developing multimedia roadshow to present to stockholders and Wall Street investors to secure funding to implement the massive project. Mr. Schroeder also served as president of the interactive division for Custom Marketing Group, the exclusive destination marketing group at the time for American Express, where he developed and managed digital media campaigns for over 20 leading tourism boards.</w:t>
      </w:r>
    </w:p>
    <w:p>
      <w:pPr>
        <w:spacing w:after="0" w:line="19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Mr. Schroeder has also been a leader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massive cooperative marketing initiatives incorporating local tourism boards, corporate partners, attractions, media, airlines, and hotels. Schroeder also created the first custom travel offers for the Today Show, the #1 morning show in America,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out of college to serve as the National Marketing and Retail Director for the company owning Ujena Swimwear, Swimwear Illustrated and Runner’s World Magazines. Mr. Schroeder attended Texas State University, San Marcos.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Leon Golden </w:t>
      </w:r>
      <w:r>
        <w:rPr>
          <w:rFonts w:ascii="Arial" w:cs="Arial" w:eastAsia="Arial" w:hAnsi="Arial"/>
          <w:sz w:val="17"/>
          <w:szCs w:val="17"/>
          <w:color w:val="auto"/>
        </w:rPr>
        <w:t>is one of our director nominees. Mr. Golden is a chartered public accountant and has worked as an accountant at ARG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Associates, Inc. an accounting firm in Brooklyn, New York since 1996. Mr. Golden has also been serving as a director for ARG Associates, Inc. since 1996.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Golden has spent the past 25 years representing public and private companies in all areas of accounting practices. Through his expertise as a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accountant, we believe he will be an integral part of the team. Mr. Golden has a CPA and a bachelor’s degree from Brooklyn College.</w:t>
      </w:r>
    </w:p>
    <w:p>
      <w:pPr>
        <w:spacing w:after="0" w:line="20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color w:val="auto"/>
        </w:rPr>
        <w:t xml:space="preserve">Gene Zolotarev </w:t>
      </w:r>
      <w:r>
        <w:rPr>
          <w:rFonts w:ascii="Arial" w:cs="Arial" w:eastAsia="Arial" w:hAnsi="Arial"/>
          <w:sz w:val="16"/>
          <w:szCs w:val="16"/>
          <w:color w:val="auto"/>
        </w:rPr>
        <w:t>is one of our director nominees. In 2019 Mr. Zolotarev founded Baltic Technology Ventures JSC (NASDAQ:BTE1R), the Baltic</w:t>
      </w:r>
      <w:r>
        <w:rPr>
          <w:rFonts w:ascii="Arial" w:cs="Arial" w:eastAsia="Arial" w:hAnsi="Arial"/>
          <w:sz w:val="16"/>
          <w:szCs w:val="16"/>
          <w:b w:val="1"/>
          <w:bCs w:val="1"/>
          <w:color w:val="auto"/>
        </w:rPr>
        <w:t xml:space="preserve"> </w:t>
      </w:r>
      <w:r>
        <w:rPr>
          <w:rFonts w:ascii="Arial" w:cs="Arial" w:eastAsia="Arial" w:hAnsi="Arial"/>
          <w:sz w:val="16"/>
          <w:szCs w:val="16"/>
          <w:color w:val="auto"/>
        </w:rPr>
        <w:t>region's only publicly traded venture capital firm with an angel network, where he currently serves as the Chief Executive Officer and Director as Head of the Investment Committee. Baltic Tech Ventures focuses on venture capital investments in technology companies and innovation projects. Mr. Zolotarev founded Maximus Capital SA in 2008 where he still serves as Chairman of the Board. Maximus Capital is as a multi-family office with deep expertise in identifying special situation investment opportunities – both in liquid markets and private equity, based in Switzerland. Mr. Zolotarev is currently the Chairman of Baltic News, Ltd, publisher of the Baltic Times, the leading English-language daily newspaper for the Baltic region. For over 20 years, Mr. Zolotarev has held a number of senior executive and board positions at prominent U.S., Russian and Baltic commercial and investment banks including AP Anlage &amp; Privatbank, Switzerland, Parex Asset Management and Parex Bank, in Latvia, Republic Bank of New York and Arthur Andersen &amp; Co, among others. Since 1993 he had cultivated personal and business relationships with principals of many major industrial holdings in Central and Eastern Europe and Commonwealth of Independent States. Mr. Zolotarev is a prominent investor in European Property Holdings, a real estate investment and consulting company based in Monaco. European Property Holdings (“EPH”) invests in core and manage-to-core properties with growth potential and holds an extensive, geographically diversified property portfolio spanning office, hotel and mixed-use real estate with a total value of more than EUR 1.5 billion. Through investing in premium real estate in core European markets, EPH ensures long-term capital preservation and generates a stable, regular and risk-adjusted return for its stakeholders. Mr. Zolotarev has a degree in Electrical Engineering and Concentration in Business from Columbia University and an executive MBA from New York University, Sterns School of Business in Finance and International Business. Mr. Zolotarev later attended Harvard University - Kennedy School of International Affairs for an executive program on National Security and Diplomacy.</w:t>
      </w:r>
    </w:p>
    <w:p>
      <w:pPr>
        <w:spacing w:after="0" w:line="16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color w:val="auto"/>
        </w:rPr>
        <w:t xml:space="preserve">Michael Penrod </w:t>
      </w:r>
      <w:r>
        <w:rPr>
          <w:rFonts w:ascii="Arial" w:cs="Arial" w:eastAsia="Arial" w:hAnsi="Arial"/>
          <w:sz w:val="16"/>
          <w:szCs w:val="16"/>
          <w:color w:val="auto"/>
        </w:rPr>
        <w:t>is one of our director nominees. Mr. Penrod has been in the hospitality industry for over 38 years. He has been the owner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famous "Elbo Room" in Fort Lauderdale since 1991; Elbo Room, founded in 1938, was one of the first places to open its doors to the world online with Web Cams and Live Chatrooms in 1996. Mr. Penrod took over the Elbo Room in 1991 and is an owner. Mr. Penrod is known for successfully building brands in the hospitality market, particularly Nikki Beach Worldwide, one of the leading luxury brands in entertainment with over twenty prestigious destinations around the world, including Miami Beach, USA; Saint Tropez, France; Saint Barth, Caribbean; Marbella, Spain; Koh Samui, Thailand; Mallorca, Spain; Ibiza, Spain; Monte Carlo, Monaco; Dubai, UAE; Versilia, Italy; Barbados, Caribbean; Costa Smeralda, Italy, and Montenegro, Tivat. Nikki Beach, founded by Mr. Penrod's father, Jack Penrod, in 1998 with its first "Café Nikki" in Miami's South Beach. Nikki Beach was the original luxury beach club concept that combines the elements of music, dining, entertainment, fashion, film, and art into one. It is known for its celebrity events such as Cannes Film Festival, Toronto Film Festival, Venice Film Festival, New Years' Eve Exclusive VIP events, and Music Festivals. Mr. Penrod was the Director of Worldwide Operations of the Nikki Beach Group from 2001 to 2015. He managed all operational and marketing divisions of the company in over 40 venues in 18 countries. Since 2016, Mr. Penrod has been the Senior Director of the Nikki Beach Family Office, where he manages all crypto investments, working on creative applications for Blockchain in the hospitality industry. In 2014 Mr. Penrod founder MVP Management, a hospitality, technology, and marketing company, where he continues to advise companies in the hospitality industry with a focus on maximizing technology platforms. Being a visionary, Mr. Penrod developed a distance learning platform with Roy Spear, founder of Home Shopping Network, from 1997 to 2000. Jim Clark recruited Mr. Penrod in 2000 to run his tech company, SeaScape, which he did until he joined his family to run Nikki Beach.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right="80" w:firstLine="648"/>
        <w:spacing w:after="0" w:line="269" w:lineRule="auto"/>
        <w:rPr>
          <w:sz w:val="20"/>
          <w:szCs w:val="20"/>
          <w:color w:val="auto"/>
        </w:rPr>
      </w:pPr>
      <w:r>
        <w:rPr>
          <w:rFonts w:ascii="Arial" w:cs="Arial" w:eastAsia="Arial" w:hAnsi="Arial"/>
          <w:sz w:val="17"/>
          <w:szCs w:val="17"/>
          <w:b w:val="1"/>
          <w:bCs w:val="1"/>
          <w:color w:val="auto"/>
        </w:rPr>
        <w:t xml:space="preserve">Peter Plaut </w:t>
      </w:r>
      <w:r>
        <w:rPr>
          <w:rFonts w:ascii="Arial" w:cs="Arial" w:eastAsia="Arial" w:hAnsi="Arial"/>
          <w:sz w:val="17"/>
          <w:szCs w:val="17"/>
          <w:color w:val="auto"/>
        </w:rPr>
        <w:t>is one of our director nominees. Since August 2016, Mr. Plaut has been a director for AEDS Advisors Ltd, London UK, a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and advisory and capital raising firm, which has signed over $10 billion real estate transactions in various real estate asset classes since the Covid -19 lockdown. Mr. Plaut is also an Executive Director at Wimmer Financial/Wimmer Family Office, in London, United Kingdom, a corporate advisory boutique investment bank with global reach through a network of partners and clients all over the world, where he has been an Executive Director since November 2018. Mr. Plaut is consistently recognized as a leader in the industry. Among his many achievements and awards, he was ranked as one of the Top 20 Rising Stars of Hedge Funds during the 2008 global financial crisis. More recently, since the Covid-19 Pandemic locked down the global economy, Mr. Plaut has signed over $5 billion of Engagements and/or Term Sheets across various real estate assets classes including residential, mixed use, office, and hospitality at Wimmer. Mr. Plaut has over 35 years investment banking, research, sales, trading, portfolio manager experience for some of the top tier global investment banks and private equity firms in New York, Washington DC and London, with significant experience in capital markets transactions in terms of debt and equity raises. From August 2016 through May 2018, Mr. Plaut served as an Executive Director and managed the Corporate Finance department for Swiss Invest in London, a capital origination and finance firm. Mr. Plaut has a bachelor of science in Management Information Systems from Rensselaer Polytechnic Institute.</w:t>
      </w:r>
    </w:p>
    <w:p>
      <w:pPr>
        <w:spacing w:after="0" w:line="17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Ambassador Hans H. Hertell </w:t>
      </w:r>
      <w:r>
        <w:rPr>
          <w:rFonts w:ascii="Arial" w:cs="Arial" w:eastAsia="Arial" w:hAnsi="Arial"/>
          <w:sz w:val="16"/>
          <w:szCs w:val="16"/>
          <w:color w:val="auto"/>
        </w:rPr>
        <w:t>is one of our director nominees. Since 2009, Mr. Hertell has been the Chairman of the Board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Hertell Group LLC, a group of seasoned and qualified, ex government, corporate and financial sector principals, with proven backgrounds in legal, finance, engineering, management, government relations and international business. Mr. Hertell is a former United States Ambassador to the Dominican Republic where he served from 2001 to 2007. Mr. Hertell was a co-founder of Goldman, Antonetti, Ferraiuoli, Axtmayer and Hertell, from</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1982 to 1989, which at the time was the third largest full service law firm in Puerto Rico. Mr. Hertell was also involved with the operations and investments of the Barrick Gold Corporation in the Dominican Republic. He was the Chairman of the Board at U.S. Precious Metals, Inc. from 2013 to 2015, and Colt Resources Inc. in 2015. Mr. Hertell was managing director for the Caribbean and Latin America affairs at Black, Kelly, Scruggs &amp; Healey, a government and public affairs company based in Washington, D.C. from 1992-1996. In 1989, he served as a member of the Commission to Review U.S. Magistrates for Reappointment of the U.S. District Court for the District of Puerto Rico. Between 1982 to 1984, he served as political and legal advisor to the Governor of Puerto Rico, as well as to the Attorney General, the Secretary of Agriculture and the Secretary of the Treasury of the Commonwealth of Puerto Rico.</w:t>
      </w:r>
    </w:p>
    <w:p>
      <w:pPr>
        <w:spacing w:after="0" w:line="4" w:lineRule="exact"/>
        <w:rPr>
          <w:sz w:val="20"/>
          <w:szCs w:val="20"/>
          <w:color w:val="auto"/>
        </w:rPr>
      </w:pPr>
    </w:p>
    <w:p>
      <w:pPr>
        <w:jc w:val="both"/>
        <w:ind w:right="420"/>
        <w:spacing w:after="0" w:line="323" w:lineRule="auto"/>
        <w:rPr>
          <w:sz w:val="20"/>
          <w:szCs w:val="20"/>
          <w:color w:val="auto"/>
        </w:rPr>
      </w:pPr>
      <w:r>
        <w:rPr>
          <w:rFonts w:ascii="Arial" w:cs="Arial" w:eastAsia="Arial" w:hAnsi="Arial"/>
          <w:sz w:val="16"/>
          <w:szCs w:val="16"/>
          <w:color w:val="auto"/>
        </w:rPr>
        <w:t>Mr. Hertell has also served on the board for Interenergy, Inc., Valisoft, Demex and Fundacion Boerman Segarra. Mr. Hertell has a law degree from the University of Puerto Rico and a Bachelor of Science in Economics from Fordham University, and an insurance degree from the College of Insurance.</w:t>
      </w:r>
    </w:p>
    <w:p>
      <w:pPr>
        <w:spacing w:after="0" w:line="1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 xml:space="preserve">Our Advisors His Highness Sheikh Ahmed Dalmook Al Maktoum </w:t>
      </w:r>
      <w:r>
        <w:rPr>
          <w:rFonts w:ascii="Arial" w:cs="Arial" w:eastAsia="Arial" w:hAnsi="Arial"/>
          <w:sz w:val="18"/>
          <w:szCs w:val="18"/>
          <w:color w:val="auto"/>
        </w:rPr>
        <w:t>is one of our advisors. HH Sheikh Maktoum is a member of the Ruling</w:t>
      </w:r>
      <w:r>
        <w:rPr>
          <w:rFonts w:ascii="Arial" w:cs="Arial" w:eastAsia="Arial" w:hAnsi="Arial"/>
          <w:sz w:val="18"/>
          <w:szCs w:val="18"/>
          <w:b w:val="1"/>
          <w:bCs w:val="1"/>
          <w:color w:val="auto"/>
        </w:rPr>
        <w:t xml:space="preserve"> </w:t>
      </w:r>
      <w:r>
        <w:rPr>
          <w:rFonts w:ascii="Arial" w:cs="Arial" w:eastAsia="Arial" w:hAnsi="Arial"/>
          <w:sz w:val="18"/>
          <w:szCs w:val="18"/>
          <w:color w:val="auto"/>
        </w:rPr>
        <w:t>Royal Family of Dubai, 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education and agriculture projects operated throughout Africa, South Asia, Russia and the Middle East. Through his strategic vision, international relationships and strategic partnerships, his group companies are well positioned to deliver a best-in-class turnkey solution by bringing in investment and ensure faultless execution and project implementation.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60" w:firstLine="648"/>
        <w:spacing w:after="0" w:line="291" w:lineRule="auto"/>
        <w:rPr>
          <w:sz w:val="20"/>
          <w:szCs w:val="20"/>
          <w:color w:val="auto"/>
        </w:rPr>
      </w:pPr>
      <w:r>
        <w:rPr>
          <w:rFonts w:ascii="Arial" w:cs="Arial" w:eastAsia="Arial" w:hAnsi="Arial"/>
          <w:sz w:val="16"/>
          <w:szCs w:val="16"/>
          <w:b w:val="1"/>
          <w:bCs w:val="1"/>
          <w:color w:val="auto"/>
        </w:rPr>
        <w:t xml:space="preserve">Mohammad Shaikh </w:t>
      </w:r>
      <w:r>
        <w:rPr>
          <w:rFonts w:ascii="Arial" w:cs="Arial" w:eastAsia="Arial" w:hAnsi="Arial"/>
          <w:sz w:val="16"/>
          <w:szCs w:val="16"/>
          <w:color w:val="auto"/>
        </w:rPr>
        <w:t>is one of our advisors. Mr. Shaikh is the Head of Blockchain Strategic Partnerships for Facebook, responsible for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and strategy. Mr. Shaikh has over a decade of multi-national financial services and blockchain/crypto experience. Previously, Mo Shaikh was the Founder and CEO of Meridio, a ConsenSys-backed, blockchain-based company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Currency (CBDCs). He is an active angel investor and serves on the board of two logistics companies. Mr. Shaikh holds a Bachelor’s Degree from Hunter College and an MBA from the University of Rochester.</w:t>
      </w:r>
    </w:p>
    <w:p>
      <w:pPr>
        <w:spacing w:after="0" w:line="15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Scott Young </w:t>
      </w:r>
      <w:r>
        <w:rPr>
          <w:rFonts w:ascii="Arial" w:cs="Arial" w:eastAsia="Arial" w:hAnsi="Arial"/>
          <w:sz w:val="17"/>
          <w:szCs w:val="17"/>
          <w:color w:val="auto"/>
        </w:rPr>
        <w:t>is one of our advisors. Since January 2010, Mr. Young has served as a Senior Advisor and director of Dial Partners LLP, And</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firm specializing in mergers and acquisitions and corporate finance. Mr. Young was one of the three founding board members of Cambridge Quantum Computing Ltd, in Cambridge, England (“Cambridge”), serving from April of 2015 through October of 2017. After the recent announcement of a merger with Honeywell Quantum Solutions, Cambridge has become one of the world’s leading integrated Quantum Computing company, incorporating Quantum software, Honeywell’s leading Quantum hardware, and the world’s only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of 2003 and is currently a member of its Nominating and Corporate Governance Committee.</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Mr. Young provides strategic advice to a wide range of entities, including private businesses, multinational companies, family offices, private equity groups and sovereign wealth funds. He is particularly focusing on companies that have developed proven and pioneering technologies with a tangible positive impact ( for example, on the environment, communications, health and wellbeing), that are highly relevant and scalable on a worldwide basis, have exceptional management teams, and which are supported by robust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outperforming international investment strategies for its clients. Earlier positions include Corporate Finance, Fixed Income and Equity Sales and Syndication with the securities trading and merchant banking firm LF Rothschild &amp; Co in New York, one of the leading firms in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&amp; International Studies, as well as a Juris Doctorate in Law and Masters in Business Administration from the University of North Carolina – Chapel Hill.</w:t>
      </w:r>
    </w:p>
    <w:p>
      <w:pPr>
        <w:spacing w:after="0" w:line="16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b w:val="1"/>
          <w:bCs w:val="1"/>
          <w:color w:val="auto"/>
        </w:rPr>
        <w:t xml:space="preserve">Alexis Johnson </w:t>
      </w:r>
      <w:r>
        <w:rPr>
          <w:rFonts w:ascii="Arial" w:cs="Arial" w:eastAsia="Arial" w:hAnsi="Arial"/>
          <w:sz w:val="17"/>
          <w:szCs w:val="17"/>
          <w:color w:val="auto"/>
        </w:rPr>
        <w:t>is one of our advisors. Ms. Johnson has over five years of experience in real estate development and construction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ranging from high-end residential to commercial and healthcare, with a total value from the projects totaling over $2 billion.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Ms. Johnson graduated with Cum Laude distinction from Loomis Chaffee, an independent boarding school in Windsor, CT and part of Ten Schools Admissions Organization. A recipient of the Little Rock 9 Scholarship, Ms. Johnson holds a bachelors in Civil Engineering from Johns Hopkins University's Whiting School of Engineering.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Affiliated SPACS.</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In May 2021, BurTech LP LLC, our Sponsor, founded GSD Quantum AI Acquisition Corp. (“GSD”), a blank check company incorporated for the purposes of effecting a business combination. GSD is expected to complete its initial public offering either before or after this offering. In March 2021, our Sponsor founded Bridge Media Acquisition Corp. (“Bridge”) a blank check company incorporated for the purposes of effecting a business combination.</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Bridge is expected to complete its initial public offering after this offering. Certain of our executive officers also serve as executive officers for GSD and Bridge. Our officers and directors may have conflicts of interest with other entities to which they owe fiduciary or contractual obligations with respect to initial business combination opportunities, including for our officers with respect to GSD and Bridge, collectively which we refer to as the “Affiliated SPACs”. None of our officers or directors, our sponsor, nor any of its respective officers, directors, employees, or affiliates, have had management experience with blank check companies or special purpose acquisition corporations in the past. In order to minimize potential conflicts of interest which may arise from multiple affiliations, our officers who are also officers of any of the Affiliated SPACs may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 Although conflicts of interest in pursuing an acquisition target may arise among the Affiliated SPACS, we do not believe that any potential conflicts would materially affect our ability to complete our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strategy is to utilize our management team’s investing and operating experience to identify and acquire a business within our sectors of interest. Upon a successful business combination, we intend to have a hands-on approach towards growing the business organically and through acquisitions, improve operations, raise capital and optimize the business’ capital structure. Our investing style is deep-rooted in disciplined fundamental analysis, taking a long-term view towards shareholder value creation and improving the business’ operating performance. We currently expect that we will leverage our management team’s knowledge, experience and longstanding relationships within various industries towards identifying business combination opportunities. Furthermore, we intend to source initial business combination opportunities through our management team’s network of investors, operating partners, financial firms, brokers and lenders. Upon completion of this offering, members of our management team will communicate with their networks our target acquisition criteria and business strategy to begin the process of pursuing and reviewing potentially interesting ideas.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Thesis</w:t>
      </w:r>
    </w:p>
    <w:p>
      <w:pPr>
        <w:spacing w:after="0" w:line="229"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are seeing emerging trends of industry crossovers and overlapping technologies and policies across the infrastructure, property, and fintech spaces. The convergence of information, transactions, and management is enabling the rapid growth of the infratech, proptech, and fintech industries - from smart homes to construction/property management/business tech.</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Technology prices and risks are falling while big data and artificial intelligence are rapidly growing. It is no longer enough to just capture data, we have to make sense of it and create new opportunities for people and businesses with it. We also have to streamline services like automated valuations. Connectivity is increasingly crucial for tomorrow's modern life, and with work life shifting due to the pandemic - work, home, and leisure is merging more and more.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spacing w:after="0" w:line="279" w:lineRule="auto"/>
        <w:rPr>
          <w:sz w:val="20"/>
          <w:szCs w:val="20"/>
          <w:color w:val="auto"/>
        </w:rPr>
      </w:pPr>
      <w:r>
        <w:rPr>
          <w:rFonts w:ascii="Arial" w:cs="Arial" w:eastAsia="Arial" w:hAnsi="Arial"/>
          <w:sz w:val="17"/>
          <w:szCs w:val="17"/>
          <w:color w:val="auto"/>
        </w:rPr>
        <w:t>Social housing needs are rapidly increasing within our changing demographics, and we expect these needs to keep growing. Whether it be micro-housing in high density urban areas or it be multi-generational housing, co-living or community-living, we are seeing these important evolutionary trends across retirees as well as young millennials. Blurring of the use of properties and converting them into multi-function spaces is the next frontier of helping the world increase productivity, comfort, and fun - through spaces where work, rest, and play meet seamlessly.</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rise of the “digital nomad” is also giving rise to a brand new property demand: global properties with lightning fast broadband, print facilities, luxurious bedding, and group dinners that promote intermingling with peers and brainstorming on new ventures and ideas … all before ‘nomading' off to another part of the world for the next few months.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evolution in how we live, play, and work is making the industry rethink how we use space wisely. The sharing economy has emerged, and we are the leading experts in bringing to the world meaningful, sustainable, energy-efficient, and timely changes in how we use properties in the future and also how their economic models need to evolve over time. We believe that our capabilities in technology developments across infrastructure, real estate, fintech, and blockchain will give us unparalleled advantages in bringing viable and diverse options for the entire spectrum of investors, businesses, travelers, renters, and owners. Our reputation and experience along with our acute abilities to leverage, source, value, perform due-diligence, and execute provides us a significant pipeline of opportunities from which we evaluate and select businesses that will benefit from our expertise with regards to their profitability and productivity.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While we will not be limited to a particular industry or geographic region, given the experience of our management team, we expect to focus on acquiring a business that participates within the consumer, financial services, lifestyle, infrastructure, technology or real estate markets and gain the benefit of our team’s deep knowledge in cloud connectivity and services that can be leveraged in those markets We believe that significant opportunity exists in bringing scale, increased market penetration and cloud connected technology solutions to businesses that benefit from strong core offerings and have access to large addressable markets. Our management team will look to identify business combination targets that are in need of strategic growth capital, will benefit from becoming a publicly listed company or will benefit from our management team’s experience and relationships towards scaling existing platforms. We intend to seek candidates with an enterprise value of between $500 million and $1.5 billion, where we believe our management team has the strongest network to identify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will seek to identify companies that have compelling growth potential and a combination of the following characteristics. We will use these criteria and guidelines in evaluating acquisition opportunities, but we may decide to enter our initial business combination with a target business that does not meet these criteria and guidelines. We intend to acquire companies or assets that we believe have the following attributes:</w:t>
      </w:r>
    </w:p>
    <w:p>
      <w:pPr>
        <w:spacing w:after="0" w:line="165" w:lineRule="exact"/>
        <w:rPr>
          <w:sz w:val="20"/>
          <w:szCs w:val="20"/>
          <w:color w:val="auto"/>
        </w:rPr>
      </w:pPr>
    </w:p>
    <w:p>
      <w:pPr>
        <w:ind w:left="660" w:right="380" w:hanging="328"/>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Scalability and large addressable markets. </w:t>
      </w:r>
      <w:r>
        <w:rPr>
          <w:rFonts w:ascii="Arial" w:cs="Arial" w:eastAsia="Arial" w:hAnsi="Arial"/>
          <w:sz w:val="16"/>
          <w:szCs w:val="16"/>
          <w:color w:val="auto"/>
        </w:rPr>
        <w:t>We intend to seek candidates that operate in large markets where small increases in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penetration can translate into rapid and significant financial benefits. We intend to evaluate each market based on several factors, including competitive dynamics, demand drivers, macroeconomic trends, and the potential to build a sustainable competitive edge.</w:t>
      </w:r>
    </w:p>
    <w:p>
      <w:pPr>
        <w:spacing w:after="0" w:line="148" w:lineRule="exact"/>
        <w:rPr>
          <w:rFonts w:ascii="Arial" w:cs="Arial" w:eastAsia="Arial" w:hAnsi="Arial"/>
          <w:sz w:val="16"/>
          <w:szCs w:val="16"/>
          <w:color w:val="auto"/>
        </w:rPr>
      </w:pPr>
    </w:p>
    <w:p>
      <w:pPr>
        <w:jc w:val="both"/>
        <w:ind w:left="660" w:right="18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Attractive customer demographics. </w:t>
      </w:r>
      <w:r>
        <w:rPr>
          <w:rFonts w:ascii="Arial" w:cs="Arial" w:eastAsia="Arial" w:hAnsi="Arial"/>
          <w:sz w:val="18"/>
          <w:szCs w:val="18"/>
          <w:color w:val="auto"/>
        </w:rPr>
        <w:t>Our management team has deep insights into the consumer and enterprise customer’s behavior and buying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in a range of global markets. We expect to capitalize on shifting demographic trends to build a sustainable business enterprise with clear understandings of global market trends.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Brands serving high growth markets. </w:t>
      </w:r>
      <w:r>
        <w:rPr>
          <w:rFonts w:ascii="Arial" w:cs="Arial" w:eastAsia="Arial" w:hAnsi="Arial"/>
          <w:sz w:val="18"/>
          <w:szCs w:val="18"/>
          <w:color w:val="auto"/>
        </w:rPr>
        <w:t>We intend to seek candidates where we believe that customer connection with the business’ brands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matters and will continue to matter. We believe that building global brand recognition with an awareness of the ultimate brand value in the markets we will serve is a significant driver of shareholder value.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60" w:right="60" w:hanging="328"/>
        <w:spacing w:after="0" w:line="30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Ecosystem-oriented and technology-centric. </w:t>
      </w:r>
      <w:r>
        <w:rPr>
          <w:rFonts w:ascii="Arial" w:cs="Arial" w:eastAsia="Arial" w:hAnsi="Arial"/>
          <w:sz w:val="16"/>
          <w:szCs w:val="16"/>
          <w:color w:val="auto"/>
        </w:rPr>
        <w:t>We intend to seek candidates that have a potential to provide the business’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benefits within a cloud connected ecosystem. Our management team has expertise in identifying and investing in scalable growth businesses. The team has experience in using partnerships to drive value creation, scale and entry into new global markets. Furthermore, our management team has experience deploying capital into companies to propel growth and physical presence across global markets.</w:t>
      </w:r>
    </w:p>
    <w:p>
      <w:pPr>
        <w:spacing w:after="0" w:line="157" w:lineRule="exact"/>
        <w:rPr>
          <w:rFonts w:ascii="Arial" w:cs="Arial" w:eastAsia="Arial" w:hAnsi="Arial"/>
          <w:sz w:val="16"/>
          <w:szCs w:val="16"/>
          <w:color w:val="auto"/>
        </w:rPr>
      </w:pPr>
    </w:p>
    <w:p>
      <w:pPr>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Sustainable Development Goal (SDG) measurements. </w:t>
      </w:r>
      <w:r>
        <w:rPr>
          <w:rFonts w:ascii="Arial" w:cs="Arial" w:eastAsia="Arial" w:hAnsi="Arial"/>
          <w:sz w:val="17"/>
          <w:szCs w:val="17"/>
          <w:color w:val="auto"/>
        </w:rPr>
        <w:t>We intend to seek candidates that have business models and solutions that have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as measured against the United Nations Sustainable Development Goals and that showcase good stewardship of the planet. Our management team is uniquely qualified in this area and has been involved in global advocacy of the SDGs as well as part of enterprises with clear metrics and measurements to show how companies can be measured for their positive impact on the SDGs.</w:t>
      </w:r>
    </w:p>
    <w:p>
      <w:pPr>
        <w:spacing w:after="0" w:line="171" w:lineRule="exact"/>
        <w:rPr>
          <w:rFonts w:ascii="Arial" w:cs="Arial" w:eastAsia="Arial" w:hAnsi="Arial"/>
          <w:sz w:val="17"/>
          <w:szCs w:val="17"/>
          <w:color w:val="auto"/>
        </w:rPr>
      </w:pPr>
    </w:p>
    <w:p>
      <w:pPr>
        <w:ind w:left="660" w:right="12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Strong target management teams. </w:t>
      </w:r>
      <w:r>
        <w:rPr>
          <w:rFonts w:ascii="Arial" w:cs="Arial" w:eastAsia="Arial" w:hAnsi="Arial"/>
          <w:sz w:val="16"/>
          <w:szCs w:val="16"/>
          <w:color w:val="auto"/>
        </w:rPr>
        <w:t>We intend to seek candidates that have strong management teams with a track record of driving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enhancing profitability and generating strong free cash flow. We will spend significant time assessing a target company’s leadership and personnel across the organization and evaluating how we can build a stronger team with requisite skill sets to execute on business strategy.</w:t>
      </w:r>
    </w:p>
    <w:p>
      <w:pPr>
        <w:spacing w:after="0" w:line="148" w:lineRule="exact"/>
        <w:rPr>
          <w:rFonts w:ascii="Arial" w:cs="Arial" w:eastAsia="Arial" w:hAnsi="Arial"/>
          <w:sz w:val="16"/>
          <w:szCs w:val="16"/>
          <w:color w:val="auto"/>
        </w:rPr>
      </w:pPr>
    </w:p>
    <w:p>
      <w:pPr>
        <w:ind w:left="660" w:right="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benefit from our management team’s expertise. </w:t>
      </w:r>
      <w:r>
        <w:rPr>
          <w:rFonts w:ascii="Arial" w:cs="Arial" w:eastAsia="Arial" w:hAnsi="Arial"/>
          <w:sz w:val="18"/>
          <w:szCs w:val="18"/>
          <w:color w:val="auto"/>
        </w:rPr>
        <w:t>We intend to seek candidates whose performance can be augmented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investing, operating expertise, and global enterprise networks. Our management team has actively recruited and retained key operational human capital into companies.</w:t>
      </w:r>
    </w:p>
    <w:p>
      <w:pPr>
        <w:spacing w:after="0" w:line="183" w:lineRule="exact"/>
        <w:rPr>
          <w:rFonts w:ascii="Arial" w:cs="Arial" w:eastAsia="Arial" w:hAnsi="Arial"/>
          <w:sz w:val="18"/>
          <w:szCs w:val="18"/>
          <w:color w:val="auto"/>
        </w:rPr>
      </w:pPr>
    </w:p>
    <w:p>
      <w:pPr>
        <w:ind w:left="660" w:right="74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Opportunity for operational improvements. </w:t>
      </w:r>
      <w:r>
        <w:rPr>
          <w:rFonts w:ascii="Arial" w:cs="Arial" w:eastAsia="Arial" w:hAnsi="Arial"/>
          <w:sz w:val="17"/>
          <w:szCs w:val="17"/>
          <w:color w:val="auto"/>
        </w:rPr>
        <w:t>We will seek to identify businesses that we believe would benefit from our ability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the target company’s revenue models, cost structure, brand awareness and product offerings.</w:t>
      </w:r>
    </w:p>
    <w:p>
      <w:pPr>
        <w:spacing w:after="0" w:line="146" w:lineRule="exact"/>
        <w:rPr>
          <w:rFonts w:ascii="Arial" w:cs="Arial" w:eastAsia="Arial" w:hAnsi="Arial"/>
          <w:sz w:val="17"/>
          <w:szCs w:val="17"/>
          <w:color w:val="auto"/>
        </w:rPr>
      </w:pPr>
    </w:p>
    <w:p>
      <w:pPr>
        <w:ind w:left="660" w:right="24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Growth opportunities through capital investment. </w:t>
      </w:r>
      <w:r>
        <w:rPr>
          <w:rFonts w:ascii="Arial" w:cs="Arial" w:eastAsia="Arial" w:hAnsi="Arial"/>
          <w:sz w:val="18"/>
          <w:szCs w:val="18"/>
          <w:color w:val="auto"/>
        </w:rPr>
        <w:t>We intend to seek candidates that will benefit from additional capital investment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and technology enhancing solutions. These opportunities may include investment in existing and new facilities to drive growth.</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Opportunities for add-on acquisitions. </w:t>
      </w:r>
      <w:r>
        <w:rPr>
          <w:rFonts w:ascii="Arial" w:cs="Arial" w:eastAsia="Arial" w:hAnsi="Arial"/>
          <w:sz w:val="18"/>
          <w:szCs w:val="18"/>
          <w:color w:val="auto"/>
        </w:rPr>
        <w:t>We will seek to acquire one or more businesses or assets that we can grow both organically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we believe that our ability to source proprietary opportunities will be valuable as we continue to build upon a robust public company platform post initial business combination.</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Appropriate valuations. </w:t>
      </w:r>
      <w:r>
        <w:rPr>
          <w:rFonts w:ascii="Arial" w:cs="Arial" w:eastAsia="Arial" w:hAnsi="Arial"/>
          <w:sz w:val="18"/>
          <w:szCs w:val="18"/>
          <w:color w:val="auto"/>
        </w:rPr>
        <w:t>We will seek to be disciplined and bring our fundamental investing approach towards valuing potential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targets.</w:t>
      </w:r>
    </w:p>
    <w:p>
      <w:pPr>
        <w:spacing w:after="0" w:line="17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some or all of the above criteria and guidelines, we will disclose that the target business does not meet such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 with Diverse Deal Sourcing Network</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management team’s contacts and relationships are extensive across the targeted industries, providing superior access to private companies. With regard to real estate, infrastructure, financial services, lifestyle brands, our network includes private equity, venture capital, technology entrepreneurs, and individual owners and founders of space-as-a-service operators, clean energy, cloud services, real estate technology companies, hotels, retailers, and restaurant groups. This network extends beyond the United States into Europe, Asia, the Middle East, South America, and Sub-Saharan Africa. We intend to leverage this network to gain exclusive access to and identify attractive target businesses which have the opportunity to scale up, transition services and customers, and grow.</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5" w:name="page16"/>
    <w:bookmarkEnd w:id="15"/>
    <w:p>
      <w:pPr>
        <w:ind w:right="20" w:firstLine="324"/>
        <w:spacing w:after="0" w:line="259"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real estate market participants, private equity and venture capital groups, investment banking firms, consultants, legal and accounting firms and large business enterprises. Upon completion of this offering, members of our management team will communicate actively with their networks of relationships to articulate parameters for a potential business combination target.</w:t>
      </w:r>
    </w:p>
    <w:p>
      <w:pPr>
        <w:spacing w:after="0" w:line="18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of our management team is not a guarantee either (i) of success with respect to any business combination we may consummate or</w:t>
      </w:r>
    </w:p>
    <w:p>
      <w:pPr>
        <w:spacing w:after="0" w:line="46" w:lineRule="exact"/>
        <w:rPr>
          <w:sz w:val="20"/>
          <w:szCs w:val="20"/>
          <w:color w:val="auto"/>
        </w:rPr>
      </w:pPr>
    </w:p>
    <w:p>
      <w:pPr>
        <w:ind w:right="40" w:firstLine="8"/>
        <w:spacing w:after="0" w:line="251"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and non-compete agreements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and understandings of Governmental policy and work with Universities on Innovation programs.</w:t>
      </w:r>
    </w:p>
    <w:p>
      <w:pPr>
        <w:spacing w:after="0" w:line="225"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management team brings significant experience working with Governmental groups and organizations on policy and programs to enhance the reach of U.S. companies in developing markets in areas of technology and infrastructure. Our management team also works closely with leading Universities in the United States on programs to enhance the opportunity and access of technology and innovation for new markets both in the United States and in Developing Markets. This understanding and experience with the role of Governmental policies and strong University programs play in opening and enhancing global market opportunities for our businesses we feel is a unique competitive strength of our management team.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Identifying and Investing in Scalable Businesses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team brings recent experience in working with rapidly scaling businesses. The complementary skillset of our management team is well suited to working with companies and brands that can grow rapidly with the addition of, or access to capital. Helping companies grow physical presence by utilizing our management team’s knowledge of global real estate markets, real estate operations, and the capital markets is a core competitive strength.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firstLine="324"/>
        <w:spacing w:after="0" w:line="311" w:lineRule="auto"/>
        <w:rPr>
          <w:sz w:val="20"/>
          <w:szCs w:val="20"/>
          <w:color w:val="auto"/>
        </w:rPr>
      </w:pPr>
      <w:r>
        <w:rPr>
          <w:rFonts w:ascii="Arial" w:cs="Arial" w:eastAsia="Arial" w:hAnsi="Arial"/>
          <w:sz w:val="16"/>
          <w:szCs w:val="16"/>
          <w:color w:val="auto"/>
        </w:rPr>
        <w:t>We will have until 24 months from the closing of this offering to consummate an initial business combination. Up to $1,500,000 of the loans made by our sponsor, our officers and directors, or our or their affiliates to us prior to or in connection with our initial business combination (including loans made to extend our time period for consummating a business combination) may be convertible into units at a price of $10.00 per unit at the option of the lender.</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the business combination involves more than one target business, the 80% fair market value test will be based on the aggregate value of all of the target businesses and we will treat the target businesses together as our initial business combination for purposes of a tender offer or for seeking stockholder approval, as applicable.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sponsor, officers, directors,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6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right="6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the expertise of our management team in analyzing companies and evaluating operating projections, financial projections and determining the appropriate return expectations given the risk profile of the target business.</w:t>
      </w:r>
    </w:p>
    <w:p>
      <w:pPr>
        <w:spacing w:after="0" w:line="18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Members of our management team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 We have not selected any specific business combination target and we have not, nor has anyone on our behalf, initiated any substantive discussions, directly or indirectly, with any business combination target.</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Some of our officers and directors presently have,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and that our obligations are to entities that are not themselves in the business of engaging in business combinations.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Corporate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Our executive offices are located at 1300 Pennsylvania Ave NW, Suite 700, Washington, DC 20004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202) 600-5757.</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 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common stock held by non-affiliates exceeds $250 million as of the end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of this prospectus entitled “Risk Factors.”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1180" w:hanging="161"/>
        <w:spacing w:after="0" w:line="277" w:lineRule="auto"/>
        <w:rPr>
          <w:sz w:val="20"/>
          <w:szCs w:val="20"/>
          <w:color w:val="auto"/>
        </w:rPr>
      </w:pPr>
      <w:r>
        <w:rPr>
          <w:rFonts w:ascii="Arial" w:cs="Arial" w:eastAsia="Arial" w:hAnsi="Arial"/>
          <w:sz w:val="18"/>
          <w:szCs w:val="18"/>
          <w:color w:val="auto"/>
        </w:rPr>
        <w:t>Trading commencement and separation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1900" w:hanging="161"/>
        <w:spacing w:after="0" w:line="259" w:lineRule="auto"/>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ind w:left="80" w:right="380"/>
        <w:spacing w:after="0" w:line="342" w:lineRule="auto"/>
        <w:rPr>
          <w:sz w:val="20"/>
          <w:szCs w:val="20"/>
          <w:color w:val="auto"/>
        </w:rPr>
      </w:pPr>
      <w:r>
        <w:rPr>
          <w:rFonts w:ascii="Arial" w:cs="Arial" w:eastAsia="Arial" w:hAnsi="Arial"/>
          <w:sz w:val="16"/>
          <w:szCs w:val="16"/>
          <w:color w:val="auto"/>
        </w:rPr>
        <w:t>25,000,000 units (or 28,750,000 units if the underwriters’ over-allotment option is exercised in full), at $10.00 per unit, each unit consisting of:</w:t>
      </w:r>
    </w:p>
    <w:p>
      <w:pPr>
        <w:spacing w:after="0" w:line="124" w:lineRule="exact"/>
        <w:rPr>
          <w:sz w:val="20"/>
          <w:szCs w:val="20"/>
          <w:color w:val="auto"/>
        </w:rPr>
      </w:pPr>
    </w:p>
    <w:p>
      <w:pPr>
        <w:ind w:left="600" w:hanging="1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225" w:lineRule="exact"/>
        <w:rPr>
          <w:rFonts w:ascii="Arial" w:cs="Arial" w:eastAsia="Arial" w:hAnsi="Arial"/>
          <w:sz w:val="18"/>
          <w:szCs w:val="18"/>
          <w:color w:val="auto"/>
        </w:rPr>
      </w:pPr>
    </w:p>
    <w:p>
      <w:pPr>
        <w:ind w:left="80" w:right="2480" w:firstLine="328"/>
        <w:spacing w:after="0" w:line="500" w:lineRule="auto"/>
        <w:tabs>
          <w:tab w:leader="none" w:pos="602"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one-half of one redeemable warrant. Units: “BRKHU”</w:t>
      </w:r>
    </w:p>
    <w:p>
      <w:pPr>
        <w:spacing w:after="0" w:line="1"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Class A common stock: “BRKH”</w:t>
      </w:r>
    </w:p>
    <w:p>
      <w:pPr>
        <w:spacing w:after="0" w:line="225"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Warrants: “BRKHW”</w:t>
      </w:r>
    </w:p>
    <w:p>
      <w:pPr>
        <w:spacing w:after="0" w:line="225" w:lineRule="exact"/>
        <w:rPr>
          <w:sz w:val="20"/>
          <w:szCs w:val="20"/>
          <w:color w:val="auto"/>
        </w:rPr>
      </w:pPr>
    </w:p>
    <w:p>
      <w:pPr>
        <w:ind w:left="80" w:right="100"/>
        <w:spacing w:after="0" w:line="291" w:lineRule="auto"/>
        <w:rPr>
          <w:sz w:val="20"/>
          <w:szCs w:val="20"/>
          <w:color w:val="auto"/>
        </w:rPr>
      </w:pPr>
      <w:r>
        <w:rPr>
          <w:rFonts w:ascii="Arial" w:cs="Arial" w:eastAsia="Arial" w:hAnsi="Arial"/>
          <w:sz w:val="16"/>
          <w:szCs w:val="16"/>
          <w:color w:val="auto"/>
        </w:rPr>
        <w:t>The units will begin trading on or promptly after the date of this prospectus. We expect the Class A common stock and warrants comprising the units will</w:t>
      </w:r>
    </w:p>
    <w:p>
      <w:pPr>
        <w:ind w:left="80" w:right="20"/>
        <w:spacing w:after="0" w:line="274" w:lineRule="auto"/>
        <w:rPr>
          <w:sz w:val="20"/>
          <w:szCs w:val="20"/>
          <w:color w:val="auto"/>
        </w:rPr>
      </w:pPr>
      <w:r>
        <w:rPr>
          <w:rFonts w:ascii="Arial" w:cs="Arial" w:eastAsia="Arial" w:hAnsi="Arial"/>
          <w:sz w:val="16"/>
          <w:szCs w:val="16"/>
          <w:color w:val="auto"/>
        </w:rPr>
        <w:t>begin separate trading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two units, you will not be able to receive or trade a whole warrant.</w:t>
      </w:r>
    </w:p>
    <w:p>
      <w:pPr>
        <w:spacing w:after="0" w:line="182" w:lineRule="exact"/>
        <w:rPr>
          <w:sz w:val="20"/>
          <w:szCs w:val="20"/>
          <w:color w:val="auto"/>
        </w:rPr>
      </w:pPr>
    </w:p>
    <w:p>
      <w:pPr>
        <w:ind w:left="80"/>
        <w:spacing w:after="0" w:line="269" w:lineRule="auto"/>
        <w:rPr>
          <w:sz w:val="20"/>
          <w:szCs w:val="20"/>
          <w:color w:val="auto"/>
        </w:rPr>
      </w:pPr>
      <w:r>
        <w:rPr>
          <w:rFonts w:ascii="Arial" w:cs="Arial" w:eastAsia="Arial" w:hAnsi="Arial"/>
          <w:sz w:val="17"/>
          <w:szCs w:val="17"/>
          <w:color w:val="auto"/>
        </w:rPr>
        <w:t>In no event will the Class A common stock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20" w:space="720"/>
            <w:col w:w="570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1240"/>
        <w:spacing w:after="0" w:line="342" w:lineRule="auto"/>
        <w:rPr>
          <w:sz w:val="20"/>
          <w:szCs w:val="20"/>
          <w:color w:val="auto"/>
        </w:rPr>
      </w:pPr>
      <w:r>
        <w:rPr>
          <w:rFonts w:ascii="Arial" w:cs="Arial" w:eastAsia="Arial" w:hAnsi="Arial"/>
          <w:sz w:val="16"/>
          <w:szCs w:val="16"/>
          <w:color w:val="auto"/>
        </w:rPr>
        <w:t>Number or placement units to be sold in a private placement simultaneously with this offering</w:t>
      </w:r>
    </w:p>
    <w:p>
      <w:pPr>
        <w:spacing w:after="0" w:line="12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Number outstanding after this offering and the private placement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Number outstanding after this offering and the private placement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1400"/>
        <w:spacing w:after="0" w:line="308"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429,500 </w:t>
      </w:r>
      <w:r>
        <w:rPr>
          <w:rFonts w:ascii="Arial" w:cs="Arial" w:eastAsia="Arial" w:hAnsi="Arial"/>
          <w:sz w:val="29"/>
          <w:szCs w:val="29"/>
          <w:color w:val="auto"/>
          <w:vertAlign w:val="superscript"/>
        </w:rPr>
        <w:t>(1)</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25,804,500 </w:t>
      </w:r>
      <w:r>
        <w:rPr>
          <w:rFonts w:ascii="Arial" w:cs="Arial" w:eastAsia="Arial" w:hAnsi="Arial"/>
          <w:sz w:val="29"/>
          <w:szCs w:val="29"/>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7,500,000 shares of Class B common stock</w:t>
      </w:r>
      <w:r>
        <w:rPr>
          <w:rFonts w:ascii="Arial" w:cs="Arial" w:eastAsia="Arial" w:hAnsi="Arial"/>
          <w:sz w:val="29"/>
          <w:szCs w:val="29"/>
          <w:color w:val="auto"/>
          <w:vertAlign w:val="superscript"/>
        </w:rPr>
        <w:t>(2)</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33,304,500 shares of Class A common stock and Class B common</w:t>
      </w:r>
    </w:p>
    <w:p>
      <w:pPr>
        <w:ind w:left="180"/>
        <w:spacing w:after="0" w:line="182" w:lineRule="auto"/>
        <w:rPr>
          <w:sz w:val="20"/>
          <w:szCs w:val="20"/>
          <w:color w:val="auto"/>
        </w:rPr>
      </w:pPr>
      <w:r>
        <w:rPr>
          <w:rFonts w:ascii="Arial" w:cs="Arial" w:eastAsia="Arial" w:hAnsi="Arial"/>
          <w:sz w:val="32"/>
          <w:szCs w:val="32"/>
          <w:color w:val="auto"/>
          <w:vertAlign w:val="subscript"/>
        </w:rPr>
        <w:t>stock</w:t>
      </w:r>
      <w:r>
        <w:rPr>
          <w:rFonts w:ascii="Arial" w:cs="Arial" w:eastAsia="Arial" w:hAnsi="Arial"/>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12,714,750 </w:t>
      </w:r>
      <w:r>
        <w:rPr>
          <w:rFonts w:ascii="Arial" w:cs="Arial" w:eastAsia="Arial" w:hAnsi="Arial"/>
          <w:sz w:val="29"/>
          <w:szCs w:val="29"/>
          <w:color w:val="auto"/>
          <w:vertAlign w:val="superscript"/>
        </w:rPr>
        <w:t>(1)</w:t>
      </w:r>
    </w:p>
    <w:p>
      <w:pPr>
        <w:spacing w:after="0" w:line="311" w:lineRule="exact"/>
        <w:rPr>
          <w:sz w:val="20"/>
          <w:szCs w:val="20"/>
          <w:color w:val="auto"/>
        </w:rPr>
      </w:pPr>
    </w:p>
    <w:p>
      <w:pPr>
        <w:ind w:left="180" w:right="280"/>
        <w:spacing w:after="0" w:line="259" w:lineRule="auto"/>
        <w:rPr>
          <w:sz w:val="20"/>
          <w:szCs w:val="20"/>
          <w:color w:val="auto"/>
        </w:rPr>
      </w:pPr>
      <w:r>
        <w:rPr>
          <w:rFonts w:ascii="Arial" w:cs="Arial" w:eastAsia="Arial" w:hAnsi="Arial"/>
          <w:sz w:val="18"/>
          <w:szCs w:val="18"/>
          <w:color w:val="auto"/>
        </w:rPr>
        <w:t>Each whole warrant is exercisable to purchase one share of our Class A common stock, subject to adjustment as provided herein. No fractional warrants will be issued upon separation of the units and only whole warrants will trade and are exercisable.</w:t>
      </w:r>
    </w:p>
    <w:p>
      <w:pPr>
        <w:spacing w:after="0" w:line="187" w:lineRule="exact"/>
        <w:rPr>
          <w:sz w:val="20"/>
          <w:szCs w:val="20"/>
          <w:color w:val="auto"/>
        </w:rPr>
      </w:pPr>
    </w:p>
    <w:p>
      <w:pPr>
        <w:ind w:left="180"/>
        <w:spacing w:after="0" w:line="270" w:lineRule="auto"/>
        <w:rPr>
          <w:sz w:val="20"/>
          <w:szCs w:val="20"/>
          <w:color w:val="auto"/>
        </w:rPr>
      </w:pPr>
      <w:r>
        <w:rPr>
          <w:rFonts w:ascii="Arial" w:cs="Arial" w:eastAsia="Arial" w:hAnsi="Arial"/>
          <w:sz w:val="17"/>
          <w:szCs w:val="17"/>
          <w:color w:val="auto"/>
        </w:rPr>
        <w:t>We structured each unit to contain one-half of one redeemable warrant, with each whole warrant exercisable for one share of Class A common stock, as compared to units issued by some other similar special purpose acquisition companies which contain whole warrants exercisable for one whole share, in order to reduce the dilutive effect of the warrants upon completion of an initial business combination as compared to units that each contain a whole warrant to purchase one whole share, thus making us, we believe, a more attractive initial business combination partner for target businesses.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20" w:space="720"/>
            <w:col w:w="5600"/>
          </w:cols>
          <w:pgMar w:left="320" w:top="904" w:right="439" w:bottom="1440" w:gutter="0" w:footer="0" w:header="0"/>
        </w:sectPr>
      </w:pPr>
    </w:p>
    <w:bookmarkStart w:id="21" w:name="page22"/>
    <w:bookmarkEnd w:id="21"/>
    <w:p>
      <w:pPr>
        <w:ind w:left="520" w:hanging="512"/>
        <w:spacing w:after="0" w:line="293"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forfeiture by our initial stockholders of 1,125,000 founder shares. Our sponsor has agreed to purchase an aggregate of 429,500 placement units (or 467,000 placement units if the over-allotment option is exercised in full) for an aggregate purchase price of $4,295,000 ($4,670,000 if the over-allotment option is exercised in full). Each placement unit will be identical to the units sold in this offering, except as described in this prospectus. The placement units are not subject to forfeiture but will be subject to transfer restrictions as described in “Principal Stockholders — Transfers of Founder Shares and Placement Units (including securities contained therein)”. Total number of warrants is comprised of 12,500,000 warrants underlying units to be sold in this offering and 214,750 placement warrants.</w:t>
      </w:r>
    </w:p>
    <w:p>
      <w:pPr>
        <w:spacing w:after="0" w:line="164" w:lineRule="exact"/>
        <w:rPr>
          <w:rFonts w:ascii="Arial" w:cs="Arial" w:eastAsia="Arial" w:hAnsi="Arial"/>
          <w:sz w:val="16"/>
          <w:szCs w:val="16"/>
          <w:color w:val="auto"/>
        </w:rPr>
      </w:pPr>
    </w:p>
    <w:p>
      <w:pPr>
        <w:ind w:left="520" w:right="220" w:hanging="512"/>
        <w:spacing w:after="0" w:line="308"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8,625,000 founders’ shares. The 8,625,000 founders’ shares, include an aggregate of up to 1,125,000 founders’ shares that are subject to forfeiture by our initial stockholders depending on the extent to which the underwriters’ over-allotment option is exercised.</w:t>
      </w:r>
    </w:p>
    <w:p>
      <w:pPr>
        <w:spacing w:after="0" w:line="146" w:lineRule="exact"/>
        <w:rPr>
          <w:rFonts w:ascii="Arial" w:cs="Arial" w:eastAsia="Arial" w:hAnsi="Arial"/>
          <w:sz w:val="17"/>
          <w:szCs w:val="17"/>
          <w:color w:val="auto"/>
        </w:rPr>
      </w:pPr>
    </w:p>
    <w:p>
      <w:pPr>
        <w:ind w:left="520" w:right="280" w:hanging="512"/>
        <w:spacing w:after="0" w:line="301"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Comprised of 25,429,500 shares of Class A common stock (including 429,500 placement shares) and 7,500,000 shares of Class B common stock founder shares plus 375,000 shares of Class A common stock which we have agreed to issue to the representative or its designees, upon consummation of this offering. The shares of Class B common stock are convertible into shares of our Class A common stock on a one-for-one basis, subject to adjustment as described below adjacent to the caption “Founder shares conversion and anti-dilution rights.”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Exercise price</w:t>
            </w: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$11.50 per share, subject to adjustment as described herein. In addition, if (x) we issue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additional shares of Class A common stock or equity-linked securities for capital raising</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purposes in connection with the closing of our initial business combination at an issue price or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effective issue price of less than $9.20 per share of Class A common stock (with such issue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price or effective issue price to be determined in good faith by our board of directors and, in</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the case of any such issuance to our sponsor or its affiliates, without taking into account any</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89"/>
              </w:rPr>
              <w:t>founder shares held by our sponsor or such affiliates, as applicable, prior to such issuance) (the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“Newly Issued Price”), (y) the aggregate gross proceeds from such issuances represent more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than 60% of the total equity proceeds, and interest thereon, available for the funding of our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initial business combination on the date of the consummation of our initial business</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combination (net of redemptions), and (z) the volume weighted average trading price of our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Class A common stock during the 20 trading day period starting on the trading day prior to the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day on which we consummate our initial business combination (such price, the “Market</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Value”) is below $9.20 per share, then the exercise price of the warrants will be adjusted (to</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0"/>
              </w:rPr>
              <w:t>the nearest cent) to be equal to 115% of the greater of the Market Value and the Newly Issued</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Price, and the $18.00 per share redemption trigger price described below under “Redemption</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5"/>
              </w:rPr>
              <w:t>of warrants” will be adjusted (to the nearest cent) to be equal to 180% of the greater of the</w:t>
            </w:r>
          </w:p>
        </w:tc>
      </w:tr>
      <w:tr>
        <w:trPr>
          <w:trHeight w:val="230"/>
        </w:trPr>
        <w:tc>
          <w:tcPr>
            <w:tcW w:w="2760" w:type="dxa"/>
            <w:vAlign w:val="bottom"/>
          </w:tcPr>
          <w:p>
            <w:pPr>
              <w:spacing w:after="0"/>
              <w:rPr>
                <w:sz w:val="20"/>
                <w:szCs w:val="20"/>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Market Value and the Newly Issued Price.</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Exercise period</w:t>
            </w:r>
          </w:p>
        </w:tc>
        <w:tc>
          <w:tcPr>
            <w:tcW w:w="8480" w:type="dxa"/>
            <w:vAlign w:val="bottom"/>
          </w:tcPr>
          <w:p>
            <w:pPr>
              <w:ind w:left="1640"/>
              <w:spacing w:after="0"/>
              <w:rPr>
                <w:sz w:val="20"/>
                <w:szCs w:val="20"/>
                <w:color w:val="auto"/>
              </w:rPr>
            </w:pPr>
            <w:r>
              <w:rPr>
                <w:rFonts w:ascii="Arial" w:cs="Arial" w:eastAsia="Arial" w:hAnsi="Arial"/>
                <w:sz w:val="18"/>
                <w:szCs w:val="18"/>
                <w:color w:val="auto"/>
                <w:w w:val="92"/>
              </w:rPr>
              <w:t>The warrants will become exercisable the later of (i) 30 days after the completion of our initial</w:t>
            </w:r>
          </w:p>
        </w:tc>
      </w:tr>
      <w:tr>
        <w:trPr>
          <w:trHeight w:val="230"/>
        </w:trPr>
        <w:tc>
          <w:tcPr>
            <w:tcW w:w="2760" w:type="dxa"/>
            <w:vAlign w:val="bottom"/>
          </w:tcPr>
          <w:p>
            <w:pPr>
              <w:spacing w:after="0"/>
              <w:rPr>
                <w:sz w:val="20"/>
                <w:szCs w:val="20"/>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business combination or (ii) 12 months from the closing of this public offering.</w:t>
            </w:r>
          </w:p>
        </w:tc>
      </w:tr>
      <w:tr>
        <w:trPr>
          <w:trHeight w:val="648"/>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8"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hanging="161"/>
        <w:spacing w:after="0" w:line="342" w:lineRule="auto"/>
        <w:rPr>
          <w:sz w:val="20"/>
          <w:szCs w:val="20"/>
          <w:color w:val="auto"/>
        </w:rPr>
      </w:pPr>
      <w:r>
        <w:rPr>
          <w:rFonts w:ascii="Arial" w:cs="Arial" w:eastAsia="Arial" w:hAnsi="Arial"/>
          <w:sz w:val="16"/>
          <w:szCs w:val="16"/>
          <w:color w:val="auto"/>
        </w:rPr>
        <w:t>Redemption of Warrants when the price per share of our Class A common stock equals or exceeds $18.00</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issuance of the shares of Class A common stock issuable upon exercise of the warrants, to cause such registration statement to become effective within 60 business days following our initial business combination and to maintain a current prospectus relating to those shares of Class A common stock until the warrants expire or are redeemed.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warrants is not effective within the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may redeem the outstanding warrants:</w:t>
      </w:r>
    </w:p>
    <w:p>
      <w:pPr>
        <w:spacing w:after="0" w:line="225" w:lineRule="exact"/>
        <w:rPr>
          <w:sz w:val="20"/>
          <w:szCs w:val="20"/>
          <w:color w:val="auto"/>
        </w:rPr>
      </w:pPr>
    </w:p>
    <w:p>
      <w:pPr>
        <w:ind w:left="680" w:hanging="289"/>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80" w:hanging="289"/>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a price of $0.01 per warrant at any time after the warrants become exercisable,</w:t>
      </w:r>
    </w:p>
    <w:p>
      <w:pPr>
        <w:spacing w:after="0" w:line="20" w:lineRule="exact"/>
        <w:rPr>
          <w:rFonts w:ascii="Arial" w:cs="Arial" w:eastAsia="Arial" w:hAnsi="Arial"/>
          <w:sz w:val="17"/>
          <w:szCs w:val="17"/>
          <w:color w:val="auto"/>
        </w:rPr>
      </w:pPr>
    </w:p>
    <w:p>
      <w:pPr>
        <w:ind w:left="680" w:right="440" w:hanging="289"/>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w:t>
      </w:r>
    </w:p>
    <w:p>
      <w:pPr>
        <w:ind w:left="680" w:right="40" w:hanging="289"/>
        <w:spacing w:after="0" w:line="265"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and only if, the last sales price of our shares of Class A common stock equals or exceeds $18.00 per share (as adjusted for stock splits, stock dividends, reorganizations and recapitalizations) for any 20 trading days within a 30 trading day period commencing at any time after the warrants become exercisable and ending three business days before we send the notice of redemption; and</w:t>
      </w:r>
    </w:p>
    <w:p>
      <w:pPr>
        <w:ind w:left="680" w:right="300" w:hanging="289"/>
        <w:spacing w:after="0" w:line="290"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each warrant holder can exercise his, her or its warrant prior to the scheduled redemption date. However, the price of the shares of Class A common stock may fall below the $18.00 trigger price as well as the $11.50 warrant exercise price after the redemption notice is issued.</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Please see the section of this prospectus entitled “Description of Securities — Redeemable Warrants — Public Stockholders’ Warrants” for additional information.</w:t>
      </w:r>
    </w:p>
    <w:p>
      <w:pPr>
        <w:spacing w:after="0" w:line="3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880" w:space="340"/>
            <w:col w:w="6840"/>
          </w:cols>
          <w:pgMar w:left="500" w:top="9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Founder shares</w:t>
            </w: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On May 21, 2021, our sponsor purchased 8,625,000 founder shares for an aggregate purchase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price of $25,000, or approximately $0.003 per share.. Prior to the initial investment in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company of $25,000 by our sponsor, the company had no assets, tangible or intangible.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0"/>
              </w:rPr>
              <w:t>per share purchase price of the founder shares was determined by dividing the amount of cash</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0"/>
              </w:rPr>
              <w:t>contributed to the company by the aggregate number of founder shares issued. The number of</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0"/>
              </w:rPr>
              <w:t>founder shares issued was determined based on the expectation that the founder shares would</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represent 23.1% of the outstanding shares after this offering (excluding the shares of Class A</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common stock to be issued to the representative or its designees upon consummation of this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offering, the placement units and securities underlying the placement units and assuming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initial stockholders do not purchase units in this offering). As such, our initial stockholders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5"/>
              </w:rPr>
              <w:t>will collectively own approximately 23.81% of our issued and outstanding shares after this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0"/>
              </w:rPr>
              <w:t>offering (including the placement shares to be issued to the sponsor and assuming they do not</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5"/>
              </w:rPr>
              <w:t>purchase any units in this offering). Neither our sponsor nor any of our officers or directors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have expressed an intention to purchase any units in this offering. Up to 1,125,000 founder</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shares held by our initial stockholders will be subject to forfeiture depending on the extent to</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which the underwriters’ over-allotment option is exercised so that our initial stockholders will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0"/>
              </w:rPr>
              <w:t>maintain ownership of 23.1% of the outstanding shares after this offering (excluding the shares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of Class A common stock to be issued to the representative or its designees upon</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consummation of this offering, the placement units and securities underlying the placement</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units and assuming the initial stockholders do not purchase units in this offering). We will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effect a stock dividend or share contribution prior to this offering should the size of the</w:t>
            </w:r>
          </w:p>
        </w:tc>
      </w:tr>
      <w:tr>
        <w:trPr>
          <w:trHeight w:val="230"/>
        </w:trPr>
        <w:tc>
          <w:tcPr>
            <w:tcW w:w="274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offering change, in order to maintain such ownership percentage.</w:t>
            </w:r>
          </w:p>
        </w:tc>
      </w:tr>
      <w:tr>
        <w:trPr>
          <w:trHeight w:val="418"/>
        </w:trPr>
        <w:tc>
          <w:tcPr>
            <w:tcW w:w="2740" w:type="dxa"/>
            <w:vAlign w:val="bottom"/>
          </w:tcPr>
          <w:p>
            <w:pPr>
              <w:spacing w:after="0"/>
              <w:rPr>
                <w:sz w:val="24"/>
                <w:szCs w:val="24"/>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The founder shares are identical to the shares of Class A common stock included in the units</w:t>
            </w:r>
          </w:p>
        </w:tc>
      </w:tr>
      <w:tr>
        <w:trPr>
          <w:trHeight w:val="230"/>
        </w:trPr>
        <w:tc>
          <w:tcPr>
            <w:tcW w:w="274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being sold in this offering, except that:</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4"/>
              </w:rPr>
              <w:t>•  the founder shares are shares of Class B common stock that automatically convert into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9"/>
              </w:rPr>
              <w:t>shares of our Class A common stock at the time of the consummation of our initial</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2"/>
              </w:rPr>
              <w:t>business combination, on a one-for-one basis, subject to adjustment pursuant to certain</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anti-dilution rights, as described herein;</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2"/>
              </w:rPr>
              <w:t>•  the founder shares are subject to certain transfer restrictions, as described in more detail</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below;</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2"/>
              </w:rPr>
              <w:t>•  our sponsor, officers and directors have entered into a letter agreement with us, pursuant</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1"/>
              </w:rPr>
              <w:t>to which they have agreed to (i) waive their redemption rights with respect to any founder</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shares, placement shares and public shares held by them in connection with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7"/>
              </w:rPr>
              <w:t>completion of our initial business combination, (ii) waive their redemption rights with</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7"/>
              </w:rPr>
              <w:t>respect to any founder shares, placement shares and public shares held by them in</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89"/>
              </w:rPr>
              <w:t>connection with a stockholder vote to approve an amendment to our amended and restated</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8"/>
              </w:rPr>
              <w:t>certificate of incorporation (A) to modify the substance or timing of our obligation to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allow redemption in connection with our initial business combination or certain</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1"/>
              </w:rPr>
              <w:t>amendments to our charter prior thereto or to redeem 100% of our public shares if we do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not complete our initial business combination within 24 months from the closing of this</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offering or (B) with respect to any other provision relating to stockholders’ rights or pre-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3"/>
              </w:rPr>
              <w:t>initial business combination activity and (iii) waive their rights to liquidating distributions</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2"/>
              </w:rPr>
              <w:t>from the trust account with respect to any founder shares and placement shares held by</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6"/>
              </w:rPr>
              <w:t>them if we fail to complete our initial business combination within 24 months from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closing of this offering, although they will be entitled to liquidating distributions from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3"/>
              </w:rPr>
              <w:t>trust account with respect to any public shares they hold if we fail to complete our initial</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business combination within the prescribed time frame;</w:t>
            </w:r>
          </w:p>
        </w:tc>
      </w:tr>
      <w:tr>
        <w:trPr>
          <w:trHeight w:val="648"/>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908" w:right="339" w:bottom="1440" w:gutter="0" w:footer="0" w:header="0"/>
        </w:sectPr>
      </w:pPr>
    </w:p>
    <w:bookmarkStart w:id="24" w:name="page25"/>
    <w:bookmarkEnd w:id="24"/>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pursuant to the letter agreement, our sponsor, officers and directors have agreed to vote any founder shares and placement shares held by them and any public shares they may acquire during or after this offering (including in open market and privately negotiated transactions) in favor of our initial business combination. If we submit our initial business combination to our public stockholders for a vote, we will complete our initial business combination only if a majority of the then outstanding shares of common stock present and entitled to vote at the meeting to approve the initial business combination are voted in favor of the initial business combination. As a result, in the event that only the minimum number of shares representing a quorum is present at a stockholders’ meeting held to vote on our initial business combination, in addition to our initial stockholders’ founder shares and placement shares, we would need only 396,626, or 1.59%,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In the event that all shares of our outstanding common stock are voted, we would need 8,722,751 or 34.89%,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and</w:t>
      </w:r>
    </w:p>
    <w:p>
      <w:pPr>
        <w:spacing w:after="0" w:line="180" w:lineRule="exact"/>
        <w:rPr>
          <w:sz w:val="20"/>
          <w:szCs w:val="20"/>
          <w:color w:val="auto"/>
        </w:rPr>
      </w:pPr>
    </w:p>
    <w:p>
      <w:pPr>
        <w:sectPr>
          <w:pgSz w:w="11900" w:h="16838" w:orient="portrait"/>
          <w:cols w:equalWidth="0" w:num="2">
            <w:col w:w="4480" w:space="260"/>
            <w:col w:w="6480"/>
          </w:cols>
          <w:pgMar w:left="320" w:top="908" w:right="359" w:bottom="1440" w:gutter="0" w:footer="0" w:header="0"/>
        </w:sectPr>
      </w:pPr>
    </w:p>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founder shares are entitled to registration rights.</w:t>
      </w:r>
    </w:p>
    <w:p>
      <w:pPr>
        <w:spacing w:after="0" w:line="222" w:lineRule="exact"/>
        <w:rPr>
          <w:sz w:val="20"/>
          <w:szCs w:val="20"/>
          <w:color w:val="auto"/>
        </w:rPr>
      </w:pPr>
    </w:p>
    <w:p>
      <w:pPr>
        <w:sectPr>
          <w:pgSz w:w="11900" w:h="16838" w:orient="portrait"/>
          <w:cols w:equalWidth="0" w:num="2">
            <w:col w:w="4480" w:space="260"/>
            <w:col w:w="6480"/>
          </w:cols>
          <w:pgMar w:left="320" w:top="908"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Transfer restrictions on founder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initial stockholders have agreed not to transfer, assign or sell any of their founder shares (or shares of common stock issuable upon conversion thereof) until the earlier to occur of:</w:t>
      </w:r>
    </w:p>
    <w:p>
      <w:pPr>
        <w:spacing w:after="0" w:line="1" w:lineRule="exact"/>
        <w:rPr>
          <w:sz w:val="20"/>
          <w:szCs w:val="20"/>
          <w:color w:val="auto"/>
        </w:rPr>
      </w:pPr>
    </w:p>
    <w:p>
      <w:pPr>
        <w:sectPr>
          <w:pgSz w:w="11900" w:h="16838" w:orient="portrait"/>
          <w:cols w:equalWidth="0" w:num="2">
            <w:col w:w="3680" w:space="720"/>
            <w:col w:w="6820"/>
          </w:cols>
          <w:pgMar w:left="320" w:top="908" w:right="359" w:bottom="1440" w:gutter="0" w:footer="0" w:header="0"/>
          <w:type w:val="continuous"/>
        </w:sectPr>
      </w:pPr>
    </w:p>
    <w:p>
      <w:pPr>
        <w:ind w:left="4400"/>
        <w:spacing w:after="0" w:line="286" w:lineRule="auto"/>
        <w:rPr>
          <w:sz w:val="20"/>
          <w:szCs w:val="20"/>
          <w:color w:val="auto"/>
        </w:rPr>
      </w:pPr>
      <w:r>
        <w:rPr>
          <w:rFonts w:ascii="Arial" w:cs="Arial" w:eastAsia="Arial" w:hAnsi="Arial"/>
          <w:sz w:val="16"/>
          <w:szCs w:val="16"/>
          <w:color w:val="auto"/>
        </w:rPr>
        <w:t>(A)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(except as described herein under the section of this prospectus entitled “Principal Stockholders — Restrictions on Transfers of Founder Shares and Placement Units”). Any permitted transferees will be subject to the same restrictions and other agreements of our initial stockholders with respect to any founder shares. We refer to such transfer restrictions throughout this prospectus as the lock-up.</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Founder shares conversion and anti-dilution rights</w:t>
            </w: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The shares of Class B common stock will automatically convert into shares of our Class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common stock at the time of the consummation of our initial business combination on a one-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for-one basis, subject to adjustment for stock splits, stock dividends, reorganizations,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recapitalizations and the like, and subject to further adjustment as provided herein. In the case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that additional shares of Class A common stock, or equity-linked securities, are issued 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89"/>
              </w:rPr>
              <w:t>deemed issued in excess of the amounts offered in this prospectus and related to the closing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the initial business combination, the ratio at which shares of Class B common stock shall</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convert into shares of Class A common stock will be adjusted (unless the holders of a majority</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of the outstanding shares of Class B common stock agree to waive such adjustment with</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respect to any such issuance or deemed issuance) so that the number of shares of Class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common stock issuable upon conversion of all shares of Class B common stock will equal, in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the aggregate, on an as-converted basis, 23.1% of the sum of the total number of all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common stock outstanding upon the completion of this offering (excluding the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Class A common stock to be issued to the representative or its designees upon consummation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of this offering, the placement units and securities underlying the placement units and</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assuming the initial stockholders do not purchase units in this offering) plus all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Class A common stock and equity-linked securities issued or deemed issued in connection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with the initial business combination (excluding any shares or equity-linked securities issued,</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or to be issued, to any seller in the initial business combination or any private placement-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equivalent units and their underlying securities issued to our sponsor or its affiliates upon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conversion of working capital loans made to us). The term “equity-linked securities” refers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any debt or equity securities that are convertible, exercisable or exchangeable for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Class A common stock issued in a financing transaction in connection with our initial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combination, including but not limited to a private placement of equity or debt. Securities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could be “deemed issued” for purposes of the conversion rate adjustment if such shares are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issuable upon the conversion or exercise of convertible securities, warrants or similar</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securities.</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Voting Rights</w:t>
            </w: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Holders of record of the Class A common stock and holders of record of the Class B common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stock will vote together as a single class on all matters submitted to a vote of our stockholders,</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with each share of common stock entitling the holder to one vote, except as required by law.</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Placement units</w:t>
            </w: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Our sponsor has agreed to purchase an aggregate of 429,500 placement units (or 467,000</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placement units if the over-allotment option is exercised in full) at a price of $10.00 per unit,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for an aggregate purchase price of $4,295,000 ($4,670,000 if the over-allotment option is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exercised in full). Each placement unit is identical to the units offered by this prospectus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except as described below. There will be no redemption rights or liquidating distributions from</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the trust account with respect to the founder shares, placement shares, or placement warrants,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9"/>
              </w:rPr>
              <w:t>which will expire worthless if we do not consummate a business combination within 24</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months from the closing of this offering. Our initial stockholders have agreed to waive their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redemption rights with respect to any founder shares or placement shares (i) in connection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with the consummation of a business combination, (ii) in connection with a stockholder vote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to amend our amended and restated certificate of incorporation to modify the substance 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timing of our obligation to allow redemption in connection with our initial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combination or certain amendments to our charter prior thereto, to redeem 100% of our public</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shares if we do not complete our initial business combination within 24 months from the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completion of this offering or with respect to any other provision relating to stockholders’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rights or pre-initial business combination activity and (iii) if we fail to consummate a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combination within 24 months from the completion of this offering or if we liquidate prior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the expiration of the allotted time period. However, our initial stockholders will be entitled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redemption rights with respect to any public shares held by them if we fail to consummate a</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business combination or liquidate within the allotted time period.</w:t>
            </w:r>
          </w:p>
        </w:tc>
      </w:tr>
      <w:tr>
        <w:trPr>
          <w:trHeight w:val="648"/>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Transfer restrictions on placement units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Redeemability and exercise of placement warrants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Proceeds to be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Anticipated expenses and funding sources</w:t>
      </w:r>
    </w:p>
    <w:p>
      <w:pPr>
        <w:spacing w:after="0" w:line="20" w:lineRule="exact"/>
        <w:rPr>
          <w:sz w:val="20"/>
          <w:szCs w:val="20"/>
          <w:color w:val="auto"/>
        </w:rPr>
      </w:pPr>
      <w:r>
        <w:rPr>
          <w:sz w:val="20"/>
          <w:szCs w:val="20"/>
          <w:color w:val="auto"/>
        </w:rPr>
        <w:br w:type="column"/>
      </w:r>
    </w:p>
    <w:p>
      <w:pPr>
        <w:jc w:val="both"/>
        <w:ind w:left="5" w:right="280"/>
        <w:spacing w:after="0" w:line="263" w:lineRule="auto"/>
        <w:rPr>
          <w:sz w:val="20"/>
          <w:szCs w:val="20"/>
          <w:color w:val="auto"/>
        </w:rPr>
      </w:pPr>
      <w:r>
        <w:rPr>
          <w:rFonts w:ascii="Arial" w:cs="Arial" w:eastAsia="Arial" w:hAnsi="Arial"/>
          <w:sz w:val="18"/>
          <w:szCs w:val="18"/>
          <w:color w:val="auto"/>
        </w:rPr>
        <w:t>The placement units and their component securities will not be transferable, assignable or saleable until 30 days after the consummation of our initial business combination except to permitted transferees.</w:t>
      </w:r>
    </w:p>
    <w:p>
      <w:pPr>
        <w:spacing w:after="0" w:line="184" w:lineRule="exact"/>
        <w:rPr>
          <w:sz w:val="20"/>
          <w:szCs w:val="20"/>
          <w:color w:val="auto"/>
        </w:rPr>
      </w:pPr>
    </w:p>
    <w:p>
      <w:pPr>
        <w:jc w:val="both"/>
        <w:ind w:left="5" w:right="140"/>
        <w:spacing w:after="0" w:line="263" w:lineRule="auto"/>
        <w:rPr>
          <w:sz w:val="20"/>
          <w:szCs w:val="20"/>
          <w:color w:val="auto"/>
        </w:rPr>
      </w:pPr>
      <w:r>
        <w:rPr>
          <w:rFonts w:ascii="Arial" w:cs="Arial" w:eastAsia="Arial" w:hAnsi="Arial"/>
          <w:sz w:val="18"/>
          <w:szCs w:val="18"/>
          <w:color w:val="auto"/>
        </w:rPr>
        <w:t>The placement warrants will be identical to the public warrants and will be redeemable by us and exercisable by such holders on the same basis as the warrants included in the units being sold in this offering.</w:t>
      </w:r>
    </w:p>
    <w:p>
      <w:pPr>
        <w:spacing w:after="0" w:line="184" w:lineRule="exact"/>
        <w:rPr>
          <w:sz w:val="20"/>
          <w:szCs w:val="20"/>
          <w:color w:val="auto"/>
        </w:rPr>
      </w:pPr>
    </w:p>
    <w:p>
      <w:pPr>
        <w:ind w:left="5" w:right="60"/>
        <w:spacing w:after="0" w:line="284" w:lineRule="auto"/>
        <w:rPr>
          <w:sz w:val="20"/>
          <w:szCs w:val="20"/>
          <w:color w:val="auto"/>
        </w:rPr>
      </w:pPr>
      <w:r>
        <w:rPr>
          <w:rFonts w:ascii="Arial" w:cs="Arial" w:eastAsia="Arial" w:hAnsi="Arial"/>
          <w:sz w:val="16"/>
          <w:szCs w:val="16"/>
          <w:color w:val="auto"/>
        </w:rPr>
        <w:t>We have agreed to issue to the representative or its designees 375,000 shares (or 431,250 shares if the underwriters’ over-allotment option is exercised in full) of our Class A common stock upon the consummation of this offering. We refer to such shares of Class A common stock as the “representative shares.” The holders of the representative shares have agreed not to transfer, assign or sell any such shares without our prior consent until the completion of our initial business combination. In addition, the holders of the representative shares have agreed</w:t>
      </w:r>
    </w:p>
    <w:p>
      <w:pPr>
        <w:spacing w:after="0" w:line="4" w:lineRule="exact"/>
        <w:rPr>
          <w:sz w:val="20"/>
          <w:szCs w:val="20"/>
          <w:color w:val="auto"/>
        </w:rPr>
      </w:pPr>
    </w:p>
    <w:p>
      <w:pPr>
        <w:ind w:left="5" w:hanging="5"/>
        <w:spacing w:after="0" w:line="270" w:lineRule="auto"/>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24 months from the closing of this offering. The representative shares are deemed to be underwriters’ compensation by FINRA pursuant to FINRA Rule 5110.</w:t>
      </w:r>
    </w:p>
    <w:p>
      <w:pPr>
        <w:spacing w:after="0" w:line="178" w:lineRule="exact"/>
        <w:rPr>
          <w:sz w:val="20"/>
          <w:szCs w:val="20"/>
          <w:color w:val="auto"/>
        </w:rPr>
      </w:pPr>
    </w:p>
    <w:p>
      <w:pPr>
        <w:ind w:left="5" w:right="20"/>
        <w:spacing w:after="0" w:line="293" w:lineRule="auto"/>
        <w:rPr>
          <w:sz w:val="20"/>
          <w:szCs w:val="20"/>
          <w:color w:val="auto"/>
        </w:rPr>
      </w:pPr>
      <w:r>
        <w:rPr>
          <w:rFonts w:ascii="Arial" w:cs="Arial" w:eastAsia="Arial" w:hAnsi="Arial"/>
          <w:sz w:val="16"/>
          <w:szCs w:val="16"/>
          <w:color w:val="auto"/>
        </w:rPr>
        <w:t>Nasdaq rules provide that at least 90% of the gross proceeds from this offering and the sale of the placement units be deposited in a trust account. Of the net proceeds of this offering and the sale of the placement units, $250,000,000, or $10.00 per unit ($287,500,000, or $10.00 per unit, if the underwriters’ over-allotment option is exercised in full) will be placed into a trust account in the United States with Continental Stock Transfer &amp; Trust Company acting as trustee and J.P. Morgan Securities LLC acting as investment manager.</w:t>
      </w:r>
    </w:p>
    <w:p>
      <w:pPr>
        <w:spacing w:after="0" w:line="164"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These proceeds include $8,750,000 (or $10,062,500 if the underwriters’ over-allotment option is exercised in full) in deferred underwriting commissions.</w:t>
      </w:r>
    </w:p>
    <w:p>
      <w:pPr>
        <w:spacing w:after="0" w:line="170" w:lineRule="exact"/>
        <w:rPr>
          <w:sz w:val="20"/>
          <w:szCs w:val="20"/>
          <w:color w:val="auto"/>
        </w:rPr>
      </w:pPr>
    </w:p>
    <w:p>
      <w:pPr>
        <w:ind w:left="5" w:right="40"/>
        <w:spacing w:after="0" w:line="286"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and up to $100,000 of interest that may be used for our dissolution expenses, the proceeds from this offering and the sale of the placement units held in the trust account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(ii) with respect to any other provision relating to stockholders’ rights or pre-business combination activity, and (c) the redemption of our public shares if we are unable to complete our initial business combination within 24 months from the closing of this offering, subject to applicable law. The proceeds deposited in the trust account could become subject to the claims of our creditors, if any, which could have priority over the claims of our public stockholders.</w:t>
      </w:r>
    </w:p>
    <w:p>
      <w:pPr>
        <w:spacing w:after="0" w:line="167" w:lineRule="exact"/>
        <w:rPr>
          <w:sz w:val="20"/>
          <w:szCs w:val="20"/>
          <w:color w:val="auto"/>
        </w:rPr>
      </w:pPr>
    </w:p>
    <w:p>
      <w:pPr>
        <w:ind w:left="5"/>
        <w:spacing w:after="0" w:line="287" w:lineRule="auto"/>
        <w:rPr>
          <w:sz w:val="20"/>
          <w:szCs w:val="20"/>
          <w:color w:val="auto"/>
        </w:rPr>
      </w:pPr>
      <w:r>
        <w:rPr>
          <w:rFonts w:ascii="Arial" w:cs="Arial" w:eastAsia="Arial" w:hAnsi="Arial"/>
          <w:sz w:val="16"/>
          <w:szCs w:val="16"/>
          <w:color w:val="auto"/>
        </w:rPr>
        <w:t>Except as described above with respect to the payment of taxes,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$250,000 of pre-tax interest annually assuming an interest rate of 0.1% per year; however, we can provide no assurances regarding this amount.</w:t>
      </w:r>
    </w:p>
    <w:p>
      <w:pPr>
        <w:spacing w:after="0" w:line="172"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Unless and until we complete our initial business combination, we may pay our expenses only from:</w:t>
      </w:r>
    </w:p>
    <w:p>
      <w:pPr>
        <w:spacing w:after="0" w:line="170" w:lineRule="exact"/>
        <w:rPr>
          <w:sz w:val="20"/>
          <w:szCs w:val="20"/>
          <w:color w:val="auto"/>
        </w:rPr>
      </w:pPr>
    </w:p>
    <w:p>
      <w:pPr>
        <w:ind w:left="345" w:right="60" w:hanging="200"/>
        <w:spacing w:after="0" w:line="263"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placement units not held in the trust account, which will be approximately $1,150,000 in working capital after the payment of approximately $645,000 in expenses relating to this offering; and</w:t>
      </w:r>
    </w:p>
    <w:p>
      <w:pPr>
        <w:spacing w:after="0" w:line="400"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675" w:space="720"/>
            <w:col w:w="6825"/>
          </w:cols>
          <w:pgMar w:left="320" w:top="908" w:right="359" w:bottom="686" w:gutter="0" w:footer="0" w:header="0"/>
        </w:sectPr>
      </w:pPr>
    </w:p>
    <w:bookmarkStart w:id="27" w:name="page28"/>
    <w:bookmarkEnd w:id="27"/>
    <w:p>
      <w:pPr>
        <w:ind w:left="4700" w:right="80" w:hanging="200"/>
        <w:spacing w:after="0" w:line="275" w:lineRule="auto"/>
        <w:tabs>
          <w:tab w:leader="none" w:pos="4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an initial business combination.</w:t>
      </w:r>
    </w:p>
    <w:p>
      <w:pPr>
        <w:spacing w:after="0" w:line="176" w:lineRule="exact"/>
        <w:rPr>
          <w:sz w:val="20"/>
          <w:szCs w:val="20"/>
          <w:color w:val="auto"/>
        </w:rPr>
      </w:pPr>
    </w:p>
    <w:p>
      <w:pPr>
        <w:ind w:left="4360" w:right="40" w:hanging="4400"/>
        <w:spacing w:after="0" w:line="285" w:lineRule="auto"/>
        <w:tabs>
          <w:tab w:leader="none" w:pos="4340" w:val="left"/>
        </w:tabs>
        <w:rPr>
          <w:sz w:val="20"/>
          <w:szCs w:val="20"/>
          <w:color w:val="auto"/>
        </w:rPr>
      </w:pPr>
      <w:r>
        <w:rPr>
          <w:rFonts w:ascii="Arial" w:cs="Arial" w:eastAsia="Arial" w:hAnsi="Arial"/>
          <w:sz w:val="18"/>
          <w:szCs w:val="18"/>
          <w:color w:val="auto"/>
        </w:rPr>
        <w:t>Conditions to completing our initial business combination</w:t>
      </w:r>
      <w:r>
        <w:rPr>
          <w:sz w:val="20"/>
          <w:szCs w:val="20"/>
          <w:color w:val="auto"/>
        </w:rPr>
        <w:tab/>
      </w: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target,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target, it may be unable to do so if it is less familiar or experienced with the business of a particular target or if there is a significant amount of uncertainty as to the value of a target’s assets or prospects. There is no limitation on our ability to raise funds privately, or through loans in connection with our initial business combination. Additionally, pursuant to Nasdaq rules, any initial business combination must be approved by a majority of our independent directors.</w:t>
      </w:r>
    </w:p>
    <w:p>
      <w:pPr>
        <w:spacing w:after="0" w:line="176" w:lineRule="exact"/>
        <w:rPr>
          <w:sz w:val="20"/>
          <w:szCs w:val="20"/>
          <w:color w:val="auto"/>
        </w:rPr>
      </w:pPr>
    </w:p>
    <w:p>
      <w:pPr>
        <w:ind w:left="4360"/>
        <w:spacing w:after="0" w:line="269"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85" w:lineRule="exact"/>
        <w:rPr>
          <w:sz w:val="20"/>
          <w:szCs w:val="20"/>
          <w:color w:val="auto"/>
        </w:rPr>
      </w:pPr>
    </w:p>
    <w:p>
      <w:pPr>
        <w:ind w:left="4360"/>
        <w:spacing w:after="0" w:line="255" w:lineRule="auto"/>
        <w:rPr>
          <w:sz w:val="20"/>
          <w:szCs w:val="20"/>
          <w:color w:val="auto"/>
        </w:rPr>
      </w:pPr>
      <w:r>
        <w:rPr>
          <w:rFonts w:ascii="Arial" w:cs="Arial" w:eastAsia="Arial" w:hAnsi="Arial"/>
          <w:sz w:val="18"/>
          <w:szCs w:val="18"/>
          <w:color w:val="auto"/>
        </w:rPr>
        <w:t>Even if the post-transaction company owns or acquires 50% or more of the voting securities of the target, our stockholders prior to the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Nasdaq’s 80% fair market value test. If the initial business combination involves more than one target business, the 80% fair market value test will be based on the aggregate value of all of the transactions and we will treat the target businesses together as the initial business combination for purposes of a tender offer or for seeking stockholder approval, as applicable.</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sponsor is also the sponsor to the Affiliated SPACS, Our sponsor, officers, directors, and their respective affiliates, may become an officer or director in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7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5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or warrants our sponsor, initial stockholders, directors, officers, advisors or their affiliates may purchase in such transactions, subject to compliance with applicable law and Nasdaq rules. However, apart from the purchase of the placement units,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We expect that any such purchases will be reported pursuant to Section 13 and Section 16 of the Exchange Act to the extent such purchasers are subject to such reporting requirements.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or any of their affiliates will select which stockholders to purchase securities from in any private transaction.</w:t>
      </w:r>
    </w:p>
    <w:p>
      <w:pPr>
        <w:spacing w:after="0" w:line="200" w:lineRule="exact"/>
        <w:rPr>
          <w:sz w:val="20"/>
          <w:szCs w:val="20"/>
          <w:color w:val="auto"/>
        </w:rPr>
      </w:pP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120" w:space="280"/>
            <w:col w:w="6840"/>
          </w:cols>
          <w:pgMar w:left="320" w:top="908" w:right="339" w:bottom="686"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right="155" w:hanging="161"/>
        <w:spacing w:after="0" w:line="342" w:lineRule="auto"/>
        <w:rPr>
          <w:sz w:val="20"/>
          <w:szCs w:val="20"/>
          <w:color w:val="auto"/>
        </w:rPr>
      </w:pPr>
      <w:r>
        <w:rPr>
          <w:rFonts w:ascii="Arial" w:cs="Arial" w:eastAsia="Arial" w:hAnsi="Arial"/>
          <w:sz w:val="16"/>
          <w:szCs w:val="16"/>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Manner of conducting redemptions</w:t>
      </w:r>
    </w:p>
    <w:p>
      <w:pPr>
        <w:spacing w:after="0" w:line="20" w:lineRule="exact"/>
        <w:rPr>
          <w:sz w:val="20"/>
          <w:szCs w:val="20"/>
          <w:color w:val="auto"/>
        </w:rPr>
      </w:pPr>
      <w:r>
        <w:rPr>
          <w:sz w:val="20"/>
          <w:szCs w:val="20"/>
          <w:color w:val="auto"/>
        </w:rPr>
        <w:br w:type="column"/>
      </w:r>
    </w:p>
    <w:p>
      <w:pPr>
        <w:ind w:left="5" w:right="20"/>
        <w:spacing w:after="0" w:line="286"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74" w:lineRule="exact"/>
        <w:rPr>
          <w:sz w:val="20"/>
          <w:szCs w:val="20"/>
          <w:color w:val="auto"/>
        </w:rPr>
      </w:pPr>
    </w:p>
    <w:p>
      <w:pPr>
        <w:ind w:left="5"/>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however, there is no guarantee that investors will receive $10.00 per share upon redemption.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placement shares held by them and any public shares they may acquire during or after this offering in connection with the completion of our initial business combination or otherwise.</w:t>
      </w:r>
    </w:p>
    <w:p>
      <w:pPr>
        <w:spacing w:after="0" w:line="180" w:lineRule="exact"/>
        <w:rPr>
          <w:sz w:val="20"/>
          <w:szCs w:val="20"/>
          <w:color w:val="auto"/>
        </w:rPr>
      </w:pPr>
    </w:p>
    <w:p>
      <w:pPr>
        <w:ind w:left="5" w:right="240"/>
        <w:spacing w:after="0" w:line="287"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w:t>
      </w:r>
    </w:p>
    <w:p>
      <w:pPr>
        <w:spacing w:after="0" w:line="2" w:lineRule="exact"/>
        <w:rPr>
          <w:sz w:val="20"/>
          <w:szCs w:val="20"/>
          <w:color w:val="auto"/>
        </w:rPr>
      </w:pPr>
    </w:p>
    <w:p>
      <w:pPr>
        <w:ind w:left="5" w:right="100" w:hanging="5"/>
        <w:spacing w:after="0" w:line="284" w:lineRule="auto"/>
        <w:tabs>
          <w:tab w:leader="none" w:pos="2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Nasdaq’s stockholder approval rules.</w:t>
      </w:r>
    </w:p>
    <w:p>
      <w:pPr>
        <w:spacing w:after="0" w:line="394"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675" w:space="720"/>
            <w:col w:w="6845"/>
          </w:cols>
          <w:pgMar w:left="320" w:top="908" w:right="339" w:bottom="1440" w:gutter="0" w:footer="0" w:header="0"/>
        </w:sectPr>
      </w:pPr>
    </w:p>
    <w:bookmarkStart w:id="30" w:name="page31"/>
    <w:bookmarkEnd w:id="30"/>
    <w:p>
      <w:pPr>
        <w:ind w:left="3280" w:right="60"/>
        <w:spacing w:after="0" w:line="263"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requirements, or we decide to obtain stockholder approval for business or other legal reasons, we will:</w:t>
      </w:r>
    </w:p>
    <w:p>
      <w:pPr>
        <w:spacing w:after="0" w:line="184" w:lineRule="exact"/>
        <w:rPr>
          <w:sz w:val="20"/>
          <w:szCs w:val="20"/>
          <w:color w:val="auto"/>
        </w:rPr>
      </w:pPr>
    </w:p>
    <w:p>
      <w:pPr>
        <w:ind w:left="3620" w:right="60" w:hanging="200"/>
        <w:spacing w:after="0" w:line="263" w:lineRule="auto"/>
        <w:tabs>
          <w:tab w:leader="none" w:pos="3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83" w:lineRule="exact"/>
        <w:rPr>
          <w:rFonts w:ascii="Arial" w:cs="Arial" w:eastAsia="Arial" w:hAnsi="Arial"/>
          <w:sz w:val="18"/>
          <w:szCs w:val="18"/>
          <w:color w:val="auto"/>
        </w:rPr>
      </w:pPr>
    </w:p>
    <w:p>
      <w:pPr>
        <w:ind w:left="3620" w:hanging="200"/>
        <w:spacing w:after="0"/>
        <w:tabs>
          <w:tab w:leader="none" w:pos="3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left="3280"/>
        <w:spacing w:after="0" w:line="284"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then outstanding shares of common stock present and entitled to vote at the meeting to approve the initial business combination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and placement shares held by them and any public shares acquired by them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representative shares and placement shares, we would need only 396,626, or 1.59%, of the 25,000,000 public shares sold in this offering to be voted in favor of an initial business combination (assuming only the minimum number of shares representing a quorum are voted and excluding the representative’s shares) in order to have our initial business combination approved (assuming the over-allotment option is not exercised, that the initial stockholders do not purchase any units in this offering or units or shares in the after-market). In the event that all shares of our outstanding common stock are voted, we would need 8,722,751 or 34.89%,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31" w:name="page32"/>
    <w:bookmarkEnd w:id="31"/>
    <w:p>
      <w:pPr>
        <w:ind w:left="3280" w:right="60"/>
        <w:spacing w:after="0" w:line="293" w:lineRule="auto"/>
        <w:rPr>
          <w:sz w:val="20"/>
          <w:szCs w:val="20"/>
          <w:color w:val="auto"/>
        </w:rPr>
      </w:pPr>
      <w:r>
        <w:rPr>
          <w:rFonts w:ascii="Arial" w:cs="Arial" w:eastAsia="Arial" w:hAnsi="Arial"/>
          <w:sz w:val="16"/>
          <w:szCs w:val="16"/>
          <w:color w:val="auto"/>
        </w:rPr>
        <w:t>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164" w:lineRule="exact"/>
        <w:rPr>
          <w:sz w:val="20"/>
          <w:szCs w:val="20"/>
          <w:color w:val="auto"/>
        </w:rPr>
      </w:pPr>
    </w:p>
    <w:p>
      <w:pPr>
        <w:ind w:left="3280" w:right="240"/>
        <w:spacing w:after="0" w:line="263"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84" w:lineRule="exact"/>
        <w:rPr>
          <w:sz w:val="20"/>
          <w:szCs w:val="20"/>
          <w:color w:val="auto"/>
        </w:rPr>
      </w:pPr>
    </w:p>
    <w:p>
      <w:pPr>
        <w:ind w:left="3620" w:hanging="331"/>
        <w:spacing w:after="0" w:line="277" w:lineRule="auto"/>
        <w:tabs>
          <w:tab w:leader="none" w:pos="3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0" w:lineRule="exact"/>
        <w:rPr>
          <w:rFonts w:ascii="Arial" w:cs="Arial" w:eastAsia="Arial" w:hAnsi="Arial"/>
          <w:sz w:val="18"/>
          <w:szCs w:val="18"/>
          <w:color w:val="auto"/>
        </w:rPr>
      </w:pPr>
    </w:p>
    <w:p>
      <w:pPr>
        <w:ind w:left="3620" w:right="20" w:hanging="331"/>
        <w:spacing w:after="0" w:line="279" w:lineRule="auto"/>
        <w:tabs>
          <w:tab w:leader="none" w:pos="3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1" w:lineRule="exact"/>
        <w:rPr>
          <w:sz w:val="20"/>
          <w:szCs w:val="20"/>
          <w:color w:val="auto"/>
        </w:rPr>
      </w:pPr>
    </w:p>
    <w:p>
      <w:pPr>
        <w:ind w:left="3280" w:right="20"/>
        <w:spacing w:after="0" w:line="277" w:lineRule="auto"/>
        <w:rPr>
          <w:sz w:val="20"/>
          <w:szCs w:val="20"/>
          <w:color w:val="auto"/>
        </w:rPr>
      </w:pPr>
      <w:r>
        <w:rPr>
          <w:rFonts w:ascii="Arial" w:cs="Arial" w:eastAsia="Arial" w:hAnsi="Arial"/>
          <w:sz w:val="18"/>
          <w:szCs w:val="18"/>
          <w:color w:val="auto"/>
        </w:rPr>
        <w:t>Such provisions may be amended if approved by holders of at least 65% of our common stock entitled to vote thereon.</w:t>
      </w:r>
    </w:p>
    <w:p>
      <w:pPr>
        <w:spacing w:after="0" w:line="170" w:lineRule="exact"/>
        <w:rPr>
          <w:sz w:val="20"/>
          <w:szCs w:val="20"/>
          <w:color w:val="auto"/>
        </w:rPr>
      </w:pPr>
    </w:p>
    <w:p>
      <w:pPr>
        <w:ind w:left="3380" w:right="80"/>
        <w:spacing w:after="0" w:line="272" w:lineRule="auto"/>
        <w:rPr>
          <w:sz w:val="20"/>
          <w:szCs w:val="20"/>
          <w:color w:val="auto"/>
        </w:rPr>
      </w:pPr>
      <w:r>
        <w:rPr>
          <w:rFonts w:ascii="Arial" w:cs="Arial" w:eastAsia="Arial" w:hAnsi="Arial"/>
          <w:sz w:val="17"/>
          <w:szCs w:val="17"/>
          <w:color w:val="auto"/>
        </w:rPr>
        <w:t>Whether or not we maintain our registration under the Exchange Act or our listing on Nasdaq, we will provide our public stockholders with the opportunity to redeem their public shares by one of the two methods listed above. Upon the public announcement of our initial business combination, if we elect to conduct redemptions pursuant to the tender offer rules, we or our sponsor will terminate any plan established in accordance with Rule 10b5-1 to purchase shares of our Class A common stock in the open market, in order to comply with Rule 14e-5 under the Exchange Act.</w:t>
      </w:r>
    </w:p>
    <w:p>
      <w:pPr>
        <w:spacing w:after="0" w:line="204" w:lineRule="exact"/>
        <w:rPr>
          <w:sz w:val="20"/>
          <w:szCs w:val="20"/>
          <w:color w:val="auto"/>
        </w:rPr>
      </w:pPr>
    </w:p>
    <w:p>
      <w:pPr>
        <w:ind w:left="3380" w:right="60"/>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we will not redeem any public shares unless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hanging="161"/>
        <w:spacing w:after="0" w:line="263" w:lineRule="auto"/>
        <w:rPr>
          <w:sz w:val="20"/>
          <w:szCs w:val="20"/>
          <w:color w:val="auto"/>
        </w:rPr>
      </w:pPr>
      <w:r>
        <w:rPr>
          <w:rFonts w:ascii="Arial" w:cs="Arial" w:eastAsia="Arial" w:hAnsi="Arial"/>
          <w:sz w:val="18"/>
          <w:szCs w:val="18"/>
          <w:color w:val="auto"/>
        </w:rPr>
        <w:t>Limitation on redemption rights of stockholders holding 15%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520" w:hanging="179"/>
        <w:spacing w:after="0" w:line="342" w:lineRule="auto"/>
        <w:rPr>
          <w:sz w:val="20"/>
          <w:szCs w:val="20"/>
          <w:color w:val="auto"/>
        </w:rPr>
      </w:pPr>
      <w:r>
        <w:rPr>
          <w:rFonts w:ascii="Arial" w:cs="Arial" w:eastAsia="Arial" w:hAnsi="Arial"/>
          <w:sz w:val="16"/>
          <w:szCs w:val="16"/>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delivered, or shares tendered electronically, by public stockholders who elected to redeem their shares.</w:t>
      </w:r>
    </w:p>
    <w:p>
      <w:pPr>
        <w:spacing w:after="0" w:line="17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2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related to pre-initial business combination activity (including the requirement to deposit proceeds of this offering and the private placement of units into the trust account and not release such amounts except in specified circumstances, and to provide redemption rights to public stockholders as described herein) may be amended if approved by holders of at least 65% of our common stock entitled to vote thereon, and corresponding provisions of the trust agreement governing the release of funds from our trust account may be 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Delaware General Corporation Law, or DGCL, or applicable stock exchange rules.</w:t>
      </w:r>
    </w:p>
    <w:p>
      <w:pPr>
        <w:spacing w:after="0" w:line="20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Under our amended and restated certificate of incorporation,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collectively beneficially own approximately 23.81%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and/or trust agreement and will have the discretion to vote in any manner they choose. Our</w:t>
      </w:r>
    </w:p>
    <w:p>
      <w:pPr>
        <w:sectPr>
          <w:pgSz w:w="11900" w:h="16838" w:orient="portrait"/>
          <w:cols w:equalWidth="0" w:num="2">
            <w:col w:w="3880" w:space="440"/>
            <w:col w:w="6680"/>
          </w:cols>
          <w:pgMar w:left="500" w:top="908" w:right="399" w:bottom="0" w:gutter="0" w:footer="0" w:header="0"/>
        </w:sectPr>
      </w:pPr>
    </w:p>
    <w:bookmarkStart w:id="33" w:name="page34"/>
    <w:bookmarkEnd w:id="33"/>
    <w:p>
      <w:pPr>
        <w:ind w:left="3380"/>
        <w:spacing w:after="0" w:line="268" w:lineRule="auto"/>
        <w:rPr>
          <w:sz w:val="20"/>
          <w:szCs w:val="20"/>
          <w:color w:val="auto"/>
        </w:rPr>
      </w:pPr>
      <w:r>
        <w:rPr>
          <w:rFonts w:ascii="Arial" w:cs="Arial" w:eastAsia="Arial" w:hAnsi="Arial"/>
          <w:sz w:val="17"/>
          <w:szCs w:val="17"/>
          <w:color w:val="auto"/>
        </w:rPr>
        <w:t>sponsor, executive officers, and directors have agreed, pursuant to a written agreement with us, that they will not propose any amendment to our amended and restated certificate of incorporation (i) to modify the substance or timing of our obligation to allow holders to redeem their shares in connection with an initial business combination or to redeem 100% of our public shares if we do not complete our initial business combination within 24 months from the closing of this offering or (ii) with respect to any other provision relating to stockholders’ rights or pre-business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(which interest shall be net of taxes payable) divided by the number of then outstanding public shares. 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40"/>
          </w:cols>
          <w:pgMar w:left="1440" w:top="125" w:right="419" w:bottom="1440" w:gutter="0" w:footer="0" w:header="0"/>
        </w:sectPr>
      </w:pPr>
    </w:p>
    <w:bookmarkStart w:id="34" w:name="page35"/>
    <w:bookmarkEnd w:id="34"/>
    <w:p>
      <w:pPr>
        <w:ind w:left="180" w:hanging="161"/>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Redemption of public shares and distribution and</w:t>
      </w:r>
    </w:p>
    <w:p>
      <w:pPr>
        <w:spacing w:after="0" w:line="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liquidation if no initial business combination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“Redemption rights for public stockholders upon completion of our initial business combination.” We will use the remaining funds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we will have only 24 months from the closing of this offering to complete our initial business combination. If we are unable to complete our initial business combination within such allotted time period (and our stockholders have not approved an amendment to our charter extending this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100" w:space="400"/>
            <w:col w:w="6740"/>
          </w:cols>
          <w:pgMar w:left="320" w:top="90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Our sponsor, officers and directors have entered into a letter agreement with us pursuant to</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which they have agreed to waive their redemption rights with respect to any founder shares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3"/>
              </w:rPr>
              <w:t>and placement shares if we are forced to liquidate. The underwriters have agreed to waive</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4"/>
              </w:rPr>
              <w:t>their rights to their deferred underwriting commission in the event we do not complete our</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initial business combination and subsequently liquidate and, in such event, the deferred fees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7"/>
              </w:rPr>
              <w:t>will be included with the funds held in the trust account that will be available to fund the</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3"/>
              </w:rPr>
              <w:t>redemption of our public shares. The holders of representative shares will not participate in</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any distribution from our trust account with respect to such shares.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Limited payments to insiders</w:t>
            </w: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There will be no finder’s fees, reimbursement, consulting fee, non-cash payments, monies in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0"/>
              </w:rPr>
              <w:t>respect of any payment of a loan or other compensation paid by us to our sponsor, officers or</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5"/>
              </w:rPr>
              <w:t>directors or any affiliate of our sponsor, officers or directors prior to, or in connection with</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9"/>
              </w:rPr>
              <w:t>any services rendered in order to effectuate, the consummation of our initial business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combination (regardless of the type of transaction that it is). However, the following</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payments will be made to our sponsor, officers or directors, or our or their affiliates, none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5"/>
              </w:rPr>
              <w:t>which will be made from the proceeds of this offering and the sale of the placement units</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held in the trust account prior to the completion of our initial business combination:</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5"/>
              </w:rPr>
              <w:t>• Repayment of up to an aggregate of $300,000 in loans made to us by our sponsor to</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cover offering-related and organizational expenses;</w:t>
            </w:r>
          </w:p>
        </w:tc>
      </w:tr>
      <w:tr>
        <w:trPr>
          <w:trHeight w:val="418"/>
        </w:trPr>
        <w:tc>
          <w:tcPr>
            <w:tcW w:w="3300" w:type="dxa"/>
            <w:vAlign w:val="bottom"/>
          </w:tcPr>
          <w:p>
            <w:pPr>
              <w:spacing w:after="0"/>
              <w:rPr>
                <w:sz w:val="24"/>
                <w:szCs w:val="24"/>
                <w:color w:val="auto"/>
              </w:rPr>
            </w:pPr>
          </w:p>
        </w:tc>
        <w:tc>
          <w:tcPr>
            <w:tcW w:w="7940" w:type="dxa"/>
            <w:vAlign w:val="bottom"/>
          </w:tcPr>
          <w:p>
            <w:pPr>
              <w:ind w:left="1300"/>
              <w:spacing w:after="0"/>
              <w:rPr>
                <w:sz w:val="20"/>
                <w:szCs w:val="20"/>
                <w:color w:val="auto"/>
              </w:rPr>
            </w:pPr>
            <w:r>
              <w:rPr>
                <w:rFonts w:ascii="Arial" w:cs="Arial" w:eastAsia="Arial" w:hAnsi="Arial"/>
                <w:sz w:val="18"/>
                <w:szCs w:val="18"/>
                <w:color w:val="auto"/>
                <w:w w:val="94"/>
              </w:rPr>
              <w:t>• Reimbursement for any out-of-pocket expenses related to identifying, investigating and</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completing an initial business combination;</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rPr>
              <w:t>• Payment to our sponsor of a total of $10,000 per month (up to $240,000 in the</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aggregate) for office space, utilities and secretarial and administrative services</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commencing on the date that our securities are first listed on Nasdaq; and</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7"/>
              </w:rPr>
              <w:t>• Repayment of non-interest bearing loans which may be made by our sponsor or an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7"/>
              </w:rPr>
              <w:t>affiliate of our sponsor or certain of our officers and directors to finance transaction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8"/>
              </w:rPr>
              <w:t>costs in connection with an intended initial business combination and non-interest</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bearing loans which may be made by our sponsor to extend the time period for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9"/>
              </w:rPr>
              <w:t>consummating our initial business combination, the terms of which (other than as</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6"/>
              </w:rPr>
              <w:t>described above) have not been determined nor have any written agreements been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2"/>
              </w:rPr>
              <w:t>executed with respect thereto. Up to $1,500,000 of the loans made by our sponsor, our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6"/>
              </w:rPr>
              <w:t>officers and directors, or our or their affiliates to us prior to or in connection with our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3"/>
              </w:rPr>
              <w:t>initial business combination may be convertible into units, at a price of $10.00 per unit</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2"/>
              </w:rPr>
              <w:t>at the option of the lender, upon consummation of our initial business combination. The</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units would be identical to the placement units.</w:t>
            </w:r>
          </w:p>
        </w:tc>
      </w:tr>
      <w:tr>
        <w:trPr>
          <w:trHeight w:val="418"/>
        </w:trPr>
        <w:tc>
          <w:tcPr>
            <w:tcW w:w="3300" w:type="dxa"/>
            <w:vAlign w:val="bottom"/>
          </w:tcPr>
          <w:p>
            <w:pPr>
              <w:spacing w:after="0"/>
              <w:rPr>
                <w:sz w:val="24"/>
                <w:szCs w:val="24"/>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6"/>
              </w:rPr>
              <w:t>Our audit committee will review on a quarterly basis all payments that were made to our</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sponsor, officers or directors or our or their affiliates.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Audit Committee</w:t>
            </w:r>
          </w:p>
        </w:tc>
        <w:tc>
          <w:tcPr>
            <w:tcW w:w="7940" w:type="dxa"/>
            <w:vAlign w:val="bottom"/>
          </w:tcPr>
          <w:p>
            <w:pPr>
              <w:ind w:left="1200"/>
              <w:spacing w:after="0"/>
              <w:rPr>
                <w:sz w:val="20"/>
                <w:szCs w:val="20"/>
                <w:color w:val="auto"/>
              </w:rPr>
            </w:pPr>
            <w:r>
              <w:rPr>
                <w:rFonts w:ascii="Arial" w:cs="Arial" w:eastAsia="Arial" w:hAnsi="Arial"/>
                <w:sz w:val="18"/>
                <w:szCs w:val="18"/>
                <w:color w:val="auto"/>
                <w:w w:val="98"/>
              </w:rPr>
              <w:t>We will establish and maintain an audit committee, which will be composed entirely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independent directors to, among other things, monitor compliance with the terms described</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4"/>
              </w:rPr>
              <w:t>above and the other terms relating to this offering. If any noncompliance is identified, then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6"/>
              </w:rPr>
              <w:t>the audit committee will be charged with the responsibility to immediately take all action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necessary to rectify such noncompliance or otherwise to cause compliance with the terms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this offering. For more information, see the section of this prospectus entitled</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“Management — Committees of the Board of Directors — Audit Committee.”</w:t>
            </w:r>
          </w:p>
        </w:tc>
      </w:tr>
      <w:tr>
        <w:trPr>
          <w:trHeight w:val="64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Indemnity</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70" w:lineRule="exact"/>
        <w:rPr>
          <w:sz w:val="20"/>
          <w:szCs w:val="20"/>
          <w:color w:val="auto"/>
        </w:rPr>
      </w:pPr>
    </w:p>
    <w:p>
      <w:pPr>
        <w:sectPr>
          <w:pgSz w:w="11900" w:h="16838" w:orient="portrait"/>
          <w:cols w:equalWidth="0" w:num="2">
            <w:col w:w="3780" w:space="720"/>
            <w:col w:w="6720"/>
          </w:cols>
          <w:pgMar w:left="320" w:top="908" w:right="359" w:bottom="1440" w:gutter="0" w:footer="0" w:header="0"/>
        </w:sectPr>
      </w:pPr>
    </w:p>
    <w:p>
      <w:pPr>
        <w:jc w:val="center"/>
        <w:ind w:right="-39"/>
        <w:spacing w:after="0"/>
        <w:rPr>
          <w:sz w:val="20"/>
          <w:szCs w:val="20"/>
          <w:color w:val="auto"/>
        </w:rPr>
      </w:pPr>
      <w:r>
        <w:rPr>
          <w:rFonts w:ascii="Arial" w:cs="Arial" w:eastAsia="Arial" w:hAnsi="Arial"/>
          <w:sz w:val="17"/>
          <w:szCs w:val="17"/>
          <w:b w:val="1"/>
          <w:bCs w:val="1"/>
          <w:color w:val="auto"/>
        </w:rPr>
        <w:t>RISKS</w:t>
      </w:r>
    </w:p>
    <w:p>
      <w:pPr>
        <w:sectPr>
          <w:pgSz w:w="11900" w:h="16838" w:orient="portrait"/>
          <w:cols w:equalWidth="0" w:num="1">
            <w:col w:w="11220"/>
          </w:cols>
          <w:pgMar w:left="320" w:top="908" w:right="359" w:bottom="1440" w:gutter="0" w:footer="0" w:header="0"/>
          <w:type w:val="continuous"/>
        </w:sectPr>
      </w:pPr>
    </w:p>
    <w:p>
      <w:pPr>
        <w:spacing w:after="0" w:line="24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None of our officers or directors has experience with blank check companies or special purpose acquisition companies.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the section of this prospectus entitled “Proposed Business — Comparison of This Offering to Those of Blank Check Companies Subject to Rule 419.” You should carefully consider these and the other risks set forth in the section of this prospectus entitled “Risk Factors” beginning on page 30 of this prospectus.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188"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newly formed company without an operating history;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37" w:name="page38"/>
    <w:bookmarkEnd w:id="37"/>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opportunity to vote on our proposed business combination;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protections afforded to investors of blank check companies;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equity and/or debt securities to complete a business combination;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working capital;</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claims reducing the per-share redemption price;</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interest rate for securities in which we invest the funds held in the trust account;</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stockholders being held liable for claims by third parties against us;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enforce our sponsor’s indemnification obligations;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warrant holders to obtain a favorable judicial forum for disputes with our company;</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dependence on key personnel;</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conflicts of interest of our sponsor, officers and directors and the representative;</w:t>
      </w:r>
    </w:p>
    <w:p>
      <w:pPr>
        <w:spacing w:after="0" w:line="225" w:lineRule="exact"/>
        <w:rPr>
          <w:rFonts w:ascii="Arial" w:cs="Arial" w:eastAsia="Arial" w:hAnsi="Arial"/>
          <w:sz w:val="18"/>
          <w:szCs w:val="18"/>
          <w:color w:val="auto"/>
        </w:rPr>
      </w:pPr>
    </w:p>
    <w:p>
      <w:pPr>
        <w:ind w:left="388" w:hanging="388"/>
        <w:spacing w:after="0" w:line="263"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of our officers and directors are now, and any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3"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delisting of our securities by Nasdaq;</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dependence on a single target business with a limited number of products or services;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being redeemed and warrants becoming worthless;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with advantages over us in seeking business combinations;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obtain additional financing;</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initial stockholders controlling a substantial interest in us;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adverse effect of warrants and founder shares on the market price of our common stock;</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disadvantageous timing for redeeming warrants;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registration rights’ adverse effect on the market price of our common stock;</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COVID-19 and related risks;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 with a company located in a foreign jurisdiction;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or regulations; tax consequences to business combinations; and</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exclusive forum provisions in our amended and restated certificate of incorporation.</w:t>
      </w:r>
    </w:p>
    <w:p>
      <w:pPr>
        <w:spacing w:after="0" w:line="200" w:lineRule="exact"/>
        <w:rPr>
          <w:sz w:val="20"/>
          <w:szCs w:val="20"/>
          <w:color w:val="auto"/>
        </w:rPr>
      </w:pPr>
    </w:p>
    <w:p>
      <w:pPr>
        <w:spacing w:after="0" w:line="241"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8"/>
          </w:cols>
          <w:pgMar w:left="652" w:top="908" w:right="4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ind w:left="600"/>
              <w:spacing w:after="0"/>
              <w:rPr>
                <w:sz w:val="20"/>
                <w:szCs w:val="20"/>
                <w:color w:val="auto"/>
              </w:rPr>
            </w:pPr>
            <w:r>
              <w:rPr>
                <w:rFonts w:ascii="Arial" w:cs="Arial" w:eastAsia="Arial" w:hAnsi="Arial"/>
                <w:sz w:val="18"/>
                <w:szCs w:val="18"/>
                <w:b w:val="1"/>
                <w:bCs w:val="1"/>
                <w:color w:val="auto"/>
              </w:rPr>
              <w:t>May 21, 2021</w:t>
            </w:r>
          </w:p>
        </w:tc>
      </w:tr>
      <w:tr>
        <w:trPr>
          <w:trHeight w:val="250"/>
        </w:trPr>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Actual</w:t>
            </w: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color w:val="auto"/>
                <w:w w:val="95"/>
                <w:vertAlign w:val="superscript"/>
              </w:rPr>
              <w:t>(1)</w:t>
            </w:r>
          </w:p>
        </w:tc>
        <w:tc>
          <w:tcPr>
            <w:tcW w:w="100" w:type="dxa"/>
            <w:vAlign w:val="bottom"/>
          </w:tcPr>
          <w:p>
            <w:pPr>
              <w:spacing w:after="0"/>
              <w:rPr>
                <w:sz w:val="21"/>
                <w:szCs w:val="21"/>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9"/>
                <w:szCs w:val="29"/>
                <w:color w:val="auto"/>
                <w:vertAlign w:val="superscript"/>
              </w:rPr>
              <w:t>(1)</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1,174,500</w:t>
            </w:r>
          </w:p>
        </w:tc>
      </w:tr>
      <w:tr>
        <w:trPr>
          <w:trHeight w:val="257"/>
        </w:trPr>
        <w:tc>
          <w:tcPr>
            <w:tcW w:w="6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9"/>
                <w:szCs w:val="29"/>
                <w:color w:val="auto"/>
                <w:vertAlign w:val="superscript"/>
              </w:rPr>
              <w:t>(2)</w:t>
            </w: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251,174,500</w:t>
            </w:r>
          </w:p>
        </w:tc>
      </w:tr>
      <w:tr>
        <w:trPr>
          <w:trHeight w:val="257"/>
        </w:trPr>
        <w:tc>
          <w:tcPr>
            <w:tcW w:w="6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Total liabilities </w:t>
            </w:r>
            <w:r>
              <w:rPr>
                <w:rFonts w:ascii="Arial" w:cs="Arial" w:eastAsia="Arial" w:hAnsi="Arial"/>
                <w:sz w:val="29"/>
                <w:szCs w:val="29"/>
                <w:color w:val="auto"/>
                <w:vertAlign w:val="superscript"/>
              </w:rPr>
              <w:t>(3)</w:t>
            </w: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25,100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r>
      <w:tr>
        <w:trPr>
          <w:trHeight w:val="257"/>
        </w:trPr>
        <w:tc>
          <w:tcPr>
            <w:tcW w:w="6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Value of Class A common stock subject to possible redemption/tender </w:t>
            </w:r>
            <w:r>
              <w:rPr>
                <w:rFonts w:ascii="Arial" w:cs="Arial" w:eastAsia="Arial" w:hAnsi="Arial"/>
                <w:sz w:val="29"/>
                <w:szCs w:val="29"/>
                <w:color w:val="auto"/>
                <w:vertAlign w:val="superscript"/>
              </w:rPr>
              <w:t>(4)</w:t>
            </w: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237,424,490</w:t>
            </w:r>
          </w:p>
        </w:tc>
      </w:tr>
      <w:tr>
        <w:trPr>
          <w:trHeight w:val="390"/>
        </w:trPr>
        <w:tc>
          <w:tcPr>
            <w:tcW w:w="6940" w:type="dxa"/>
            <w:vAlign w:val="bottom"/>
          </w:tcPr>
          <w:p>
            <w:pPr>
              <w:ind w:left="180"/>
              <w:spacing w:after="0"/>
              <w:rPr>
                <w:sz w:val="20"/>
                <w:szCs w:val="20"/>
                <w:color w:val="auto"/>
              </w:rPr>
            </w:pPr>
            <w:r>
              <w:rPr>
                <w:rFonts w:ascii="Arial" w:cs="Arial" w:eastAsia="Arial" w:hAnsi="Arial"/>
                <w:sz w:val="18"/>
                <w:szCs w:val="18"/>
                <w:color w:val="auto"/>
              </w:rPr>
              <w:t xml:space="preserve">Shareholder’s equity </w:t>
            </w:r>
            <w:r>
              <w:rPr>
                <w:rFonts w:ascii="Arial" w:cs="Arial" w:eastAsia="Arial" w:hAnsi="Arial"/>
                <w:sz w:val="29"/>
                <w:szCs w:val="29"/>
                <w:color w:val="auto"/>
                <w:vertAlign w:val="superscript"/>
              </w:rPr>
              <w:t>(5)</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0"/>
          <w:szCs w:val="20"/>
          <w:color w:val="auto"/>
        </w:rPr>
      </w:pPr>
    </w:p>
    <w:p>
      <w:pPr>
        <w:ind w:left="340" w:right="60" w:hanging="332"/>
        <w:spacing w:after="0" w:line="25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 adjusted” calculation $1,150,000 in cash held outside the trust account (assuming no exercise of the underwriters’ over-allotment option), plus $24,500 of actual shareholder’s equity on May 21, 2021.</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 adjusted” calculation includes $250,000,000 of cash held in trust from the proceeds of this offering and the sale of the private placement units, plus $1,150,000 of cash held outside the trust account (assuming no exercise of the underwriters’ over-allotment option), plus $24,500 of actual shareholder’s equity on May 21, 2021.</w:t>
      </w:r>
    </w:p>
    <w:p>
      <w:pPr>
        <w:spacing w:after="0" w:line="1"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 adjusted” calculation equals $8,750,000 of deferred underwriting commissions, assuming the underwriters’ over-allotment option is not exercised.</w:t>
      </w:r>
    </w:p>
    <w:p>
      <w:pPr>
        <w:ind w:left="340" w:right="8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 adjusted” calculation equals the “as adjusted” total assets, less the “as adjusted” total liabilities, less the “as adjusted” shareholder’s equity, which is set to approximate the minimum net tangible assets threshold of at least $5,000,001 either immediately prior to or upon consummation of our initial business combination.</w:t>
      </w:r>
    </w:p>
    <w:p>
      <w:pPr>
        <w:spacing w:after="0" w:line="1"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23,742,449 shares of Class A common stock sold in the offering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($10.00 per share).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Risks Relating to our Search for, Consummation of, or Inability to Consummate, a Business Combination and Post-Business Combination Risks</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pandemic.</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COVID-19 pandemic has resulted in a widespread health crisis that has adversely affected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92"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4"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applicable law or stock exchange requirements,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have agreed to vote in favor of such initial business combination, regardless of how our public stockholders vote.</w:t>
      </w:r>
    </w:p>
    <w:p>
      <w:pPr>
        <w:spacing w:after="0" w:line="16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Pursuant to the letter agreement, our initial stockholders, the representative, our sponsor, officers and directors have agreed to vote any founder shares and placement shares held by them, as well as any public shares they may acquire during or after this offering (including in open market and privately negotiated transactions), in favor of our initial business combination. As a result, in addition to our initial stockholders’ founder shares, and placement shares, we would need only 396,626, or 1.59%, of the 25,000,000 public shares sold in this offering to be voted in favor of an initial business combination (assuming only the minimum number of shares representing a quorum are voted, that the initial stockholders do not purchase any units in this offering or units or shares in the after-market and excluding the representative’s shares) in order to have our initial business combination approved (assuming the over-allotment option is not exercised). In the event that all shares of outstanding common stock are voted, we would need 8,722,751 or 34.89%,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Our initial stockholders, including our sponsor, will own shares representing approximately 23.81% of our outstanding shares of common stock immediately following the completion of this offering and the private placement (including the placement shares to be issued to the sponsor, excluding representative shares and assuming they do not purchase any units in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8" w:lineRule="exact"/>
        <w:rPr>
          <w:sz w:val="20"/>
          <w:szCs w:val="20"/>
          <w:color w:val="auto"/>
        </w:rPr>
      </w:pPr>
    </w:p>
    <w:p>
      <w:pPr>
        <w:ind w:right="700"/>
        <w:spacing w:after="0" w:line="312" w:lineRule="auto"/>
        <w:rPr>
          <w:sz w:val="20"/>
          <w:szCs w:val="20"/>
          <w:color w:val="auto"/>
        </w:rPr>
      </w:pPr>
      <w:r>
        <w:rPr>
          <w:rFonts w:ascii="Arial" w:cs="Arial" w:eastAsia="Arial" w:hAnsi="Arial"/>
          <w:sz w:val="17"/>
          <w:szCs w:val="17"/>
          <w:b w:val="1"/>
          <w:b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4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upon consummation of our initial business combination and after payment of underwriters’ fees and commissions or such greater amount necessary to satisfy a closing condition, each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16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 in the issuance of Class A shares on a greater than one-to-one basis upon conversion of the Class B common stock at the time of the consummation of our business combination.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right="300"/>
        <w:spacing w:after="0" w:line="347" w:lineRule="auto"/>
        <w:rPr>
          <w:sz w:val="20"/>
          <w:szCs w:val="20"/>
          <w:color w:val="auto"/>
        </w:rPr>
      </w:pPr>
      <w:r>
        <w:rPr>
          <w:rFonts w:ascii="Arial" w:cs="Arial" w:eastAsia="Arial" w:hAnsi="Arial"/>
          <w:sz w:val="16"/>
          <w:szCs w:val="16"/>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184"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24 months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amended and restated certificate of incorporation will provide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if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$10.00 per share,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right="6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w:t>
      </w:r>
    </w:p>
    <w:p>
      <w:pPr>
        <w:spacing w:after="0" w:line="18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Any such purchases of our securities may result in the completion of our initial business combination that may not otherwise have been possible. We expect that any such purchases will be reported pursuant to Section 13 and Section 16 of the Exchange Act to the extent such purchasers are subject to such reporting requirements.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deliver their stock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disclosed in the proxy or tender offer materials, as applicable,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right="20"/>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representative may have a conflict of interest if they render services to us in connection with our initial business combination.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elect to engage EF Hutton, division of Benchmark Investments, LLC (the representative of the underwriters of this offering) to assist us in connection with our initial business combination. The representative shares held by the representative and its designees will also be worthless if we do not consummate an initial business combination. Therefore, if the representative provides services to us in connection with our initial business combination, these financial interests may result in the representative having a conflict of interest when providing such services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placement units are intended to be used to complete an initial business combination with a target business that has not been identified, we may be deemed to be a “blank check” company under the United States securities laws. However, because we will have net tangible assets in excess of $5,000,000 upon the successful completion of this offering and the sale of the placement units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of This Offering to Those of Blank Check Companies Subject to Rule 419.”</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on our redemption of our public shares, or less than such amount in certain circumstances, and our warrants will expire worthless.</w:t>
      </w:r>
    </w:p>
    <w:p>
      <w:pPr>
        <w:spacing w:after="0" w:line="18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placement units,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Class A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and completing an initial business combination.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herein.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right="80"/>
        <w:spacing w:after="0" w:line="314" w:lineRule="auto"/>
        <w:rPr>
          <w:sz w:val="20"/>
          <w:szCs w:val="20"/>
          <w:color w:val="auto"/>
        </w:rPr>
      </w:pPr>
      <w:r>
        <w:rPr>
          <w:rFonts w:ascii="Arial" w:cs="Arial" w:eastAsia="Arial" w:hAnsi="Arial"/>
          <w:sz w:val="16"/>
          <w:szCs w:val="16"/>
          <w:b w:val="1"/>
          <w:bCs w:val="1"/>
          <w:color w:val="auto"/>
        </w:rPr>
        <w:t>If the net proceeds of this offering and the sale of the placement units not being held in the trust account are insufficient to allow us to operate for at least the 24 months following the closing of this offering, we may be unable to complete our initial business combination, in which case our public stockholders may only receive $10.00 per share, or less than such amount in certain circumstances, and our warrants will expire worthless.</w:t>
      </w:r>
    </w:p>
    <w:p>
      <w:pPr>
        <w:spacing w:after="0" w:line="14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funds available to us outside of the trust account to fund our working capital requirements may not be sufficient to allow us to operate for at least the 24 months following the closing of this offering, assuming that our initial business combination is not completed during that time. We believe that, upon the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herein.</w:t>
      </w:r>
    </w:p>
    <w:p>
      <w:pPr>
        <w:spacing w:after="0" w:line="18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If the net proceeds of this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5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placement units, only approximately $1,150,000 will be available to us initially outside the trust account to fund our working capital requirements. In the event that our offering expenses exceed our estimate of $645,000,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$645,000,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$645,000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Prior to the completion of our initial business combination,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our initial business combination, we may issue shares to investors in private placement transactions (so-called PIPE transactions) at a price of $10.00 per share or which approximates the per-share amounts in our trust account at such time.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420"/>
        <w:spacing w:after="0" w:line="266" w:lineRule="auto"/>
        <w:rPr>
          <w:sz w:val="20"/>
          <w:szCs w:val="20"/>
          <w:color w:val="auto"/>
        </w:rPr>
      </w:pPr>
      <w:r>
        <w:rPr>
          <w:rFonts w:ascii="Arial" w:cs="Arial" w:eastAsia="Arial" w:hAnsi="Arial"/>
          <w:sz w:val="18"/>
          <w:szCs w:val="18"/>
          <w:b w:val="1"/>
          <w:b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share.</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Marcum LLP, our independent registered public accounting firm, and the underwriters of this offering, will not execute agreements with us waiving such claims to the monies held in the trust account.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324"/>
        <w:spacing w:after="0" w:line="26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executive officers.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firstLine="8"/>
        <w:spacing w:after="0" w:line="253"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7" w:name="page48"/>
    <w:bookmarkEnd w:id="47"/>
    <w:p>
      <w:pPr>
        <w:ind w:right="160"/>
        <w:spacing w:after="0" w:line="266"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88" w:lineRule="exact"/>
        <w:rPr>
          <w:sz w:val="20"/>
          <w:szCs w:val="20"/>
          <w:color w:val="auto"/>
        </w:rPr>
      </w:pPr>
    </w:p>
    <w:p>
      <w:pPr>
        <w:jc w:val="both"/>
        <w:ind w:right="240"/>
        <w:spacing w:after="0" w:line="343" w:lineRule="auto"/>
        <w:rPr>
          <w:sz w:val="20"/>
          <w:szCs w:val="20"/>
          <w:color w:val="auto"/>
        </w:rPr>
      </w:pPr>
      <w:r>
        <w:rPr>
          <w:rFonts w:ascii="Arial" w:cs="Arial" w:eastAsia="Arial" w:hAnsi="Arial"/>
          <w:sz w:val="15"/>
          <w:szCs w:val="15"/>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2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3"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340" w:right="1300" w:hanging="8"/>
        <w:spacing w:after="0" w:line="500"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right="20" w:firstLine="324"/>
        <w:spacing w:after="0" w:line="284"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w:t>
      </w:r>
    </w:p>
    <w:p>
      <w:pPr>
        <w:spacing w:after="0" w:line="1" w:lineRule="exact"/>
        <w:rPr>
          <w:sz w:val="20"/>
          <w:szCs w:val="20"/>
          <w:color w:val="auto"/>
        </w:rPr>
      </w:pPr>
    </w:p>
    <w:p>
      <w:pPr>
        <w:ind w:right="60" w:firstLine="8"/>
        <w:spacing w:after="0" w:line="286"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pre-initial business combination activity; or (iii) absent an initial business combination within 24 months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on the liquidation of our trust account and our warrants will expire worthless.</w:t>
      </w:r>
    </w:p>
    <w:p>
      <w:pPr>
        <w:spacing w:after="0" w:line="16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66"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is our intention to redeem our public shares as soon as reasonably possible following the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20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9" w:name="page50"/>
    <w:bookmarkEnd w:id="49"/>
    <w:p>
      <w:pPr>
        <w:ind w:right="520"/>
        <w:spacing w:after="0" w:line="282"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The grant of registration rights to our initial stockholders (including the holders the representative shares) may make it more difficult to complete our initial business combination, and the future exercise of such rights may adversely affect the market price of our Class A common stock.</w:t>
      </w:r>
    </w:p>
    <w:p>
      <w:pPr>
        <w:spacing w:after="0" w:line="12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initial stockholders, their permitted transferees can demand that we register the resale of the placement units, the placement shares, the placement warrants, the shares of Class A common stock issuable upon exercise of the placement warrants, the shares of Class A common stock issuable upon conversion of the founder shares and the shares of Class A common stock included in the placement units and holders of units that may be issued upon conversion of working capital loans may demand that we register the resale of such shares of Class A common stock, warrants or the Class A common stock issuable upon exercise of such units and warrants. In addition, the representative may demand that we register the resale of the representative shares.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securities owned by our initial stockholders or holders of working capital loans or their respective permitted transferees are registered.</w:t>
      </w:r>
    </w:p>
    <w:p>
      <w:pPr>
        <w:spacing w:after="0" w:line="16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8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will seek to complete an initial business combination with companies in the retail, lifestyle, hospitality, technology or real estate markets, but may also pursue other business combination opportunities,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who choose to remain stockholders following our initial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We may seek business combination opportunities in industries or sectors which may or may not be outside of our management’s area of expertise.</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Although we intend to focus on identifying technology companies, we will consider an initial business combination outside of our management’s area of expertise if an initial business combination candidate is presented to us and we determine that such candidate offers an attractive business combination opportunity for our company or we are unable to identify a suitable candidate in this sector after having expanded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168"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requirements,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herein.</w:t>
      </w:r>
    </w:p>
    <w:p>
      <w:pPr>
        <w:spacing w:after="0" w:line="164"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2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ind w:right="120"/>
        <w:spacing w:after="0" w:line="282" w:lineRule="auto"/>
        <w:rPr>
          <w:sz w:val="20"/>
          <w:szCs w:val="20"/>
          <w:color w:val="auto"/>
        </w:rPr>
      </w:pPr>
      <w:r>
        <w:rPr>
          <w:rFonts w:ascii="Arial" w:cs="Arial" w:eastAsia="Arial" w:hAnsi="Arial"/>
          <w:sz w:val="18"/>
          <w:szCs w:val="18"/>
          <w:b w:val="1"/>
          <w:bCs w:val="1"/>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entity that commonly renders valuation opinions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herein.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0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2" w:name="page53"/>
    <w:bookmarkEnd w:id="52"/>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the sale of the placement units, which will cause us to be solely dependent on a single business which may have a limited number of services and limited operating activities. This lack of diversification may negatively impact our operating results and profitability.</w:t>
      </w:r>
    </w:p>
    <w:p>
      <w:pPr>
        <w:spacing w:after="0" w:line="18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Of the net proceeds from this offering and the sale of the placement units, $250,000,000 (or $287,500,000 if the underwriters’ over-allotment option is exercised in full) will be available to complete our initial business combination and pay related fees and expenses (which includes up to $8,750,000, or up to $10,062,500 if the over-allotment option is exercised in full, for the payment of deferred underwriting commissions).</w:t>
      </w:r>
    </w:p>
    <w:p>
      <w:pPr>
        <w:spacing w:after="0" w:line="16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3" w:name="page54"/>
    <w:bookmarkEnd w:id="53"/>
    <w:p>
      <w:pPr>
        <w:ind w:right="26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6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in no event will we redeem our public shares unless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or their affiliates.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Class A common stock submitted for redemption will be returned to the holders thereof, and we instead may search for an alternate business combination.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20"/>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a majority of the public warrants (which may include public warrants acquired by our sponsor or its affiliates in this offering or thereafter in the open market).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pre-initial business combination activity.</w:t>
      </w:r>
    </w:p>
    <w:p>
      <w:pPr>
        <w:spacing w:after="0" w:line="17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4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at least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amended and restated certificate of incorporation will provide that any of its provisions related to pre-initial business combination activity (including the requirement to deposit proceeds of this offering and the sale of the placement units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redemption or liquidation is substantially reduced or eliminated) may be amended if approved by holders of at least 65% of our common stock entitled to vote thereon, and corresponding provisions of the trust agreement governing the release of funds from our trust account may be 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who will collectively beneficially own approximately 23.81%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140" w:firstLine="324"/>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66"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placement units.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If we are unable to complete our initial business combination, our public stockholders may receive only approximately $10.00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Our initial stockholders may exert a substantial influence on actions requiring a stockholder vote, potentially in a manner that you do not support.</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Upon the closing of this offering, our initial stockholders will own shares representing approximately 23.81% of our issued and outstanding shares of common stock (including the placement shares to be issued to the sponsor, excluding representative shares and assuming they do not purchase any units in this offering).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units in this offering or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8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sponsor paid an aggregate of $25,000 for the founder shares, or approximately $0.003 per founder share. As a result of this low initial price, our sponsor, its affiliates and our management team stand to make a substantial profit even if an initial business combination subsequently declines in value or is unprofitable for our public stockholders.</w:t>
      </w:r>
    </w:p>
    <w:p>
      <w:pPr>
        <w:spacing w:after="0" w:line="1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 low acquisition cost of our founder shares, our sponsor, its affiliates and our management team could make a substantial profit even if we select and consummate an initial business combination with an acquisition target that subsequently declines in value or is unprofitable for our public stockholders. Thus, such parties may have more of an economic incentive for us to enter into an initial business combination with a riskier, weaker-performing or financially unstable business, or an entity lacking an established record of revenues or earnings, than would be the case if such parties had paid the full offering price for their founder shares.</w:t>
      </w:r>
    </w:p>
    <w:p>
      <w:pPr>
        <w:spacing w:after="0" w:line="184"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7"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8"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amended and restated certificate of incorporation will provide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if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$10.00 per share,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jc w:val="both"/>
        <w:ind w:right="300"/>
        <w:spacing w:after="0" w:line="266" w:lineRule="auto"/>
        <w:rPr>
          <w:sz w:val="20"/>
          <w:szCs w:val="20"/>
          <w:color w:val="auto"/>
        </w:rPr>
      </w:pPr>
      <w:r>
        <w:rPr>
          <w:rFonts w:ascii="Arial" w:cs="Arial" w:eastAsia="Arial" w:hAnsi="Arial"/>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that any such purchases will be reported pursuant to Section 13 and Section 16 of the Exchange Act to the extent such purchasers are subject to such reporting requirements.</w:t>
      </w:r>
    </w:p>
    <w:p>
      <w:pPr>
        <w:spacing w:after="0" w:line="17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48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deliver their stock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disclosed in the proxy or tender offer materials, as applicable,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right="8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If our management team following our initial business combination is unfamiliar with United States securities laws, they may have to expend time and resources becoming familiar with such laws, which could lead to various regulatory issues.</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Following our initial business combination, our founding team may resign from their positions as officers or directors of the company and the management of the business combination partner will may assume the roles of executive officers and directors of our company. Such officers and directors may not be familiar with United States securities laws. If our new management following our initial business combination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84"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spacing w:after="0" w:line="14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we may acquire a business located outside of the United States as part of our initial business combination, the economic, political and social conditions, as well as government policies, of the country in which our operations would be located following our initial business combination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rate fluctuations and currency policies may cause our target business’ ability to succeed in the international markets to be diminished.</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event we acquire a non-U.S. business as part of our initial business combination,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right="26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U.S.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executive officers and directors and their departure could adversely affect our ability to operate.</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right="360"/>
        <w:spacing w:after="0" w:line="314"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the consummation of our initial business combination.</w:t>
      </w:r>
    </w:p>
    <w:p>
      <w:pPr>
        <w:spacing w:after="0" w:line="16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60"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“Management — Directors and Officers.”</w:t>
      </w:r>
    </w:p>
    <w:p>
      <w:pPr>
        <w:spacing w:after="0" w:line="17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(such as operating companies or investment vehicles) that are engaged in a similar business and our officers and directors may become officers or directors of another special purpose acquisition company with a class of securities intended to be registered under the Exchange Act, even prior to us entering into a definitive agreement for our initial business combination. Our officers and directors also may become aware of business opportunities which may be appropriate for presentation to us and the other entities to which they owe certain fiduciary or contractual duties.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or directors. Our directors and officers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Selection of a Target Business and Structuring of our Initial Business Combination” and such transaction was approved by a majority of our disinterested directors. Despite our agreement to obtain an opinion from an independent investment banking firm or another independent entity that commonly renders valuation opinions, regarding the fairness to our stockholders from a financial point of view of an initial business combination with one or more businesses affiliated with our sponsor, officers, directors or existing holders, potential conflicts of interest still may exist and, as a result, the terms of the initial business combination may not be as advantageous to our public stockholders as they would be absent any conflicts of interest.</w:t>
      </w:r>
    </w:p>
    <w:p>
      <w:pPr>
        <w:spacing w:after="0" w:line="182"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May 21, 2021, our sponsor purchased an aggregate of 8,625,000 founder shares for an aggregate purchase price of $25,000, or approximately $0.003 per share. The number of founder shares issued was determined based on the expectation that such founder shares would represent 23.1 % of the outstanding shares after this offering (excluding the shares of Class A common stock to be issued to the representative or its designees upon consummation of this offering, the placement units and securities underlying the placement units). The 8,625,000 founders’ shares include an aggregate of up to 1,125,000 founders’ shares that are subject to forfeiture by our sponsor depending on the extent to which the underwriters’ over-allotment option is exercised. The founder shares will be worthless if we do not complete an initial business combination. Our sponsor has agreed to purchase an aggregate of 429,500 placement units at a price of $10.00 per unit for an aggregate purchase price of $4,295,000. If the over-allotment option is exercised in full, the amount of placement units sold will be 467,000 for an aggregate purchase price of $4,670,000). Each placement unit consists of one share of Class A common stock and one-half of one warrant. Each whole warrant is exercisable to purchase one whole share of common stock at $11.50 per share. These securities will also be worthless if we do not complete an initial business combination. Holders of founder shares have agreed (A) to vote any shares owned by them in favor of any proposed initial business combination and (B) not to redeem any founder shares or placement shares held by them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2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stockholders may be less than $10.00 per share.</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Class A common stock and warrants are eligible to trade separately, we anticipate that the shares of our Class A common stock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86" w:lineRule="exact"/>
        <w:rPr>
          <w:sz w:val="20"/>
          <w:szCs w:val="20"/>
          <w:color w:val="auto"/>
        </w:rPr>
      </w:pPr>
    </w:p>
    <w:p>
      <w:pPr>
        <w:ind w:right="500" w:firstLine="324"/>
        <w:spacing w:after="0" w:line="258"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securities could be quoted on an over-the-counter market. If this were to occur, we could face significant material adverse consequences, including:</w:t>
      </w:r>
    </w:p>
    <w:p>
      <w:pPr>
        <w:spacing w:after="0" w:line="23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right="20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8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6" w:name="page67"/>
    <w:bookmarkEnd w:id="66"/>
    <w:p>
      <w:pPr>
        <w:ind w:right="140"/>
        <w:spacing w:after="0" w:line="258" w:lineRule="auto"/>
        <w:rPr>
          <w:sz w:val="20"/>
          <w:szCs w:val="20"/>
          <w:color w:val="auto"/>
        </w:rPr>
      </w:pPr>
      <w:r>
        <w:rPr>
          <w:rFonts w:ascii="Arial" w:cs="Arial" w:eastAsia="Arial" w:hAnsi="Arial"/>
          <w:sz w:val="18"/>
          <w:szCs w:val="18"/>
          <w:b w:val="1"/>
          <w:b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If the issuance of the shares upon exercise of warrants is not registered, qualified or exempt from registration or qualification, the holder of such warrant will not be entitled to exercise such warrant and such warrant may have no value and expire worthless.</w:t>
      </w:r>
    </w:p>
    <w:p>
      <w:pPr>
        <w:spacing w:after="0" w:line="18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after the closing of our initial business combination, we will use our best efforts to file with the SEC a registration statement for the registration under the Securities Act of the issuance of the shares of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SEC, and during any other period when we fail to have maintained an effective registration statement covering the shares of Common Stock issuable upon exercise of the warrants, to exercise such warrants on a “cashless basis”. We shall provide the Warrant Agent with an opinion of counsel stating that (i) the exercise of the warrants on a cashless basis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do not file and maintain a current and effective prospectus relating to the Class A common stock issuable upon exercise of the warrants, holders will only be able to exercise such warrants on a “cashless basis.”</w:t>
      </w:r>
    </w:p>
    <w:p>
      <w:pPr>
        <w:spacing w:after="0" w:line="16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we do not file and maintain a current and effective prospectus relating to the Class A common stock issuable upon exercise of the warrants at the time that holders wish to exercise such warrants, they will only be able to exercise them on a “cashless basis” provided that an exemption from registration is available. As a result, the number of shares of Class A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Class A common stock issuable upon exercise of the warrants is available. Under the terms of the warrant agreement, we have agreed to use our best efforts to meet these conditions and to file and maintain a current and effective prospectus relating to the Class A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77"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b w:val="1"/>
          <w:bCs w:val="1"/>
          <w:color w:val="auto"/>
        </w:rPr>
        <w:t>An investor will only be able to exercise a warrant if the issuance of shares of Class A common stock upon such exercise has been registered or qualified or is deemed exempt under the securities laws of the state of residence of the holder of the warrants.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No warrants will be exercisable and we will not be obligated to issue shares of Class A common stock unless the shares of Class A common stock issuable upon such exercise has been registered or qualified or deemed to be exempt under the securities laws of the state of residence of the holder of the warrants. If the shares of Class A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right="20"/>
        <w:spacing w:after="0" w:line="258" w:lineRule="auto"/>
        <w:rPr>
          <w:sz w:val="20"/>
          <w:szCs w:val="20"/>
          <w:color w:val="auto"/>
        </w:rPr>
      </w:pPr>
      <w:r>
        <w:rPr>
          <w:rFonts w:ascii="Arial" w:cs="Arial" w:eastAsia="Arial" w:hAnsi="Arial"/>
          <w:sz w:val="18"/>
          <w:szCs w:val="18"/>
          <w:b w:val="1"/>
          <w:b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the consummation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8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amended and restated certificate of incorporation will authorize the issuance of up to 280,000,000 shares of Class A common stock, par value $0.0001 per share, 20,000,000 shares of Class B common stock, par value $0.0001 per share, and 1,000,000 shares of preferred stock, par value $0.0001 per share. Immediately after this offering and the sale of the placement units, there will be 254,195,500 and 12,500,000 (assuming, in each case, that the underwriters have not exercised their over-allotment option) authorized but unissued shares of Class A common stock and Class B common stock, respectively, available for issuance, which amount does not take into account the shares of Class A common stock reserved for issuance upon exercise of outstanding warrants or the shares of Class A common stock issuable upon conversion of Class B common stock. Immediately after the consummation of this offering, there will be no shares of preferred stock issued and outstanding. Shares of Class B common stock are convertible into shares of our Class A common stock initially at a one-for-one ratio but subject to adjustment as set forth herein, including in certain circumstances in which we issue Class A common stock or equity-linked securities related to our initial business combination.</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issue a substantial number of additional shares of common or preferred stock to complete our initial business combination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the consummation of our initial business combination as a result of the anti-dilution provisions contained in our amended and restated certificate of incorporation.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executive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6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660" w:right="3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8" w:name="page69"/>
    <w:bookmarkEnd w:id="68"/>
    <w:p>
      <w:pPr>
        <w:ind w:right="320"/>
        <w:spacing w:after="0" w:line="282" w:lineRule="auto"/>
        <w:rPr>
          <w:sz w:val="20"/>
          <w:szCs w:val="20"/>
          <w:color w:val="auto"/>
        </w:rPr>
      </w:pPr>
      <w:r>
        <w:rPr>
          <w:rFonts w:ascii="Arial" w:cs="Arial" w:eastAsia="Arial" w:hAnsi="Arial"/>
          <w:sz w:val="18"/>
          <w:szCs w:val="18"/>
          <w:b w:val="1"/>
          <w:bCs w:val="1"/>
          <w:color w:val="auto"/>
        </w:rPr>
        <w:t>Our initial stockholders paid a nominal price for the founders’ shares and, accordingly, you will experience immediate and substantial dilution from the purchase of our shares of common stock.</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warrants included in the unit) and the pro forma net tangible book value per share of our Class A common stock after this offering constitutes the dilution to you and the other investors in this offering. Our sponsor and the representative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94.8% (or $9.48 per share, assuming no exercise of the underwriters’ over-allotment option), the difference between the pro forma net tangible book value per share of $0.52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Unlike many other similarly structured special purpose acquisition companies, our initial stockholders will receive additional shares of Class A common stock if we issue shares to consummate an initial business combination.</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founder shares will automatically convert into Class A common stock at the time of the consummation of our initial business combination, on a one-for-one basis, subject to adjustment as provided herein. In the case that additional shares of Class A common stock, or equity-linked securities convertible or exercisable for Class A common stock, are issued or deemed issued in excess of the amounts offered in this prospectus and related to the closing of the initial business combination, the ratio at which founder shares shall convert into Class A common stock will be adjusted so that the number of Class A common stock issuable upon conversion of all founder shares will equal, in the aggregate, on an as-converted basis, 23.1% of the total number of all outstanding shares of common stock upon completion of the initial business combination, excluding the shares of Class A common stock to be issued to the representative or its designees upon consummation of this offering, the placement units and underlying securities, assuming the initial stockholders do not purchase units in this offering, and any shares or equity-linked securities issued, or to be issued, to any seller in the business combination and any private placement-equivalent units and their underlying securities issued to our sponsor or its affiliates upon conversion of loans made to us. This is different from most other similarly structured blank check companies in which the initial stockholder will only be issued an aggregate of 20% of the total number of shares to be outstanding prior to the initial business combination. Additionally, the aforementioned adjustment will not take into account any shares of Class A common stock redeemed in connection with the business combination. Accordingly, the holders of the founder shares could receive additional shares of Class A common stock even if the additional shares of Class A common stock, or equity-linked securities convertible or exercisable for Class A common stock, are issued or deemed issued solely to replace those shares that were redeemed in connection with the business combination. The foregoing may make it more difficult and expensive for us to consummate an initial business combination.</w:t>
      </w:r>
    </w:p>
    <w:p>
      <w:pPr>
        <w:spacing w:after="0" w:line="163"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with the approval by the holders of at least 50%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4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this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the holders of at least 50% of the then outstanding public warrants in order to make any change that adversely affects the interests of the registered holders.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shorten the exercise period or decrease the number of shares of our Class A common stock purchasable upon exercise of a warrant.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right="300"/>
        <w:spacing w:after="0" w:line="289" w:lineRule="auto"/>
        <w:rPr>
          <w:sz w:val="20"/>
          <w:szCs w:val="20"/>
          <w:color w:val="auto"/>
        </w:rPr>
      </w:pPr>
      <w:r>
        <w:rPr>
          <w:rFonts w:ascii="Arial" w:cs="Arial" w:eastAsia="Arial" w:hAnsi="Arial"/>
          <w:sz w:val="17"/>
          <w:szCs w:val="17"/>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6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4"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16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the Class A common stock 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17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management’s ability to require holders of our warrants to exercise such warrants on a cashless basis will cause holders to receive fewer shares of Class A common stock upon their exercise of the warrants than they would have received had they been able to exercise their warrants for cash.</w:t>
      </w:r>
    </w:p>
    <w:p>
      <w:pPr>
        <w:spacing w:after="0" w:line="18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Class A common stock received by a holder upon exercise will be fewer than it would have been had such holder exercised his warrant for cash. This will have the effect of reducing the potential “upside” of the holder’s investment in our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right="420"/>
        <w:spacing w:after="0" w:line="282"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Class A common stock and make it more difficult to effectuate our initial business combination.</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will be issuing warrants to purchase 12,500,000 shares of our Class A common stock (or up to 14,375,000 shares of Class A common stock if the underwriters’ over-allotment option is exercised in full) as part of the units offered by this prospectus and, simultaneously with the closing of this offering, we will be issuing placement units, in a private placement, consisting of an aggregate 214,750 placement warrants to purchase shares of Class A common stock (or 233,500 warrants if the over-allotment option is exercised in full) for a total of 12,714,750 shares of our Class A common stock (or 14,608,500 shares of our Class A common stock if the underwriters’ over-allotment option is exercised in full). Our initial stockholders currently own an aggregate of 8,625,000 Class B founder shares. The founder shares are convertible into shares of Class A common stock on a one-for-one basis, subject to adjustment as set forth herein. In addition, if our sponsor, our officers and directors, or our or their affiliates make any loans prior to or in connection with our initial business combination, up to $1,500,000 of such loans may be converted into units, at a price of $10.00 per unit at the option of the lender, upon consummation of our initial business combination. The units would be identical to the placement units. To the extent we issue shares of Class A common stock to effectuate an initial business combination, the potential for the issuance of a substantial number of additional shares of Class A common stock upon exercise of these warrants and loan conversion rights could make us a less attractive business combination vehicle to a target business. Any such issuance will increase the number of issued and outstanding shares of our Class A common stock and reduce the value of the shares of Class A common stock issued to complete the initial business combination. Therefore, our warrants and founder shares may make it more difficult to effectuate an initial business combination or increase the cost of acquiring the target business.</w:t>
      </w:r>
    </w:p>
    <w:p>
      <w:pPr>
        <w:spacing w:after="0" w:line="171"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placement warrants included in the placement units are identical to the warrants sold as part of the units in this offering except that they may not, subject to certain limited exceptions, be transferred, assigned or sold by the holders until 30 days after the completion of our initial business combination, and will be entitled to registration rights.</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Because each unit contains one-half of one redeemable warrant and only a whole warrant may be exercised, the units may be worth less than units of other special purpose acquisition companies.</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Each unit contains one-half of one redeemable warrant. No fractional warrants will be issued upon separation of the units and only whole warrants will trade. Accordingly, unless you purchase at least two units, you will not be able to receive or trade a whole warrant.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partner for target businesses. Nevertheless, this unit structure may cause our units to be worth less than if they included a warrant to purchase one whole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660" w:right="160" w:hanging="328"/>
        <w:spacing w:after="0" w:line="277" w:lineRule="auto"/>
        <w:tabs>
          <w:tab w:leader="none" w:pos="6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issue additional shares of Class A common stock or equity-linked securities for capital raising purposes in connection with the closing of our initial business combination at a Newly Issued Price of less than $9.20 per share;</w:t>
      </w:r>
    </w:p>
    <w:p>
      <w:pPr>
        <w:spacing w:after="0" w:line="170" w:lineRule="exact"/>
        <w:rPr>
          <w:rFonts w:ascii="Arial" w:cs="Arial" w:eastAsia="Arial" w:hAnsi="Arial"/>
          <w:sz w:val="18"/>
          <w:szCs w:val="18"/>
          <w:color w:val="auto"/>
        </w:rPr>
      </w:pPr>
    </w:p>
    <w:p>
      <w:pPr>
        <w:ind w:left="660" w:right="340" w:hanging="328"/>
        <w:spacing w:after="0" w:line="342" w:lineRule="auto"/>
        <w:tabs>
          <w:tab w:leader="none" w:pos="6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700" w:hanging="368"/>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1" w:name="page72"/>
    <w:bookmarkEnd w:id="71"/>
    <w:p>
      <w:pPr>
        <w:ind w:left="340"/>
        <w:spacing w:after="0"/>
        <w:rPr>
          <w:sz w:val="20"/>
          <w:szCs w:val="20"/>
          <w:color w:val="auto"/>
        </w:rPr>
      </w:pPr>
      <w:r>
        <w:rPr>
          <w:rFonts w:ascii="Arial" w:cs="Arial" w:eastAsia="Arial" w:hAnsi="Arial"/>
          <w:sz w:val="16"/>
          <w:szCs w:val="16"/>
          <w:color w:val="auto"/>
        </w:rPr>
        <w:t>then the exercise price of the warrants will be adjusted to be equal to 115% of the greater of the Market Value and the Newly Issued Price,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$18.00 per share redemption trigger price will be adjusted (to the nearest cent) to be equal to 180% of the greater of the Market Value and the Newly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This may make it more difficult for us to consummate an initial business combination with a target business.</w:t>
      </w:r>
    </w:p>
    <w:p>
      <w:pPr>
        <w:spacing w:after="0" w:line="20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The determination of the offering price of our units, the size of this offering and the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6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17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right="620" w:firstLine="324"/>
        <w:spacing w:after="0" w:line="258" w:lineRule="auto"/>
        <w:rPr>
          <w:sz w:val="20"/>
          <w:szCs w:val="20"/>
          <w:color w:val="auto"/>
        </w:rPr>
      </w:pPr>
      <w:r>
        <w:rPr>
          <w:rFonts w:ascii="Arial" w:cs="Arial" w:eastAsia="Arial" w:hAnsi="Arial"/>
          <w:sz w:val="18"/>
          <w:szCs w:val="18"/>
          <w:color w:val="auto"/>
        </w:rPr>
        <w:t>Although these factors were considered, the determination of our offering price, size and terms of the units is more arbitrary than the pricing of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an operating company in a particular industry since we have no historical operations or financial results.</w:t>
      </w:r>
    </w:p>
    <w:p>
      <w:pPr>
        <w:spacing w:after="0" w:line="20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6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6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right="120" w:firstLine="324"/>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7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 newly formed company with no operating history and no revenues, and you have no basis on which to evaluate our ability to achieve our business objective.</w:t>
      </w:r>
    </w:p>
    <w:p>
      <w:pPr>
        <w:spacing w:after="0" w:line="166"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We are a newly formed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3" w:name="page74"/>
    <w:bookmarkEnd w:id="73"/>
    <w:p>
      <w:pPr>
        <w:ind w:right="80"/>
        <w:spacing w:after="0" w:line="282"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6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On May 21, 2021, we had cash of $25,100 and no working capital.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performance by our management team may not be indicative of future performance of an investment in us.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by our management team is not a guarantee either (i) of success with respect to any business combination we may consummate or</w:t>
      </w:r>
    </w:p>
    <w:p>
      <w:pPr>
        <w:spacing w:after="0" w:line="46" w:lineRule="exact"/>
        <w:rPr>
          <w:sz w:val="20"/>
          <w:szCs w:val="20"/>
          <w:color w:val="auto"/>
        </w:rPr>
      </w:pPr>
    </w:p>
    <w:p>
      <w:pPr>
        <w:ind w:right="60" w:firstLine="8"/>
        <w:spacing w:after="0" w:line="295" w:lineRule="auto"/>
        <w:tabs>
          <w:tab w:leader="none" w:pos="2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we will be able to locate a suitable candidate for our initial business combination. You should not rely on the historical record of our management team’s performance as indicative of our future performance of an investment in the company or the returns the company will, or is likely to, generate going forward. None of our officers or directors has experience with blank check companies or special purpose acquisition companies. Additionally, in the course of their respective careers, members of our management team have been involved in businesses and deals that were unsuccessful.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24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ability to consummate a business combination and lead to financial loss.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We may face risks related to companies in the technology sector.</w:t>
      </w:r>
    </w:p>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Business combinations with companies in the technology sector (where we plan to search for our initial business combination target) entail special considerations and risks. If we are successful in completing a business combination with such a target business, we may be subject to, and possibly adversely affected by, the following risks:</w:t>
      </w:r>
    </w:p>
    <w:p>
      <w:pPr>
        <w:spacing w:after="0" w:line="184" w:lineRule="exact"/>
        <w:rPr>
          <w:sz w:val="20"/>
          <w:szCs w:val="20"/>
          <w:color w:val="auto"/>
        </w:rPr>
      </w:pPr>
    </w:p>
    <w:p>
      <w:pPr>
        <w:ind w:left="780" w:hanging="327"/>
        <w:spacing w:after="0"/>
        <w:tabs>
          <w:tab w:leader="none" w:pos="780" w:val="left"/>
        </w:tabs>
        <w:numPr>
          <w:ilvl w:val="0"/>
          <w:numId w:val="33"/>
        </w:numPr>
        <w:rPr>
          <w:rFonts w:ascii="Arial" w:cs="Arial" w:eastAsia="Arial" w:hAnsi="Arial"/>
          <w:sz w:val="17"/>
          <w:szCs w:val="17"/>
          <w:color w:val="333333"/>
        </w:rPr>
      </w:pPr>
      <w:r>
        <w:rPr>
          <w:rFonts w:ascii="Arial" w:cs="Arial" w:eastAsia="Arial" w:hAnsi="Arial"/>
          <w:sz w:val="17"/>
          <w:szCs w:val="17"/>
          <w:color w:val="333333"/>
        </w:rPr>
        <w:t>an inability to compete effectively in a highly competitive environment with many incumbents having substantially greater resources;</w:t>
      </w:r>
    </w:p>
    <w:p>
      <w:pPr>
        <w:spacing w:after="0" w:line="236" w:lineRule="exact"/>
        <w:rPr>
          <w:rFonts w:ascii="Arial" w:cs="Arial" w:eastAsia="Arial" w:hAnsi="Arial"/>
          <w:sz w:val="17"/>
          <w:szCs w:val="17"/>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an inability to manage rapid change, increasing consumer expectations and growth;</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an inability to build strong brand identity and improve subscriber or customer satisfaction and loyalty;</w:t>
      </w:r>
    </w:p>
    <w:p>
      <w:pPr>
        <w:spacing w:after="0" w:line="225" w:lineRule="exact"/>
        <w:rPr>
          <w:rFonts w:ascii="Arial" w:cs="Arial" w:eastAsia="Arial" w:hAnsi="Arial"/>
          <w:sz w:val="18"/>
          <w:szCs w:val="18"/>
          <w:color w:val="333333"/>
        </w:rPr>
      </w:pPr>
    </w:p>
    <w:p>
      <w:pPr>
        <w:ind w:left="780" w:hanging="327"/>
        <w:spacing w:after="0" w:line="277" w:lineRule="auto"/>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 reliance on proprietary technology to provide services and to manage our operations, and the failure of this technology to operate effectively, or our failure to use such technology effectively;</w:t>
      </w:r>
    </w:p>
    <w:p>
      <w:pPr>
        <w:spacing w:after="0" w:line="170" w:lineRule="exact"/>
        <w:rPr>
          <w:rFonts w:ascii="Arial" w:cs="Arial" w:eastAsia="Arial" w:hAnsi="Arial"/>
          <w:sz w:val="18"/>
          <w:szCs w:val="18"/>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an inability to deal with our subscribers’ or customers’ privacy concerns;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an inability to attract and retain subscribers or customers;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an inability to license or enforce intellectual property rights on which our business may depend;</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any significant disruption in our computer systems or those of third parties that we would utilize in our operations;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an inability by us, or a refusal by third parties, to license content to us upon acceptable terms;</w:t>
      </w:r>
    </w:p>
    <w:p>
      <w:pPr>
        <w:spacing w:after="0" w:line="225" w:lineRule="exact"/>
        <w:rPr>
          <w:rFonts w:ascii="Arial" w:cs="Arial" w:eastAsia="Arial" w:hAnsi="Arial"/>
          <w:sz w:val="18"/>
          <w:szCs w:val="18"/>
          <w:color w:val="333333"/>
        </w:rPr>
      </w:pPr>
    </w:p>
    <w:p>
      <w:pPr>
        <w:ind w:left="780" w:right="160" w:hanging="327"/>
        <w:spacing w:after="0" w:line="277" w:lineRule="auto"/>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potential liability for negligence, copyright or trademark infringement or other claims based on the nature and content of materials that we may distribute;</w:t>
      </w:r>
    </w:p>
    <w:p>
      <w:pPr>
        <w:spacing w:after="0" w:line="170" w:lineRule="exact"/>
        <w:rPr>
          <w:rFonts w:ascii="Arial" w:cs="Arial" w:eastAsia="Arial" w:hAnsi="Arial"/>
          <w:sz w:val="18"/>
          <w:szCs w:val="18"/>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competition for advertising revenue;</w:t>
      </w:r>
    </w:p>
    <w:p>
      <w:pPr>
        <w:spacing w:after="0" w:line="225" w:lineRule="exact"/>
        <w:rPr>
          <w:rFonts w:ascii="Arial" w:cs="Arial" w:eastAsia="Arial" w:hAnsi="Arial"/>
          <w:sz w:val="18"/>
          <w:szCs w:val="18"/>
          <w:color w:val="333333"/>
        </w:rPr>
      </w:pPr>
    </w:p>
    <w:p>
      <w:pPr>
        <w:ind w:left="780" w:right="300" w:hanging="327"/>
        <w:spacing w:after="0" w:line="277" w:lineRule="auto"/>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competition for the leisure and entertainment time and discretionary spending of subscribers or customers, which may intensify in part due to advances in technology and changes in consumer expectations and behavior;</w:t>
      </w:r>
    </w:p>
    <w:p>
      <w:pPr>
        <w:spacing w:after="0" w:line="170" w:lineRule="exact"/>
        <w:rPr>
          <w:rFonts w:ascii="Arial" w:cs="Arial" w:eastAsia="Arial" w:hAnsi="Arial"/>
          <w:sz w:val="18"/>
          <w:szCs w:val="18"/>
          <w:color w:val="333333"/>
        </w:rPr>
      </w:pPr>
    </w:p>
    <w:p>
      <w:pPr>
        <w:ind w:left="780" w:right="220" w:hanging="327"/>
        <w:spacing w:after="0" w:line="308" w:lineRule="auto"/>
        <w:tabs>
          <w:tab w:leader="none" w:pos="780" w:val="left"/>
        </w:tabs>
        <w:numPr>
          <w:ilvl w:val="0"/>
          <w:numId w:val="33"/>
        </w:numPr>
        <w:rPr>
          <w:rFonts w:ascii="Arial" w:cs="Arial" w:eastAsia="Arial" w:hAnsi="Arial"/>
          <w:sz w:val="17"/>
          <w:szCs w:val="17"/>
          <w:color w:val="333333"/>
        </w:rPr>
      </w:pPr>
      <w:r>
        <w:rPr>
          <w:rFonts w:ascii="Arial" w:cs="Arial" w:eastAsia="Arial" w:hAnsi="Arial"/>
          <w:sz w:val="17"/>
          <w:szCs w:val="17"/>
          <w:color w:val="333333"/>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146" w:lineRule="exact"/>
        <w:rPr>
          <w:rFonts w:ascii="Arial" w:cs="Arial" w:eastAsia="Arial" w:hAnsi="Arial"/>
          <w:sz w:val="17"/>
          <w:szCs w:val="17"/>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an inability to obtain necessary hardware, software and operational support; and</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reliance on third-party vendors or service providers.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Any of the foregoing could have an adverse impact on our business, financial condition and results of operations following a business combination.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right="180"/>
        <w:spacing w:after="0" w:line="261"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rules adopted by the Securities and Exchange Commission,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rules adopted by the Securities and Exchange Commission,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or (2) our annual revenues equaled or exceeded $100 million during such completed fiscal year and the market</w:t>
      </w:r>
    </w:p>
    <w:p>
      <w:pPr>
        <w:spacing w:after="0" w:line="2" w:lineRule="exact"/>
        <w:rPr>
          <w:sz w:val="20"/>
          <w:szCs w:val="20"/>
          <w:color w:val="auto"/>
        </w:rPr>
      </w:pPr>
    </w:p>
    <w:p>
      <w:pPr>
        <w:ind w:right="740"/>
        <w:spacing w:after="0" w:line="218" w:lineRule="auto"/>
        <w:rPr>
          <w:sz w:val="20"/>
          <w:szCs w:val="20"/>
          <w:color w:val="auto"/>
        </w:rPr>
      </w:pPr>
      <w:r>
        <w:rPr>
          <w:rFonts w:ascii="Arial" w:cs="Arial" w:eastAsia="Arial" w:hAnsi="Arial"/>
          <w:sz w:val="17"/>
          <w:szCs w:val="17"/>
          <w:color w:val="auto"/>
        </w:rPr>
        <w:t>value of our 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95" w:lineRule="exact"/>
        <w:rPr>
          <w:sz w:val="20"/>
          <w:szCs w:val="20"/>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in our target industry or otherwise;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 our target industry or otherwise;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 in the technology industry;</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780" w:right="160" w:hanging="327"/>
        <w:spacing w:after="0" w:line="277"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pool of prospective target businesses in the technology, software and other industries that we focus on;</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prospectus entitled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placement units will be used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Without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Over-</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Over-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Allotment</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3"/>
              </w:rPr>
              <w:t>Allotment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Option Fully</w:t>
            </w:r>
          </w:p>
        </w:tc>
      </w:tr>
      <w:tr>
        <w:trPr>
          <w:trHeight w:val="234"/>
        </w:trPr>
        <w:tc>
          <w:tcPr>
            <w:tcW w:w="8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Exercised</w:t>
            </w: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proceeds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57"/>
        </w:trPr>
        <w:tc>
          <w:tcPr>
            <w:tcW w:w="8360" w:type="dxa"/>
            <w:vAlign w:val="bottom"/>
          </w:tcPr>
          <w:p>
            <w:pPr>
              <w:spacing w:after="0" w:line="256"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9"/>
                <w:szCs w:val="29"/>
                <w:color w:val="auto"/>
                <w:vertAlign w:val="superscript"/>
              </w:rPr>
              <w:t>(1)</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250,000,000</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287,500,000</w:t>
            </w:r>
          </w:p>
        </w:tc>
        <w:tc>
          <w:tcPr>
            <w:tcW w:w="140" w:type="dxa"/>
            <w:vAlign w:val="bottom"/>
          </w:tcPr>
          <w:p>
            <w:pPr>
              <w:spacing w:after="0"/>
              <w:rPr>
                <w:sz w:val="22"/>
                <w:szCs w:val="22"/>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placement units offered in the private placement to the sponsor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4,295,000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4,670,000</w:t>
            </w:r>
          </w:p>
        </w:tc>
        <w:tc>
          <w:tcPr>
            <w:tcW w:w="140" w:type="dxa"/>
            <w:vAlign w:val="bottom"/>
            <w:shd w:val="clear" w:color="auto" w:fill="CCEEFF"/>
          </w:tcPr>
          <w:p>
            <w:pPr>
              <w:spacing w:after="0"/>
              <w:rPr>
                <w:sz w:val="19"/>
                <w:szCs w:val="19"/>
                <w:color w:val="auto"/>
              </w:rPr>
            </w:pPr>
          </w:p>
        </w:tc>
      </w:tr>
      <w:tr>
        <w:trPr>
          <w:trHeight w:val="263"/>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proceeds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254,295,000</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292,170,000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210"/>
        </w:trPr>
        <w:tc>
          <w:tcPr>
            <w:tcW w:w="8360" w:type="dxa"/>
            <w:vAlign w:val="bottom"/>
            <w:shd w:val="clear" w:color="auto" w:fill="CCEEFF"/>
          </w:tcPr>
          <w:p>
            <w:pPr>
              <w:spacing w:after="0" w:line="210" w:lineRule="exact"/>
              <w:rPr>
                <w:sz w:val="20"/>
                <w:szCs w:val="20"/>
                <w:color w:val="auto"/>
              </w:rPr>
            </w:pPr>
            <w:r>
              <w:rPr>
                <w:rFonts w:ascii="Arial" w:cs="Arial" w:eastAsia="Arial" w:hAnsi="Arial"/>
                <w:sz w:val="15"/>
                <w:szCs w:val="15"/>
                <w:b w:val="1"/>
                <w:bCs w:val="1"/>
                <w:i w:val="1"/>
                <w:iCs w:val="1"/>
                <w:color w:val="auto"/>
              </w:rPr>
              <w:t>Estimated Offering expenses</w:t>
            </w:r>
            <w:r>
              <w:rPr>
                <w:rFonts w:ascii="Arial" w:cs="Arial" w:eastAsia="Arial" w:hAnsi="Arial"/>
                <w:sz w:val="24"/>
                <w:szCs w:val="24"/>
                <w:b w:val="1"/>
                <w:bCs w:val="1"/>
                <w:i w:val="1"/>
                <w:iCs w:val="1"/>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0"/>
        </w:trPr>
        <w:tc>
          <w:tcPr>
            <w:tcW w:w="8360" w:type="dxa"/>
            <w:vAlign w:val="bottom"/>
          </w:tcPr>
          <w:p>
            <w:pPr>
              <w:spacing w:after="0" w:line="270" w:lineRule="exact"/>
              <w:rPr>
                <w:sz w:val="20"/>
                <w:szCs w:val="20"/>
                <w:color w:val="auto"/>
              </w:rPr>
            </w:pPr>
            <w:r>
              <w:rPr>
                <w:rFonts w:ascii="Arial" w:cs="Arial" w:eastAsia="Arial" w:hAnsi="Arial"/>
                <w:sz w:val="18"/>
                <w:szCs w:val="18"/>
                <w:color w:val="auto"/>
                <w:w w:val="96"/>
              </w:rPr>
              <w:t>Underwriting commissions (1% of gross proceeds from units offered to public, excluding deferred portion)</w:t>
            </w:r>
            <w:r>
              <w:rPr>
                <w:rFonts w:ascii="Arial" w:cs="Arial" w:eastAsia="Arial" w:hAnsi="Arial"/>
                <w:sz w:val="29"/>
                <w:szCs w:val="29"/>
                <w:color w:val="auto"/>
                <w:w w:val="96"/>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2,875,000</w:t>
            </w:r>
          </w:p>
        </w:tc>
        <w:tc>
          <w:tcPr>
            <w:tcW w:w="140" w:type="dxa"/>
            <w:vAlign w:val="bottom"/>
          </w:tcPr>
          <w:p>
            <w:pPr>
              <w:spacing w:after="0"/>
              <w:rPr>
                <w:sz w:val="23"/>
                <w:szCs w:val="23"/>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Reimbursement to underwriters for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50,000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Miscellaneous, including listing and filing fees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9"/>
                <w:szCs w:val="19"/>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offering expenses (excluding underwriting commissions)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9"/>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after estimated offering expenses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251,150,000</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288,650,000</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37"/>
        </w:trPr>
        <w:tc>
          <w:tcPr>
            <w:tcW w:w="83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Held in trust account</w:t>
            </w:r>
            <w:r>
              <w:rPr>
                <w:rFonts w:ascii="Arial" w:cs="Arial" w:eastAsia="Arial" w:hAnsi="Arial"/>
                <w:sz w:val="27"/>
                <w:szCs w:val="27"/>
                <w:color w:val="auto"/>
                <w:vertAlign w:val="superscript"/>
              </w:rPr>
              <w:t>(3)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250,000,000</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287,500,000</w:t>
            </w:r>
          </w:p>
        </w:tc>
        <w:tc>
          <w:tcPr>
            <w:tcW w:w="140" w:type="dxa"/>
            <w:vAlign w:val="bottom"/>
            <w:shd w:val="clear" w:color="auto" w:fill="CCEEFF"/>
          </w:tcPr>
          <w:p>
            <w:pPr>
              <w:spacing w:after="0"/>
              <w:rPr>
                <w:sz w:val="20"/>
                <w:szCs w:val="20"/>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589"/>
        </w:trPr>
        <w:tc>
          <w:tcPr>
            <w:tcW w:w="9780" w:type="dxa"/>
            <w:vAlign w:val="bottom"/>
            <w:gridSpan w:val="6"/>
          </w:tcPr>
          <w:p>
            <w:pPr>
              <w:ind w:left="340"/>
              <w:spacing w:after="0"/>
              <w:rPr>
                <w:sz w:val="20"/>
                <w:szCs w:val="20"/>
                <w:color w:val="auto"/>
              </w:rPr>
            </w:pPr>
            <w:r>
              <w:rPr>
                <w:rFonts w:ascii="Arial" w:cs="Arial" w:eastAsia="Arial" w:hAnsi="Arial"/>
                <w:sz w:val="18"/>
                <w:szCs w:val="18"/>
                <w:color w:val="auto"/>
              </w:rPr>
              <w:t>The following table shows the use of the approximately $1,150,000 of net proceeds not held in the trust account.</w:t>
            </w:r>
            <w:r>
              <w:rPr>
                <w:rFonts w:ascii="Arial" w:cs="Arial" w:eastAsia="Arial" w:hAnsi="Arial"/>
                <w:sz w:val="29"/>
                <w:szCs w:val="29"/>
                <w:color w:val="auto"/>
                <w:vertAlign w:val="superscript"/>
              </w:rPr>
              <w:t>(4)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3"/>
        </w:trPr>
        <w:tc>
          <w:tcPr>
            <w:tcW w:w="8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160" w:type="dxa"/>
            <w:vAlign w:val="bottom"/>
            <w:tcBorders>
              <w:bottom w:val="single" w:sz="8" w:color="CCEEFF"/>
            </w:tcBorders>
            <w:gridSpan w:val="2"/>
          </w:tcPr>
          <w:p>
            <w:pPr>
              <w:spacing w:after="0"/>
              <w:rPr>
                <w:sz w:val="24"/>
                <w:szCs w:val="24"/>
                <w:color w:val="auto"/>
              </w:rPr>
            </w:pPr>
          </w:p>
        </w:tc>
      </w:tr>
      <w:tr>
        <w:trPr>
          <w:trHeight w:val="236"/>
        </w:trPr>
        <w:tc>
          <w:tcPr>
            <w:tcW w:w="83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Legal, accounting, due diligence, travel, and other expenses in connection with any business combination</w:t>
            </w:r>
            <w:r>
              <w:rPr>
                <w:rFonts w:ascii="Arial" w:cs="Arial" w:eastAsia="Arial" w:hAnsi="Arial"/>
                <w:sz w:val="27"/>
                <w:szCs w:val="27"/>
                <w:color w:val="auto"/>
                <w:vertAlign w:val="superscript"/>
              </w:rPr>
              <w:t>(5)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110,000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9.57%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34.78%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w w:val="94"/>
              </w:rPr>
              <w:t>Payment for office space, utilities and secretarial and administrative support ($10,000 per month for 24 months)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240,000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20.87%</w:t>
            </w:r>
          </w:p>
        </w:tc>
      </w:tr>
      <w:tr>
        <w:trPr>
          <w:trHeight w:val="270"/>
        </w:trPr>
        <w:tc>
          <w:tcPr>
            <w:tcW w:w="83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Working capital to cover miscellaneous expenses</w:t>
            </w:r>
            <w:r>
              <w:rPr>
                <w:rFonts w:ascii="Arial" w:cs="Arial" w:eastAsia="Arial" w:hAnsi="Arial"/>
                <w:sz w:val="29"/>
                <w:szCs w:val="29"/>
                <w:color w:val="auto"/>
                <w:vertAlign w:val="superscript"/>
              </w:rPr>
              <w:t>(6)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17.39%</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1,150,000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20" w:hanging="512"/>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170"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portion of the offering expenses will be paid from the proceeds of loans from our sponsor of up to $300,000 as described in this prospectus. As of May 21, 2021, we had borrowed $100 under the promissory note with our sponsor. These amounts will be repaid upon completion of this offering out of the $645,000 of offering proceeds that has been allocated for the payment of offering expenses (other than underwriting commissions). In the event that offering expenses are more than as set forth in this table, they will be repaid using a portion of the $1,150,000 of offering proceeds not held in the trust account and set aside for post-closing working capital expenses. In the event that offering expenses are less than set forth in this table, any such amounts will be used for post-closing working capital expenses.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520" w:right="20" w:hanging="512"/>
        <w:spacing w:after="0" w:line="272"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underwriters have agreed to defer underwriting commissions equal to 3.5% of the gross proceeds of this offering. Upon completion of our initial business combination, $8,750,000, which constitutes the underwriters’ deferred commissions (or $10,062,500 if the underwriters’ over-allotment option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ind w:left="520" w:hanging="512"/>
        <w:spacing w:after="0" w:line="25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an initial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w:t>
      </w:r>
    </w:p>
    <w:p>
      <w:pPr>
        <w:spacing w:after="0" w:line="191" w:lineRule="exact"/>
        <w:rPr>
          <w:rFonts w:ascii="Arial" w:cs="Arial" w:eastAsia="Arial" w:hAnsi="Arial"/>
          <w:sz w:val="18"/>
          <w:szCs w:val="18"/>
          <w:color w:val="auto"/>
        </w:rPr>
      </w:pPr>
    </w:p>
    <w:p>
      <w:pPr>
        <w:ind w:left="520" w:right="88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portion of the listing fee not covered in the offering expenses.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Of the net proceeds of this offering and the sale of the placement units, $250,000,000 (or $287,500,000 if the underwriters’ over-allotment option is exercised in full), including $8,750,000 (or $10,062,500 if the underwriters’ over-allotment option is exercised in full) of deferred underwriting commissions, will be placed in a trust account in the United States with Continental Stock Transfer &amp; Trust Company acting as trustee and J.P. Morgan Securities LLC acting as investment manager, and will be invested only in U.S. government treasury bills with a maturity of 185 days or less or in money market funds meeting certain conditions under Rule 2a-7 under the Investment Company Act which invest only in direct U.S. government treasury obligations. We estimate that the pre-tax interest earned on the trust account will be approximately $250,000 per year, assuming an interest rate of 0.1% per year; however, we can provide no assurance regarding this amount. Except with respect to interest earned on the funds held in the trust account that may be released to us to pay our tax obligations and up to $100,000 of interest that may be used for our dissolution expenses, the proceeds from this offering and the sale of the placement units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pre-initial business combination activity, and (c) the redemption of our public shares if we are unable to complete our initial business combination within 24 months from the closing of this offering, subject to applicable law.</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ind w:right="80" w:firstLine="324"/>
        <w:spacing w:after="0" w:line="293" w:lineRule="auto"/>
        <w:rPr>
          <w:sz w:val="20"/>
          <w:szCs w:val="20"/>
          <w:color w:val="auto"/>
        </w:rPr>
      </w:pPr>
      <w:r>
        <w:rPr>
          <w:rFonts w:ascii="Arial" w:cs="Arial" w:eastAsia="Arial" w:hAnsi="Arial"/>
          <w:sz w:val="16"/>
          <w:szCs w:val="16"/>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6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an initial business combination. However, if our estimate of the costs of undertaking in-depth due diligence and negotiating an initial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their affiliates, but such persons are not under any obligation to advance funds to, or invest in, us.</w:t>
      </w:r>
    </w:p>
    <w:p>
      <w:pPr>
        <w:spacing w:after="0" w:line="178"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Commencing on the date of this prospectus, we have agreed to pay our sponsor, BurTech LP LLC, a total of $10,000 per month for office space, utilities and secretarial and administrative support. Upon completion of our initial business combination or our liquidation, we will cease paying these monthly fees.</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As of May 21, 2021 we had borrowed $100 (of up to $300,000 available to us) under the promissory note with our sponsor. These loans are non-interest bearing, unsecured and are due at the earlier of December 31, 2021 or the closing of this offering. The loan will be repaid upon the closing of this offering out of the offering proceeds not held in the trust account.</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w:t>
      </w:r>
    </w:p>
    <w:p>
      <w:pPr>
        <w:spacing w:after="0" w:line="19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officers and directors, if any, have not been determined and no written agreements exist with respect to such loans.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or any of their affiliates will select which stockholders to purchase securities from in any private transaction.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0" w:name="page81"/>
    <w:bookmarkEnd w:id="80"/>
    <w:p>
      <w:pPr>
        <w:ind w:right="40" w:firstLine="324"/>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earliest to occur of: (i) our completion of an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are unable to complete our initial business combination within 24 months following the closing of this offering, subject to applicable law and as further described herein and any limitations (including but not limited to cash requirements) created by the terms of the proposed initial business combination. In no other circumstances will a public stockholder have any right or interest of any kind to or in the trust account.</w:t>
      </w:r>
    </w:p>
    <w:p>
      <w:pPr>
        <w:spacing w:after="0" w:line="19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 In addition, our initial stockholders have agreed to waive their rights to liquidating distributions from the trust account with respect to any founder shares and placement shares held by them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23.1%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placement units, and the pro forma net tangible book value per share of our Class A common stock after this offering constitutes the dilution to investors in this offering. Such calculation does not reflect any dilution associated with the sale and exercise of warrants, including the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19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At May 21, 2021, our net tangible book deficit was $0, or approximately $0.00 per share of common stock. For purposes of the dilution calculation, in order to present the maximum estimated dilution as a result of this offering, we have assumed the number of shares included in the units offered hereby will be deemed to be 25,000,000 shares of Class A common stock, and the price per share in this offering will be deemed to be $10.00. After giving effect to the sale of 25,000,000 shares of Class A common stock included in the units we are offering by this prospectus (or 28,750,000 shares of Class A common stock if the underwriters’ over-allotment option is exercised in full), the deduction of underwriting commissions and estimated expenses of this offering, our pro forma net tangible book value at May 21, 2021 would have been $5,000,010, or approximately $0.52 per share (or $0.46 per share if the underwriters’ over-allotment option is exercised in full), representing an immediate increase in net tangible book value (as decreased by the value of the approximately 23,742,449 shares of Class A common stock that may be redeemed for cash, or 27,361,199 shares of Class A common stock if the underwriters’ over-allotment option is exercised in full) of $0.52 per share (or $0.46 per share if the underwriters’ over-allotment option is exercised in full) to our initial stockholders as of the date of this prospectus and an immediate dilution of $9.48 per share or 94.8% to our public stockholders (or $9.54 per share or 95.4% if the underwriters’ over-allotment option is exercised in full).</w:t>
      </w:r>
    </w:p>
    <w:p>
      <w:pPr>
        <w:spacing w:after="0" w:line="18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illustrates the dilution to the public stockholders on a per-share basis, assuming no value is attributed to the warrants included in the units or the placement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No exercise of</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Exercise 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over-allotment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over-allotment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7"/>
              </w:rPr>
              <w:t>option</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option in full</w:t>
            </w: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Increase attributable to public stockholders and sale of the placement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0.52</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purposes of presentation, our pro forma net tangible book value after this offering is $5,000,010 (or $5,000,010 if the underwriters exercise their over-allotment option in full) less than it otherwise would have been because if we effect our initial business combination, the conversion rights of the public stockholders (but not our insiders) may result in the conversion or tender of up to 23,742,449 (or 27,361,199 if the underwriters exercise their over-allotment option in full) shares sold in this offering.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340"/>
        <w:spacing w:after="0"/>
        <w:rPr>
          <w:sz w:val="20"/>
          <w:szCs w:val="20"/>
          <w:color w:val="auto"/>
        </w:rPr>
      </w:pPr>
      <w:r>
        <w:rPr>
          <w:rFonts w:ascii="Arial" w:cs="Arial" w:eastAsia="Arial" w:hAnsi="Arial"/>
          <w:sz w:val="17"/>
          <w:szCs w:val="17"/>
          <w:color w:val="auto"/>
        </w:rPr>
        <w:t>The following table sets forth information with respect to our initial stockholders, holders of the placement shares and the public stockholders: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4020" w:type="dxa"/>
            <w:vAlign w:val="bottom"/>
          </w:tcPr>
          <w:p>
            <w:pPr>
              <w:spacing w:after="0"/>
              <w:rPr>
                <w:sz w:val="20"/>
                <w:szCs w:val="20"/>
                <w:color w:val="auto"/>
              </w:rPr>
            </w:pPr>
          </w:p>
        </w:tc>
        <w:tc>
          <w:tcPr>
            <w:tcW w:w="28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Shares Purchased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Total Consideration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40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Borders>
              <w:bottom w:val="single" w:sz="8" w:color="CCEEFF"/>
            </w:tcBorders>
          </w:tcPr>
          <w:p>
            <w:pPr>
              <w:spacing w:after="0"/>
              <w:rPr>
                <w:sz w:val="19"/>
                <w:szCs w:val="19"/>
                <w:color w:val="auto"/>
              </w:rPr>
            </w:pPr>
          </w:p>
        </w:tc>
      </w:tr>
      <w:tr>
        <w:trPr>
          <w:trHeight w:val="237"/>
        </w:trPr>
        <w:tc>
          <w:tcPr>
            <w:tcW w:w="40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Representative Shares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Holders of placement shares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Public Stockholders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25,000,000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75.06%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250,000,000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98.30%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09"/>
        </w:trPr>
        <w:tc>
          <w:tcPr>
            <w:tcW w:w="40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33,304,500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254,320,000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660" w:right="220" w:hanging="433"/>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 the corresponding forfeiture of an aggregate of 1,125,000 shares of Class B common stock held by our initial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Without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With</w:t>
            </w:r>
          </w:p>
        </w:tc>
      </w:tr>
      <w:tr>
        <w:trPr>
          <w:trHeight w:val="216"/>
        </w:trPr>
        <w:tc>
          <w:tcPr>
            <w:tcW w:w="7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Over-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allotment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r>
      <w:tr>
        <w:trPr>
          <w:trHeight w:val="209"/>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7"/>
        </w:trPr>
        <w:tc>
          <w:tcPr>
            <w:tcW w:w="7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proceeds from this offering and sale of the placement units, net of expenses</w:t>
            </w:r>
            <w:r>
              <w:rPr>
                <w:rFonts w:ascii="Arial" w:cs="Arial" w:eastAsia="Arial" w:hAnsi="Arial"/>
                <w:sz w:val="29"/>
                <w:szCs w:val="29"/>
                <w:color w:val="auto"/>
                <w:vertAlign w:val="superscript"/>
              </w:rPr>
              <w:t>(1)</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251,150,000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288,650,000</w:t>
            </w:r>
          </w:p>
        </w:tc>
        <w:tc>
          <w:tcPr>
            <w:tcW w:w="80" w:type="dxa"/>
            <w:vAlign w:val="bottom"/>
            <w:shd w:val="clear" w:color="auto" w:fill="CCEEFF"/>
          </w:tcPr>
          <w:p>
            <w:pPr>
              <w:spacing w:after="0"/>
              <w:rPr>
                <w:sz w:val="22"/>
                <w:szCs w:val="22"/>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(10,062,500)</w:t>
            </w:r>
          </w:p>
        </w:tc>
      </w:tr>
      <w:tr>
        <w:trPr>
          <w:trHeight w:val="270"/>
        </w:trPr>
        <w:tc>
          <w:tcPr>
            <w:tcW w:w="7740" w:type="dxa"/>
            <w:vAlign w:val="bottom"/>
          </w:tcPr>
          <w:p>
            <w:pPr>
              <w:spacing w:after="0" w:line="270" w:lineRule="exact"/>
              <w:rPr>
                <w:sz w:val="20"/>
                <w:szCs w:val="20"/>
                <w:color w:val="auto"/>
              </w:rPr>
            </w:pPr>
            <w:r>
              <w:rPr>
                <w:rFonts w:ascii="Arial" w:cs="Arial" w:eastAsia="Arial" w:hAnsi="Arial"/>
                <w:sz w:val="18"/>
                <w:szCs w:val="18"/>
                <w:color w:val="auto"/>
                <w:w w:val="98"/>
              </w:rPr>
              <w:t>Less: Proceeds held in trust subject to redemption to maintain net tangible assets of $5,000,001</w:t>
            </w:r>
            <w:r>
              <w:rPr>
                <w:rFonts w:ascii="Arial" w:cs="Arial" w:eastAsia="Arial" w:hAnsi="Arial"/>
                <w:sz w:val="29"/>
                <w:szCs w:val="29"/>
                <w:color w:val="auto"/>
                <w:w w:val="98"/>
                <w:vertAlign w:val="superscript"/>
              </w:rPr>
              <w:t>(2)</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(237,424,490)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(273,611,990)</w:t>
            </w:r>
          </w:p>
        </w:tc>
      </w:tr>
      <w:tr>
        <w:trPr>
          <w:trHeight w:val="223"/>
        </w:trPr>
        <w:tc>
          <w:tcPr>
            <w:tcW w:w="77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7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Without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With</w:t>
            </w:r>
          </w:p>
        </w:tc>
      </w:tr>
      <w:tr>
        <w:trPr>
          <w:trHeight w:val="216"/>
        </w:trPr>
        <w:tc>
          <w:tcPr>
            <w:tcW w:w="7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Over-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allotment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Shares of Class B common stock outstanding prior to this offering</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8,625,000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8,625,000</w:t>
            </w:r>
          </w:p>
        </w:tc>
        <w:tc>
          <w:tcPr>
            <w:tcW w:w="8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Shares of Class B common stock forfeited if over-allotment is not exercised</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Shares of Class A common stock included in the units offered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28,750,000</w:t>
            </w:r>
          </w:p>
        </w:tc>
        <w:tc>
          <w:tcPr>
            <w:tcW w:w="8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included in the placement units issued</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467,000</w:t>
            </w: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Representative Shares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431,250</w:t>
            </w:r>
          </w:p>
        </w:tc>
        <w:tc>
          <w:tcPr>
            <w:tcW w:w="80" w:type="dxa"/>
            <w:vAlign w:val="bottom"/>
          </w:tcPr>
          <w:p>
            <w:pPr>
              <w:spacing w:after="0"/>
              <w:rPr>
                <w:sz w:val="18"/>
                <w:szCs w:val="18"/>
                <w:color w:val="auto"/>
              </w:rPr>
            </w:pP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Shares subject to redemption</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(23,742,449)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(27,361,199)</w:t>
            </w:r>
          </w:p>
        </w:tc>
      </w:tr>
      <w:tr>
        <w:trPr>
          <w:trHeight w:val="223"/>
        </w:trPr>
        <w:tc>
          <w:tcPr>
            <w:tcW w:w="7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9,562,051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10,912,051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applied against gross proceeds include offering expenses of $645,000 and underwriting commissions of $2,500,000 (or $2,875,000 if the over-allotment option is exercised in full) (excluding deferred underwriting fees). See “Use of Proceeds.”</w:t>
      </w:r>
    </w:p>
    <w:p>
      <w:pPr>
        <w:spacing w:after="0" w:line="170" w:lineRule="exact"/>
        <w:rPr>
          <w:rFonts w:ascii="Arial" w:cs="Arial" w:eastAsia="Arial" w:hAnsi="Arial"/>
          <w:sz w:val="18"/>
          <w:szCs w:val="18"/>
          <w:color w:val="auto"/>
        </w:rPr>
      </w:pPr>
    </w:p>
    <w:p>
      <w:pPr>
        <w:ind w:left="340" w:right="160" w:hanging="332"/>
        <w:spacing w:after="0" w:line="29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Effecting Our Initial Business Combination — Permitted Purchases of Our Securities.”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following table sets forth our capitalization at May 21, 2021 and as adjusted to give effect to the filing of our amended and restated certificates of incorporation, the sale of our units in this offering and the sale of the placement units and the application of the estimated net proceeds derived from the sale of such securities, assuming no exercise by the underwriters of their over-allotment option: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rPr>
              <w:t>May 21, 2021</w:t>
            </w:r>
          </w:p>
        </w:tc>
      </w:tr>
      <w:tr>
        <w:trPr>
          <w:trHeight w:val="195"/>
        </w:trPr>
        <w:tc>
          <w:tcPr>
            <w:tcW w:w="5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b w:val="1"/>
                <w:bCs w:val="1"/>
                <w:color w:val="auto"/>
              </w:rPr>
              <w:t>As</w:t>
            </w:r>
          </w:p>
        </w:tc>
        <w:tc>
          <w:tcPr>
            <w:tcW w:w="100" w:type="dxa"/>
            <w:vAlign w:val="bottom"/>
            <w:gridSpan w:val="2"/>
          </w:tcPr>
          <w:p>
            <w:pPr>
              <w:spacing w:after="0"/>
              <w:rPr>
                <w:sz w:val="16"/>
                <w:szCs w:val="16"/>
                <w:color w:val="auto"/>
              </w:rPr>
            </w:pPr>
          </w:p>
        </w:tc>
      </w:tr>
      <w:tr>
        <w:trPr>
          <w:trHeight w:val="271"/>
        </w:trPr>
        <w:tc>
          <w:tcPr>
            <w:tcW w:w="5860" w:type="dxa"/>
            <w:vAlign w:val="bottom"/>
            <w:tcBorders>
              <w:bottom w:val="single" w:sz="8" w:color="CCEEFF"/>
            </w:tcBorders>
          </w:tcPr>
          <w:p>
            <w:pPr>
              <w:spacing w:after="0"/>
              <w:rPr>
                <w:sz w:val="23"/>
                <w:szCs w:val="23"/>
                <w:color w:val="auto"/>
              </w:rPr>
            </w:pPr>
          </w:p>
        </w:tc>
        <w:tc>
          <w:tcPr>
            <w:tcW w:w="25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0"/>
              <w:spacing w:after="0" w:line="271" w:lineRule="exact"/>
              <w:rPr>
                <w:sz w:val="20"/>
                <w:szCs w:val="20"/>
                <w:color w:val="auto"/>
              </w:rPr>
            </w:pPr>
            <w:r>
              <w:rPr>
                <w:rFonts w:ascii="Arial" w:cs="Arial" w:eastAsia="Arial" w:hAnsi="Arial"/>
                <w:sz w:val="18"/>
                <w:szCs w:val="18"/>
                <w:b w:val="1"/>
                <w:bCs w:val="1"/>
                <w:color w:val="auto"/>
                <w:w w:val="89"/>
              </w:rPr>
              <w:t>Adjusted</w:t>
            </w:r>
            <w:r>
              <w:rPr>
                <w:rFonts w:ascii="Arial" w:cs="Arial" w:eastAsia="Arial" w:hAnsi="Arial"/>
                <w:sz w:val="29"/>
                <w:szCs w:val="29"/>
                <w:b w:val="1"/>
                <w:bCs w:val="1"/>
                <w:color w:val="auto"/>
                <w:w w:val="89"/>
                <w:vertAlign w:val="superscript"/>
              </w:rPr>
              <w:t>(3)</w:t>
            </w:r>
          </w:p>
        </w:tc>
        <w:tc>
          <w:tcPr>
            <w:tcW w:w="100" w:type="dxa"/>
            <w:vAlign w:val="bottom"/>
            <w:tcBorders>
              <w:bottom w:val="single" w:sz="8" w:color="CCEEFF"/>
            </w:tcBorders>
            <w:gridSpan w:val="2"/>
          </w:tcPr>
          <w:p>
            <w:pPr>
              <w:spacing w:after="0"/>
              <w:rPr>
                <w:sz w:val="23"/>
                <w:szCs w:val="23"/>
                <w:color w:val="auto"/>
              </w:rPr>
            </w:pPr>
          </w:p>
        </w:tc>
      </w:tr>
      <w:tr>
        <w:trPr>
          <w:trHeight w:val="237"/>
        </w:trPr>
        <w:tc>
          <w:tcPr>
            <w:tcW w:w="58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Notes payable to related party</w:t>
            </w:r>
            <w:r>
              <w:rPr>
                <w:rFonts w:ascii="Arial" w:cs="Arial" w:eastAsia="Arial" w:hAnsi="Arial"/>
                <w:sz w:val="27"/>
                <w:szCs w:val="27"/>
                <w:color w:val="auto"/>
                <w:vertAlign w:val="superscript"/>
              </w:rPr>
              <w:t>(1)</w:t>
            </w:r>
          </w:p>
        </w:tc>
        <w:tc>
          <w:tcPr>
            <w:tcW w:w="2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8,750,000</w:t>
            </w:r>
          </w:p>
        </w:tc>
        <w:tc>
          <w:tcPr>
            <w:tcW w:w="80" w:type="dxa"/>
            <w:vAlign w:val="bottom"/>
          </w:tcPr>
          <w:p>
            <w:pPr>
              <w:spacing w:after="0"/>
              <w:rPr>
                <w:sz w:val="19"/>
                <w:szCs w:val="19"/>
                <w:color w:val="auto"/>
              </w:rPr>
            </w:pPr>
          </w:p>
        </w:tc>
      </w:tr>
      <w:tr>
        <w:trPr>
          <w:trHeight w:val="185"/>
        </w:trPr>
        <w:tc>
          <w:tcPr>
            <w:tcW w:w="8440" w:type="dxa"/>
            <w:vAlign w:val="bottom"/>
            <w:tcBorders>
              <w:top w:val="single" w:sz="8" w:color="CCEEFF"/>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9"/>
              </w:rPr>
              <w:t>Class A common stock subject to possible redemption; -0- and 23,742,449 shares, actual and as Adjusted,</w:t>
            </w: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7"/>
        </w:trPr>
        <w:tc>
          <w:tcPr>
            <w:tcW w:w="586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respectively, are subject to possible redemption, respectively</w:t>
            </w:r>
            <w:r>
              <w:rPr>
                <w:rFonts w:ascii="Arial" w:cs="Arial" w:eastAsia="Arial" w:hAnsi="Arial"/>
                <w:sz w:val="29"/>
                <w:szCs w:val="29"/>
                <w:color w:val="auto"/>
                <w:vertAlign w:val="superscript"/>
              </w:rPr>
              <w:t>(2)</w:t>
            </w:r>
          </w:p>
        </w:tc>
        <w:tc>
          <w:tcPr>
            <w:tcW w:w="2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237,424,490</w:t>
            </w:r>
          </w:p>
        </w:tc>
        <w:tc>
          <w:tcPr>
            <w:tcW w:w="80" w:type="dxa"/>
            <w:vAlign w:val="bottom"/>
            <w:shd w:val="clear" w:color="auto" w:fill="CCEEFF"/>
          </w:tcPr>
          <w:p>
            <w:pPr>
              <w:spacing w:after="0"/>
              <w:rPr>
                <w:sz w:val="23"/>
                <w:szCs w:val="23"/>
                <w:color w:val="auto"/>
              </w:rPr>
            </w:pPr>
          </w:p>
        </w:tc>
      </w:tr>
      <w:tr>
        <w:trPr>
          <w:trHeight w:val="202"/>
        </w:trPr>
        <w:tc>
          <w:tcPr>
            <w:tcW w:w="8680" w:type="dxa"/>
            <w:vAlign w:val="bottom"/>
            <w:gridSpan w:val="3"/>
          </w:tcPr>
          <w:p>
            <w:pPr>
              <w:spacing w:after="0" w:line="201" w:lineRule="exact"/>
              <w:rPr>
                <w:sz w:val="20"/>
                <w:szCs w:val="20"/>
                <w:color w:val="auto"/>
              </w:rPr>
            </w:pPr>
            <w:r>
              <w:rPr>
                <w:rFonts w:ascii="Arial" w:cs="Arial" w:eastAsia="Arial" w:hAnsi="Arial"/>
                <w:sz w:val="18"/>
                <w:szCs w:val="18"/>
                <w:color w:val="auto"/>
                <w:w w:val="99"/>
              </w:rPr>
              <w:t>Preferred stock, $0.0001 par value, 1,000,000 shares authorized; none issued and outstanding, actual and as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adjusted</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5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Class A common stock, $0.0001 par value, 280,000,000 shares authorized, 0 and</w:t>
            </w:r>
          </w:p>
        </w:tc>
        <w:tc>
          <w:tcPr>
            <w:tcW w:w="2820" w:type="dxa"/>
            <w:vAlign w:val="bottom"/>
            <w:gridSpan w:val="2"/>
            <w:shd w:val="clear" w:color="auto" w:fill="CCEEFF"/>
          </w:tcPr>
          <w:p>
            <w:pPr>
              <w:jc w:val="right"/>
              <w:ind w:right="670"/>
              <w:spacing w:after="0" w:line="201" w:lineRule="exact"/>
              <w:rPr>
                <w:sz w:val="20"/>
                <w:szCs w:val="20"/>
                <w:color w:val="auto"/>
              </w:rPr>
            </w:pPr>
            <w:r>
              <w:rPr>
                <w:rFonts w:ascii="Arial" w:cs="Arial" w:eastAsia="Arial" w:hAnsi="Arial"/>
                <w:sz w:val="18"/>
                <w:szCs w:val="18"/>
                <w:color w:val="auto"/>
                <w:w w:val="88"/>
              </w:rPr>
              <w:t>2,062,051 shares issued and</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actual and as adjusted, respectively</w:t>
            </w:r>
          </w:p>
        </w:tc>
        <w:tc>
          <w:tcPr>
            <w:tcW w:w="2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05"/>
        </w:trPr>
        <w:tc>
          <w:tcPr>
            <w:tcW w:w="8680" w:type="dxa"/>
            <w:vAlign w:val="bottom"/>
            <w:gridSpan w:val="3"/>
          </w:tcPr>
          <w:p>
            <w:pPr>
              <w:spacing w:after="0" w:line="206" w:lineRule="exact"/>
              <w:rPr>
                <w:sz w:val="20"/>
                <w:szCs w:val="20"/>
                <w:color w:val="auto"/>
              </w:rPr>
            </w:pPr>
            <w:r>
              <w:rPr>
                <w:rFonts w:ascii="Arial" w:cs="Arial" w:eastAsia="Arial" w:hAnsi="Arial"/>
                <w:sz w:val="18"/>
                <w:szCs w:val="18"/>
                <w:color w:val="auto"/>
                <w:w w:val="95"/>
              </w:rPr>
              <w:t>Class B common stock, $0.0001 par value, 20,000,000 shares authorized, 8,625,000 and 7,500,000 shares issued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7"/>
        </w:trPr>
        <w:tc>
          <w:tcPr>
            <w:tcW w:w="5860" w:type="dxa"/>
            <w:vAlign w:val="bottom"/>
          </w:tcPr>
          <w:p>
            <w:pPr>
              <w:ind w:left="180"/>
              <w:spacing w:after="0" w:line="267" w:lineRule="exact"/>
              <w:rPr>
                <w:sz w:val="20"/>
                <w:szCs w:val="20"/>
                <w:color w:val="auto"/>
              </w:rPr>
            </w:pPr>
            <w:r>
              <w:rPr>
                <w:rFonts w:ascii="Arial" w:cs="Arial" w:eastAsia="Arial" w:hAnsi="Arial"/>
                <w:sz w:val="18"/>
                <w:szCs w:val="18"/>
                <w:color w:val="auto"/>
              </w:rPr>
              <w:t>and outstanding, actual and as adjusted, respectively</w:t>
            </w:r>
            <w:r>
              <w:rPr>
                <w:rFonts w:ascii="Arial" w:cs="Arial" w:eastAsia="Arial" w:hAnsi="Arial"/>
                <w:sz w:val="29"/>
                <w:szCs w:val="29"/>
                <w:color w:val="auto"/>
                <w:vertAlign w:val="superscript"/>
              </w:rPr>
              <w:t>(3)</w:t>
            </w:r>
          </w:p>
        </w:tc>
        <w:tc>
          <w:tcPr>
            <w:tcW w:w="2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4,999,554</w:t>
            </w:r>
          </w:p>
        </w:tc>
        <w:tc>
          <w:tcPr>
            <w:tcW w:w="80" w:type="dxa"/>
            <w:vAlign w:val="bottom"/>
            <w:shd w:val="clear" w:color="auto" w:fill="CCEEFF"/>
          </w:tcPr>
          <w:p>
            <w:pPr>
              <w:spacing w:after="0"/>
              <w:rPr>
                <w:sz w:val="18"/>
                <w:szCs w:val="18"/>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Accumulated deficit</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 capitalization</w:t>
            </w:r>
          </w:p>
        </w:tc>
        <w:tc>
          <w:tcPr>
            <w:tcW w:w="2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251,174,500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40" w:right="100" w:hanging="232"/>
        <w:spacing w:after="0" w:line="263" w:lineRule="auto"/>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sponsor has agreed to loan us up to $300,000 to be used for a portion of the expenses of this offering. The “as adjusted” information gives effect to the repayment of any loans made under this note out of the proceeds from this offering and the sale of the placement units. As of May 21, 2021, we had borrowed $100 (of up to $300,000 available to us) under the promissory note with our sponsor.</w:t>
      </w:r>
    </w:p>
    <w:p>
      <w:pPr>
        <w:spacing w:after="0" w:line="183" w:lineRule="exact"/>
        <w:rPr>
          <w:rFonts w:ascii="Arial" w:cs="Arial" w:eastAsia="Arial" w:hAnsi="Arial"/>
          <w:sz w:val="18"/>
          <w:szCs w:val="18"/>
          <w:color w:val="auto"/>
        </w:rPr>
      </w:pPr>
    </w:p>
    <w:p>
      <w:pPr>
        <w:ind w:left="240" w:right="60" w:hanging="232"/>
        <w:spacing w:after="0" w:line="296" w:lineRule="auto"/>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after payment of underwriters’ fees and commissions and any limitations (including, but not limited to, cash requirements) created by the terms of the proposed initial business combination.</w:t>
      </w:r>
    </w:p>
    <w:p>
      <w:pPr>
        <w:spacing w:after="0" w:line="161" w:lineRule="exact"/>
        <w:rPr>
          <w:rFonts w:ascii="Arial" w:cs="Arial" w:eastAsia="Arial" w:hAnsi="Arial"/>
          <w:sz w:val="16"/>
          <w:szCs w:val="16"/>
          <w:color w:val="auto"/>
        </w:rPr>
      </w:pPr>
    </w:p>
    <w:p>
      <w:pPr>
        <w:ind w:left="240" w:right="260" w:hanging="232"/>
        <w:spacing w:after="0" w:line="277" w:lineRule="auto"/>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held by our initial stockholders, including the representative, and as adjusted amount assumes no exercise of the underwriters’ over-allotment option and includes the representative shares.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 newly-organized blank check company incorporated as a Delaware corporation and formed for the purpose of effecting a merger, capital stock exchange, asset acquisition, stock purchase, reorganization or similar business combination with one or more businesses. While our efforts to identify a target business may span many industries and regions worldwide, we intend to focus our search for prospects within the technology industry in the Americas. We have not selected any specific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placement units, the proceeds of the sale of our shares in connection with our initial business combination (including pursuant to backstop agreements we may enter into following the consummation of this offering or otherwise), shares issued to the owners of the target, debt issued to bank or other lenders or the owners of the target, or a combination of the foregoing.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ind w:left="660" w:right="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ind w:left="660" w:right="4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46"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Similarly, if we issue debt securities or otherwise incur significant debt to bank or other lenders or the owners of a target, it could result in:</w:t>
      </w:r>
    </w:p>
    <w:p>
      <w:pPr>
        <w:spacing w:after="0" w:line="23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4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ind w:left="660" w:right="26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indicated in the accompanying financial statements, at May 21, 2021, we had $25,100 cash and deferred offering costs of $24,500. Further, we expect to continue to incur significant costs in the pursuit of our initial business combination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indicated in the accompanying financial statements, at May 21 2021, we had cash of $25,100 and no working capital. Further, we have incurred and expect to continue to incur significant costs in pursuit of our financing and acquisition plans. We cannot assure you that our plans to raise capital or to consummate an initial business combination will be successful. These factors, among others, raise substantial doubt about our ability to continue as a going concern.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liquidity needs have been satisfied prior to the completion of this offering through a capital contribution from our sponsor of $25,000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founder shares and up to $300,000 in loans available from our sponsor under an unsecured promissory note. We estimate that the net proceeds from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the units in this offering, after deducting offering expenses of approximately $645,000, underwriting commissions of $2,500,000 ($2,875,000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over-allotment option is exercised in full) (excluding deferred underwriting commissions of $8,750,000 (or $10,062,500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 is exercised in full)), and (ii) the sale of the placement units for a purchase price of $4,295,000 (or $4,670,000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over-allotment option is exercised in full), will be $251,150,000 (or $288,650,000 if the underwriters’ over-allotment option is exercised in full).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$250,000,000 (or $287,500,000 if the underwriters’ over-allotment option is exercised in full) will be held in the trust account, which includes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$8,750,000 (or $10,062,500 if the underwriters’ over-allotment option is exercised in full) of deferred underwriting commissions. The proceeds held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account will be invested only in U.S. government treasury obligations with a maturity of 185 days or less or in money market funds meeting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conditions under Rule 2a-7 under the Investment Company Act which invest only in direct U.S. government treasury obligations. The remaining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$1,150,000 will not be held in the trust account. In the event that our offering expenses exceed our estimate of $645,000, we may fund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with funds not to be held in the trust account. In such case, the amount of funds we intend to be held outside the trust account would decrease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corresponding amount. Conversely, in the event that the offering expenses are less than our estimate of $645,000, the amount of funds we intend to be held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outside the trust account would increase by a corresponding amount.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340"/>
        <w:spacing w:after="0"/>
        <w:rPr>
          <w:sz w:val="20"/>
          <w:szCs w:val="20"/>
          <w:color w:val="auto"/>
        </w:rPr>
      </w:pPr>
      <w:r>
        <w:rPr>
          <w:rFonts w:ascii="Arial" w:cs="Arial" w:eastAsia="Arial" w:hAnsi="Arial"/>
          <w:sz w:val="16"/>
          <w:szCs w:val="16"/>
          <w:color w:val="auto"/>
        </w:rPr>
        <w:t>We intend to use substantially all of the funds held in the trust account, including any amounts representing interest earned on the trust account (less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deferred underwriting commissions), to complete our initial business combination. We may withdraw interest to pay taxes. We estimate our annual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franchise tax obligations, based on the number of shares of our common stock authorized and outstanding after the completion of this offering,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 which is the maximum amount of annual franchise taxes payable by us as a Delaware corporation per annum, which we may pay from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this offering held outside of the trust account or from interest earned on the funds held in our trust account and released to us for this purpose.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income tax obligations will depend on the amount of interest and other income earned on the amounts held in the trust account. We expect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earned on the amount in the trust account will be sufficient to pay our income taxes. To the extent that our capital stock or debt is used, in whole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part, as consideration to complete our initial business combination, the remaining proceeds held in the trust account will be used as working capital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finance the operations of the target business or businesses, make other acquisitions and pursue our growth strategies.</w:t>
      </w:r>
    </w:p>
    <w:p>
      <w:pPr>
        <w:spacing w:after="0" w:line="211"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Prior to the completion of our initial business combination, we will have available to us the approximately $1,150,000 of proceeds held outside the trust account. We will use these funds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5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on a non-interest bearing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sponsor, our officers and directors or their affiliates, if any, have not been determined and no written agreements exist with respect to such loans. We do not expect to seek loans from parties other than our sponsor, our officers or directors or an affiliate of theirs as we do not believe third parties will be willing to loan such funds and provide a waiver against any and all rights to seek access to funds in our trust account.</w:t>
      </w:r>
    </w:p>
    <w:p>
      <w:pPr>
        <w:spacing w:after="0" w:line="16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expect our primary liquidity requirements during that period to include approximately $200,000 for legal, accounting, due diligence, travel and other expenses associated with structuring, negotiating and documenting successful business combinations; $400,000 for director and officer liability insurance premiums; $110,000 for legal and accounting fees related to regulatory reporting requirements; $240,000 for office space, utilities and secretarial and administrative support; and approximately $200,000 for working capital that will be used for miscellaneous expenses and reserves.</w:t>
      </w:r>
    </w:p>
    <w:p>
      <w:pPr>
        <w:spacing w:after="0" w:line="15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8" w:name="page89"/>
    <w:bookmarkEnd w:id="88"/>
    <w:p>
      <w:pPr>
        <w:ind w:right="20" w:firstLine="324"/>
        <w:spacing w:after="0" w:line="269"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larger than we could acquire with the net proceeds of this offering and the sale of the placement units, and may as a result be required to seek additional financing to complete such proposed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6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net proceeds of this offering and the sale of the placement units held in the trust account will be invested in U.S. government treasury bills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May 21, 2021, our sponsor purchased 8,625,000 founder shares for an aggregate purchase price of $25,000, or approximately $0.003 per share. The number of founder shares issued was determined based on the expectation that such founder shares would represent 23.1% of the outstanding shares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The per share purchase price of the founder shares was determined by dividing the amount of cash contributed to the company by the aggregate number of founder shares issued.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23.1%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Up to 1,125,000 founder shares held by our sponsor are subject to forfeiture by our initial stockholders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8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December 31, 2021 or the closing of this offering. The loan will be repaid upon the closing of this offering out of the $645,000 of offering proceeds that has been allocated to the payment of offering expenses (other than underwriting commissions).</w:t>
      </w:r>
    </w:p>
    <w:p>
      <w:pPr>
        <w:spacing w:after="0" w:line="18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w:t>
      </w:r>
    </w:p>
    <w:p>
      <w:pPr>
        <w:spacing w:after="0" w:line="157"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Except as described herein, the terms of such loans by our sponsor, our officers and directors, or their affiliates, if any, have not been determined and no written agreements exist with respect to such loans.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0" w:name="page91"/>
    <w:bookmarkEnd w:id="90"/>
    <w:p>
      <w:pPr>
        <w:ind w:right="700" w:firstLine="324"/>
        <w:spacing w:after="0" w:line="291" w:lineRule="auto"/>
        <w:rPr>
          <w:sz w:val="20"/>
          <w:szCs w:val="20"/>
          <w:color w:val="auto"/>
        </w:rPr>
      </w:pPr>
      <w:r>
        <w:rPr>
          <w:rFonts w:ascii="Arial" w:cs="Arial" w:eastAsia="Arial" w:hAnsi="Arial"/>
          <w:sz w:val="16"/>
          <w:szCs w:val="16"/>
          <w:color w:val="auto"/>
        </w:rPr>
        <w:t>Our sponsor has agreed to purchase an aggregate of 429,500 placement units at a price of $10.00 per unit for an aggregate purchase price of $4,295,000. If the over-allotment option is exercised in full, the amount of placement units sold will be 467,000 for an aggregate purchase price of</w:t>
      </w:r>
    </w:p>
    <w:p>
      <w:pPr>
        <w:spacing w:after="0" w:line="252" w:lineRule="auto"/>
        <w:rPr>
          <w:sz w:val="20"/>
          <w:szCs w:val="20"/>
          <w:color w:val="auto"/>
        </w:rPr>
      </w:pPr>
      <w:r>
        <w:rPr>
          <w:rFonts w:ascii="Arial" w:cs="Arial" w:eastAsia="Arial" w:hAnsi="Arial"/>
          <w:sz w:val="18"/>
          <w:szCs w:val="18"/>
          <w:color w:val="auto"/>
        </w:rPr>
        <w:t>$4,670,000. Each placement unit consists of one share of Class A common stock and one-half of one warrant. Each whole warrant is exercisable to purchase one whole share of common stock at $11.50 per share. There will be no redemption rights or liquidating distributions from the trust account with respect to the founder shares, the placement shares or the placement warrants, which will expire worthless if we do not consummate a business combination within 24 months from the closing of this offering. The placement units are identical to the units sold in this offering except that the placement units and their component securities will not be transferable, assignable or saleable until 30 days after the consummation of our initial business combination except to permitted transferees, , and will be entitled to registration rights.</w:t>
      </w:r>
    </w:p>
    <w:p>
      <w:pPr>
        <w:spacing w:after="0" w:line="19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initial stockholders have agreed to waive their redemption rights with respect to their founder shares and placement shares (i) in connection with the consummation of a business combination, (ii) in connection with a stockholder vote to amend our amended and restated certificate of incorporation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completion of this offering and (iii) if we fail to consummate a business combination within 24 months from the completion of this offering or if we liquidate prior to the expiration of the allotted time period. However, our initial stockholders will be entitled to redemption rights with respect to any public shares held by them if we fail to consummate a business combination or liquidate within the allotted time period.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24 months from the closing of this offering.</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Pursuant to a registration rights agreement we will enter into with our initial stockholders and the representative on or prior to the closing of this offering, we may be required to register certain securities for sale under the Securities Act. These holders, and holders of units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See the section of this prospectus entitled “Certain Relationships and Related Party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center"/>
        <w:ind w:right="140"/>
        <w:spacing w:after="0" w:line="342" w:lineRule="auto"/>
        <w:rPr>
          <w:sz w:val="20"/>
          <w:szCs w:val="20"/>
          <w:color w:val="auto"/>
        </w:rPr>
      </w:pPr>
      <w:r>
        <w:rPr>
          <w:rFonts w:ascii="Arial" w:cs="Arial" w:eastAsia="Arial" w:hAnsi="Arial"/>
          <w:sz w:val="16"/>
          <w:szCs w:val="16"/>
          <w:color w:val="auto"/>
        </w:rPr>
        <w:t>As of May 21, 2021,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a Delaware blank check company incorporated on March 2, 2021, formed for the purpose of effecting a merger, capital stock exchange, asset acquisition, stock purchase, recapitalization,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formal or otherwise, directly or indirectly, with respect to such a transaction, with any business combination target.</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7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2" w:lineRule="exact"/>
        <w:rPr>
          <w:sz w:val="20"/>
          <w:szCs w:val="20"/>
          <w:color w:val="auto"/>
        </w:rPr>
      </w:pPr>
    </w:p>
    <w:p>
      <w:pPr>
        <w:ind w:right="240" w:firstLine="324"/>
        <w:spacing w:after="0" w:line="281" w:lineRule="auto"/>
        <w:rPr>
          <w:sz w:val="20"/>
          <w:szCs w:val="20"/>
          <w:color w:val="auto"/>
        </w:rPr>
      </w:pPr>
      <w:r>
        <w:rPr>
          <w:rFonts w:ascii="Arial" w:cs="Arial" w:eastAsia="Arial" w:hAnsi="Arial"/>
          <w:sz w:val="17"/>
          <w:szCs w:val="17"/>
          <w:b w:val="1"/>
          <w:bCs w:val="1"/>
          <w:color w:val="auto"/>
        </w:rPr>
        <w:t xml:space="preserve">Shahal M. Khan </w:t>
      </w:r>
      <w:r>
        <w:rPr>
          <w:rFonts w:ascii="Arial" w:cs="Arial" w:eastAsia="Arial" w:hAnsi="Arial"/>
          <w:sz w:val="17"/>
          <w:szCs w:val="17"/>
          <w:color w:val="auto"/>
        </w:rPr>
        <w:t>is our Chairman of the Board of Directors and Chief Executive Officer. Mr. Khan’s career as an investor, entrepreneur and social</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been directly responsible for syndication of over $5 billion in equity for projects as a principal through his family trust.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2" w:name="page93"/>
    <w:bookmarkEnd w:id="92"/>
    <w:p>
      <w:pPr>
        <w:ind w:right="20" w:firstLine="324"/>
        <w:spacing w:after="0" w:line="284" w:lineRule="auto"/>
        <w:rPr>
          <w:sz w:val="20"/>
          <w:szCs w:val="20"/>
          <w:color w:val="auto"/>
        </w:rPr>
      </w:pPr>
      <w:r>
        <w:rPr>
          <w:rFonts w:ascii="Arial" w:cs="Arial" w:eastAsia="Arial" w:hAnsi="Arial"/>
          <w:sz w:val="16"/>
          <w:szCs w:val="16"/>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pioneering Cyber security company based out of New York City and London with four patents in data security. Since 2019, Mr. Khan has served as chief exectuive officer and Chairman of the Board of Trinity Hospitality Group LLC based out of New York City, which is currently developing a hotel property in New York City which will be a fully tech-enabled live and work destination in New York City with WIRED, a Condé Naste company. Trinity is currently developing over two billion dollars of a pipeline of “Digital Nomad” properties.</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2018, closed the transaction, then agreed to the sale of the hotel to the Qatari SWF.</w:t>
      </w:r>
    </w:p>
    <w:p>
      <w:pPr>
        <w:spacing w:after="0" w:line="173"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over 60 technology companies as well as leading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the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Khan was the chief executive officer of Centile, a software company located in the South of France, which was sold to the European Development Bank in 2008. In 2009 Mr. Khan founded Zebasolar, one of the first developers of Solar power in India. Mr. Khan also served as a director on the boards of GD360 from 2017 through 2019,</w:t>
      </w:r>
    </w:p>
    <w:p>
      <w:pPr>
        <w:spacing w:after="0" w:line="19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which is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 in Washington DC.</w:t>
      </w:r>
    </w:p>
    <w:p>
      <w:pPr>
        <w:spacing w:after="0" w:line="16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b w:val="1"/>
          <w:bCs w:val="1"/>
          <w:color w:val="auto"/>
        </w:rPr>
        <w:t xml:space="preserve">Isaac Chetrit </w:t>
      </w:r>
      <w:r>
        <w:rPr>
          <w:rFonts w:ascii="Arial" w:cs="Arial" w:eastAsia="Arial" w:hAnsi="Arial"/>
          <w:sz w:val="17"/>
          <w:szCs w:val="17"/>
          <w:color w:val="auto"/>
        </w:rPr>
        <w:t>is our President. Mr. Chetrit is a real estate veteran with a background in architecture and electrical engineering. Mr. Chetrit is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under the belt of The Taubman Company, where he built a reputation across major cities in the US. He was instrumental during his career with Taubman in making Dolphin Mall an institution in the industry and led the expansion and business development of many other luxury high end brands, restaurants, and entertainment venues in the USA and overseas. He has cemented valuable credibility in the Real Estate industry through his continuous involvement in functional management areas, project development, and consistently developing projects and brands that have become staples and powerhouses, both in the USA and globally.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right="200" w:firstLine="324"/>
        <w:spacing w:after="0" w:line="273" w:lineRule="auto"/>
        <w:rPr>
          <w:sz w:val="20"/>
          <w:szCs w:val="20"/>
          <w:color w:val="auto"/>
        </w:rPr>
      </w:pPr>
      <w:r>
        <w:rPr>
          <w:rFonts w:ascii="Arial" w:cs="Arial" w:eastAsia="Arial" w:hAnsi="Arial"/>
          <w:sz w:val="17"/>
          <w:szCs w:val="17"/>
          <w:color w:val="auto"/>
        </w:rPr>
        <w:t>Mr. Chetrit has also spent the last 20 years merchandising malls, shopping centers, hotels, and specializing in location assessment and negotiations. Later as the vice president of Westfield, Mr. Chetrit was solely responsible for high-end retail and entertainment development for the eastern U.S. During the last two decades, Mr. Chetrit has procured hundreds of millions of dollars in transactions across the U.S. and other parts of the world. For the past couple years, Mr. Chetrit has deep dived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holds Series 7, 24, and 63 registrations with the FINRA. Mr. Livson has a Master’s degree in Mathematical Finance from Columbia University, a Masters in Physics from Moscow Institute Of Electronics Engineering, and a Banking and Financing Degree from The London School of Economics.</w:t>
      </w:r>
    </w:p>
    <w:p>
      <w:pPr>
        <w:spacing w:after="0" w:line="182"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b w:val="1"/>
          <w:bCs w:val="1"/>
          <w:color w:val="auto"/>
        </w:rPr>
        <w:t xml:space="preserve">Payel Farasat </w:t>
      </w:r>
      <w:r>
        <w:rPr>
          <w:rFonts w:ascii="Arial" w:cs="Arial" w:eastAsia="Arial" w:hAnsi="Arial"/>
          <w:sz w:val="16"/>
          <w:szCs w:val="16"/>
          <w:color w:val="auto"/>
        </w:rPr>
        <w:t>is our Chief Investment Officer. Since December 2020, Ms. Farasat has been the Chief Investment Officer (CIO) of Burkhan World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LLC (“Burkhan”) and the Co-founder and Managing Partner of V4 Capital LLC, a bespoke consultancy and private equity firm that specializes in investing with purpose, impact and heart. Since December 2017, Ms. Farasat has been the Managing Principal of Farasat Consulting Group LLC (“FCG”), a business and management consulting firm. Ms. Farasat is also the Founder &amp; Master Coach of Project Me Coaching, a transformational coaching and advisory organization which she founded in June 2017. Ms. Farasat has over 20 years of experience, intuition, and conviction in asset management and financial advising. This combination enables Ms. Farasat to quickly capture data, patterns, and themes that shape her views on sentiment and positioning, as well as, inform her vision about the future relative to global economics and changing demographics. Consistently searching for new ways to interpret capital market dynamics, Ms. Farasat chairs Burkhan’s Investment Committee and curates investment policy and portfolio management for Burkhan’s global ecosystem of group companies. Deploying modern academic thinking that strives to improve expected returns, manage risk, and reduce costs,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grow. Ms. Farasat guides the process of infusing capital into innovative ventures that bring revolutionary technologies and experiences expected to have long-term positive impact on the world and our future. In this process, she creates custom capital raise solutions for Burkhan’s portfolio companies. Ms. Farasat is passionate about enabling democratized access to private equity investments and tailors custom participation strategies for institutional and accredited investors interested in co-investing in companies that Burkhan is taking public. "See the entire landscape with a diverse set of eyes within an endless feedback loop - Iterate, Rinse, Repeat.” is Ms. Farasat’s mantra for financial consciousness, profitability, growth, and sustainable global impact.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right="40" w:firstLine="324"/>
        <w:spacing w:after="0" w:line="283"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directly responsible for the firm’s investment philosophy, policy, portfolio management, and messaging. She also managed the development of all investment strategy,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comprehensive financial planning and asset management to clients, businesses, and 401(k)s from</w:t>
      </w:r>
    </w:p>
    <w:p>
      <w:pPr>
        <w:spacing w:after="0" w:line="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July 2002 to September 2007. Ms. Farasat earned a Bachelors in Economics from University of California at Berkeley, with a double minor in Computer Science and Business Administration, from the Haas School of Business, Summa cum Laude, and a Master’s of Science in Financial Analysis (MScFA) from University of San Francisco, Magna cum Laude. Ms. Farasat is also ICF Certified Coach and a PHI Certified Pranic Healer.</w:t>
      </w:r>
    </w:p>
    <w:p>
      <w:pPr>
        <w:spacing w:after="0" w:line="15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color w:val="auto"/>
        </w:rPr>
        <w:t xml:space="preserve">Christopher Schroeder </w:t>
      </w:r>
      <w:r>
        <w:rPr>
          <w:rFonts w:ascii="Arial" w:cs="Arial" w:eastAsia="Arial" w:hAnsi="Arial"/>
          <w:sz w:val="17"/>
          <w:szCs w:val="17"/>
          <w:color w:val="auto"/>
        </w:rPr>
        <w:t>is our Chief Marketing Officer. Over the last 30 years, Mr. Schroeder has also been an interactive media pioneer,</w:t>
      </w:r>
      <w:r>
        <w:rPr>
          <w:rFonts w:ascii="Arial" w:cs="Arial" w:eastAsia="Arial" w:hAnsi="Arial"/>
          <w:sz w:val="17"/>
          <w:szCs w:val="17"/>
          <w:b w:val="1"/>
          <w:bCs w:val="1"/>
          <w:color w:val="auto"/>
        </w:rPr>
        <w:t xml:space="preserve"> </w:t>
      </w:r>
      <w:r>
        <w:rPr>
          <w:rFonts w:ascii="Arial" w:cs="Arial" w:eastAsia="Arial" w:hAnsi="Arial"/>
          <w:sz w:val="17"/>
          <w:szCs w:val="17"/>
          <w:color w:val="auto"/>
        </w:rPr>
        <w:t>visionary resort developer, brand creator and marketing leader for globally recognized brands. He brings and award-winning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 leading experiential hotel brand development company, where Mr. Schroeder manages all aspects of the business. From February 2016 through July 2019, Mr. Schroeder served as the managing partner and a director of Dakia Entertainment &amp; Hospitality. He was a founding partner of the UMUSIC hotel and entertainment center concept that is a partnership with the world’s largest music company, Universal Music Group. He is also a key player in its expansion, creating iconic projects. Mr. Schroeder is also leading the creation and expansion of the WIRED Hotel brand, having an exclusive license to the brand. Mr. Schroeder is also leading the creation and expansion of other major projects with legacy brands including Sports Illustrated, Condé Nast, Authentic Brands Group and Emmitt Smith.</w:t>
      </w:r>
    </w:p>
    <w:p>
      <w:pPr>
        <w:spacing w:after="0" w:line="18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From 2013 to 2015, Mr. Schroeder previously served as chief marketing officer for Veremonte, a multi-billion-dollar investment company based in London, where he worked to create the largest leisure development in Europe, bringing partnerships with Hard Rock Hotels and Cirque du Soleil. He also worked to incubate and launch Formula E, the first fully electric racing championship in the world, with such notable partners as Leonardo di Caprio, Michael Andretti, Alain Prost, and Virgin Racing. Races are held in iconic cities including Paris, London, and New York.</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an interactive media pioneer, in 1995 Mr. Schroeder founded Reservation, the world’s leading internet development company for the hospitality industry at the time. From 1995 through 2003, he led the development of the first online reservation system of its kind in the travel industry for MGM Resorts and Hilton/Park Place Entertainment. During this time Mr. Schroeder also played a lead role in creating and implementing the largest rebranding and redevelopment campaign in history for MGM Resorts, which included developing multimedia roadshow to present to stockholders and Wall Street investors to secure funding to implement the massive project. Mr. Schroeder also served as president of the interactive division for Custom Marketing Group, the exclusive destination marketing group at the time for American Express, where he developed and managed digital media campaigns for over 20 leading tourism boards.</w:t>
      </w:r>
    </w:p>
    <w:p>
      <w:pPr>
        <w:spacing w:after="0" w:line="19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Mr. Schroeder has also been a leader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massive cooperative marketing initiatives incorporating local tourism boards, corporate partners, attractions, media, airlines, and hotels. Schroeder also created the first custom travel offers for the Today Show, the #1 morning show in America,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out of college to serve as the National Marketing and Retail Director for the company owning Ujena Swimwear, Swimwear Illustrated and Runner’s World Magazines. Mr. Schroeder attended Texas State University, San Marcos.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 xml:space="preserve">Leon Golden </w:t>
      </w:r>
      <w:r>
        <w:rPr>
          <w:rFonts w:ascii="Arial" w:cs="Arial" w:eastAsia="Arial" w:hAnsi="Arial"/>
          <w:sz w:val="17"/>
          <w:szCs w:val="17"/>
          <w:color w:val="auto"/>
        </w:rPr>
        <w:t>is one of our director nominees. Mr. Golden is a chartered public accountant and has worked as an accountant at ARG Associates, Inc.</w:t>
      </w:r>
      <w:r>
        <w:rPr>
          <w:rFonts w:ascii="Arial" w:cs="Arial" w:eastAsia="Arial" w:hAnsi="Arial"/>
          <w:sz w:val="17"/>
          <w:szCs w:val="17"/>
          <w:b w:val="1"/>
          <w:bCs w:val="1"/>
          <w:color w:val="auto"/>
        </w:rPr>
        <w:t xml:space="preserve"> </w:t>
      </w:r>
      <w:r>
        <w:rPr>
          <w:rFonts w:ascii="Arial" w:cs="Arial" w:eastAsia="Arial" w:hAnsi="Arial"/>
          <w:sz w:val="17"/>
          <w:szCs w:val="17"/>
          <w:color w:val="auto"/>
        </w:rPr>
        <w:t>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has a CPA and a bachelor’s degree from Brooklyn College.</w:t>
      </w:r>
    </w:p>
    <w:p>
      <w:pPr>
        <w:spacing w:after="0" w:line="16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color w:val="auto"/>
        </w:rPr>
        <w:t xml:space="preserve">Gene Zolotarev </w:t>
      </w:r>
      <w:r>
        <w:rPr>
          <w:rFonts w:ascii="Arial" w:cs="Arial" w:eastAsia="Arial" w:hAnsi="Arial"/>
          <w:sz w:val="16"/>
          <w:szCs w:val="16"/>
          <w:color w:val="auto"/>
        </w:rPr>
        <w:t>is one of our director nominees. In 2019 Mr. Zolotarev founded Baltic Technology Ventures JSC (NASDAQ:BTE1R), the Baltic</w:t>
      </w:r>
      <w:r>
        <w:rPr>
          <w:rFonts w:ascii="Arial" w:cs="Arial" w:eastAsia="Arial" w:hAnsi="Arial"/>
          <w:sz w:val="16"/>
          <w:szCs w:val="16"/>
          <w:b w:val="1"/>
          <w:bCs w:val="1"/>
          <w:color w:val="auto"/>
        </w:rPr>
        <w:t xml:space="preserve"> </w:t>
      </w:r>
      <w:r>
        <w:rPr>
          <w:rFonts w:ascii="Arial" w:cs="Arial" w:eastAsia="Arial" w:hAnsi="Arial"/>
          <w:sz w:val="16"/>
          <w:szCs w:val="16"/>
          <w:color w:val="auto"/>
        </w:rPr>
        <w:t>region's only publicly traded venture capital firm with an angel network, where he currently serves as the Chief Executive Officer and Director as Head of the Investment Committee. Baltic Tech Ventures focuses on venture capital investments in technology companies and innovation projects. Mr. Zolotarev founded Maximus Capital SA in 2008 where he still serves as Chairman of the Board. Maximus Capital is as a multi-family office with deep expertise in identifying special situation investment opportunities – both in liquid markets and private equity, based in Switzerland. Mr. Zolotarev is currently the Chairman of Baltic News, Ltd, publisher of the Baltic Times, the leading English-language daily newspaper for the Baltic region. For over 20 years, Mr. Zolotarev has held a number of senior executive and board positions at prominent U.S., Russian and Baltic commercial and investment banks including AP Anlage &amp; Privatbank, Switzerland, Parex Asset Management and Parex Bank, in Latvia, Republic Bank of New York and Arthur Andersen &amp; Co, among others. Since 1993 he had cultivated personal and business relationships with principals of many major industrial holdings in Central and Eastern Europe and Commonwealth of Independent States. Mr. Zolotarev is a prominent investor in European Property Holdings, a real estate investment and consulting company based in Monaco. European Property Holdings (“EPH”) invests in core and manage-to-core properties with growth potential and holds an extensive, geographically diversified property portfolio spanning office, hotel and mixed-use real estate with a total value of more than EUR 1.5 billion. Through investing in premium real estate in core European markets, EPH ensures long-term capital preservation and generates a stable, regular and risk-adjusted return for its stakeholders. Mr. Zolotarev has a degree in Electrical Engineering and Concentration in Business from Columbia University and an executive MBA from New York University, Sterns School of Business in Finance and International Business. Mr. Zolotarev later attended Harvard University - Kennedy School of International Affairs for an executive program on National Security and Diplomacy.</w:t>
      </w:r>
    </w:p>
    <w:p>
      <w:pPr>
        <w:spacing w:after="0" w:line="164"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color w:val="auto"/>
        </w:rPr>
        <w:t xml:space="preserve">Michael Penrod </w:t>
      </w:r>
      <w:r>
        <w:rPr>
          <w:rFonts w:ascii="Arial" w:cs="Arial" w:eastAsia="Arial" w:hAnsi="Arial"/>
          <w:sz w:val="16"/>
          <w:szCs w:val="16"/>
          <w:color w:val="auto"/>
        </w:rPr>
        <w:t>is one of our director nominees. Mr. Penrod has been in the hospitality industry for over 38 years. He has been the owner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famous "Elbo Room" in Fort Lauderdale since 1991; Elbo Room, founded in 1938, was one of the first places to open its doors to the world online with Web Cams and Live Chatrooms in 1996. Mr. Penrod took over the Elbo Room in 1991 and is an owner. Mr. Penrod is known for successfully building brands in the hospitality market, particularly Nikki Beach Worldwide, one of the leading luxury brands in entertainment with over twenty prestigious destinations around the world, including Miami Beach, USA; Saint Tropez, France; Saint Barth, Caribbean; Marbella, Spain; Koh Samui, Thailand; Mallorca, Spain; Ibiza, Spain; Monte Carlo, Monaco; Dubai, UAE; Versilia, Italy; Barbados, Caribbean; Costa Smeralda, Italy, and Montenegro, Tivat. Nikki Beach, founded by Mr. Penrod's father, Jack Penrod, in 1998 with its first "Café Nikki" in Miami's South Beach. Nikki Beach was the original luxury beach club concept that combines the elements of music, dining, entertainment, fashion, film, and art into one. It is known for its celebrity events such as Cannes Film Festival, Toronto Film Festival, Venice Film Festival, New Years' Eve Exclusive VIP events, and Music Festivals. Mr. Penrod was the Director of Worldwide Operations of the Nikki Beach Group from 2001 to 2015. He managed all operational and marketing divisions of the company in over 40 venues in 18 countries. Since 2016, Mr. Penrod has been the Senior Director of the Nikki Beach Family Office, where he manages all crypto investments, working on creative applications for Blockchain in the hospitality industry. In 2014 Mr. Penrod founder MVP Management, a hospitality, technology, and marketing company, where he continues to advise companies in the hospitality industry with a focus on maximizing technology platforms. Being a visionary, Mr. Penrod developed a distance learning platform with Roy Spear, founder of Home Shopping Network, from 1997 to 2000. Jim Clark recruited Mr. Penrod in 2000 to run his tech company, SeaScape, which he did until he joined his family to run Nikki Beach.</w:t>
      </w:r>
    </w:p>
    <w:p>
      <w:pPr>
        <w:spacing w:after="0" w:line="16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b w:val="1"/>
          <w:bCs w:val="1"/>
          <w:color w:val="auto"/>
        </w:rPr>
        <w:t xml:space="preserve">Peter Plaut </w:t>
      </w:r>
      <w:r>
        <w:rPr>
          <w:rFonts w:ascii="Arial" w:cs="Arial" w:eastAsia="Arial" w:hAnsi="Arial"/>
          <w:sz w:val="17"/>
          <w:szCs w:val="17"/>
          <w:color w:val="auto"/>
        </w:rPr>
        <w:t>is one of our director nominees. Since August 2016, Mr. Plaut has been a director for AEDS Advisors Ltd, London UK, a consultant and</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and capital raising firm, which has signed over $10 billion real estate transactions in various real estate asset classes since the Covid -19 lockdown. Mr. Plaut is also an Executive Director at Wimmer Financial/Wimmer Family Office, in London, United Kingdom, a corporate advisory boutique investment bank with global reach through a network of partners and clients all over the world, where he has been an Executive Director since November 2018. Mr. Plaut is consistently recognized as a leader in the industry. Among his many achievements and awards, he was ranked as one of the Top 20 Rising Stars of Hedge Funds during the 2008 global financial crisis. More recently, since the Covid-19 Pandemic locked down the global economy, Mr. Plaut has signed over $5 billion of Engagements and/or Term Sheets across various real estate assets classes including residential, mixed use, office, and hospitality at Wimmer. Mr. Plaut has over 35 years investment banking, research, sales, trading, portfolio manager experience for some of the top tier global investment banks and private equity firms in New York, Washington DC and London, with significant experience in capital markets transactions in terms of debt and equity raises. From August 2016 through May 2018, Mr. Plaut served as an Executive Director and managed the Corporate Finance department for Swiss Invest in London, a capital origination and finance firm. Mr. Plaut has a bachelor of science in Management Information Systems from Rensselaer Polytechnic Institute.</w:t>
      </w:r>
    </w:p>
    <w:p>
      <w:pPr>
        <w:spacing w:after="0" w:line="17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b w:val="1"/>
          <w:bCs w:val="1"/>
          <w:color w:val="auto"/>
        </w:rPr>
        <w:t xml:space="preserve">Ambassador Hans H. Hertell </w:t>
      </w:r>
      <w:r>
        <w:rPr>
          <w:rFonts w:ascii="Arial" w:cs="Arial" w:eastAsia="Arial" w:hAnsi="Arial"/>
          <w:sz w:val="16"/>
          <w:szCs w:val="16"/>
          <w:color w:val="auto"/>
        </w:rPr>
        <w:t>is one of our director nominees. Since 2009, Mr. Hertell has been the Chairman of the Board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Hertell Group LLC, a group of seasoned and qualified, ex government, corporate and financial sector principals, with proven backgrounds in legal, finance, engineering, management, government relations and international business. Mr. Hertell is a former United States Ambassador to the Dominican Republic where he served from 2001 to 2007. Mr. Hertell was a co-founder of Goldman, Antonetti, Ferraiuoli, Axtmayer and Hertell, from</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1982 to 1989, which at the time was the third largest full service law firm in Puerto Rico. Mr. Hertell was also involved with the operations and investments of the Barrick Gold Corporation in the Dominican Republic. He was the Chairman of the Board at U.S. Precious Metals, Inc. from 2013 to 2015, and Colt Resources Inc. in 2015. Mr. Hertell was managing director for the Caribbean and Latin America affairs at Black, Kelly, Scruggs &amp; Healey, a government and public affairs company based in Washington, D.C. from 1992-1996. In 1989, he served as a member of the Commission to Review U.S. Magistrates for Reappointment of the U.S. District Court for the District of Puerto Rico. Between 1982 to 1984, he served as political and legal advisor to the Governor of Puerto Rico, as well as to the Attorney General, the Secretary of Agriculture and the Secretary of the Treasury of the Commonwealth of Puerto Rico.</w:t>
      </w:r>
    </w:p>
    <w:p>
      <w:pPr>
        <w:spacing w:after="0" w:line="4" w:lineRule="exact"/>
        <w:rPr>
          <w:sz w:val="20"/>
          <w:szCs w:val="20"/>
          <w:color w:val="auto"/>
        </w:rPr>
      </w:pPr>
    </w:p>
    <w:p>
      <w:pPr>
        <w:jc w:val="both"/>
        <w:ind w:right="420"/>
        <w:spacing w:after="0" w:line="323" w:lineRule="auto"/>
        <w:rPr>
          <w:sz w:val="20"/>
          <w:szCs w:val="20"/>
          <w:color w:val="auto"/>
        </w:rPr>
      </w:pPr>
      <w:r>
        <w:rPr>
          <w:rFonts w:ascii="Arial" w:cs="Arial" w:eastAsia="Arial" w:hAnsi="Arial"/>
          <w:sz w:val="16"/>
          <w:szCs w:val="16"/>
          <w:color w:val="auto"/>
        </w:rPr>
        <w:t>Mr. Hertell has also served on the board for Interenergy, Inc., Valisoft, Demex and Fundacion Boerman Segarra. Mr. Hertell has a law degree from the University of Puerto Rico and a Bachelor of Science in Economics from Fordham University, and an insurance degree from the College of Insurance.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686" w:gutter="0" w:footer="0" w:header="0"/>
        </w:sectPr>
      </w:pPr>
    </w:p>
    <w:bookmarkStart w:id="96" w:name="page97"/>
    <w:bookmarkEnd w:id="96"/>
    <w:p>
      <w:pPr>
        <w:ind w:left="340"/>
        <w:spacing w:after="0"/>
        <w:rPr>
          <w:sz w:val="20"/>
          <w:szCs w:val="20"/>
          <w:color w:val="auto"/>
        </w:rPr>
      </w:pPr>
      <w:r>
        <w:rPr>
          <w:rFonts w:ascii="Arial" w:cs="Arial" w:eastAsia="Arial" w:hAnsi="Arial"/>
          <w:sz w:val="18"/>
          <w:szCs w:val="18"/>
          <w:b w:val="1"/>
          <w:bCs w:val="1"/>
          <w:color w:val="auto"/>
        </w:rPr>
        <w:t>Our Advisors</w:t>
      </w:r>
    </w:p>
    <w:p>
      <w:pPr>
        <w:spacing w:after="0" w:line="225"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color w:val="auto"/>
        </w:rPr>
        <w:t xml:space="preserve">His Highness Sheikh Ahmed Dalmook Al Maktoum </w:t>
      </w:r>
      <w:r>
        <w:rPr>
          <w:rFonts w:ascii="Arial" w:cs="Arial" w:eastAsia="Arial" w:hAnsi="Arial"/>
          <w:sz w:val="16"/>
          <w:szCs w:val="16"/>
          <w:color w:val="auto"/>
        </w:rPr>
        <w:t>is one of our advisors. HH Sheikh Maktoum is a member of the Ruling Royal Family of Dubai,</w:t>
      </w:r>
      <w:r>
        <w:rPr>
          <w:rFonts w:ascii="Arial" w:cs="Arial" w:eastAsia="Arial" w:hAnsi="Arial"/>
          <w:sz w:val="16"/>
          <w:szCs w:val="16"/>
          <w:b w:val="1"/>
          <w:bCs w:val="1"/>
          <w:color w:val="auto"/>
        </w:rPr>
        <w:t xml:space="preserve"> </w:t>
      </w:r>
      <w:r>
        <w:rPr>
          <w:rFonts w:ascii="Arial" w:cs="Arial" w:eastAsia="Arial" w:hAnsi="Arial"/>
          <w:sz w:val="16"/>
          <w:szCs w:val="16"/>
          <w:color w:val="auto"/>
        </w:rPr>
        <w:t>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education and agriculture projects operated throughout Africa, South Asia, Russia and the Middle East. Through his strategic vision, international relationships and strategic partnerships, his group companies are well positioned to deliver a best-in-class turnkey solution by bringing in investment and ensure faultless execution and project implementation.</w:t>
      </w:r>
    </w:p>
    <w:p>
      <w:pPr>
        <w:spacing w:after="0" w:line="16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b w:val="1"/>
          <w:bCs w:val="1"/>
          <w:color w:val="auto"/>
        </w:rPr>
        <w:t xml:space="preserve">Mohammad Shaikh </w:t>
      </w:r>
      <w:r>
        <w:rPr>
          <w:rFonts w:ascii="Arial" w:cs="Arial" w:eastAsia="Arial" w:hAnsi="Arial"/>
          <w:sz w:val="16"/>
          <w:szCs w:val="16"/>
          <w:color w:val="auto"/>
        </w:rPr>
        <w:t>is one of our advisors. Mr. Shaikh is the Head of Blockchain Strategic Partnerships for Facebook, responsible for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and strategy. Mr. Shaikh has over a decade of multi-national financial services and blockchain/crypto experience. Previously, Mo Shaikh was the Founder and CEO of Meridio, a ConsenSys-backed, blockchain-based company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Currency (CBDCs). He is an active angel investor and serves on the board of two logistics companies. Mr. Shaikh holds a Bachelor’s Degree from Hunter College and an MBA from the University of Rochester.</w:t>
      </w:r>
    </w:p>
    <w:p>
      <w:pPr>
        <w:spacing w:after="0" w:line="15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color w:val="auto"/>
        </w:rPr>
        <w:t xml:space="preserve">Scott Young </w:t>
      </w:r>
      <w:r>
        <w:rPr>
          <w:rFonts w:ascii="Arial" w:cs="Arial" w:eastAsia="Arial" w:hAnsi="Arial"/>
          <w:sz w:val="17"/>
          <w:szCs w:val="17"/>
          <w:color w:val="auto"/>
        </w:rPr>
        <w:t>is one of our advisors. Since January 2010, Mr. Young has served as a Senior Advisor and director of Dial Partners LLP, And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firm specializing in mergers and acquisitions and corporate finance. Mr. Young was one of the three founding board members of Cambridge Quantum Computing Ltd, in Cambridge, England (“Cambridge”), serving from April of 2015 through October of 2017. After the recent announcement of a merger with Honeywell Quantum Solutions, Cambridge has become one of the world’s leading integrated Quantum Computing company, incorporating Quantum software, Honeywell’s leading Quantum hardware, and the world’s only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of 2003 and is currently a member of its Nominating and Corporate Governance Committee.</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Mr. Young provides strategic advice to a wide range of entities, including private businesses, multinational companies, family offices, private equity groups and sovereign wealth funds. He is particularly focusing on companies that have developed proven and pioneering technologies with a tangible positive impact ( for example, on the environment, communications, health and wellbeing), that are highly relevant and scalable on a worldwide basis, have exceptional management teams, and which are supported by robust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outperforming international investment strategies for its clients. Earlier positions include Corporate Finance, Fixed Income and Equity Sales and Syndication with the securities trading and merchant banking firm LF Rothschild &amp; Co in New York, one of the leading firms in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&amp; International Studies, as well as a Juris Doctorate in Law and Masters in Business Administration from the University of North Carolina – Chapel Hill.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firstLine="324"/>
        <w:spacing w:after="0" w:line="254" w:lineRule="auto"/>
        <w:rPr>
          <w:sz w:val="20"/>
          <w:szCs w:val="20"/>
          <w:color w:val="auto"/>
        </w:rPr>
      </w:pPr>
      <w:r>
        <w:rPr>
          <w:rFonts w:ascii="Arial" w:cs="Arial" w:eastAsia="Arial" w:hAnsi="Arial"/>
          <w:sz w:val="18"/>
          <w:szCs w:val="18"/>
          <w:b w:val="1"/>
          <w:bCs w:val="1"/>
          <w:color w:val="auto"/>
        </w:rPr>
        <w:t xml:space="preserve">Alexis Johnson </w:t>
      </w:r>
      <w:r>
        <w:rPr>
          <w:rFonts w:ascii="Arial" w:cs="Arial" w:eastAsia="Arial" w:hAnsi="Arial"/>
          <w:sz w:val="18"/>
          <w:szCs w:val="18"/>
          <w:color w:val="auto"/>
        </w:rPr>
        <w:t>is one of our advisors. Ms. Johnson has over five years of experience in real estate development and construction management ranging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high-end residential to commercial and healthcare, with a total value from the projects totaling over $2 billion.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Ms. Johnson graduated with Cum Laude distinction from Loomis Chaffee, an independent boarding school in Windsor, CT and part of Ten Schools Admissions Organization. A recipient of the Little Rock 9 Scholarship, Ms. Johnson holds a bachelors in Civil Engineering from Johns Hopkins University's Whiting School of Engineering.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Affiliated SPACS.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May 2021, BurTech LP LLC, our Sponsor, founded GSD Quantum AI Acquisition Corp. (“GSD”), a blank check company incorporated for the purposes of effecting a business combination. GSD is expected to complete its initial public offering either before or after this offering. In March 2021, our Sponsor founded Bridge Media Acquisition Corp. (“Bridge”) a blank check company incorporated for the purposes of effecting a business combination. Bridge is expected to complete its initial public offering after this offering. Certain of our executive officers also serve as executive officers for GSD and Bridge. Our officers and directors may have conflicts of interest with other entities to which they owe fiduciary or contractual obligations with respect to initial business combination opportunities, including for our officers with respect to GSD and Bridge, collectively which we refer to as the “Affiliated SPACs”. None of our officers or directors, our sponsor, nor any of its respective officers, directors, employees, or affiliates, have had management experience with blank check companies or special purpose acquisition corporations in the past. In order to minimize potential conflicts of interest which may arise from multiple affiliations, our officers who are also officers of any of the Affiliated SPACs may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 Although conflicts of interest in pursuing an acquisition target may arise among the Affiliated SPACS, we do not believe that any potential conflicts would materially affect our ability to complete our initial business combination.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strategy is to utilize our management team’s investing and operating experience to identify and acquire a business within our sectors of interest. Upon a successful business combination, we intend to have a hands-on approach towards growing the business organically and through acquisitions, improve operations, raise capital and optimize the business’ capital structure. Our investing style is deep-rooted in disciplined fundamental analysis, taking a long-term view towards shareholder value creation and improving the business’ operating performance. We currently expect that we will leverage our management team’s knowledge, experience and longstanding relationships within various industries towards identifying business combination opportunities. Furthermore, we intend to source initial business combination opportunities through our management team’s network of investors, operating partners, financial firms, brokers and lenders. Upon completion of this offering, members of our management team will communicate with their networks our target acquisition criteria and business strategy to begin the process of pursuing and reviewing potentially interesting ideas.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Thesis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are seeing emerging trends of industry crossovers and overlapping technologies and policies across the infrastructure, property, and fintech spaces. The convergence of information, transactions, and management is enabling the rapid growth of the infratech, proptech, and fintech industries - from smart homes to construction/property management/business tech.</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Technology prices and risks are falling while big data and artificial intelligence are rapidly growing. It is no longer enough to just capture data, we have to make sense of it and create new opportunities for people and businesses with it. We also have to streamline services like automated valuations. Connectivity is increasingly crucial for tomorrow's modern life, and with work life shifting due to the pandemic - work, home, and leisure is merging more and more.</w:t>
      </w:r>
    </w:p>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Social housing needs are rapidly increasing within our changing demographics, and we expect these needs to keep growing. Whether it be micro-housing in high density urban areas or it be multi-generational housing, co-living or community-living, we are seeing these important evolutionary trends across retirees as well as young millennials. Blurring of the use of properties and converting them into multi-function spaces is the next frontier of helping the world increase productivity, comfort, and fun - through spaces where work, rest, and play meet seamlessly.</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rise of the "digital nomad” is also giving rise to a brand new property demand: global properties with lightning fast broadband, print facilities, luxurious bedding, and group dinners that promote intermingling with peers and brainstorming on new ventures and ideas … all before ‘nomading' off to another part of the world for the next few months.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evolution in how we live, play, and work is making the industry rethink how we use space wisely. The sharing economy has emerged, and we are the leading experts in bringing to the world meaningful, sustainable, energy-efficient, and timely changes in how we use properties in the future and also how their economic models need to evolve over time. We believe that our capabilities in technology developments across infrastructure, real estate, fintech, and blockchain will give us unparalleled advantages in bringing viable and diverse options for the entire spectrum of investors, businesses, travelers, renters, and owners. Our reputation and experience along with our acute abilities to leverage, source, value, perform due-diligence, and execute provides us a significant pipeline of opportunities from which we evaluate and select businesses that will benefit from our expertise with regards to their profitability and productivity.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While we will not be limited to a particular industry or geographic region, given the experience of our management team, we expect to focus on acquiring a business that participates within the consumer, financial services, lifestyle, infrastructure, technology or real estate markets and gain the benefit of our team’s deep knowledge in cloud connectivity and services that can be leveraged in those markets We believe that significant opportunity exists in bringing scale, increased market penetration and cloud connected technology solutions to businesses that benefit from strong core offerings and have access to large addressable markets. Our management team will look to identify business combination targets that are in need of strategic growth capital, will benefit from becoming a publicly listed company or will benefit from our management team’s experience and relationships towards scaling existing platforms. We intend to seek candidates with an enterprise value of between $500 million and $1.5 billion, where we believe our management team has the strongest network to identify opportunities.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will seek to identify companies that have compelling growth potential and a combination of the following characteristics. We will use these criteria and guidelines in evaluating acquisition opportunities, but we may decide to enter our initial business combination with a target business that does not meet these criteria and guidelines. We intend to acquire companies or assets that we believe have the following attributes:</w:t>
      </w:r>
    </w:p>
    <w:p>
      <w:pPr>
        <w:spacing w:after="0" w:line="165" w:lineRule="exact"/>
        <w:rPr>
          <w:sz w:val="20"/>
          <w:szCs w:val="20"/>
          <w:color w:val="auto"/>
        </w:rPr>
      </w:pPr>
    </w:p>
    <w:p>
      <w:pPr>
        <w:ind w:left="660" w:right="380" w:hanging="328"/>
        <w:spacing w:after="0" w:line="31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Scalability and large addressable markets. </w:t>
      </w:r>
      <w:r>
        <w:rPr>
          <w:rFonts w:ascii="Arial" w:cs="Arial" w:eastAsia="Arial" w:hAnsi="Arial"/>
          <w:sz w:val="16"/>
          <w:szCs w:val="16"/>
          <w:color w:val="auto"/>
        </w:rPr>
        <w:t>We intend to seek candidates that operate in large markets where small increases in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penetration can translate into rapid and significant financial benefits. We intend to evaluate each market based on several factors, including competitive dynamics, demand drivers, macroeconomic trends, and the potential to build a sustainable competitive edge.</w:t>
      </w:r>
    </w:p>
    <w:p>
      <w:pPr>
        <w:spacing w:after="0" w:line="148" w:lineRule="exact"/>
        <w:rPr>
          <w:rFonts w:ascii="Arial" w:cs="Arial" w:eastAsia="Arial" w:hAnsi="Arial"/>
          <w:sz w:val="16"/>
          <w:szCs w:val="16"/>
          <w:color w:val="auto"/>
        </w:rPr>
      </w:pPr>
    </w:p>
    <w:p>
      <w:pPr>
        <w:jc w:val="both"/>
        <w:ind w:left="660" w:right="18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Attractive customer demographics. </w:t>
      </w:r>
      <w:r>
        <w:rPr>
          <w:rFonts w:ascii="Arial" w:cs="Arial" w:eastAsia="Arial" w:hAnsi="Arial"/>
          <w:sz w:val="18"/>
          <w:szCs w:val="18"/>
          <w:color w:val="auto"/>
        </w:rPr>
        <w:t>Our management team has deep insights into the consumer and enterprise customer’s behavior and buying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in a range of global markets. We expect to capitalize on shifting demographic trends to build a sustainable business enterprise with clear understandings of global market trends.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Brands serving high growth markets. </w:t>
      </w:r>
      <w:r>
        <w:rPr>
          <w:rFonts w:ascii="Arial" w:cs="Arial" w:eastAsia="Arial" w:hAnsi="Arial"/>
          <w:sz w:val="18"/>
          <w:szCs w:val="18"/>
          <w:color w:val="auto"/>
        </w:rPr>
        <w:t>We intend to seek candidates where we believe that customer connection with the business’ brands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matters and will continue to matter. We believe that building global brand recognition with an awareness of the ultimate brand value in the markets we will serve is a significant driver of shareholder value.</w:t>
      </w:r>
    </w:p>
    <w:p>
      <w:pPr>
        <w:spacing w:after="0" w:line="183" w:lineRule="exact"/>
        <w:rPr>
          <w:rFonts w:ascii="Arial" w:cs="Arial" w:eastAsia="Arial" w:hAnsi="Arial"/>
          <w:sz w:val="18"/>
          <w:szCs w:val="18"/>
          <w:color w:val="auto"/>
        </w:rPr>
      </w:pPr>
    </w:p>
    <w:p>
      <w:pPr>
        <w:ind w:left="660" w:right="140" w:hanging="328"/>
        <w:spacing w:after="0" w:line="30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Ecosystem-oriented and technology-centric. </w:t>
      </w:r>
      <w:r>
        <w:rPr>
          <w:rFonts w:ascii="Arial" w:cs="Arial" w:eastAsia="Arial" w:hAnsi="Arial"/>
          <w:sz w:val="16"/>
          <w:szCs w:val="16"/>
          <w:color w:val="auto"/>
        </w:rPr>
        <w:t>We intend to seek candidates that have a potential to provide the business’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benefits within a cloud connected ecosystem. Our management team has expertise in identifying and investing in scalable growth businesses. The team has experience in using partnerships to drive value creation, scale and entry into new global markets. Furthermore, our management team has experience deploying capital into companies to propel growth and physical presence across global markets.</w:t>
      </w:r>
    </w:p>
    <w:p>
      <w:pPr>
        <w:spacing w:after="0" w:line="157" w:lineRule="exact"/>
        <w:rPr>
          <w:rFonts w:ascii="Arial" w:cs="Arial" w:eastAsia="Arial" w:hAnsi="Arial"/>
          <w:sz w:val="16"/>
          <w:szCs w:val="16"/>
          <w:color w:val="auto"/>
        </w:rPr>
      </w:pPr>
    </w:p>
    <w:p>
      <w:pPr>
        <w:ind w:left="660" w:right="80" w:hanging="328"/>
        <w:spacing w:after="0" w:line="27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Sustainable Development Goal (SDG) measurements. </w:t>
      </w:r>
      <w:r>
        <w:rPr>
          <w:rFonts w:ascii="Arial" w:cs="Arial" w:eastAsia="Arial" w:hAnsi="Arial"/>
          <w:sz w:val="17"/>
          <w:szCs w:val="17"/>
          <w:color w:val="auto"/>
        </w:rPr>
        <w:t>We intend to seek candidates that have business models and solutions that have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as measured against the United Nations Sustainable Development Goals and that showcase good stewardship of the planet. Our management team is uniquely qualified in this area and has been involved in global advocacy of the SDGs as well as part of enterprises with clear metrics and measurements to show how companies can be measured for their positive impact on the SDGs.</w:t>
      </w:r>
    </w:p>
    <w:p>
      <w:pPr>
        <w:spacing w:after="0" w:line="171" w:lineRule="exact"/>
        <w:rPr>
          <w:rFonts w:ascii="Arial" w:cs="Arial" w:eastAsia="Arial" w:hAnsi="Arial"/>
          <w:sz w:val="17"/>
          <w:szCs w:val="17"/>
          <w:color w:val="auto"/>
        </w:rPr>
      </w:pPr>
    </w:p>
    <w:p>
      <w:pPr>
        <w:ind w:left="660" w:right="200" w:hanging="328"/>
        <w:spacing w:after="0" w:line="31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Strong target management teams. </w:t>
      </w:r>
      <w:r>
        <w:rPr>
          <w:rFonts w:ascii="Arial" w:cs="Arial" w:eastAsia="Arial" w:hAnsi="Arial"/>
          <w:sz w:val="16"/>
          <w:szCs w:val="16"/>
          <w:color w:val="auto"/>
        </w:rPr>
        <w:t>We intend to seek candidates that have strong management teams with a track record of driving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enhancing profitability and generating strong free cash flow. We will spend significant time assessing a target company’s leadership and personnel across the organization and evaluating how we can build a stronger team with requisite skill sets to execute on business strategy.</w:t>
      </w:r>
    </w:p>
    <w:p>
      <w:pPr>
        <w:spacing w:after="0" w:line="148" w:lineRule="exact"/>
        <w:rPr>
          <w:rFonts w:ascii="Arial" w:cs="Arial" w:eastAsia="Arial" w:hAnsi="Arial"/>
          <w:sz w:val="16"/>
          <w:szCs w:val="16"/>
          <w:color w:val="auto"/>
        </w:rPr>
      </w:pPr>
    </w:p>
    <w:p>
      <w:pPr>
        <w:ind w:left="660" w:right="14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benefit from our management team’s expertise. </w:t>
      </w:r>
      <w:r>
        <w:rPr>
          <w:rFonts w:ascii="Arial" w:cs="Arial" w:eastAsia="Arial" w:hAnsi="Arial"/>
          <w:sz w:val="18"/>
          <w:szCs w:val="18"/>
          <w:color w:val="auto"/>
        </w:rPr>
        <w:t>We intend to seek candidates whose performance can be augmented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investing, operating expertise, and global enterprise networks. Our management team has actively recruited and retained key operational human capital into companies.</w:t>
      </w:r>
    </w:p>
    <w:p>
      <w:pPr>
        <w:spacing w:after="0" w:line="183" w:lineRule="exact"/>
        <w:rPr>
          <w:rFonts w:ascii="Arial" w:cs="Arial" w:eastAsia="Arial" w:hAnsi="Arial"/>
          <w:sz w:val="18"/>
          <w:szCs w:val="18"/>
          <w:color w:val="auto"/>
        </w:rPr>
      </w:pPr>
    </w:p>
    <w:p>
      <w:pPr>
        <w:ind w:left="660" w:right="82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Opportunity for operational improvements. </w:t>
      </w:r>
      <w:r>
        <w:rPr>
          <w:rFonts w:ascii="Arial" w:cs="Arial" w:eastAsia="Arial" w:hAnsi="Arial"/>
          <w:sz w:val="17"/>
          <w:szCs w:val="17"/>
          <w:color w:val="auto"/>
        </w:rPr>
        <w:t>We will seek to identify businesses that we believe would benefit from our ability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the target company’s revenue models, cost structure, brand awareness and product offerings.</w:t>
      </w:r>
    </w:p>
    <w:p>
      <w:pPr>
        <w:spacing w:after="0" w:line="146" w:lineRule="exact"/>
        <w:rPr>
          <w:rFonts w:ascii="Arial" w:cs="Arial" w:eastAsia="Arial" w:hAnsi="Arial"/>
          <w:sz w:val="17"/>
          <w:szCs w:val="17"/>
          <w:color w:val="auto"/>
        </w:rPr>
      </w:pPr>
    </w:p>
    <w:p>
      <w:pPr>
        <w:ind w:left="660" w:right="3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Growth opportunities through capital investment. </w:t>
      </w:r>
      <w:r>
        <w:rPr>
          <w:rFonts w:ascii="Arial" w:cs="Arial" w:eastAsia="Arial" w:hAnsi="Arial"/>
          <w:sz w:val="18"/>
          <w:szCs w:val="18"/>
          <w:color w:val="auto"/>
        </w:rPr>
        <w:t>We intend to seek candidates that will benefit from additional capital investment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and technology enhancing solutions. These opportunities may include investment in existing and new facilities to drive growth.</w:t>
      </w:r>
    </w:p>
    <w:p>
      <w:pPr>
        <w:spacing w:after="0" w:line="183"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Opportunities for add-on acquisitions. </w:t>
      </w:r>
      <w:r>
        <w:rPr>
          <w:rFonts w:ascii="Arial" w:cs="Arial" w:eastAsia="Arial" w:hAnsi="Arial"/>
          <w:sz w:val="18"/>
          <w:szCs w:val="18"/>
          <w:color w:val="auto"/>
        </w:rPr>
        <w:t>We will seek to acquire one or more businesses or assets that we can grow both organically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we believe that our ability to source proprietary opportunities will be valuable as we continue to build upon a robust public company platform post initial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right="6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Appropriate valuations. </w:t>
      </w:r>
      <w:r>
        <w:rPr>
          <w:rFonts w:ascii="Arial" w:cs="Arial" w:eastAsia="Arial" w:hAnsi="Arial"/>
          <w:sz w:val="18"/>
          <w:szCs w:val="18"/>
          <w:color w:val="auto"/>
        </w:rPr>
        <w:t>We will seek to be disciplined and bring our fundamental investing approach towards valuing potential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targets.</w:t>
      </w:r>
    </w:p>
    <w:p>
      <w:pPr>
        <w:spacing w:after="0" w:line="17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some or all of the above criteria and guidelines, we will disclose that the target business does not meet such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 with Diverse Deal Sourcing Network</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management team’s contacts and relationships are extensive across the targeted industries, providing superior access to private companies. With regard to real estate, infrastructure, financial services, lifestyle brands, our network includes private equity, venture capital, technology entrepreneurs, and individual owners and founders of space-as-a-service operators, clean energy, cloud services, real estate technology companies, hotels, retailers, and restaurant groups. This network extends beyond the United States into Europe, Asia, the Middle East, South America, and Sub-Saharan Africa. We intend to leverage this network to gain exclusive access to and identify attractive target businesses which have the opportunity to scale up, transition services and customers, and grow.</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real estate market participants, private equity and venture capital groups, investment banking firms, consultants, legal and accounting firms and large business enterprises. Upon completion of this offering, members of our management team will communicate actively with their networks of relationships to articulate parameters for a potential business combination target.</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of our management team is not a guarantee either (i) of success with respect to any business combination we may consummate or</w:t>
      </w:r>
    </w:p>
    <w:p>
      <w:pPr>
        <w:spacing w:after="0" w:line="46" w:lineRule="exact"/>
        <w:rPr>
          <w:sz w:val="20"/>
          <w:szCs w:val="20"/>
          <w:color w:val="auto"/>
        </w:rPr>
      </w:pPr>
    </w:p>
    <w:p>
      <w:pPr>
        <w:ind w:right="40" w:firstLine="8"/>
        <w:spacing w:after="0" w:line="251"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and non-compete agreements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and understandings of Governmental policy and work with Universities on Innovation programs.</w:t>
      </w:r>
    </w:p>
    <w:p>
      <w:pPr>
        <w:spacing w:after="0" w:line="225"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management team brings significant experience working with Governmental groups and organizations on policy and programs to enhance the reach of U.S. companies in developing markets in areas of technology and infrastructure. Our management team also works closely with leading Universities in the United States on programs to enhance the opportunity and access of technology and innovation for new markets both in the United States and in Developing Markets. This understanding and experience with the role of Governmental policies and strong University programs play in opening and enhancing global market opportunities for our businesses we feel is a unique competitive strength of our management team.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340"/>
        <w:spacing w:after="0"/>
        <w:rPr>
          <w:sz w:val="20"/>
          <w:szCs w:val="20"/>
          <w:color w:val="auto"/>
        </w:rPr>
      </w:pPr>
      <w:r>
        <w:rPr>
          <w:rFonts w:ascii="Arial" w:cs="Arial" w:eastAsia="Arial" w:hAnsi="Arial"/>
          <w:sz w:val="18"/>
          <w:szCs w:val="18"/>
          <w:i w:val="1"/>
          <w:iCs w:val="1"/>
          <w:color w:val="auto"/>
        </w:rPr>
        <w:t>Management Experience Identifying and Investing in Scalable Businesses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management team brings recent experience in working with rapidly scaling businesses. The complementary skillset of our management team is well suited to working with companies and brands that can grow rapidly with the addition of, or access to capital. Helping companies grow physical presence by utilizing our management team’s knowledge of global real estate markets, real estate operations, and the capital markets is a core competitive strength.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16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will have until 24 months from the closing of this offering to consummate an initial business combination. Up to $1,500,000 of the loans made by our sponsor, our officers and directors, or our or their affiliates to us prior to or in connection with our initial business combination (including loans made to extend our time period for consummating a business combination) may be convertible into units at a price of $10.00 per unit at the option of the lender.</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the business combination involves more than one target business, the 80% fair market value test will be based on the aggregate value of all of the target businesses and we will treat the target businesses together as our initial business combination for purposes of a tender offer or for seeking stockholder approval, as applicable.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sponsor, officers, directors,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the expertise of our management team in analyzing companies and evaluating operating projections, financial projections and determining the appropriate return expectations given the risk profile of the target business.</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Members of our management team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 We have not selected any specific business combination target and we have not, nor has anyone on our behalf, initiated any substantive discussions, directly or indirectly, with any business combination target.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right="20" w:firstLine="324"/>
        <w:spacing w:after="0" w:line="291" w:lineRule="auto"/>
        <w:rPr>
          <w:sz w:val="20"/>
          <w:szCs w:val="20"/>
          <w:color w:val="auto"/>
        </w:rPr>
      </w:pPr>
      <w:r>
        <w:rPr>
          <w:rFonts w:ascii="Arial" w:cs="Arial" w:eastAsia="Arial" w:hAnsi="Arial"/>
          <w:sz w:val="16"/>
          <w:szCs w:val="16"/>
          <w:color w:val="auto"/>
        </w:rPr>
        <w:t>Some of our officers and directors presently have,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and that our obligations are to entities that are not themselves in the business of engaging in business combinations.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 public company, we offer a target business an alternative to the traditional initial public offering through a merger or other business combination with us. Following an initial business combination, we believe the target business would have greater access to capital and additional means of creating management incentives that are better aligned with stockholders’ interests than it would as a private company. A target business can further benefit by augmenting its profile among potential new customers and vendors and aid in attracting talented employees. In a business combination transaction with us, the owners of the target business may, for example, exchange their shares of stock in the target business for our shares of Class A common stock (or shares of a new holding company) or for a combination of our shares of Class A common stock and cash, allowing us to tailor the consideration to the specific needs of the sellers.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4" w:name="page105"/>
    <w:bookmarkEnd w:id="104"/>
    <w:p>
      <w:pPr>
        <w:ind w:right="420" w:firstLine="324"/>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8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7"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w:t>
      </w:r>
    </w:p>
    <w:p>
      <w:pPr>
        <w:spacing w:after="0" w:line="209" w:lineRule="auto"/>
        <w:rPr>
          <w:sz w:val="20"/>
          <w:szCs w:val="20"/>
          <w:color w:val="auto"/>
        </w:rPr>
      </w:pPr>
      <w:r>
        <w:rPr>
          <w:rFonts w:ascii="Arial" w:cs="Arial" w:eastAsia="Arial" w:hAnsi="Arial"/>
          <w:sz w:val="18"/>
          <w:szCs w:val="18"/>
          <w:color w:val="auto"/>
        </w:rPr>
        <w:t>which means the market value of our Class A common stock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20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w:t>
      </w:r>
    </w:p>
    <w:p>
      <w:pPr>
        <w:spacing w:after="0" w:line="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million as of the end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or (2) our annual revenues equaled or exceeded $100 million during such completed fiscal year and the market value of our common stock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With funds available for an initial business combination initially in the amount of $241,250,000, after payment of $8,750,000 of deferred underwriting fees (or $277,437,500 after payment of $10,062,500 of deferred underwriting fees if the underwriters’ over-allotment option is exercised in full), in each case before fees and expenses associated with our initial business combination (other than deferred underwriting fees),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In addition, we intend to focus our search for an initial business combination in a single industry. By completing our initial business combination with only a single entity, our lack of diversification may:</w:t>
      </w:r>
    </w:p>
    <w:p>
      <w:pPr>
        <w:spacing w:after="0" w:line="188" w:lineRule="exact"/>
        <w:rPr>
          <w:sz w:val="20"/>
          <w:szCs w:val="20"/>
          <w:color w:val="auto"/>
        </w:rPr>
      </w:pPr>
    </w:p>
    <w:p>
      <w:pPr>
        <w:ind w:left="980" w:right="1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applicable law or applicable stock exchange listing requirements,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Whether</w:t>
            </w:r>
          </w:p>
        </w:tc>
      </w:t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Stockholder</w:t>
            </w:r>
          </w:p>
        </w:tc>
      </w:t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Approval is</w:t>
            </w:r>
          </w:p>
        </w:tc>
      </w:tr>
      <w:tr>
        <w:trPr>
          <w:trHeight w:val="234"/>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Transaction</w:t>
            </w:r>
          </w:p>
        </w:tc>
        <w:tc>
          <w:tcPr>
            <w:tcW w:w="4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Required</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6"/>
              </w:rPr>
              <w:t>Purchase of stock of target not involving a merger with the company</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Merger of the company with a target</w:t>
            </w: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634"/>
        </w:trPr>
        <w:tc>
          <w:tcPr>
            <w:tcW w:w="52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jc w:val="right"/>
              <w:ind w:right="405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25" w:lineRule="exact"/>
        <w:rPr>
          <w:sz w:val="20"/>
          <w:szCs w:val="20"/>
          <w:color w:val="auto"/>
        </w:rPr>
      </w:pPr>
    </w:p>
    <w:p>
      <w:pPr>
        <w:ind w:left="640" w:right="20" w:hanging="324"/>
        <w:spacing w:after="0" w:line="27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 (other than in a public offering);</w:t>
      </w:r>
    </w:p>
    <w:p>
      <w:pPr>
        <w:spacing w:after="0" w:line="170" w:lineRule="exact"/>
        <w:rPr>
          <w:rFonts w:ascii="Arial" w:cs="Arial" w:eastAsia="Arial" w:hAnsi="Arial"/>
          <w:sz w:val="18"/>
          <w:szCs w:val="18"/>
          <w:color w:val="auto"/>
        </w:rPr>
      </w:pPr>
    </w:p>
    <w:p>
      <w:pPr>
        <w:ind w:left="640" w:hanging="324"/>
        <w:spacing w:after="0" w:line="311"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stock or voting power of 5% or more; or</w:t>
      </w:r>
    </w:p>
    <w:p>
      <w:pPr>
        <w:spacing w:after="0" w:line="148" w:lineRule="exact"/>
        <w:rPr>
          <w:rFonts w:ascii="Arial" w:cs="Arial" w:eastAsia="Arial" w:hAnsi="Arial"/>
          <w:sz w:val="16"/>
          <w:szCs w:val="16"/>
          <w:color w:val="auto"/>
        </w:rPr>
      </w:pPr>
    </w:p>
    <w:p>
      <w:pPr>
        <w:ind w:left="640" w:hanging="32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908"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6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Our sponsor, officers, directors and/or their affiliates anticipate that they may identify the stockholders with whom our sponsor, officers, directors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or their affiliates will only purchase public shares if such purchases comply with Regulation M under the Exchange Act and the other federal securities laws.</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 We expect that any such purchases will be reported pursuant to Section 13 and Section 16 of the Exchange Act to the extent such purchases are subject to such reporting requirements.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$10.00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225" w:lineRule="exact"/>
        <w:rPr>
          <w:sz w:val="20"/>
          <w:szCs w:val="20"/>
          <w:color w:val="auto"/>
        </w:rPr>
      </w:pPr>
    </w:p>
    <w:p>
      <w:pPr>
        <w:ind w:right="380" w:firstLine="324"/>
        <w:spacing w:after="0" w:line="291"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of Class A common stock upon the completion of our initial business combination either (i) in connection with a stockholder meeting called to approve the initial business combination or</w:t>
      </w:r>
    </w:p>
    <w:p>
      <w:pPr>
        <w:ind w:right="20" w:firstLine="8"/>
        <w:spacing w:after="0" w:line="268" w:lineRule="auto"/>
        <w:tabs>
          <w:tab w:leader="none" w:pos="265"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such rules.</w:t>
      </w:r>
    </w:p>
    <w:p>
      <w:pPr>
        <w:spacing w:after="0" w:line="1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980" w:right="56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outstanding shares of common stock present and entitled to vote at the meeting to approve the initial business combination when a quorum is present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officers and directors have agreed to vote any founder shares and placement shares held by them and any public shares acquired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and placement shares, we would need 396,626 or 1.59%, of the 25,000,000 public shares sold in this offering to be voted in favor of an initial business combination (assuming only the minimum number of shares representing a quorum are voted) in order to have our initial business combination approved (assuming the over-allotment option is not exercised, that the initial stockholders do not purchase any units in this offering or units or shares in the after-market and excluding the representative’s shares). In the event that all shares of our outstanding common stock are voted, we would need 8,722,751 or 34.89%,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right="540" w:firstLine="324"/>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the public announcement of our initial business combination, we or our sponsor will terminate any plan established in accordance with</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Rule 10b5-1 to purchase shares of our Class A common stock in the open market if we elect to redeem our public shares through a tender offer, to comply with Rule 14e-5 under the Exchange Act.</w:t>
      </w:r>
    </w:p>
    <w:p>
      <w:pPr>
        <w:spacing w:after="0" w:line="18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we will not redeem any public shares unless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9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not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Stock Certificates in Connection with Redemption Rights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 Given the relatively short exercise period, it is advisable for stockholders to use electronic delivery of their public shares.</w:t>
      </w:r>
    </w:p>
    <w:p>
      <w:pPr>
        <w:spacing w:after="0" w:line="17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5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foregoing is different from the procedures used by many special purpose acquisition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Any request to redeem such shares, once made, may be withdrawn at any time up to the date of the stockholder meeting.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right="100" w:firstLine="324"/>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will provide that we will have only 24 months from the closing of this offering to complete our initial business combination. If we are unable to complete our initial business combination within such allotted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6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and placement shares held by them if we fail to complete our initial business combination within 24 months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24 months from the closing of this offering.</w:t>
      </w:r>
    </w:p>
    <w:p>
      <w:pPr>
        <w:spacing w:after="0" w:line="18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unless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$1,150,000 of proceeds held outside the trust account, although we cannot assure you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2" w:name="page113"/>
    <w:bookmarkEnd w:id="112"/>
    <w:p>
      <w:pPr>
        <w:ind w:firstLine="324"/>
        <w:spacing w:after="0" w:line="271" w:lineRule="auto"/>
        <w:rPr>
          <w:sz w:val="20"/>
          <w:szCs w:val="20"/>
          <w:color w:val="auto"/>
        </w:rPr>
      </w:pPr>
      <w:r>
        <w:rPr>
          <w:rFonts w:ascii="Arial" w:cs="Arial" w:eastAsia="Arial" w:hAnsi="Arial"/>
          <w:sz w:val="17"/>
          <w:szCs w:val="17"/>
          <w:color w:val="auto"/>
        </w:rPr>
        <w:t>If we were to expend all of the net proceeds of this offering and the sale of the placement units, other than the proceeds deposited in the trust account, and without taking into account interest, if any, earned on the trust account,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7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Although we will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LLP, our independent registered public accounting firm, and the underwriters of the offering, will not execute agreements with us waiving such claims to the monies held in the trust account.</w:t>
      </w:r>
    </w:p>
    <w:p>
      <w:pPr>
        <w:spacing w:after="0" w:line="16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$10.00 per public share.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3" w:name="page114"/>
    <w:bookmarkEnd w:id="113"/>
    <w:p>
      <w:pPr>
        <w:ind w:firstLine="324"/>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$1,150,000 from the proceeds of this offering and the sale of the placement units with which to pay any such potential claims (in addition to the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$645,000,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$645,000, the amount of funds we intend to be held outside the trust account would increase by a corresponding amount.</w:t>
      </w:r>
    </w:p>
    <w:p>
      <w:pPr>
        <w:spacing w:after="0" w:line="18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6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w:t>
      </w:r>
    </w:p>
    <w:p>
      <w:pPr>
        <w:spacing w:after="0" w:line="4" w:lineRule="exact"/>
        <w:rPr>
          <w:sz w:val="20"/>
          <w:szCs w:val="20"/>
          <w:color w:val="auto"/>
        </w:rPr>
      </w:pPr>
    </w:p>
    <w:p>
      <w:pPr>
        <w:ind w:firstLine="8"/>
        <w:spacing w:after="0" w:line="281" w:lineRule="auto"/>
        <w:tabs>
          <w:tab w:leader="none" w:pos="26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Accordingly, it is our intention to redeem our public shares as soon as reasonably possible</w:t>
      </w:r>
    </w:p>
    <w:p>
      <w:pPr>
        <w:spacing w:after="0" w:line="4" w:lineRule="exact"/>
        <w:rPr>
          <w:sz w:val="20"/>
          <w:szCs w:val="20"/>
          <w:color w:val="auto"/>
        </w:rPr>
      </w:pPr>
    </w:p>
    <w:p>
      <w:pPr>
        <w:jc w:val="both"/>
        <w:ind w:right="160"/>
        <w:spacing w:after="0" w:line="221" w:lineRule="auto"/>
        <w:rPr>
          <w:sz w:val="20"/>
          <w:szCs w:val="20"/>
          <w:color w:val="auto"/>
        </w:rPr>
      </w:pPr>
      <w:r>
        <w:rPr>
          <w:rFonts w:ascii="Arial" w:cs="Arial" w:eastAsia="Arial" w:hAnsi="Arial"/>
          <w:sz w:val="18"/>
          <w:szCs w:val="18"/>
          <w:color w:val="auto"/>
        </w:rPr>
        <w:t>following our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4" w:name="page115"/>
    <w:bookmarkEnd w:id="114"/>
    <w:p>
      <w:pPr>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8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all of our public shares if we are unable to complete our business combination within 24 months from the closing of this offering, subject to applicable law.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w:t>
      </w:r>
    </w:p>
    <w:p>
      <w:pPr>
        <w:spacing w:after="0" w:line="1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Comparison of Redemption or Purchase Prices in Connection with Our Initial Business Combination and if We Fail to Complete Our Initial Business Combination</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700" w:type="dxa"/>
            <w:vAlign w:val="bottom"/>
          </w:tcPr>
          <w:p>
            <w:pPr>
              <w:ind w:left="740"/>
              <w:spacing w:after="0"/>
              <w:rPr>
                <w:sz w:val="20"/>
                <w:szCs w:val="20"/>
                <w:color w:val="auto"/>
              </w:rPr>
            </w:pPr>
            <w:r>
              <w:rPr>
                <w:rFonts w:ascii="Arial" w:cs="Arial" w:eastAsia="Arial" w:hAnsi="Arial"/>
                <w:sz w:val="18"/>
                <w:szCs w:val="18"/>
                <w:b w:val="1"/>
                <w:bCs w:val="1"/>
                <w:color w:val="auto"/>
              </w:rPr>
              <w:t>Redemptions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ind w:left="880"/>
              <w:spacing w:after="0"/>
              <w:rPr>
                <w:sz w:val="20"/>
                <w:szCs w:val="20"/>
                <w:color w:val="auto"/>
              </w:rPr>
            </w:pPr>
            <w:r>
              <w:rPr>
                <w:rFonts w:ascii="Arial" w:cs="Arial" w:eastAsia="Arial" w:hAnsi="Arial"/>
                <w:sz w:val="18"/>
                <w:szCs w:val="18"/>
                <w:b w:val="1"/>
                <w:bCs w:val="1"/>
                <w:color w:val="auto"/>
              </w:rPr>
              <w:t>Connection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ind w:left="380"/>
              <w:spacing w:after="0"/>
              <w:rPr>
                <w:sz w:val="20"/>
                <w:szCs w:val="20"/>
                <w:color w:val="auto"/>
              </w:rPr>
            </w:pPr>
            <w:r>
              <w:rPr>
                <w:rFonts w:ascii="Arial" w:cs="Arial" w:eastAsia="Arial" w:hAnsi="Arial"/>
                <w:sz w:val="18"/>
                <w:szCs w:val="18"/>
                <w:b w:val="1"/>
                <w:bCs w:val="1"/>
                <w:color w:val="auto"/>
              </w:rPr>
              <w:t>with our Initial Business</w:t>
            </w:r>
          </w:p>
        </w:tc>
        <w:tc>
          <w:tcPr>
            <w:tcW w:w="0" w:type="dxa"/>
            <w:vAlign w:val="bottom"/>
          </w:tcPr>
          <w:p>
            <w:pPr>
              <w:spacing w:after="0"/>
              <w:rPr>
                <w:sz w:val="1"/>
                <w:szCs w:val="1"/>
                <w:color w:val="auto"/>
              </w:rPr>
            </w:pPr>
          </w:p>
        </w:tc>
      </w:tr>
      <w:tr>
        <w:trPr>
          <w:trHeight w:val="234"/>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 redemption price</w:t>
            </w:r>
          </w:p>
        </w:tc>
        <w:tc>
          <w:tcPr>
            <w:tcW w:w="27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Combination</w:t>
            </w: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w w:val="91"/>
              </w:rPr>
              <w:t>Redemptions at the time of our initial</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business combination may be made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pursuant to a tender offer or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5"/>
              </w:rPr>
              <w:t>connection with a stockholder vote.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The redemption price will be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same whether we conduct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redemptions pursuant to a tender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stockholder vote. In either case, our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public stockholders may redeem</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their public shares for cash equal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8"/>
              </w:rPr>
              <w:t>the aggregate amount then on deposit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 the trust account as of two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business days prior to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consummation of the initial business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combination (which is initially</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7"/>
              </w:rPr>
              <w:t>anticipated to be $10.00 per public</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share), including interest earned 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the funds held in the trust account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and not previously released to us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pay our taxes divided by the number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of then outstanding public shares,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subject to the limitation that no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8"/>
              </w:rPr>
              <w:t>redemptions will take place if all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0"/>
              </w:rPr>
              <w:t>the redemptions would cause our net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tangible assets to be less than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8"/>
              </w:rPr>
              <w:t>$5,000,001 as described elsewhere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7"/>
              </w:rPr>
              <w:t>this prospectus and any limitations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(including but not limited to cash</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requirements) agreed to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connection with the negotiation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terms of a proposed initial business</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combination.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-4533900</wp:posOffset>
            </wp:positionV>
            <wp:extent cx="7132320" cy="45345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Arial" w:cs="Arial" w:eastAsia="Arial" w:hAnsi="Arial"/>
          <w:sz w:val="18"/>
          <w:szCs w:val="18"/>
          <w:b w:val="1"/>
          <w:bCs w:val="1"/>
          <w:color w:val="auto"/>
        </w:rPr>
        <w:t>Other Permitted</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Purchases of</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Public Shares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by us or our Affiliates</w:t>
      </w:r>
    </w:p>
    <w:p>
      <w:pPr>
        <w:spacing w:after="0" w:line="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we seek stockholder approval of our initial business combination, our sponsor, directors, officers or their affiliates may purchase shares in privately negotiated transactions or in the open market prior to or following completion of our initial business combination. There is no limit to the prices that our sponsor, directors, officers or their affiliates may pay in these transactions.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Redemptions if we fail to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Complete an Initial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Business Combination</w:t>
      </w:r>
    </w:p>
    <w:p>
      <w:pPr>
        <w:spacing w:after="0" w:line="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public share) including interest earned on the funds held in the trust account and not previously released to us to pay our taxes (less up to $100,000 of interest to pay dissolution expenses), divided by the number of then outstanding public shares.</w:t>
      </w:r>
    </w:p>
    <w:p>
      <w:pPr>
        <w:spacing w:after="0" w:line="3845" w:lineRule="exact"/>
        <w:rPr>
          <w:sz w:val="20"/>
          <w:szCs w:val="20"/>
          <w:color w:val="auto"/>
        </w:rPr>
      </w:pPr>
    </w:p>
    <w:p>
      <w:pPr>
        <w:sectPr>
          <w:pgSz w:w="11900" w:h="16838" w:orient="portrait"/>
          <w:cols w:equalWidth="0" w:num="3">
            <w:col w:w="5660" w:space="100"/>
            <w:col w:w="2640" w:space="160"/>
            <w:col w:w="2680"/>
          </w:cols>
          <w:pgMar w:left="320" w:top="904" w:right="3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Impact to remaining stockholders</w:t>
            </w: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The redemptions in connection with</w:t>
            </w:r>
          </w:p>
        </w:tc>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If the permitted purchases described</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The redemption of our public shares</w:t>
            </w:r>
          </w:p>
        </w:tc>
      </w:tr>
      <w:tr>
        <w:trPr>
          <w:trHeight w:val="216"/>
        </w:trPr>
        <w:tc>
          <w:tcPr>
            <w:tcW w:w="2780" w:type="dxa"/>
            <w:vAlign w:val="bottom"/>
            <w:shd w:val="clear" w:color="auto" w:fill="CCEEFF"/>
          </w:tcPr>
          <w:p>
            <w:pPr>
              <w:spacing w:after="0"/>
              <w:rPr>
                <w:sz w:val="18"/>
                <w:szCs w:val="18"/>
                <w:color w:val="auto"/>
              </w:rPr>
            </w:pP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our initial business combination will</w:t>
            </w:r>
          </w:p>
        </w:tc>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above are made there would be no</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if we fail to complete our initial</w:t>
            </w:r>
          </w:p>
        </w:tc>
      </w:tr>
      <w:tr>
        <w:trPr>
          <w:trHeight w:val="216"/>
        </w:trPr>
        <w:tc>
          <w:tcPr>
            <w:tcW w:w="2780" w:type="dxa"/>
            <w:vAlign w:val="bottom"/>
            <w:shd w:val="clear" w:color="auto" w:fill="CCEEFF"/>
          </w:tcPr>
          <w:p>
            <w:pPr>
              <w:spacing w:after="0"/>
              <w:rPr>
                <w:sz w:val="18"/>
                <w:szCs w:val="18"/>
                <w:color w:val="auto"/>
              </w:rPr>
            </w:pP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reduce the book value per share for</w:t>
            </w:r>
          </w:p>
        </w:tc>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impact to our remaining</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business combination will reduce the</w:t>
            </w:r>
          </w:p>
        </w:tc>
      </w:tr>
      <w:tr>
        <w:trPr>
          <w:trHeight w:val="216"/>
        </w:trPr>
        <w:tc>
          <w:tcPr>
            <w:tcW w:w="2780" w:type="dxa"/>
            <w:vAlign w:val="bottom"/>
            <w:shd w:val="clear" w:color="auto" w:fill="CCEEFF"/>
          </w:tcPr>
          <w:p>
            <w:pPr>
              <w:spacing w:after="0"/>
              <w:rPr>
                <w:sz w:val="18"/>
                <w:szCs w:val="18"/>
                <w:color w:val="auto"/>
              </w:rPr>
            </w:pP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our remaining stockholders, who will</w:t>
            </w:r>
          </w:p>
        </w:tc>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stockholders because the purchase</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book value per share for the shares</w:t>
            </w:r>
          </w:p>
        </w:tc>
      </w:tr>
      <w:tr>
        <w:trPr>
          <w:trHeight w:val="216"/>
        </w:trPr>
        <w:tc>
          <w:tcPr>
            <w:tcW w:w="2780" w:type="dxa"/>
            <w:vAlign w:val="bottom"/>
            <w:shd w:val="clear" w:color="auto" w:fill="CCEEFF"/>
          </w:tcPr>
          <w:p>
            <w:pPr>
              <w:spacing w:after="0"/>
              <w:rPr>
                <w:sz w:val="18"/>
                <w:szCs w:val="18"/>
                <w:color w:val="auto"/>
              </w:rPr>
            </w:pP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bear the burden of the deferred</w:t>
            </w:r>
          </w:p>
        </w:tc>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price would not be paid by us.</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held by our initial stockholders, who</w:t>
            </w:r>
          </w:p>
        </w:tc>
      </w:tr>
      <w:tr>
        <w:trPr>
          <w:trHeight w:val="216"/>
        </w:trPr>
        <w:tc>
          <w:tcPr>
            <w:tcW w:w="2780" w:type="dxa"/>
            <w:vAlign w:val="bottom"/>
            <w:shd w:val="clear" w:color="auto" w:fill="CCEEFF"/>
          </w:tcPr>
          <w:p>
            <w:pPr>
              <w:spacing w:after="0"/>
              <w:rPr>
                <w:sz w:val="18"/>
                <w:szCs w:val="18"/>
                <w:color w:val="auto"/>
              </w:rPr>
            </w:pP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underwriting commissions and taxes</w:t>
            </w:r>
          </w:p>
        </w:tc>
        <w:tc>
          <w:tcPr>
            <w:tcW w:w="276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will be our only remaining</w:t>
            </w:r>
          </w:p>
        </w:tc>
      </w:tr>
      <w:tr>
        <w:trPr>
          <w:trHeight w:val="230"/>
        </w:trPr>
        <w:tc>
          <w:tcPr>
            <w:tcW w:w="2780" w:type="dxa"/>
            <w:vAlign w:val="bottom"/>
            <w:shd w:val="clear" w:color="auto" w:fill="CCEEFF"/>
          </w:tcPr>
          <w:p>
            <w:pPr>
              <w:spacing w:after="0"/>
              <w:rPr>
                <w:sz w:val="20"/>
                <w:szCs w:val="20"/>
                <w:color w:val="auto"/>
              </w:rPr>
            </w:pP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2760" w:type="dxa"/>
            <w:vAlign w:val="bottom"/>
            <w:shd w:val="clear" w:color="auto" w:fill="CCEEFF"/>
          </w:tcPr>
          <w:p>
            <w:pPr>
              <w:spacing w:after="0"/>
              <w:rPr>
                <w:sz w:val="20"/>
                <w:szCs w:val="20"/>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stockholders after such redemptions.</w:t>
            </w:r>
          </w:p>
        </w:tc>
      </w:tr>
      <w:tr>
        <w:trPr>
          <w:trHeight w:val="648"/>
        </w:trPr>
        <w:tc>
          <w:tcPr>
            <w:tcW w:w="27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
          </w:tcPr>
          <w:p>
            <w:pPr>
              <w:ind w:left="2720"/>
              <w:spacing w:after="0"/>
              <w:rPr>
                <w:sz w:val="20"/>
                <w:szCs w:val="20"/>
                <w:color w:val="auto"/>
              </w:rPr>
            </w:pPr>
            <w:r>
              <w:rPr>
                <w:rFonts w:ascii="Arial" w:cs="Arial" w:eastAsia="Arial" w:hAnsi="Arial"/>
                <w:sz w:val="18"/>
                <w:szCs w:val="18"/>
                <w:color w:val="auto"/>
              </w:rPr>
              <w:t>110</w:t>
            </w: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22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800" w:type="dxa"/>
            <w:vAlign w:val="bottom"/>
            <w:gridSpan w:val="2"/>
          </w:tcPr>
          <w:p>
            <w:pPr>
              <w:ind w:left="980"/>
              <w:spacing w:after="0"/>
              <w:rPr>
                <w:sz w:val="20"/>
                <w:szCs w:val="20"/>
                <w:color w:val="auto"/>
              </w:rPr>
            </w:pPr>
            <w:r>
              <w:rPr>
                <w:rFonts w:ascii="Arial" w:cs="Arial" w:eastAsia="Arial" w:hAnsi="Arial"/>
                <w:sz w:val="18"/>
                <w:szCs w:val="18"/>
                <w:b w:val="1"/>
                <w:bCs w:val="1"/>
                <w:color w:val="auto"/>
              </w:rPr>
              <w:t>Terms of Our Offering</w:t>
            </w:r>
          </w:p>
        </w:tc>
        <w:tc>
          <w:tcPr>
            <w:tcW w:w="3600" w:type="dxa"/>
            <w:vAlign w:val="bottom"/>
          </w:tcPr>
          <w:p>
            <w:pPr>
              <w:ind w:left="520"/>
              <w:spacing w:after="0"/>
              <w:rPr>
                <w:sz w:val="20"/>
                <w:szCs w:val="20"/>
                <w:color w:val="auto"/>
              </w:rPr>
            </w:pPr>
            <w:r>
              <w:rPr>
                <w:rFonts w:ascii="Arial" w:cs="Arial" w:eastAsia="Arial" w:hAnsi="Arial"/>
                <w:sz w:val="18"/>
                <w:szCs w:val="18"/>
                <w:b w:val="1"/>
                <w:bCs w:val="1"/>
                <w:color w:val="auto"/>
              </w:rPr>
              <w:t>Terms Under a Rule 419 Offering</w:t>
            </w:r>
          </w:p>
        </w:tc>
      </w:tr>
      <w:tr>
        <w:trPr>
          <w:trHeight w:val="195"/>
        </w:trPr>
        <w:tc>
          <w:tcPr>
            <w:tcW w:w="38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Escrow of offering proceeds</w:t>
            </w:r>
          </w:p>
        </w:tc>
        <w:tc>
          <w:tcPr>
            <w:tcW w:w="3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$250,000,000 of the net proceeds of this offering</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Approximately $222,750,000 of the offering</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the sale of the placement units will be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proceeds would be deposited into either an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deposited into a trust account in the United States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escrow account with an insured depositary</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with Continental Stock Transfer &amp; Trust Company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institution or in a separate bank account</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acting as trustee and J.P. Morgan Securities LLC</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established by a broker-dealer in which the</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acting as investment manager.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broker-dealer acts as trustee for persons having</w:t>
            </w:r>
          </w:p>
        </w:tc>
      </w:tr>
      <w:tr>
        <w:trPr>
          <w:trHeight w:val="230"/>
        </w:trPr>
        <w:tc>
          <w:tcPr>
            <w:tcW w:w="38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the beneficial interests in the account.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Investment of net proceeds</w:t>
            </w: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$250,000,000 of the net offering proceeds and the</w:t>
            </w: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could be invested only in specified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the placement units held in trust will be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securities such as a money market fund meeting</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invested only in U.S. government treasury bills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4"/>
              </w:rPr>
              <w:t>conditions of the Investment Company Act or in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a maturity of 185 days or less or in money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securities that are direct obligations of, or</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funds meeting certain conditions under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guaranteed as to principal or interest</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Rule 2a-7 under the Investment Company Act</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by, the United States.</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which invest only in direct U.S. government</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obligations.</w:t>
            </w:r>
          </w:p>
        </w:tc>
        <w:tc>
          <w:tcPr>
            <w:tcW w:w="36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Receipt of interest on escrowed funds</w:t>
            </w: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Interest on proceeds from the trust account to be</w:t>
            </w: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Interest on funds in escrow account would be</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to stockholders is reduced by (i) any taxes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held for the sole benefit of investors, unless and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or payable, and (ii) in the event of our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1"/>
              </w:rPr>
              <w:t>only after the funds held in escrow were released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liquidation for failure to complete our initial</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 us in connection with our completion of a</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business combination within the allotted time, up</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 $100,000 of net interest that may be released to</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should we have no or insufficient working</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to fund the costs and expenses of our</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dissolution and liquidation.</w:t>
            </w:r>
          </w:p>
        </w:tc>
        <w:tc>
          <w:tcPr>
            <w:tcW w:w="36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Limitation on fair value or net assets of target</w:t>
            </w:r>
          </w:p>
        </w:tc>
        <w:tc>
          <w:tcPr>
            <w:tcW w:w="3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2"/>
              </w:rPr>
              <w:t>Nasdaq rules require that we must complete one or</w:t>
            </w:r>
          </w:p>
        </w:tc>
        <w:tc>
          <w:tcPr>
            <w:tcW w:w="3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4"/>
              </w:rPr>
              <w:t>The fair value or net assets of a target business</w:t>
            </w:r>
          </w:p>
        </w:tc>
      </w:tr>
      <w:tr>
        <w:trPr>
          <w:trHeight w:val="22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business</w:t>
            </w: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more business combinations having an aggregate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must represent at least 80% of the maximum</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of at least 80% of the value of</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offering proceeds.</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assets held in the trust account (excluding the</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 and taxes</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payable on the income earned on the trust account)</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at the time of the agreement to enter into the initial</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w:t>
            </w:r>
          </w:p>
        </w:tc>
        <w:tc>
          <w:tcPr>
            <w:tcW w:w="3600" w:type="dxa"/>
            <w:vAlign w:val="bottom"/>
            <w:shd w:val="clear" w:color="auto" w:fill="CCEEFF"/>
          </w:tcPr>
          <w:p>
            <w:pPr>
              <w:spacing w:after="0"/>
              <w:rPr>
                <w:sz w:val="20"/>
                <w:szCs w:val="20"/>
                <w:color w:val="auto"/>
              </w:rPr>
            </w:pPr>
          </w:p>
        </w:tc>
      </w:tr>
      <w:tr>
        <w:trPr>
          <w:trHeight w:val="648"/>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Trading of securities issued</w:t>
            </w:r>
          </w:p>
        </w:tc>
        <w:tc>
          <w:tcPr>
            <w:tcW w:w="3720" w:type="dxa"/>
            <w:vAlign w:val="bottom"/>
            <w:gridSpan w:val="2"/>
          </w:tcPr>
          <w:p>
            <w:pPr>
              <w:ind w:left="980"/>
              <w:spacing w:after="0"/>
              <w:rPr>
                <w:sz w:val="20"/>
                <w:szCs w:val="20"/>
                <w:color w:val="auto"/>
              </w:rPr>
            </w:pPr>
            <w:r>
              <w:rPr>
                <w:rFonts w:ascii="Arial" w:cs="Arial" w:eastAsia="Arial" w:hAnsi="Arial"/>
                <w:sz w:val="18"/>
                <w:szCs w:val="18"/>
                <w:b w:val="1"/>
                <w:bCs w:val="1"/>
                <w:color w:val="auto"/>
              </w:rPr>
              <w:t>Terms of Our Offering</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 expect the units will begin trading on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promptly after the date of this prospectus. The</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6"/>
              </w:rPr>
              <w:t>Class A common stock and warrants comprising</w:t>
            </w:r>
          </w:p>
        </w:tc>
        <w:tc>
          <w:tcPr>
            <w:tcW w:w="0" w:type="dxa"/>
            <w:vAlign w:val="bottom"/>
          </w:tcPr>
          <w:p>
            <w:pPr>
              <w:spacing w:after="0"/>
              <w:rPr>
                <w:sz w:val="1"/>
                <w:szCs w:val="1"/>
                <w:color w:val="auto"/>
              </w:rPr>
            </w:pPr>
          </w:p>
        </w:tc>
      </w:tr>
      <w:tr>
        <w:trPr>
          <w:trHeight w:val="253"/>
        </w:trPr>
        <w:tc>
          <w:tcPr>
            <w:tcW w:w="3840" w:type="dxa"/>
            <w:vAlign w:val="bottom"/>
          </w:tcPr>
          <w:p>
            <w:pPr>
              <w:spacing w:after="0"/>
              <w:rPr>
                <w:sz w:val="21"/>
                <w:szCs w:val="21"/>
                <w:color w:val="auto"/>
              </w:rPr>
            </w:pPr>
          </w:p>
        </w:tc>
        <w:tc>
          <w:tcPr>
            <w:tcW w:w="3720" w:type="dxa"/>
            <w:vAlign w:val="bottom"/>
            <w:gridSpan w:val="2"/>
          </w:tcPr>
          <w:p>
            <w:pPr>
              <w:spacing w:after="0" w:line="252" w:lineRule="exact"/>
              <w:rPr>
                <w:sz w:val="20"/>
                <w:szCs w:val="20"/>
                <w:color w:val="auto"/>
              </w:rPr>
            </w:pPr>
            <w:r>
              <w:rPr>
                <w:rFonts w:ascii="Arial" w:cs="Arial" w:eastAsia="Arial" w:hAnsi="Arial"/>
                <w:sz w:val="18"/>
                <w:szCs w:val="18"/>
                <w:color w:val="auto"/>
                <w:w w:val="96"/>
              </w:rPr>
              <w:t>the units will begin separate trading on the 52</w:t>
            </w:r>
            <w:r>
              <w:rPr>
                <w:rFonts w:ascii="Arial" w:cs="Arial" w:eastAsia="Arial" w:hAnsi="Arial"/>
                <w:sz w:val="29"/>
                <w:szCs w:val="29"/>
                <w:color w:val="auto"/>
                <w:w w:val="96"/>
                <w:vertAlign w:val="superscript"/>
              </w:rPr>
              <w:t>nd</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0"/>
              </w:rPr>
              <w:t>day following the date of this prospectus unless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6"/>
              </w:rPr>
              <w:t>representative informs us of its decision to allow</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earlier separate trading, subject to our having filed</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5"/>
              </w:rPr>
              <w:t>the Current Report on Form 8-K described below</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88"/>
              </w:rPr>
              <w:t>and having issued a press release announcing when</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8"/>
              </w:rPr>
              <w:t>such separate trading will begin. We will file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Current Report on Form 8-K promptly after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closing of this offering, which is anticipated to take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9"/>
              </w:rPr>
              <w:t>place three business days from the date of this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prospectus. If the over-allotment option is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exercised following the initial filing of such</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Current Report on Form 8-K, an additional Current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Report on Form 8-K will be filed to provide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updated financial information to reflect the</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exercise of the over-allotment 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26403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No trading of the units or the underlying Class A common stock and warrants would be permitted until the completion of a business combination.</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During this period, the securities would be held in the escrow or trust account.</w:t>
      </w:r>
    </w:p>
    <w:p>
      <w:pPr>
        <w:spacing w:after="0" w:line="3248" w:lineRule="exact"/>
        <w:rPr>
          <w:sz w:val="20"/>
          <w:szCs w:val="20"/>
          <w:color w:val="auto"/>
        </w:rPr>
      </w:pPr>
    </w:p>
    <w:p>
      <w:pPr>
        <w:sectPr>
          <w:pgSz w:w="11900" w:h="16838" w:orient="portrait"/>
          <w:cols w:equalWidth="0" w:num="2">
            <w:col w:w="7540" w:space="100"/>
            <w:col w:w="3600"/>
          </w:cols>
          <w:pgMar w:left="320" w:top="918" w:right="339" w:bottom="653"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of the warrants</w:t>
            </w: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2"/>
              </w:rPr>
              <w:t>The warrants cannot be exercised until the later of</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warrants could be exercised prior to the</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 30 days after the completion of our initial</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completion of a business combination, but</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7"/>
              </w:rPr>
              <w:t>business combination or (ii) 12 months from the</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securities received and cash paid in connection</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closing of this public offering.</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the exercise would be deposited in the</w:t>
            </w:r>
          </w:p>
        </w:tc>
      </w:tr>
      <w:tr>
        <w:trPr>
          <w:trHeight w:val="230"/>
        </w:trPr>
        <w:tc>
          <w:tcPr>
            <w:tcW w:w="286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escrow or trust account.</w:t>
            </w:r>
          </w:p>
        </w:tc>
      </w:tr>
    </w:tbl>
    <w:p>
      <w:pPr>
        <w:spacing w:after="0" w:line="198" w:lineRule="exact"/>
        <w:rPr>
          <w:sz w:val="20"/>
          <w:szCs w:val="20"/>
          <w:color w:val="auto"/>
        </w:rPr>
      </w:pPr>
    </w:p>
    <w:p>
      <w:pPr>
        <w:sectPr>
          <w:pgSz w:w="11900" w:h="16838" w:orient="portrait"/>
          <w:cols w:equalWidth="0" w:num="1">
            <w:col w:w="11240"/>
          </w:cols>
          <w:pgMar w:left="320" w:top="918" w:right="339" w:bottom="653"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stockholders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212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opportunity to redeem their public shares for cash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equal to their pro rata share of the aggregate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amount then on deposit in the trust account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two business days prior to the consummation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our initial business combination, including interest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earned on the funds held in the trust account and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not previously released to us to pay our taxes, upon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completion of our initial business combination,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subject to the limitations described herein. We may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not be required by applicable law or stock</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exchange listing requirements to hold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vote. We intend to give approximately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30 days (but not less than 10 days nor more than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60 days) prior written notice of any such meeting,</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if required, at which a vote shall be taken to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approve our initial business combination. If we are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required by applicable law or stock exchange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listing requirements and do not otherwise decide to</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hold a stockholder vote, we will, pursuant to our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amended and restated certificate of incorporation,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conduct the redemptions pursuant to the tender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offer rules of the SEC and file tender offer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documents with the SEC which will contain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substantially the same financial and other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information about the initial business combination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and the redemption rights as is required under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SEC’s proxy rules. In the event we conduct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redemptions pursuant to the tender offer rules, our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offer to redeem will remain open for at least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20 business days, in accordance with Rule 14e-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1(a) under the Exchange Act, and we will not be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permitted to complete our initial business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combination until the expiration of the tender offer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period. If, however, we hold a stockholder vote,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we will, like many blank check companies, offer to</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redeem shares in conjunction with a proxy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solicitation pursuant to the proxy rules.</w:t>
      </w:r>
    </w:p>
    <w:p>
      <w:pPr>
        <w:spacing w:after="0" w:line="20" w:lineRule="exact"/>
        <w:rPr>
          <w:sz w:val="20"/>
          <w:szCs w:val="20"/>
          <w:color w:val="auto"/>
        </w:rPr>
      </w:pPr>
      <w:r>
        <w:rPr>
          <w:sz w:val="20"/>
          <w:szCs w:val="20"/>
          <w:color w:val="auto"/>
        </w:rPr>
        <w:br w:type="column"/>
      </w:r>
    </w:p>
    <w:p>
      <w:pPr>
        <w:ind w:right="80"/>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w:t>
      </w:r>
    </w:p>
    <w:p>
      <w:pPr>
        <w:spacing w:after="0" w:line="4"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45 business days from the effective date of a post-effective amendment to the company’s registration statement, to decide if it elects to remain a stockholder of the company or require the return of its investment. If the company has not received the notification by the end of the</w:t>
      </w:r>
    </w:p>
    <w:p>
      <w:pPr>
        <w:spacing w:after="0" w:line="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45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4039" w:lineRule="exact"/>
        <w:rPr>
          <w:sz w:val="20"/>
          <w:szCs w:val="20"/>
          <w:color w:val="auto"/>
        </w:rPr>
      </w:pPr>
    </w:p>
    <w:p>
      <w:pPr>
        <w:sectPr>
          <w:pgSz w:w="11900" w:h="16838" w:orient="portrait"/>
          <w:cols w:equalWidth="0" w:num="2">
            <w:col w:w="7540" w:space="100"/>
            <w:col w:w="3600"/>
          </w:cols>
          <w:pgMar w:left="320" w:top="918" w:right="339" w:bottom="653"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653"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7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Terms of Our Offering</w:t>
            </w:r>
          </w:p>
        </w:tc>
      </w:tr>
      <w:tr>
        <w:trPr>
          <w:trHeight w:val="195"/>
        </w:trPr>
        <w:tc>
          <w:tcPr>
            <w:tcW w:w="384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w w:val="93"/>
              </w:rPr>
              <w:t>If we seek stockholder approval, we will complete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our initial business combination only if a majority</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of the outstanding shares of common stock voted</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are voted in favor of the initial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combination. Additionally, each public stockholder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may elect to redeem their public shares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irrespective of whether they vote for or against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proposed transaction. A quorum for such meeting</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will consist of the holders present in person or by</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proxy of shares of outstanding capital stock of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company representing a majority of the voting</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power of all outstanding shares of capital stock of</w:t>
            </w: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company entitled to vote at such meeting.</w:t>
            </w:r>
          </w:p>
        </w:tc>
      </w:tr>
      <w:tr>
        <w:trPr>
          <w:trHeight w:val="418"/>
        </w:trPr>
        <w:tc>
          <w:tcPr>
            <w:tcW w:w="384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3700" w:type="dxa"/>
            <w:vAlign w:val="bottom"/>
          </w:tcPr>
          <w:p>
            <w:pPr>
              <w:spacing w:after="0"/>
              <w:rPr>
                <w:sz w:val="20"/>
                <w:szCs w:val="20"/>
                <w:color w:val="auto"/>
              </w:rPr>
            </w:pPr>
            <w:r>
              <w:rPr>
                <w:rFonts w:ascii="Arial" w:cs="Arial" w:eastAsia="Arial" w:hAnsi="Arial"/>
                <w:sz w:val="18"/>
                <w:szCs w:val="18"/>
                <w:color w:val="auto"/>
                <w:w w:val="98"/>
              </w:rPr>
              <w:t>If we are unable to complete an initial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combination within 24 months from the closing of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this offering, we will (i) cease all operations except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for the purpose of winding up, (ii) as promptly as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89"/>
              </w:rPr>
              <w:t>reasonably possible but not more than ten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days thereafter, redeem 100% of the public shares,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at a per-share price, payable in cash, equal to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aggregate amount then on deposit in the trust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account including interest earned on the funds held</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in the trust account and not previously released to</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us to pay our taxes (less up to $100,000 of interest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 pay dissolution expenses), divided by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number of then outstanding public shares, which</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redemption will completely extinguish public</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stockholders’ rights as stockholders (including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right to receive further liquidating distributions, if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any), subject to applicable law, and (iii) as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promptly as reasonably possible following such</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redemption, subject to the approval of our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remaining stockholders and our board of directors,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dissolve and liquidate, subject in the case of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clauses (ii) and (iii) above to our obligations under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Delaware law to provide for claims of creditors</w:t>
            </w: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and the requirements of other applicable law.</w:t>
            </w:r>
          </w:p>
        </w:tc>
      </w:tr>
      <w:tr>
        <w:trPr>
          <w:trHeight w:val="648"/>
        </w:trPr>
        <w:tc>
          <w:tcPr>
            <w:tcW w:w="3840" w:type="dxa"/>
            <w:vAlign w:val="bottom"/>
          </w:tcPr>
          <w:p>
            <w:pPr>
              <w:spacing w:after="0"/>
              <w:rPr>
                <w:sz w:val="24"/>
                <w:szCs w:val="24"/>
                <w:color w:val="auto"/>
              </w:rPr>
            </w:pPr>
          </w:p>
        </w:tc>
        <w:tc>
          <w:tcPr>
            <w:tcW w:w="3700" w:type="dxa"/>
            <w:vAlign w:val="bottom"/>
          </w:tcPr>
          <w:p>
            <w:pPr>
              <w:ind w:left="166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-5631180</wp:posOffset>
            </wp:positionV>
            <wp:extent cx="7132320" cy="5640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5640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business combination has not been completed within 18 months after the effective date of the company’s registration statement, funds held in the trust or escrow account are returned to investors.</w:t>
      </w:r>
    </w:p>
    <w:p>
      <w:pPr>
        <w:sectPr>
          <w:pgSz w:w="11900" w:h="16838" w:orient="portrait"/>
          <w:cols w:equalWidth="0" w:num="2">
            <w:col w:w="7540" w:space="100"/>
            <w:col w:w="3600"/>
          </w:cols>
          <w:pgMar w:left="320" w:top="918" w:right="339" w:bottom="1440" w:gutter="0" w:footer="0" w:header="0"/>
        </w:sectPr>
      </w:pPr>
    </w:p>
    <w:bookmarkStart w:id="119" w:name="page120"/>
    <w:bookmarkEnd w:id="119"/>
    <w:p>
      <w:pPr>
        <w:spacing w:after="0" w:line="21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17145</wp:posOffset>
            </wp:positionV>
            <wp:extent cx="7132320" cy="2614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14295"/>
                    </a:xfrm>
                    <a:prstGeom prst="rect">
                      <a:avLst/>
                    </a:prstGeom>
                    <a:noFill/>
                  </pic:spPr>
                </pic:pic>
              </a:graphicData>
            </a:graphic>
          </wp:anchor>
        </w:drawing>
      </w:r>
    </w:p>
    <w:p>
      <w:pPr>
        <w:spacing w:after="0" w:line="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pacing w:after="0" w:line="3180" w:lineRule="exact"/>
        <w:rPr>
          <w:sz w:val="20"/>
          <w:szCs w:val="20"/>
          <w:color w:val="auto"/>
        </w:rPr>
      </w:pPr>
    </w:p>
    <w:p>
      <w:pPr>
        <w:sectPr>
          <w:pgSz w:w="11900" w:h="16838" w:orient="portrait"/>
          <w:cols w:equalWidth="0" w:num="3">
            <w:col w:w="3720" w:space="120"/>
            <w:col w:w="3680" w:space="120"/>
            <w:col w:w="3480"/>
          </w:cols>
          <w:pgMar w:left="320" w:top="918" w:right="459" w:bottom="1440" w:gutter="0" w:footer="0" w:header="0"/>
        </w:sectPr>
      </w:pPr>
    </w:p>
    <w:p>
      <w:pPr>
        <w:spacing w:after="0" w:line="282" w:lineRule="auto"/>
        <w:rPr>
          <w:sz w:val="20"/>
          <w:szCs w:val="20"/>
          <w:color w:val="auto"/>
        </w:rPr>
      </w:pPr>
      <w:r>
        <w:rPr>
          <w:rFonts w:ascii="Arial" w:cs="Arial" w:eastAsia="Arial" w:hAnsi="Arial"/>
          <w:sz w:val="18"/>
          <w:szCs w:val="18"/>
          <w:b w:val="1"/>
          <w:bCs w:val="1"/>
          <w:color w:val="auto"/>
        </w:rPr>
        <w:t>Tendering stock certificates in connection with redemption rights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-2487295</wp:posOffset>
            </wp:positionV>
            <wp:extent cx="7132320" cy="2468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1941" w:lineRule="exact"/>
        <w:rPr>
          <w:sz w:val="20"/>
          <w:szCs w:val="20"/>
          <w:color w:val="auto"/>
        </w:rPr>
      </w:pPr>
    </w:p>
    <w:p>
      <w:pPr>
        <w:sectPr>
          <w:pgSz w:w="11900" w:h="16838" w:orient="portrait"/>
          <w:cols w:equalWidth="0" w:num="3">
            <w:col w:w="3580" w:space="260"/>
            <w:col w:w="3660" w:space="140"/>
            <w:col w:w="3480"/>
          </w:cols>
          <w:pgMar w:left="320" w:top="918" w:right="459" w:bottom="1440" w:gutter="0" w:footer="0" w:header="0"/>
          <w:type w:val="continuous"/>
        </w:sectPr>
      </w:pP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18" w:right="459" w:bottom="1440" w:gutter="0" w:footer="0" w:header="0"/>
          <w:type w:val="continuous"/>
        </w:sectPr>
      </w:pPr>
    </w:p>
    <w:bookmarkStart w:id="120" w:name="page121"/>
    <w:bookmarkEnd w:id="120"/>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17145</wp:posOffset>
            </wp:positionV>
            <wp:extent cx="7132320" cy="5357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spacing w:after="0" w:line="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and up to $100,000 of interest that may be used for our dissolution expenses, the proceeds held in the trust account will not be released until the earliest to occur of:</w:t>
      </w:r>
    </w:p>
    <w:p>
      <w:pPr>
        <w:spacing w:after="0" w:line="3" w:lineRule="exact"/>
        <w:rPr>
          <w:sz w:val="20"/>
          <w:szCs w:val="20"/>
          <w:color w:val="auto"/>
        </w:rPr>
      </w:pPr>
    </w:p>
    <w:p>
      <w:pPr>
        <w:ind w:firstLine="2"/>
        <w:spacing w:after="0" w:line="283" w:lineRule="auto"/>
        <w:tabs>
          <w:tab w:leader="none" w:pos="2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(B) with respect to any other provision relating to stockholders’ rights or pre-business combination activity and (iii) the redemption of 100% of our public shares if we are unable to complete an initial business combination within the required time frame (subject to the requirements of applicable law). On the completion of our initial business combination, all amounts held in the trust account will be released to us, less amounts released to a separate account controlled by the trustee for disbursal to redeeming stockholders. We will use these funds to pay amounts due to any public stockholders who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or the failure to effect a business combination within the allotted time.</w:t>
      </w:r>
    </w:p>
    <w:p>
      <w:pPr>
        <w:spacing w:after="0" w:line="8119" w:lineRule="exact"/>
        <w:rPr>
          <w:sz w:val="20"/>
          <w:szCs w:val="20"/>
          <w:color w:val="auto"/>
        </w:rPr>
      </w:pPr>
    </w:p>
    <w:p>
      <w:pPr>
        <w:sectPr>
          <w:pgSz w:w="11900" w:h="16838" w:orient="portrait"/>
          <w:cols w:equalWidth="0" w:num="3">
            <w:col w:w="3120" w:space="720"/>
            <w:col w:w="3700" w:space="100"/>
            <w:col w:w="3600"/>
          </w:cols>
          <w:pgMar w:left="320" w:top="918" w:right="339" w:bottom="443" w:gutter="0" w:footer="0" w:header="0"/>
        </w:sectPr>
      </w:pPr>
    </w:p>
    <w:p>
      <w:pPr>
        <w:spacing w:after="0" w:line="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color w:val="auto"/>
        </w:rPr>
        <w:t xml:space="preserve">Our executive offices are located at 1300 Pennsylvania Ave NW, Suite 700, Washington, DC 20004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202) 600-5757 Our executive offices are provided to us by BurTech LP LLC. Commencing on the date of this prospectus, we have agreed to pay our sponsor a total of $10,000 per month for office space, utilities and secretarial and administrative support. We consider our current office space adequate for our current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currently have four officers. These individuals are not obligated to devote any specific number of hours to our matters but they intend to devote as much of their time as they deem necessary, in the exercise of their respective business judgement,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full-time employees prior to the completion of our initial business combination. We do not have an employment agreement with any member of our management team.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443"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8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20" w:firstLine="324"/>
        <w:spacing w:after="0" w:line="253"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w:t>
      </w:r>
    </w:p>
    <w:p>
      <w:pPr>
        <w:spacing w:after="0" w:line="1" w:lineRule="exact"/>
        <w:rPr>
          <w:sz w:val="20"/>
          <w:szCs w:val="20"/>
          <w:color w:val="auto"/>
        </w:rPr>
      </w:pPr>
    </w:p>
    <w:p>
      <w:pPr>
        <w:ind w:right="300" w:firstLine="8"/>
        <w:spacing w:after="0" w:line="258"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References herein to “emerging growth company” will have the meaning associated with it in the JOBS Act.</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22" w:name="page123"/>
    <w:bookmarkEnd w:id="122"/>
    <w:p>
      <w:pPr>
        <w:ind w:firstLine="324"/>
        <w:spacing w:after="0" w:line="296"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exceeds $700 million as of the end of that year’s second fiscal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160" w:type="dxa"/>
            <w:vAlign w:val="bottom"/>
            <w:gridSpan w:val="2"/>
          </w:tcPr>
          <w:p>
            <w:pPr>
              <w:ind w:left="326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Shahal Khan</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Chairman of the Board of Directors and Chief Executive Officer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Isaac Chetrit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 Livson</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Payel Farasat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Chief Investment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Schroeder</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Marketing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Amb. Hans H. Hertell</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 Zolotarev</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54</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Leon Golden</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Penrod</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Peter Plaut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20"/>
                <w:szCs w:val="20"/>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66"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Shahal M. Khan </w:t>
      </w:r>
      <w:r>
        <w:rPr>
          <w:rFonts w:ascii="Arial" w:cs="Arial" w:eastAsia="Arial" w:hAnsi="Arial"/>
          <w:sz w:val="17"/>
          <w:szCs w:val="17"/>
          <w:color w:val="auto"/>
        </w:rPr>
        <w:t>is our Chairman of the Board of Directors and Chief Executive Officer. Mr. Khan’s career as an investor, entrepreneur and social</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been directly responsible for syndication of over $5 billion in equity for projects as a principal through his family trust.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right="20" w:firstLine="648"/>
        <w:spacing w:after="0" w:line="284" w:lineRule="auto"/>
        <w:rPr>
          <w:sz w:val="20"/>
          <w:szCs w:val="20"/>
          <w:color w:val="auto"/>
        </w:rPr>
      </w:pPr>
      <w:r>
        <w:rPr>
          <w:rFonts w:ascii="Arial" w:cs="Arial" w:eastAsia="Arial" w:hAnsi="Arial"/>
          <w:sz w:val="16"/>
          <w:szCs w:val="16"/>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pioneering Cyber security company based out of New York City and London with four patents in data security. Since 2019, Mr. Khan has served as chief exectuive officer and Chairman of the Board of Trinity Hospitality Group LLC based out of New York City, which is currently developing a hotel property in New York City which will be a fully tech-enabled live and work destination in New York City with WIRED, a Condé Naste company. Trinity is currently developing over two billion dollars of a pipeline of “Digital Nomad” properties.</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2018, closed the transaction, then agreed to the sale of the hotel to the Qatari SWF.</w:t>
      </w:r>
    </w:p>
    <w:p>
      <w:pPr>
        <w:spacing w:after="0" w:line="173"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over 60 technology companies as well as leading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the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Khan was the chief executive officer of Centile, a software company located in the South of France, which was sold to the European Development Bank in 2008. In 2009 Mr. Khan founded Zebasolar, one of the first developers of Solar power in India. Mr. Khan also served as a director on the boards of GD360 from 2017 through 2019,</w:t>
      </w:r>
    </w:p>
    <w:p>
      <w:pPr>
        <w:spacing w:after="0" w:line="19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which is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 in Washington DC. We believe that Mr. Khan is well qualified to be our chief executive officer due to his over 22 years of experience in investing in the real estate, energy, natural resources, technology industries.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color w:val="auto"/>
        </w:rPr>
        <w:t xml:space="preserve">Isaac Chetrit </w:t>
      </w:r>
      <w:r>
        <w:rPr>
          <w:rFonts w:ascii="Arial" w:cs="Arial" w:eastAsia="Arial" w:hAnsi="Arial"/>
          <w:sz w:val="17"/>
          <w:szCs w:val="17"/>
          <w:color w:val="auto"/>
        </w:rPr>
        <w:t>is our President. Mr. Chetrit is a real estate veteran with a background in architecture and electrical engineering. Mr. Chetrit is</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under the belt of The Taubman Company, where he built a reputation across major cities in the US. He was instrumental during his career with Taubman in making Dolphin Mall an institution in the industry and led the expansion and business development of many other luxury high end brands, restaurants, and entertainment venues in the USA and overseas. He has cemented valuable credibility in the Real Estate industry through his continuous involvement in functional management areas, project development, and consistently developing projects and brands that have become staples and powerhouses, both in the USA and globally.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right="100" w:firstLine="648"/>
        <w:spacing w:after="0" w:line="291" w:lineRule="auto"/>
        <w:rPr>
          <w:sz w:val="20"/>
          <w:szCs w:val="20"/>
          <w:color w:val="auto"/>
        </w:rPr>
      </w:pPr>
      <w:r>
        <w:rPr>
          <w:rFonts w:ascii="Arial" w:cs="Arial" w:eastAsia="Arial" w:hAnsi="Arial"/>
          <w:sz w:val="16"/>
          <w:szCs w:val="16"/>
          <w:color w:val="auto"/>
        </w:rPr>
        <w:t>Mr. Chetrit has also spent the last 20 years merchandising malls, shopping centers, hotels, and specializing in location assessment and negotiations. Later as the vice president of Westfield, Mr. Chetrit was solely responsible for high-end retail and entertainment development for the eastern U.S. During the last two decades, Mr. Chetrit has procured hundreds of millions of dollars in transactions across the U.S. and other parts of the world. For the past couple years, Mr. Chetrit has deep dived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 We believe that Mr. Chetrit is well qualified to be our president due to his extensive experience as a senior officer and director of some of the largest companies in their respective industries.</w:t>
      </w:r>
    </w:p>
    <w:p>
      <w:pPr>
        <w:spacing w:after="0" w:line="1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color w:val="auto"/>
        </w:rPr>
        <w:t xml:space="preserve">Roman V. Livson </w:t>
      </w:r>
      <w:r>
        <w:rPr>
          <w:rFonts w:ascii="Arial" w:cs="Arial" w:eastAsia="Arial" w:hAnsi="Arial"/>
          <w:sz w:val="16"/>
          <w:szCs w:val="16"/>
          <w:color w:val="auto"/>
        </w:rPr>
        <w:t>is our Chief Financial Officer. Since February 2021, Mr. Livson has been the Chief Financial Officer of Burkhan World, a</w:t>
      </w:r>
      <w:r>
        <w:rPr>
          <w:rFonts w:ascii="Arial" w:cs="Arial" w:eastAsia="Arial" w:hAnsi="Arial"/>
          <w:sz w:val="16"/>
          <w:szCs w:val="16"/>
          <w:b w:val="1"/>
          <w:bCs w:val="1"/>
          <w:color w:val="auto"/>
        </w:rPr>
        <w:t xml:space="preserve"> </w:t>
      </w:r>
      <w:r>
        <w:rPr>
          <w:rFonts w:ascii="Arial" w:cs="Arial" w:eastAsia="Arial" w:hAnsi="Arial"/>
          <w:sz w:val="16"/>
          <w:szCs w:val="16"/>
          <w:color w:val="auto"/>
        </w:rPr>
        <w:t>family 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holds Series 7, 24, and 63 registrations with the FINRA. Mr. Livson has a Master’s degree in Mathematical Finance from Columbia University, a Masters in Physics from Moscow Institute Of Electronics Engineering, and a Banking and Financing Degree from The London School of Economics. We believe that Mr. Livson is well qualified to be our chief financial officer due to his extensive experience in the financial markets and as a seasoned financial officer.</w:t>
      </w:r>
    </w:p>
    <w:p>
      <w:pPr>
        <w:spacing w:after="0" w:line="16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Payel Farasat </w:t>
      </w:r>
      <w:r>
        <w:rPr>
          <w:rFonts w:ascii="Arial" w:cs="Arial" w:eastAsia="Arial" w:hAnsi="Arial"/>
          <w:sz w:val="17"/>
          <w:szCs w:val="17"/>
          <w:color w:val="auto"/>
        </w:rPr>
        <w:t>is our Chief Investment Officer. Since December 2020, Ms. Farasat has been the Chief Investment Officer (CIO) of Burkhan World</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LLC (“Burkhan”) and the Co-founder and Managing Partner of V4 Capital LLC, a bespoke consultancy and private equity firm that specializes in investing with purpose, impact and heart. Since December 2017, Ms. Farasat has been the Managing Principal of Farasat Consulting Group LLC (“FCG”), a business and management consulting firm. Ms. Farasat is also the Founder &amp; Master Coach of Project Me Coaching, a transformational coaching and advisory organization which she founded in June 2017. Ms. Farasat has over 20 years of experience, intuition, and conviction in asset management and financial advising. This combination enables Ms. Farasat to quickly capture data, patterns, and themes that shape her views on sentiment and positioning, as well as, inform her vision about the future relative to global economics and changing demographics. Consistently searching for new ways to interpret capital market dynamics, Ms. Farasat chairs Burkhan’s Investment Committee and curates investment policy and portfolio management for Burkhan’s global ecosystem of group companies. Deploying modern academic thinking that strives to improve expected returns, manage risk, and reduce costs,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grow. Ms. Farasat guides the process of infusing capital into innovative ventures that bring revolutionary technologies and experiences expected to have long-term positive impact on the world and our future. In this process, she creates custom capital raise solutions for Burkhan’s portfolio companies. Ms. Farasat is passionate about enabling democratized access to private equity investments and tailors custom participation strategies for institutional and accredited investors interested in co-investing in companies that Burkhan is taking public. "See the entire landscape with a diverse set of eyes within an endless feedback loop - Iterate, Rinse, Repeat.” is Ms. Farasat’s mantra for financial consciousness, profitability, growth, and sustainable global impact.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6" w:name="page127"/>
    <w:bookmarkEnd w:id="126"/>
    <w:p>
      <w:pPr>
        <w:ind w:right="80" w:firstLine="648"/>
        <w:spacing w:after="0" w:line="283"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directly responsible for the firm’s investment philosophy, policy, portfolio management, and messaging. She also managed the development of all investment strategy,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comprehensive financial planning and asset management to clients, businesses, and 401(k)s from</w:t>
      </w:r>
    </w:p>
    <w:p>
      <w:pPr>
        <w:spacing w:after="0" w:line="5"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July 2002 to September 2007. Ms. Farasat earned a Bachelors in Economics from University of California at Berkeley, with a double minor in Computer Science and Business Administration, from the Haas School of Business, Summa cum Laude, and a Master’s of Science in Financial Analysis (MScFA) from University of San Francisco, Magna cum Laude. Ms. Farasat is also ICF Certified Coach and a PHI Certified Pranic Healer. We believe that Ms. Farasat is well qualified to be our chief investment officer due to her many years of experience as a financial investor and advisor.</w:t>
      </w:r>
    </w:p>
    <w:p>
      <w:pPr>
        <w:spacing w:after="0" w:line="15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color w:val="auto"/>
        </w:rPr>
        <w:t xml:space="preserve">Christopher Schroeder </w:t>
      </w:r>
      <w:r>
        <w:rPr>
          <w:rFonts w:ascii="Arial" w:cs="Arial" w:eastAsia="Arial" w:hAnsi="Arial"/>
          <w:sz w:val="17"/>
          <w:szCs w:val="17"/>
          <w:color w:val="auto"/>
        </w:rPr>
        <w:t>is our Chief Marketing Officer. Over the last 30 years, Mr. Schroeder has also been an interactive media pioneer,</w:t>
      </w:r>
      <w:r>
        <w:rPr>
          <w:rFonts w:ascii="Arial" w:cs="Arial" w:eastAsia="Arial" w:hAnsi="Arial"/>
          <w:sz w:val="17"/>
          <w:szCs w:val="17"/>
          <w:b w:val="1"/>
          <w:bCs w:val="1"/>
          <w:color w:val="auto"/>
        </w:rPr>
        <w:t xml:space="preserve"> </w:t>
      </w:r>
      <w:r>
        <w:rPr>
          <w:rFonts w:ascii="Arial" w:cs="Arial" w:eastAsia="Arial" w:hAnsi="Arial"/>
          <w:sz w:val="17"/>
          <w:szCs w:val="17"/>
          <w:color w:val="auto"/>
        </w:rPr>
        <w:t>visionary resort developer, brand creator and marketing leader for globally recognized brands. He brings and award-winning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 leading experiential hotel brand development company, where Mr. Schroeder manages all aspects of the business. From February 2016 through July 2019, Mr. Schroeder served as the managing partner and a director of Dakia Entertainment &amp; Hospitality. He was a founding partner of the UMUSIC hotel and entertainment center concept that is a partnership with the world’s largest music company, Universal Music Group. He is also a key player in its expansion, creating iconic projects. Mr. Schroeder is also leading the creation and expansion of the WIRED Hotel brand, having an exclusive license to the brand. Mr. Schroeder is also leading the creation and expansion of other major projects with legacy brands including Sports Illustrated, Condé Nast, Authentic Brands Group and Emmitt Smith.</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From 2013 to 2015, Mr. Schroeder previously served as chief marketing officer for Veremonte, a multi-billion-dollar investment company based in London, where he worked to create the largest leisure development in Europe, bringing partnerships with Hard Rock Hotels and Cirque du Soleil. He also worked to incubate and launch Formula E, the first fully electric racing championship in the world, with such notable partners as Leonardo di Caprio, Michael Andretti, Alain Prost, and Virgin Racing. Races are held in iconic cities including Paris, London, and New York. As an interactive media pioneer, in 1995 Mr. Schroeder founded Reservation, the world’s leading internet development company for the hospitality industry at the time. From 1995 through 2003, he led the development of the first online reservation system of its kind in the travel industry for MGM Resorts and Hilton/Park Place Entertainment. During this time Mr. Schroeder also played a lead role in creating and implementing the largest rebranding and redevelopment campaign in history for MGM Resorts, which included developing multimedia roadshow to present to stockholders and Wall Street investors to secure funding to implement the massive project. Mr. Schroeder also served as president of the interactive division for Custom Marketing Group, the exclusive destination marketing group at the time for American Express, where he developed and managed digital media campaigns for over 20 leading tourism boards.</w:t>
      </w:r>
    </w:p>
    <w:p>
      <w:pPr>
        <w:spacing w:after="0" w:line="16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Mr. Schroeder has also been a leader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massive cooperative marketing initiatives incorporating local tourism boards, corporate partners, attractions, media, airlines, and hotels. Schroeder also created the first custom travel offers for the Today Show, the #1 morning show in America,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out of college to serve as the National Marketing and Retail Director for the company owning Ujena Swimwear, Swimwear Illustrated and Runner’s World Magazines. Mr. Schroeder attended Texas State University, San Marcos. We believe that Mr. Schroeder is well qualified to be our chief marketing officer due to his extraordinary experience in marketing and building brands at some the world’s leading companies.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Leon Golden </w:t>
      </w:r>
      <w:r>
        <w:rPr>
          <w:rFonts w:ascii="Arial" w:cs="Arial" w:eastAsia="Arial" w:hAnsi="Arial"/>
          <w:sz w:val="17"/>
          <w:szCs w:val="17"/>
          <w:color w:val="auto"/>
        </w:rPr>
        <w:t>is one of our director nominees. Mr. Golden is a chartered public accountant and has worked as an accountant at ARG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Associates, Inc. an accounting firm in Brooklyn, New York since 1996. Mr. Golden has also been serving as a director for ARG Associates, Inc. since 1996.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Golden has spent the past 25 years representing public and private companies in all areas of accounting practices. Through his expertise as a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accountant, and his experience working with publicly traded companies, qualifies Mr. Golden to act as our financial expert. Mr. Golden has a CPA and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bachelor’s degree from Brooklyn College.</w:t>
      </w:r>
    </w:p>
    <w:p>
      <w:pPr>
        <w:spacing w:after="0" w:line="20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b w:val="1"/>
          <w:bCs w:val="1"/>
          <w:color w:val="auto"/>
        </w:rPr>
        <w:t xml:space="preserve">Gene Zolotarev </w:t>
      </w:r>
      <w:r>
        <w:rPr>
          <w:rFonts w:ascii="Arial" w:cs="Arial" w:eastAsia="Arial" w:hAnsi="Arial"/>
          <w:sz w:val="16"/>
          <w:szCs w:val="16"/>
          <w:color w:val="auto"/>
        </w:rPr>
        <w:t>is one of our director nominees. In 2019 Mr. Zolotarev founded Baltic Technology Ventures JSC (NASDAQ:BTE1R), the Baltic</w:t>
      </w:r>
      <w:r>
        <w:rPr>
          <w:rFonts w:ascii="Arial" w:cs="Arial" w:eastAsia="Arial" w:hAnsi="Arial"/>
          <w:sz w:val="16"/>
          <w:szCs w:val="16"/>
          <w:b w:val="1"/>
          <w:bCs w:val="1"/>
          <w:color w:val="auto"/>
        </w:rPr>
        <w:t xml:space="preserve"> </w:t>
      </w:r>
      <w:r>
        <w:rPr>
          <w:rFonts w:ascii="Arial" w:cs="Arial" w:eastAsia="Arial" w:hAnsi="Arial"/>
          <w:sz w:val="16"/>
          <w:szCs w:val="16"/>
          <w:color w:val="auto"/>
        </w:rPr>
        <w:t>region's only publicly traded venture capital firm with an angel network, where he currently serves as the Chief Executive Officer and Director as Head of the Investment Committee. Baltic Tech Ventures focuses on venture capital investments in technology companies and innovation projects. Mr. Zolotarev founded Maximus Capital SA in 2008 where he still serves as Chairman of the Board. Maximus Capital is as a multi-family office with deep expertise in identifying special situation investment opportunities – both in liquid markets and private equity, based in Switzerland. Mr. Zolotarev is currently the Chairman of Baltic News, Ltd, publisher of the Baltic Times, the leading English-language daily newspaper for the Baltic region. For over 20 years, Mr. Zolotarev has held a number of senior executive and board positions at prominent U.S., Russian and Baltic commercial and investment banks including AP Anlage &amp; Privatbank, Switzerland, Parex Asset Management and Parex Bank, in Latvia, Republic Bank of New York and Arthur Andersen &amp; Co, among others. Since 1993 he had cultivated personal and business relationships with principals of many major industrial holdings in Central and Eastern Europe and Commonwealth of Independent States. Mr. Zolotarev is a prominent investor in European Property Holdings, a real estate investment and consulting company based in Monaco. European Property Holdings (“EPH”) invests in core and manage-to-core properties with growth potential and holds an extensive, geographically diversified property portfolio spanning office, hotel and mixed-use real estate with a total value of more than EUR 1.5 billion. Through investing in premium real estate in core European markets, EPH ensures long-term capital preservation and generates a stable, regular and risk-adjusted return for its stakeholders. Mr. Zolotarev has a degree in Electrical Engineering and Concentration in Business from Columbia University and an executive MBA from New York University, Sterns School of Business in Finance and International Business. Mr. Zolotarev later attended Harvard University - Kennedy School of International Affairs for an executive program on National Security and Diplomacy. We believe that Mr. Zolotarev is well qualified to be a nominee to our board of directors due to his substantial global expertise in finance and technology.</w:t>
      </w:r>
    </w:p>
    <w:p>
      <w:pPr>
        <w:spacing w:after="0" w:line="17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color w:val="auto"/>
        </w:rPr>
        <w:t xml:space="preserve">Michael Penrod </w:t>
      </w:r>
      <w:r>
        <w:rPr>
          <w:rFonts w:ascii="Arial" w:cs="Arial" w:eastAsia="Arial" w:hAnsi="Arial"/>
          <w:sz w:val="16"/>
          <w:szCs w:val="16"/>
          <w:color w:val="auto"/>
        </w:rPr>
        <w:t>is one of our director nominees. Mr. Penrod has been in the hospitality industry for over 38 years. He has been the owner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famous "Elbo Room" in Fort Lauderdale since 1991; Elbo Room, founded in 1938, was one of the first places to open its doors to the world online with Web Cams and Live Chatrooms in 1996. Mr. Penrod took over the Elbo Room in 1991 and is an owner. Mr. Penrod is known for successfully building brands in the hospitality market, particularly Nikki Beach Worldwide, one of the leading luxury brands in entertainment with over twenty prestigious destinations around the world, including Miami Beach, USA; Saint Tropez, France; Saint Barth, Caribbean; Marbella, Spain; Koh Samui, Thailand; Mallorca, Spain; Ibiza, Spain; Monte Carlo, Monaco; Dubai, UAE; Versilia, Italy; Barbados, Caribbean; Costa Smeralda, Italy, and Montenegro, Tivat. Nikki Beach, founded by Mr. Penrod's father, Jack Penrod, in 1998 with its first "Café Nikki" in Miami's South Beach. Nikki Beach was the original luxury beach club concept that combines the elements of music, dining, entertainment, fashion, film, and art into one. It is known for its celebrity events such as Cannes Film Festival, Toronto Film Festival, Venice Film Festival, New Years' Eve Exclusive VIP events, and Music Festivals. Mr. Penrod was the Director of Worldwide Operations of the Nikki Beach Group from 2001 to 2015. He managed all operational and marketing divisions of the company in over 40 venues in 18 countries. Since 2016, Mr. Penrod has been the Senior Director of the Nikki Beach Family Office, where he manages all crypto investments, working on creative applications for Blockchain in the hospitality industry. In 2014 Mr. Penrod founder MVP Management, a hospitality, technology, and marketing company, where he continues to advise companies in the hospitality industry with a focus on maximizing technology platforms. Being a visionary, Mr. Penrod developed a distance learning platform with Roy Spear, founder of Home Shopping Network, from 1997 to 2000. Jim Clark recruited Mr. Penrod in 2000 to run his tech company, SeaScape, which he did until he joined his family to run Nikki Beach. We believe that Mr. Penrod is well qualified to be a nominee to our board of directors because of his many years building world renowned luxury brands in the hospitality industry.</w:t>
      </w:r>
    </w:p>
    <w:p>
      <w:pPr>
        <w:spacing w:after="0" w:line="16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b w:val="1"/>
          <w:bCs w:val="1"/>
          <w:color w:val="auto"/>
        </w:rPr>
        <w:t xml:space="preserve">Peter Plaut </w:t>
      </w:r>
      <w:r>
        <w:rPr>
          <w:rFonts w:ascii="Arial" w:cs="Arial" w:eastAsia="Arial" w:hAnsi="Arial"/>
          <w:sz w:val="17"/>
          <w:szCs w:val="17"/>
          <w:color w:val="auto"/>
        </w:rPr>
        <w:t>is one of our director nominees. Since August 2016, Mr. Plaut has been a director for AEDS Advisors Ltd, London UK, a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and advisory and capital raising firm, which has signed over $10 billion real estate transactions in various real estate asset classes since the Covid -19 lockdown. Mr. Plaut is also an Executive Director at Wimmer Financial/Wimmer Family Office, in London, United Kingdom, a corporate advisory boutique investment bank with global reach through a network of partners and clients all over the world, where he has been an Executive Director since November 2018. Mr. Plaut is consistently recognized as a leader in the industry. Among his many achievements and awards, he was ranked as one of the Top 20 Rising Stars of Hedge Funds during the 2008 global financial crisis. More recently, since the Covid-19 Pandemic locked down the global economy, Mr. Plaut has signed over $5 billion of Engagements and/or Term Sheets across various real estate assets classes including residential, mixed use, office, and hospitality at Wimmer. Mr. Plaut has over 35 years investment banking, research, sales, trading, portfolio manager experience for some of the top tier global investment banks and private equity firms in New York, Washington DC and London, with significant experience in capital markets transactions in terms of debt and equity raises. From August 2016 through May 2018, Mr. Plaut served as an Executive Director and managed the Corporate Finance department for Swiss Invest in London, a capital origination and finance firm. Mr. Plaut has a bachelor of science in Management Information Systems from Rensselaer Polytechnic Institute. We believe that Mr. Plaut is well qualified to be a nominee to our board of directors due to his financial advisory and capital raising experience.</w:t>
      </w:r>
    </w:p>
    <w:p>
      <w:pPr>
        <w:spacing w:after="0" w:line="17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Ambassador Hans H. Hertell </w:t>
      </w:r>
      <w:r>
        <w:rPr>
          <w:rFonts w:ascii="Arial" w:cs="Arial" w:eastAsia="Arial" w:hAnsi="Arial"/>
          <w:sz w:val="16"/>
          <w:szCs w:val="16"/>
          <w:color w:val="auto"/>
        </w:rPr>
        <w:t>is one of our director nominees. Since 2009, Mr. Hertell has been the Chairman of the Board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Hertell Group LLC, a group of seasoned and qualified, ex government, corporate and financial sector principals, with proven backgrounds in legal, finance, engineering, management, government relations and international business. Mr. Hertell is a former United States Ambassador to the Dominican Republic where he served from 2001 to 2007. Mr. Hertell was a co-founder of Goldman, Antonetti, Ferraiuoli, Axtmayer and Hertell, from</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1982 to 1989, which at the time was the third largest full service law firm in Puerto Rico. Mr. Hertell was also involved with the operations and investments of the Barrick Gold Corporation in the Dominican Republic. He was the Chairman of the Board at U.S. Precious Metals, Inc. from 2013 to 2015, and Colt Resources Inc. in 2015. Mr. Hertell was managing director for the Caribbean and Latin America affairs at Black, Kelly, Scruggs &amp; Healey, a government and public affairs company based in Washington, D.C. from 1992-1996. In 1989, he served as a member of the Commission to Review U.S. Magistrates for Reappointment of the U.S. District Court for the District of Puerto Rico. Between 1982 to 1984, he served as political and legal advisor to the Governor of Puerto Rico, as well as to the Attorney General, the Secretary of Agriculture and the Secretary of the Treasury of the Commonwealth of Puerto Rico.</w:t>
      </w:r>
    </w:p>
    <w:p>
      <w:pPr>
        <w:spacing w:after="0" w:line="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Mr. Hertell has also served on the board for Interenergy, Inc., Valisoft, Demex and Fundacion Boerman Segarra. Mr. Hertell has a law degree from the University of Puerto Rico and a Bachelor of Science in Economics from Fordham University, and an insurance degree from the College of Insurance. We believe that Amb. Hertell is well qualified to be a nominee to our board of directors due to his impressive tenure in government, corporate and financial sectors.</w:t>
      </w:r>
    </w:p>
    <w:p>
      <w:pPr>
        <w:sectPr>
          <w:pgSz w:w="11900" w:h="16838" w:orient="portrait"/>
          <w:cols w:equalWidth="0" w:num="1">
            <w:col w:w="11240"/>
          </w:cols>
          <w:pgMar w:left="320" w:top="904" w:right="339" w:bottom="6" w:gutter="0" w:footer="0" w:header="0"/>
        </w:sectPr>
      </w:pPr>
    </w:p>
    <w:bookmarkStart w:id="128" w:name="page129"/>
    <w:bookmarkEnd w:id="128"/>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will have [●] directors upon completion of this offering. Our board of directors will be divided into two classes with only one class of directors being elected in each year and each class (except for those directors appointed prior to our first annual meeting of stockholders) serving a two-year term. In accordance with Nasdaq corporate governance requirements, we are not required to hold an annual meeting until one year after our first fiscal year end following our listing on Nasdaq. The term of office of the first class of directors, consisting of [●] will expire at our first annual meeting of stockholders. The term of office of the second class of directors, consisting of [●], will expire at the second annual meeting of stockholders.</w:t>
      </w:r>
    </w:p>
    <w:p>
      <w:pPr>
        <w:spacing w:after="0" w:line="176"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Chief Investment Officer, Chief Operating Officer, President, Vice Presidents, Secretary, Treasurer, Assistant Secretaries and such other offices as may be determined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expect that our board of directors will determine that Peter Plaut, Ambassador Hans H. Hertell, Mike Penrod, Gene Zolotarev and Leon Golden and are “independent directors” as defined in the Nasdaq listing standards and applicable SEC rules. Our independent directors will have regularly scheduled meetings at which only independent directors are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None of our officers has received any cash compensation for services rendered to us. 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right="20" w:firstLine="324"/>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board of directors will have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Prior to the consummation of this offering, we will establish an audit committee of the board of directors. Leon Golden, [*] and will serve as members of our audit committee, and Leon Golden will chair the audit committee. Under the Nasdaq listing standards and applicable SEC rules, we are required to have at least three members of the audit committee, all of whom must be independent. Each of Leon Golden, [*] and, meet the independent director standard under Nasdaq listing standards and under Rule 10-A-3(b)(1) of the Exchange Act.</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Leon Golden qualifies as an “audit committee financial expert” as defined in applicable SEC rules.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660" w:right="10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660" w:right="180" w:hanging="328"/>
        <w:spacing w:after="0" w:line="29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161"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660" w:right="60" w:hanging="328"/>
        <w:spacing w:after="0" w:line="287"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rules promulgated by the Financial Accounting Standards Board, the SEC or other regulatory authorities.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Prior to the consummation of this offering, we will establish a compensation committee of the board of directors. [●] will serve as members of our compensation committee. Under the Nasdaq listing standards and applicable SEC rules, we are required to have at least two members of the compensation committee, all of whom must be independent. [●] are independent and [●] will chair the compensation committee.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right="20" w:firstLine="324"/>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 In accordance with Rule 5605 of the Nasdaq rules, all such directors are independent. As there is no standing nominating committee, we do not have a nominating committee charter in place.</w:t>
      </w:r>
    </w:p>
    <w:p>
      <w:pPr>
        <w:spacing w:after="0" w:line="178"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6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Ethics will be provided without charge upon request from us. We intend to disclose any amendments to or waivers of certain provisions of our Code of Ethics in a Current Report on Form 8-K. See the section of this prospectus entitled “Where You Can Find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Some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Subject to pre-existing fiduciary or contractual duties as described below, our officers and directors have agreed to present any business opportunities presented to them in their capacity as a director or officer of our company to us. Certain of our officers and directors presently have fiduciary or contractual obligations to other entities pursuant to which such officer or director is or will be required to present a business combination opportunity, including an Affiliated SPAC.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6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officers and directors may become officers or directors of another special purpose acquisition company with a class of securities intended to be registered under the Exchange Act, even prior to us entering into a definitive agreement for our initial business combination.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25" w:lineRule="exact"/>
        <w:rPr>
          <w:sz w:val="20"/>
          <w:szCs w:val="20"/>
          <w:color w:val="auto"/>
        </w:rPr>
      </w:pPr>
    </w:p>
    <w:p>
      <w:pPr>
        <w:ind w:left="660" w:right="68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70"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8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placement shares and any public shares held by them in connection with the consummation of our initial business combination. Additionally, our initial stockholders have agreed to waive their redemption rights with respect to any founder shares and placement shares held by them if we fail to consummate our initial business combination within 24 months after the closing of this offering. If we do not complete our initial business combination within such applicable time period, the proceeds of the sale of the placement units held in the trust account will be used to fund the redemption of our public shares, and the placement securities will expire worthless. With certain limited exceptions, the founder shares will not be transferable, assignable by our sponsor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With certain limited exceptions, the placement units, placement shares and placement warrants and the Class A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6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and we may also obtain loans from our sponsor or its affiliates to extend the time period for consummating an initial business combination. Up to $1,500,000 of the loans made by our sponsor, our officers and directors, or our or their affiliates to us (including loans made to extend our time period for consummating a business combination) may be convertible into units, at a price of $10.00 per unit at the option of the lender, upon consummation of our initial business combination. The units would be identical to the placement units. If our initial business combination is not consummated, we will not repay loans made by our sponsor or its affiliates and will only repay loans made for working capital purposes or financing transaction costs with funds held outside of our trust account.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firstLine="324"/>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directors and director nominees currently have fiduciary duties or contractual obligations: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60" w:type="dxa"/>
            <w:vAlign w:val="bottom"/>
          </w:tcPr>
          <w:p>
            <w:pPr>
              <w:spacing w:after="0"/>
              <w:rPr>
                <w:sz w:val="20"/>
                <w:szCs w:val="20"/>
                <w:color w:val="auto"/>
              </w:rPr>
            </w:pPr>
            <w:r>
              <w:rPr>
                <w:rFonts w:ascii="Arial" w:cs="Arial" w:eastAsia="Arial" w:hAnsi="Arial"/>
                <w:sz w:val="18"/>
                <w:szCs w:val="18"/>
                <w:b w:val="1"/>
                <w:bCs w:val="1"/>
                <w:color w:val="auto"/>
              </w:rPr>
              <w:t>Individual</w:t>
            </w:r>
            <w:r>
              <w:rPr>
                <w:rFonts w:ascii="Arial" w:cs="Arial" w:eastAsia="Arial" w:hAnsi="Arial"/>
                <w:sz w:val="29"/>
                <w:szCs w:val="29"/>
                <w:b w:val="1"/>
                <w:bCs w:val="1"/>
                <w:color w:val="auto"/>
                <w:vertAlign w:val="superscript"/>
              </w:rPr>
              <w:t>(1)</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Entity</w:t>
            </w:r>
            <w:r>
              <w:rPr>
                <w:rFonts w:ascii="Arial" w:cs="Arial" w:eastAsia="Arial" w:hAnsi="Arial"/>
                <w:sz w:val="29"/>
                <w:szCs w:val="29"/>
                <w:b w:val="1"/>
                <w:bCs w:val="1"/>
                <w:color w:val="auto"/>
                <w:w w:val="89"/>
                <w:vertAlign w:val="superscript"/>
              </w:rPr>
              <w:t>(2)</w:t>
            </w:r>
          </w:p>
        </w:tc>
        <w:tc>
          <w:tcPr>
            <w:tcW w:w="120" w:type="dxa"/>
            <w:vAlign w:val="bottom"/>
          </w:tcPr>
          <w:p>
            <w:pPr>
              <w:spacing w:after="0"/>
              <w:rPr>
                <w:sz w:val="24"/>
                <w:szCs w:val="24"/>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Entity’s Business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6"/>
              </w:rPr>
              <w:t>Affiliation</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Shahal Khan</w:t>
            </w:r>
          </w:p>
        </w:tc>
        <w:tc>
          <w:tcPr>
            <w:tcW w:w="1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Burkhan LLC</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Investment Fund</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Trinity Hospitality Group LLC</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Real Estate Development</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Chairman of the Board</w:t>
            </w:r>
          </w:p>
        </w:tc>
        <w:tc>
          <w:tcPr>
            <w:tcW w:w="0" w:type="dxa"/>
            <w:vAlign w:val="bottom"/>
          </w:tcPr>
          <w:p>
            <w:pPr>
              <w:spacing w:after="0"/>
              <w:rPr>
                <w:sz w:val="1"/>
                <w:szCs w:val="1"/>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Roman Livson</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3"/>
              </w:rPr>
              <w:t>GSD Quantum AI Acquisition Corp.</w:t>
            </w:r>
          </w:p>
        </w:tc>
        <w:tc>
          <w:tcPr>
            <w:tcW w:w="120" w:type="dxa"/>
            <w:vAlign w:val="bottom"/>
          </w:tcPr>
          <w:p>
            <w:pPr>
              <w:spacing w:after="0"/>
              <w:rPr>
                <w:sz w:val="17"/>
                <w:szCs w:val="17"/>
                <w:color w:val="auto"/>
              </w:rPr>
            </w:pPr>
          </w:p>
        </w:tc>
        <w:tc>
          <w:tcPr>
            <w:tcW w:w="29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Special Purpose Acquisition Company</w:t>
            </w: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Bridge Media Acquisition Corp.</w:t>
            </w: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Special Purpose Acquisition Company</w:t>
            </w: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Katalyst Securities LLC</w:t>
            </w:r>
          </w:p>
        </w:tc>
        <w:tc>
          <w:tcPr>
            <w:tcW w:w="120" w:type="dxa"/>
            <w:vAlign w:val="bottom"/>
          </w:tcPr>
          <w:p>
            <w:pPr>
              <w:spacing w:after="0"/>
              <w:rPr>
                <w:sz w:val="20"/>
                <w:szCs w:val="20"/>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Investment Banking Firm</w:t>
            </w: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Payel Farasat</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Burkhan LLC</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Fund</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Investment Officer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GSD Quantum AI Acquisition Corp.</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Special Purpose Acquisition Company</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Investment Officer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Farasat Capital &amp; Consulting LLC</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Consulting Firm</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Managing Principal</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Project Me Coaching</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Coaching/Mentor Firm</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Founder, Master Coach</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V4 Capital LLC</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Impact Investing Firm</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Managing Director/Founder</w:t>
            </w:r>
          </w:p>
        </w:tc>
        <w:tc>
          <w:tcPr>
            <w:tcW w:w="0" w:type="dxa"/>
            <w:vAlign w:val="bottom"/>
          </w:tcPr>
          <w:p>
            <w:pPr>
              <w:spacing w:after="0"/>
              <w:rPr>
                <w:sz w:val="1"/>
                <w:szCs w:val="1"/>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Gene Zolotarev</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89"/>
              </w:rPr>
              <w:t>Baltic Technology Ventures JSC</w:t>
            </w:r>
          </w:p>
        </w:tc>
        <w:tc>
          <w:tcPr>
            <w:tcW w:w="120" w:type="dxa"/>
            <w:vAlign w:val="bottom"/>
          </w:tcPr>
          <w:p>
            <w:pPr>
              <w:spacing w:after="0"/>
              <w:rPr>
                <w:sz w:val="17"/>
                <w:szCs w:val="17"/>
                <w:color w:val="auto"/>
              </w:rPr>
            </w:pPr>
          </w:p>
        </w:tc>
        <w:tc>
          <w:tcPr>
            <w:tcW w:w="29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Technology Investment Firm</w:t>
            </w: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Maximus Capital S.A</w:t>
            </w: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Investment Firm</w:t>
            </w: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The Baltic Times</w:t>
            </w:r>
          </w:p>
        </w:tc>
        <w:tc>
          <w:tcPr>
            <w:tcW w:w="120" w:type="dxa"/>
            <w:vAlign w:val="bottom"/>
          </w:tcPr>
          <w:p>
            <w:pPr>
              <w:spacing w:after="0"/>
              <w:rPr>
                <w:sz w:val="20"/>
                <w:szCs w:val="20"/>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Publisher</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Chairman</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Isaac Chetrit</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Monti Consulting Services LLC</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Real Estate Consulting</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Trinity Hospitality Group LLC</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Real Estate Development</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President and Director</w:t>
            </w:r>
          </w:p>
        </w:tc>
        <w:tc>
          <w:tcPr>
            <w:tcW w:w="0" w:type="dxa"/>
            <w:vAlign w:val="bottom"/>
          </w:tcPr>
          <w:p>
            <w:pPr>
              <w:spacing w:after="0"/>
              <w:rPr>
                <w:sz w:val="1"/>
                <w:szCs w:val="1"/>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Christopher Schroeder</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3"/>
              </w:rPr>
              <w:t>Experiential Ventures Hospitality, LLC</w:t>
            </w:r>
          </w:p>
        </w:tc>
        <w:tc>
          <w:tcPr>
            <w:tcW w:w="120" w:type="dxa"/>
            <w:vAlign w:val="bottom"/>
          </w:tcPr>
          <w:p>
            <w:pPr>
              <w:spacing w:after="0"/>
              <w:rPr>
                <w:sz w:val="17"/>
                <w:szCs w:val="17"/>
                <w:color w:val="auto"/>
              </w:rPr>
            </w:pPr>
          </w:p>
        </w:tc>
        <w:tc>
          <w:tcPr>
            <w:tcW w:w="29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Hospitality and Entertainment</w:t>
            </w: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Company</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4"/>
              </w:rPr>
              <w:t>Dakia Entertainment &amp; Hospitality, LLC</w:t>
            </w:r>
          </w:p>
        </w:tc>
        <w:tc>
          <w:tcPr>
            <w:tcW w:w="120" w:type="dxa"/>
            <w:vAlign w:val="bottom"/>
          </w:tcPr>
          <w:p>
            <w:pPr>
              <w:spacing w:after="0"/>
              <w:rPr>
                <w:sz w:val="20"/>
                <w:szCs w:val="20"/>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Entertainment Company</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Co-Founder</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Hans H. Hertell</w:t>
            </w: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The Hertell Group LLC</w:t>
            </w:r>
          </w:p>
        </w:tc>
        <w:tc>
          <w:tcPr>
            <w:tcW w:w="120" w:type="dxa"/>
            <w:vAlign w:val="bottom"/>
            <w:shd w:val="clear" w:color="auto" w:fill="CCEEFF"/>
          </w:tcPr>
          <w:p>
            <w:pPr>
              <w:spacing w:after="0"/>
              <w:rPr>
                <w:sz w:val="17"/>
                <w:szCs w:val="17"/>
                <w:color w:val="auto"/>
              </w:rPr>
            </w:pPr>
          </w:p>
        </w:tc>
        <w:tc>
          <w:tcPr>
            <w:tcW w:w="29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4"/>
              </w:rPr>
              <w:t>Strategic Advisory Firm</w:t>
            </w: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Chairman of the Board and Chief</w:t>
            </w:r>
          </w:p>
        </w:tc>
        <w:tc>
          <w:tcPr>
            <w:tcW w:w="0" w:type="dxa"/>
            <w:vAlign w:val="bottom"/>
          </w:tcPr>
          <w:p>
            <w:pPr>
              <w:spacing w:after="0"/>
              <w:rPr>
                <w:sz w:val="1"/>
                <w:szCs w:val="1"/>
                <w:color w:val="auto"/>
              </w:rPr>
            </w:pPr>
          </w:p>
        </w:tc>
      </w:tr>
      <w:tr>
        <w:trPr>
          <w:trHeight w:val="122"/>
        </w:trPr>
        <w:tc>
          <w:tcPr>
            <w:tcW w:w="2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920" w:type="dxa"/>
            <w:vAlign w:val="bottom"/>
            <w:gridSpan w:val="2"/>
            <w:vMerge w:val="continue"/>
            <w:shd w:val="clear" w:color="auto" w:fill="CCEEFF"/>
          </w:tcPr>
          <w:p>
            <w:pPr>
              <w:spacing w:after="0"/>
              <w:rPr>
                <w:sz w:val="10"/>
                <w:szCs w:val="10"/>
                <w:color w:val="auto"/>
              </w:rPr>
            </w:pPr>
          </w:p>
        </w:tc>
        <w:tc>
          <w:tcPr>
            <w:tcW w:w="2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Executive Officer</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Peter Plaut</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4"/>
              </w:rPr>
              <w:t>Wimmer Financial/ Wimmer Family</w:t>
            </w:r>
          </w:p>
        </w:tc>
        <w:tc>
          <w:tcPr>
            <w:tcW w:w="120" w:type="dxa"/>
            <w:vAlign w:val="bottom"/>
          </w:tcPr>
          <w:p>
            <w:pPr>
              <w:spacing w:after="0"/>
              <w:rPr>
                <w:sz w:val="17"/>
                <w:szCs w:val="17"/>
                <w:color w:val="auto"/>
              </w:rPr>
            </w:pPr>
          </w:p>
        </w:tc>
        <w:tc>
          <w:tcPr>
            <w:tcW w:w="29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Investment Bank/Family Office</w:t>
            </w: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Executive Director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Office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Michael Penrod</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Elbo Room</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Bar</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Penrod Management LLC</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Hospitality</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MVP management Expert LLC</w:t>
            </w: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Technology</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Leon Golden</w:t>
            </w: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ARG Associates Inc.</w:t>
            </w:r>
          </w:p>
        </w:tc>
        <w:tc>
          <w:tcPr>
            <w:tcW w:w="120" w:type="dxa"/>
            <w:vAlign w:val="bottom"/>
          </w:tcPr>
          <w:p>
            <w:pPr>
              <w:spacing w:after="0"/>
              <w:rPr>
                <w:sz w:val="20"/>
                <w:szCs w:val="20"/>
                <w:color w:val="auto"/>
              </w:rPr>
            </w:pPr>
          </w:p>
        </w:tc>
        <w:tc>
          <w:tcPr>
            <w:tcW w:w="2920" w:type="dxa"/>
            <w:vAlign w:val="bottom"/>
            <w:gridSpan w:val="2"/>
          </w:tcPr>
          <w:p>
            <w:pPr>
              <w:ind w:left="740"/>
              <w:spacing w:after="0"/>
              <w:rPr>
                <w:sz w:val="20"/>
                <w:szCs w:val="20"/>
                <w:color w:val="auto"/>
              </w:rPr>
            </w:pPr>
            <w:r>
              <w:rPr>
                <w:rFonts w:ascii="Arial" w:cs="Arial" w:eastAsia="Arial" w:hAnsi="Arial"/>
                <w:sz w:val="18"/>
                <w:szCs w:val="18"/>
                <w:color w:val="auto"/>
              </w:rPr>
              <w:t>Accounting Firm</w:t>
            </w: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person has a fiduciary duty with respect to the listed entities next to their respective names.</w:t>
      </w:r>
    </w:p>
    <w:p>
      <w:pPr>
        <w:spacing w:after="0" w:line="22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the entities listed in this table has priority and preference relative to our company with respect to the performance by each individual listed in this table of his obligations and the presentation by each such individual of business opportunities.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right="380" w:firstLine="324"/>
        <w:spacing w:after="0" w:line="311" w:lineRule="auto"/>
        <w:rPr>
          <w:sz w:val="20"/>
          <w:szCs w:val="20"/>
          <w:color w:val="auto"/>
        </w:rPr>
      </w:pPr>
      <w:r>
        <w:rPr>
          <w:rFonts w:ascii="Arial" w:cs="Arial" w:eastAsia="Arial" w:hAnsi="Arial"/>
          <w:sz w:val="16"/>
          <w:szCs w:val="16"/>
          <w:color w:val="auto"/>
        </w:rPr>
        <w:t>Accordingly, if any of the above executive officers, directors or director nominees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w:t>
      </w:r>
    </w:p>
    <w:p>
      <w:pPr>
        <w:spacing w:after="0" w:line="14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that such an initial business combination is fair to our company from a financial point of view.</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pursuant to the letter agreement, our sponsor, officers and directors have agreed to vote any founder shares or placement shares held by them and any public shares purchased during or after the offering (including in open market and privately negotiated transactions) in favor of our initial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6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PRINCIPAL STOCKHOLDERS</w:t>
      </w:r>
      <w:r>
        <w:rPr>
          <w:rFonts w:ascii="Arial" w:cs="Arial" w:eastAsia="Arial" w:hAnsi="Arial"/>
          <w:sz w:val="29"/>
          <w:szCs w:val="29"/>
          <w:b w:val="1"/>
          <w:bCs w:val="1"/>
          <w:color w:val="auto"/>
          <w:vertAlign w:val="superscript"/>
        </w:rPr>
        <w:t>3</w:t>
      </w:r>
    </w:p>
    <w:p>
      <w:pPr>
        <w:spacing w:after="0" w:line="13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124"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placement warrants as these warrants are not exercisable within 60 days of the date of this prospectus.</w:t>
      </w:r>
    </w:p>
    <w:p>
      <w:pPr>
        <w:spacing w:after="0" w:line="184"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On May 21, 2021, our sponsor purchased 8,625,000 founder shares for an aggregate purchase price of $25,000, or approximately $0.003 per share. In addition, our sponsor has committed, pursuant to a written agreement, to purchase an aggregate of 429,500 placement units for a purchase price of $10.00 per unit in a private placement that will occur simultaneously with the closing of this offering (assuming the underwriters do not exercise their over-allotment option). The following table presents the number of shares and percentage of our common stock beneficially owned as of the filing date, before and after this offering, by each person, or group of persons, known to us who beneficially owns more than 5% of our capital stock, each named executive officer, each of our directors and all directors and executive officers as a group. The post-offering numbers and percentages presented assume that the underwriters do not exercise their over-allotment option, that our sponsor forfeits 1,125,000 founder shares on a pro rata basis, and that there are 33,304,500 shares of our common stock issued and outstanding after this offering, consisting of (i) 25,804,500 shares of our Class A common stock (including 25,000,000 public shares, 429,500 placement shares, 375,000 shares of Class A common stock comprising the representative shares) and (ii) 7,500,000 shares of our Class B common, issued and outstanding after this offering.</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Before Offering</w:t>
            </w:r>
          </w:p>
        </w:tc>
        <w:tc>
          <w:tcPr>
            <w:tcW w:w="28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2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3"/>
              </w:rPr>
              <w:t>Number of</w:t>
            </w:r>
          </w:p>
        </w:tc>
        <w:tc>
          <w:tcPr>
            <w:tcW w:w="150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93"/>
              </w:rPr>
              <w:t>of</w:t>
            </w:r>
          </w:p>
        </w:tc>
        <w:tc>
          <w:tcPr>
            <w:tcW w:w="1440" w:type="dxa"/>
            <w:vAlign w:val="bottom"/>
            <w:gridSpan w:val="2"/>
            <w:vMerge w:val="continue"/>
          </w:tcPr>
          <w:p>
            <w:pPr>
              <w:spacing w:after="0"/>
              <w:rPr>
                <w:sz w:val="15"/>
                <w:szCs w:val="15"/>
                <w:color w:val="auto"/>
              </w:rPr>
            </w:pP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Common</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auto"/>
            </w:tcBorders>
            <w:gridSpan w:val="2"/>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29"/>
                <w:szCs w:val="29"/>
                <w:b w:val="1"/>
                <w:bCs w:val="1"/>
                <w:color w:val="auto"/>
                <w:w w:val="86"/>
                <w:vertAlign w:val="superscript"/>
              </w:rPr>
              <w:t>(3)</w:t>
            </w:r>
          </w:p>
        </w:tc>
        <w:tc>
          <w:tcPr>
            <w:tcW w:w="2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BurTech LP LLC</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7,929,500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57"/>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Shahal Khan</w:t>
            </w:r>
            <w:r>
              <w:rPr>
                <w:rFonts w:ascii="Arial" w:cs="Arial" w:eastAsia="Arial" w:hAnsi="Arial"/>
                <w:sz w:val="29"/>
                <w:szCs w:val="29"/>
                <w:color w:val="auto"/>
                <w:vertAlign w:val="superscript"/>
              </w:rPr>
              <w:t>(2)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7,500,000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7,929,500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56"/>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Roman Livson</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7,929,500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57"/>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Isaac Chetrit</w:t>
            </w:r>
            <w:r>
              <w:rPr>
                <w:rFonts w:ascii="Arial" w:cs="Arial" w:eastAsia="Arial" w:hAnsi="Arial"/>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Payel Farasat</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Christopher Schroeder</w:t>
            </w:r>
            <w:r>
              <w:rPr>
                <w:rFonts w:ascii="Arial" w:cs="Arial" w:eastAsia="Arial" w:hAnsi="Arial"/>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Hans H. Hertell</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Gene Zolotarev </w:t>
            </w:r>
            <w:r>
              <w:rPr>
                <w:rFonts w:ascii="Arial" w:cs="Arial" w:eastAsia="Arial" w:hAnsi="Arial"/>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Michael Penrod</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460" w:type="dxa"/>
            <w:vAlign w:val="bottom"/>
            <w:gridSpan w:val="3"/>
          </w:tcPr>
          <w:p>
            <w:pPr>
              <w:ind w:left="60"/>
              <w:spacing w:after="0" w:line="256" w:lineRule="exact"/>
              <w:rPr>
                <w:sz w:val="20"/>
                <w:szCs w:val="20"/>
                <w:color w:val="auto"/>
              </w:rPr>
            </w:pPr>
            <w:r>
              <w:rPr>
                <w:rFonts w:ascii="Arial" w:cs="Arial" w:eastAsia="Arial" w:hAnsi="Arial"/>
                <w:sz w:val="18"/>
                <w:szCs w:val="18"/>
                <w:color w:val="auto"/>
              </w:rPr>
              <w:t>Peter Plaut</w:t>
            </w:r>
            <w:r>
              <w:rPr>
                <w:rFonts w:ascii="Arial" w:cs="Arial" w:eastAsia="Arial" w:hAnsi="Arial"/>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(nine individuals)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7,929,500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Less than 1%</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 w:hanging="512"/>
        <w:spacing w:after="0" w:line="258"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these individuals is c/o BurTech Acquisition Corp., 1300 Pennsylvania Ave NW, Suite 700, Washington, DC 20004.</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BurTech LP LLC, one of our sponsors, is the record holder of the securities reported herein. Shahal Khan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 w:lineRule="exact"/>
        <w:rPr>
          <w:rFonts w:ascii="Arial" w:cs="Arial" w:eastAsia="Arial" w:hAnsi="Arial"/>
          <w:sz w:val="18"/>
          <w:szCs w:val="18"/>
          <w:color w:val="auto"/>
        </w:rPr>
      </w:pPr>
    </w:p>
    <w:p>
      <w:pPr>
        <w:ind w:left="520" w:right="200" w:hanging="512"/>
        <w:spacing w:after="0" w:line="250"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shares of Class B common stock, as well as placement shares after this offering (assumes the underwriters’ over-allotment option has not been exercised, and an aggregate of 1,125,000 founder shares have been forfeited by our sponsor). Founder shares are convertible into shares of Class A common stock on a one-for-one basis, subject to adjustment, as described in the section of this prospectus entitled “Description of Securities.”</w:t>
      </w:r>
    </w:p>
    <w:p>
      <w:pPr>
        <w:spacing w:after="0" w:line="1" w:lineRule="exact"/>
        <w:rPr>
          <w:rFonts w:ascii="Arial" w:cs="Arial" w:eastAsia="Arial" w:hAnsi="Arial"/>
          <w:sz w:val="18"/>
          <w:szCs w:val="18"/>
          <w:color w:val="auto"/>
        </w:rPr>
      </w:pPr>
    </w:p>
    <w:p>
      <w:pPr>
        <w:ind w:left="520" w:right="160" w:hanging="512"/>
        <w:spacing w:after="0" w:line="323" w:lineRule="auto"/>
        <w:tabs>
          <w:tab w:leader="none" w:pos="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ind w:firstLine="324"/>
        <w:spacing w:after="0" w:line="287" w:lineRule="auto"/>
        <w:rPr>
          <w:sz w:val="20"/>
          <w:szCs w:val="20"/>
          <w:color w:val="auto"/>
        </w:rPr>
      </w:pPr>
      <w:r>
        <w:rPr>
          <w:rFonts w:ascii="Arial" w:cs="Arial" w:eastAsia="Arial" w:hAnsi="Arial"/>
          <w:sz w:val="16"/>
          <w:szCs w:val="16"/>
          <w:color w:val="auto"/>
        </w:rPr>
        <w:t>After giving effect to the issuance of founder shares and the sale of the placement units, our sponsor will own approximately 23.81% of the outstanding common stock following the offering (including the placement shares to be issued to the sponsor, excluding representative shares and assuming they do not purchase any units in this offering or the public market). Because of this ownership block, our initial stockholders and the holders of placement shares will have significant influence over the outcome of all matters requiring approval by our stockholders, including the election of directors, amendments to our amended and restated certificate of incorporation and approval of significant corporate transactions other than approval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23.1%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The initial stockholders have agreed (A) to vote any shares owned by them in favor of any proposed initial business combination and (B) not to redeem any shares in connection with a stockholder vote to approve a proposed initial business combination.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sponsor, executive officers and directors are deemed to be our “promoters” as such term is defined under the federal securities laws.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Placement Units</w:t>
      </w:r>
    </w:p>
    <w:p>
      <w:pPr>
        <w:spacing w:after="0" w:line="229"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founder shares, and placement units, and securities contained therein, are each subject to transfer restrictions pursuant to lock-up provisions in a letter agreement with us to be entered into by our sponsor, officers and directors. Those lock-up provisions provide that such securities are not transferable or salable (i) in the case of the founder shares (or shares of common stock issuable upon conversion thereof),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In the case of the placement units, including the component securities therein,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one of the members of the individual’s immediate family or to a trust, the beneficiary of which is a member of one of the individual’s immediate family, an affiliate of such person or to a charitable organization; (c) in the case of an individual, by virtue of laws of descent and distribution upon death of any of our officers, our directors, the initial stockholders or members of our sponsor; (d) in the case of an individual, pursuant to a qualified domestic relations order; (e) by private sales or transfers made in connection with the consummation of an initial business combination at prices no greater than the price at which the securities were originally purchased; (f) in the event of our liquidation prior to the completion of our initial business combination; (g) by virtue of the laws of Delaware or our sponsor’s limited liability company agreement upon dissolution of our sponsor; or (h) in the event of our liquidation, merger, capital stock exchange, reorganization or other similar transaction which results in all of our stockholders having the right to exchange their shares of common stock for cash, securities or other property subsequent to our completion of our initial business combination;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our sponsor with respect to such securities (including provisions relating to voting, the trust account and liquidating distributions described elsewhere in this prospectus).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holders of the founder shares, the representative shares, the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w:t>
      </w: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May 21, 2021, we issued an aggregate of 8,625,000 founder shares to our sponsor for an aggregate purchase price of $25,000 in cash, or approximately $0.003 per share. The number of founder shares issued was determined based on the expectation that such founder shares would represent 23.1% of the outstanding shares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23.1%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Up to 1,125,000 founder shares held by our sponsor are subject to forfeiture by our sponsor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79" w:lineRule="exact"/>
        <w:rPr>
          <w:sz w:val="20"/>
          <w:szCs w:val="20"/>
          <w:color w:val="auto"/>
        </w:rPr>
      </w:pPr>
    </w:p>
    <w:p>
      <w:pPr>
        <w:ind w:right="680" w:firstLine="324"/>
        <w:spacing w:after="0" w:line="291" w:lineRule="auto"/>
        <w:rPr>
          <w:sz w:val="20"/>
          <w:szCs w:val="20"/>
          <w:color w:val="auto"/>
        </w:rPr>
      </w:pPr>
      <w:r>
        <w:rPr>
          <w:rFonts w:ascii="Arial" w:cs="Arial" w:eastAsia="Arial" w:hAnsi="Arial"/>
          <w:sz w:val="16"/>
          <w:szCs w:val="16"/>
          <w:color w:val="auto"/>
        </w:rPr>
        <w:t>Our sponsor has agreed to purchase an aggregate of 429,500 placement units at a price of $10.00 per unit for an aggregate purchase price of $4,295,000. If the over-allotment option is exercised in full, the amount of placement units sold will be 467,000 for an aggregate purchase price of</w:t>
      </w:r>
    </w:p>
    <w:p>
      <w:pPr>
        <w:ind w:right="220"/>
        <w:spacing w:after="0" w:line="323" w:lineRule="auto"/>
        <w:rPr>
          <w:sz w:val="20"/>
          <w:szCs w:val="20"/>
          <w:color w:val="auto"/>
        </w:rPr>
      </w:pPr>
      <w:r>
        <w:rPr>
          <w:rFonts w:ascii="Arial" w:cs="Arial" w:eastAsia="Arial" w:hAnsi="Arial"/>
          <w:sz w:val="16"/>
          <w:szCs w:val="16"/>
          <w:color w:val="auto"/>
        </w:rPr>
        <w:t>$4,670,000. There will be no redemption rights or liquidating distributions from the trust account with respect to the founder shares, placement shares or placement warrants, which will expire worthless if we do not consummate a business combination within 24 months from the closing of this offering.</w:t>
      </w:r>
    </w:p>
    <w:p>
      <w:pPr>
        <w:spacing w:after="0" w:line="13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66"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As of May 21, 2021, the Company had borrowed $100 under the promissory note. These loans are non-interest bearing, unsecured and are due at the earlier of December 31, 2021 or the closing of this offering. The loan will be repaid upon the closing of this offering out of the estimated $645,000 of offering proceeds that has been allocated to the payment of offering expenses (other than underwriting commissions). The value of our sponsor’s interest in this transaction corresponds to the principal amount outstanding under any such loan.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1" w:name="page142"/>
    <w:bookmarkEnd w:id="141"/>
    <w:p>
      <w:pPr>
        <w:ind w:right="100" w:firstLine="324"/>
        <w:spacing w:after="0" w:line="257"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w:t>
      </w:r>
    </w:p>
    <w:p>
      <w:pPr>
        <w:spacing w:after="0" w:line="18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sponsor, our officers and directors or their affiliates, if any, have not been determined and no written agreements exist with respect to such loans.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holders of the founder shares, the representative shares, placement units, and units that may be issued upon conversion of working capital loans (and in each case holders of their component securities, as applicable) will have registration rights to require us to register a sale of any of our securities held by them pursuant to a registration rights agreement to be signed prior to or on the effective date of this offering. These 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w:t>
      </w:r>
    </w:p>
    <w:p>
      <w:pPr>
        <w:spacing w:after="0" w:line="17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17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executive officers to complete a directors’ and officers’ questionnaire that elicits information about related party transactions.</w:t>
      </w:r>
    </w:p>
    <w:p>
      <w:pPr>
        <w:spacing w:after="0" w:line="17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2" w:name="page143"/>
    <w:bookmarkEnd w:id="142"/>
    <w:p>
      <w:pPr>
        <w:ind w:firstLine="324"/>
        <w:spacing w:after="0" w:line="290"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officers or directors prior to,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this offering held in the trust account prior to the completion of our initial business combination:</w:t>
      </w:r>
    </w:p>
    <w:p>
      <w:pPr>
        <w:spacing w:after="0" w:line="16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Repayment of up to an aggregate of $300,000 in loans made to us by our sponsor to cover offering-related and organizational expenses;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36"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Repayment of non-interest bearing loans which may be made by our sponsor or an affiliate of our sponsor or certain of our officers and directors to finance transaction costs in connection with an intended initial business combination and repayment of non-interest bearing loans which may be made by our sponsor or its affiliates to extend our time period for consummating a business combination, the terms of which (other than as described above) have not been determined nor have any written agreements been executed with respect thereto.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audit committee will review on a quarterly basis all payments that were made to our sponsor, officers, directors or our or their affiliates.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our amended and restated certificate of incorporation, our authorized capital stock consists of 280,000,000 shares of Class A common stock, $0.0001 par value per share, 20,000,000 shares of Class B common stock, $0.0001 par value per share, and 1,000,000 shares of undesignated preferred stock, $0.0001 par value per share. The following description summarizes the material terms of our capital stock. Because it is only a summary, it may not contain all the information that is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Each unit has an offering price of $10.00 and consists of one share of Class A common stock and one-half of one redeemable warrant. Only whole warrants are exercisable. Each whole warrant entitles the holder to purchase one share of common stock. Pursuant to the warrant agreement, a warrant holder may exercise his, her or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at least two units, you will not be able to receive or trade a whole warrant.</w:t>
      </w:r>
    </w:p>
    <w:p>
      <w:pPr>
        <w:spacing w:after="0" w:line="180"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We expect the Class A common stock and warrants comprising the units will begin separate trading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w:t>
      </w:r>
    </w:p>
    <w:p>
      <w:pPr>
        <w:spacing w:after="0" w:line="181"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In no event will the Class A common stock and warrants be traded separately until we have filed with the SEC a Current Report on Form 8-K which includes an audited balance sheet reflecting our receipt of the gross proceeds at the closing of this offering. We will file a Current Report on Form 8-K which includes this audited balance sheet upon the completion of this offering, which is anticipated to take place four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Units</w:t>
      </w:r>
    </w:p>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placement units are identical to the units sold in this offering except that the placement units and their component securities will not be transferable, assignable or salable until 30 days after the consummation of our initial business combination except to permitted transferees, and will be entitled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Upon the closing of this offering, 33,304,500 shares of our common stock will be outstanding (assuming no exercise of the underwriters’ over-allotment option and the corresponding forfeiture of 1,125,000 founder shares by our sponsor), consisting of:</w:t>
      </w:r>
    </w:p>
    <w:p>
      <w:pPr>
        <w:spacing w:after="0" w:line="17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25,804,500 shares of our Class A common stock underlying the units being offered in this offering and the private placement;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7,500,000 shares of Class B common stock held by our initial stockholders.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4" w:name="page145"/>
    <w:bookmarkEnd w:id="144"/>
    <w:p>
      <w:pPr>
        <w:ind w:left="340"/>
        <w:spacing w:after="0"/>
        <w:rPr>
          <w:sz w:val="20"/>
          <w:szCs w:val="20"/>
          <w:color w:val="auto"/>
        </w:rPr>
      </w:pPr>
      <w:r>
        <w:rPr>
          <w:rFonts w:ascii="Arial" w:cs="Arial" w:eastAsia="Arial" w:hAnsi="Arial"/>
          <w:sz w:val="17"/>
          <w:szCs w:val="17"/>
          <w:color w:val="auto"/>
        </w:rPr>
        <w:t>Our sponsor has agreed to purchase an aggregate of 429,500 placement units at a price of $10.00 per unit, for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$4,295,000. The initial stockholders will hold an aggregate of approximately 23.81% of the issued and outstanding common stock following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expiration of the underwriters’ over-allotment option (including the placement shares to be issued to the sponsor, excluding representative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assuming they do not purchase any units in this offering or the public market). If we increase or decrease the size of the offering we will effect a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 or a share contribution back to capital or other appropriate mechanism, as applicable, with respect to our Class B common stock immediately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consummation of the offering in such amount as to maintain the ownership of our initial stockholders at 23.1% of the issued and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(excluding the shares of Class A common stock to be issued to the representative or its designees upon consummation of this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placement units and underlying securities of the foregoing and assuming they do not purchase any units in this offering) upon the consummation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1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7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Because our amended and restated certificate of incorporation authorizes the issuance of up to 280,000,000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stockholders vote on the initial business combination to the extent we seek stockholder approval in connection with our initial business combination.</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firstLine="324"/>
        <w:spacing w:after="0" w:line="283"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$10.00 per public share. The per-share amount we will distribute to investors who properly redeem their shares will not be reduced by the deferred underwriting commissions we will pay to the underwriters. Our sponsor, officers and directors will enter into a letter agreement with us, pursuant to which they will agree to waive their redemption rights with respect to any founder shares and placement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requirements,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requirements,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The underwriters will have the same redemption rights as a public stockholder with respect to any public shares it acquires. The representative has informed us that it has no current commitments, plans or intentions to acquire any public shares for its own account; however, if they do acquire public shares, it will do so in the ordinary course of business or in the types of transaction described in the first paragraph under “Proposed Business — Effecting our Initial Business Combination — Permitted purchases of our securities.” The underwriters will not make any such purchases when in possession of any material nonpublic information not disclosed to the seller, during a restricted period under Regulation M under the Exchange Act, in transactions that would violate Section 9(a)(2) or Rule 10(b)-5 under the Exchange Act, or if prohibited by applicable state securities laws or broker-dealer regulations. To the extent our initial stockholders or purchasers of placement units transfer any of these securities to certain permitted transferees, such permitted transferees will agree, as a condition to such transfer, to waive these same redemption rights. Also, our sponsor has committed to purchase 429,500 placement units (or up to 467,000 placement units if the over-allotment option is exercised in full) at the price of $10.00 per unit in a private placement that will occur simultaneously with the completion of this offering. If we submit our initial business combination to our public stockholders for a vote, our sponsor, the other initial stockholders, our officers and our directors have agreed to vote their respective founder shares, placement shares and any public shares held by them in favor of our initial business combination.</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participation of our sponsor, officers, directors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19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If we seek stockholder approval in connection with our initial business combination, pursuant to the letter agreement our sponsor, officers and directors have agreed to vote any founder shares and placement shares held by them and any public shares they may acquire during or after this offering (including in open market and privately negotiated transactions) in favor of our initial business combination. As a result, in addition to our initial stockholders’ founder shares and placement shares, we would need 396,626, or 1.59%, of the 25,000,000 public shares sold in this offering to be voted in favor of an initial business combination (assuming only the minimum number of shares representing a quorum are voted) in order to have our initial business combination approved (assuming the over-allotment option is not exercised and that the initial stockholders do not purchase any units in this offering or units or shares in the after-market and excluding the representative’s shares). In the event that all shares of our outstanding common stock are voted, we would need 8,722,751 or 34.89%,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Additionally, each public stockholder may elect to redeem its public shares irrespective of whether they vote for or against the proposed transaction (subject to the limitation described in the preceding paragraph).</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firstLine="324"/>
        <w:spacing w:after="0" w:line="268"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Our sponsor, officers and directors will enter into a letter agreement with us, pursuant to which they will agree to waive their rights to liquidating distributions from the trust account with respect to any founder shares and placement shares held by them if we fail to complete our initial business combination within 24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8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 and Placement Shares</w:t>
      </w:r>
    </w:p>
    <w:p>
      <w:pPr>
        <w:spacing w:after="0" w:line="22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founder shares and placement shares are identical to the shares of Class A common stock included in the units being sold in this offering, and holders of founder shares and placement shares have the same stockholder rights as public stockholders, except that (i) the founder shares and placement shares are subject to certain transfer restrictions, as described in more detail below, (ii) our sponsor, officers and directors have entered into a letter agreement with us, pursuant to which they have agreed (A) to waive their redemption rights with respect to any founder shares and placement shares and any public shares held by them in connection with the completion of our initial business combination, (B) to waive their redemption rights with respect to their founder shares and placement shares and any public shares in connection with a stockholder vote to approve an amendment to our amended and restated certificate of incorporation (x)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the consummation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and placement shares held by them and any public shares purchased during or after this offering (including in open market and privately negotiated transactions) in favor of our initial business combination. The placement shares will not be transferable, assignable or saleable until 30 days after the consummation of our initial business combination except to permitted transferees.</w:t>
      </w:r>
    </w:p>
    <w:p>
      <w:pPr>
        <w:spacing w:after="0" w:line="171"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23.1% of the sum of the total number of all shares of common stock outstanding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offering)plus all shares of Class A common stock and equity-linked securities issued or deemed issued in connection with the initial business combination (excluding any shares or equity-linked securities issued, or to be issued, to any seller in the initial business combination, any private placement-equivalent units and their underlying securities issued to our sponsor or its affiliates upon conversion of loans made to us). We cannot determine at this time whether a majority of the holders of our Class B common stock at the time of any future issuance would 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w:t>
      </w:r>
    </w:p>
    <w:p>
      <w:pPr>
        <w:ind w:right="160" w:firstLine="8"/>
        <w:spacing w:after="0" w:line="269"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issues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8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ectPr>
          <w:pgSz w:w="11900" w:h="16838" w:orient="portrait"/>
          <w:cols w:equalWidth="0" w:num="1">
            <w:col w:w="11240"/>
          </w:cols>
          <w:pgMar w:left="320" w:top="908" w:right="339" w:bottom="0" w:gutter="0" w:footer="0" w:header="0"/>
        </w:sectPr>
      </w:pPr>
    </w:p>
    <w:bookmarkStart w:id="147" w:name="page148"/>
    <w:bookmarkEnd w:id="147"/>
    <w:p>
      <w:pPr>
        <w:ind w:firstLine="324"/>
        <w:spacing w:after="0" w:line="271" w:lineRule="auto"/>
        <w:rPr>
          <w:sz w:val="20"/>
          <w:szCs w:val="20"/>
          <w:color w:val="auto"/>
        </w:rPr>
      </w:pPr>
      <w:r>
        <w:rPr>
          <w:rFonts w:ascii="Arial" w:cs="Arial" w:eastAsia="Arial" w:hAnsi="Arial"/>
          <w:sz w:val="17"/>
          <w:szCs w:val="17"/>
          <w:color w:val="auto"/>
        </w:rPr>
        <w:t>Our amended and restated certificate of incorporation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Each whole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Accordingly, unless you purchase at least two units, you will not be able to receive or trade a whole warrant.</w:t>
      </w:r>
    </w:p>
    <w:p>
      <w:pPr>
        <w:spacing w:after="0" w:line="19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warrants will expire five years after the completion of our initial business combination, at 5:00 p.m., New York City time, or earlier upon redemption or liquidation.</w:t>
      </w:r>
    </w:p>
    <w:p>
      <w:pPr>
        <w:spacing w:after="0" w:line="17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registration statement covering the shares of Class A common stock 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placement warrants, as well as any warrants underlying additional units we issue to our sponsor, officers, directors, initial stockholders or their affiliates in payment of working capital loans made to us, will be identical to the warrants underlying the units being offered by this prospectus, except that they will not be transferable, assignable or saleable until 30 days after the consummation of the initial business combination.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left="660" w:hanging="328"/>
        <w:spacing w:after="0" w:line="286"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 and’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Class A common stock underlying such warrants.</w:t>
      </w:r>
    </w:p>
    <w:p>
      <w:pPr>
        <w:spacing w:after="0" w:line="24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Class A common stock for the 5 trading days ending on the third trading day prior to the date on which the notice of redemption is sent to the holders of warrants.</w:t>
      </w:r>
    </w:p>
    <w:p>
      <w:pPr>
        <w:spacing w:after="0" w:line="17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this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written consent or vote, of the holders of at least 50% of the then outstanding public warrants in order to make any change that adversely affects the interests of the registered holders.</w:t>
      </w:r>
    </w:p>
    <w:p>
      <w:pPr>
        <w:spacing w:after="0" w:line="166" w:lineRule="exact"/>
        <w:rPr>
          <w:sz w:val="20"/>
          <w:szCs w:val="20"/>
          <w:color w:val="auto"/>
        </w:rPr>
      </w:pPr>
    </w:p>
    <w:p>
      <w:pPr>
        <w:jc w:val="both"/>
        <w:ind w:right="460" w:firstLine="324"/>
        <w:spacing w:after="0" w:line="311" w:lineRule="auto"/>
        <w:rPr>
          <w:sz w:val="20"/>
          <w:szCs w:val="20"/>
          <w:color w:val="auto"/>
        </w:rPr>
      </w:pPr>
      <w:r>
        <w:rPr>
          <w:rFonts w:ascii="Arial" w:cs="Arial" w:eastAsia="Arial" w:hAnsi="Arial"/>
          <w:sz w:val="16"/>
          <w:szCs w:val="16"/>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4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then the exercise price of the warrants will be adjusted (to the nearest cent) to be equal to 115% of the greater of (i) the Market Value or (ii) the Newly Issued Price, and the $18.00 per share redemption trigger price of the warrants will be adjusted (to the nearest cent) to be equal to 180% of the greater of (i) the Market Value or (ii) the Newly Issued Price.</w:t>
      </w:r>
    </w:p>
    <w:p>
      <w:pPr>
        <w:spacing w:after="0" w:line="196"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24"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47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Placement warrants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placement warrants have terms and provisions that are identical to those of the warrants being sold as part of the units in this offering, including as to exercise price, exercisability and exercise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holders of our placement warrants are entitled to certain registration rights.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sponsor has agreed not to transfer, assign or sell any of the placement warrants (including the Class A common stock issuable upon exercise of any of these warrants) until the date that is 30 days after the date we complete our initial business combination, except among other limited exceptions as described under the section of this prospectus entitled “Principal Stockholders — Restrictions on Transfers of Founder Shares and Placement Warrants” made to our officers and directors and other persons or entities affiliated with our sponsor.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23.1% of the issued and outstanding shares of our common stock (excluding the shares of Class A common stock to be issued to the representative or its designees upon consummation of this offering, the placement units and the securities underlying the placement units and assuming they do not purchase any units in this offering) upon the consummation of this offering. Further, if we incur any indebtedness,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65% of our common stock. Our initial stockholders, who will collectively beneficially own approximately 23.81%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78" w:lineRule="exact"/>
        <w:rPr>
          <w:sz w:val="20"/>
          <w:szCs w:val="20"/>
          <w:color w:val="auto"/>
        </w:rPr>
      </w:pPr>
    </w:p>
    <w:p>
      <w:pPr>
        <w:ind w:left="660" w:right="20" w:hanging="328"/>
        <w:spacing w:after="0" w:line="270"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entity that commonly renders valuation opinions that such an initial business combination is fair to our company from a financial point of view;</w:t>
      </w:r>
    </w:p>
    <w:p>
      <w:pPr>
        <w:spacing w:after="0" w:line="186" w:lineRule="exact"/>
        <w:rPr>
          <w:rFonts w:ascii="Arial" w:cs="Arial" w:eastAsia="Arial" w:hAnsi="Arial"/>
          <w:sz w:val="18"/>
          <w:szCs w:val="18"/>
          <w:color w:val="auto"/>
        </w:rPr>
      </w:pPr>
    </w:p>
    <w:p>
      <w:pPr>
        <w:ind w:left="660" w:right="20" w:hanging="328"/>
        <w:spacing w:after="0" w:line="273"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660" w:right="380" w:hanging="328"/>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ind w:left="660" w:hanging="328"/>
        <w:spacing w:after="0" w:line="272"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24 months from the closing of this offering or (ii) with respect to any other provision relating to stockholders’ rights or pre-business combination activity, we will provide our public stockholders with the opportunity to redeem all or a portion of their shares of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and</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3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under no circumstances will we redeem our public shares unless our net tangible assets are at least $5,000,001 either immediately prior to or upon consummation of our initial business combination and after payment of underwriters’ fees and commissions.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7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 “business combination” includes a merger or sale of more than 10% of our assets. However, the above provisions of Section 203 do not apply if:</w:t>
      </w:r>
    </w:p>
    <w:p>
      <w:pPr>
        <w:spacing w:after="0" w:line="23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236" w:lineRule="exact"/>
        <w:rPr>
          <w:rFonts w:ascii="Arial" w:cs="Arial" w:eastAsia="Arial" w:hAnsi="Arial"/>
          <w:sz w:val="17"/>
          <w:szCs w:val="17"/>
          <w:color w:val="auto"/>
        </w:rPr>
      </w:pPr>
    </w:p>
    <w:p>
      <w:pPr>
        <w:ind w:left="660" w:right="6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153" w:name="page154"/>
    <w:bookmarkEnd w:id="153"/>
    <w:p>
      <w:pPr>
        <w:jc w:val="both"/>
        <w:ind w:right="340" w:firstLine="324"/>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w:t>
      </w:r>
    </w:p>
    <w:p>
      <w:pPr>
        <w:spacing w:after="0" w:line="2" w:lineRule="exact"/>
        <w:rPr>
          <w:sz w:val="20"/>
          <w:szCs w:val="20"/>
          <w:color w:val="auto"/>
        </w:rPr>
      </w:pPr>
    </w:p>
    <w:p>
      <w:pPr>
        <w:ind w:right="20" w:firstLine="8"/>
        <w:spacing w:after="0" w:line="273" w:lineRule="auto"/>
        <w:tabs>
          <w:tab w:leader="none" w:pos="2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7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right="220" w:firstLine="324"/>
        <w:spacing w:after="0" w:line="253"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nor earlier than the opening of</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board of directors will initially be divided into two classes, Class I and Class 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Immediately after the consummation of this offering (assuming no exercise of the underwriters’ over-allotment option) we will have 33,304,500 (or 38,273,250 if the underwriters’ over-allotment option is exercised in full) shares of common stock outstanding. Of these shares, the 25,000,000 shares (or 28,750,000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7,500,000 (or 8,625,000 if the underwriters’ over-allotment option is exercised in full) founder shares, all 429,500 placement units (or 467,000 if the underwriter’s over-allotment option is exercised in full, including component securities contained therein) and all 375,000 representative shares of Class A common stock (or 431,250 representative shares if the underwriters’ over-allotment option is exercised in full are restricted securities under Rule 144, in that they were issued in private transactions not involving a public offering, and the shares of Class B common stock, the placement units (including component securities contained therein) and the shares of Class A common stock partially comprising the representative shares issued upon consummation of this offering are subject to transfer restrictions as set forth elsewhere in this prospectus. These restricted securities will be entitled to registration rights as more fully described below under “— Registration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Pursuant to Rule 144, a person who has beneficially owned restricted shares of our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ind w:firstLine="324"/>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4" w:lineRule="exact"/>
        <w:rPr>
          <w:sz w:val="20"/>
          <w:szCs w:val="20"/>
          <w:color w:val="auto"/>
        </w:rPr>
      </w:pPr>
    </w:p>
    <w:p>
      <w:pPr>
        <w:ind w:left="660" w:right="1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 of the total number of shares of Class A and Class B common stock then outstanding, which will equal 333,045 shares immediately after this offering (or 382,733) if the underwriters exercise their over-allotment option in full); or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a result, our initial stockholders will be able to sell their founder shares and placement units (including component securities contained therein), as applicable, pursuant to Rule 144 without registration one year after we have completed our initial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 We will bear the expenses incurred in connection with the filing of any such registration statements.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applied to list our units, Class A common stock and warrants on Nasdaq under the symbols “BRKHU,” “BRKH” and “BRKHW,” respectively. We expect that our units will be listed on Nasdaq on or promptly after the effective date of the registration statement. Following the date the shares of our Class A common stock and warrants are eligible to trade separately, we anticipate that the shares of our Class A common stock and warrants will be listed separately and as a unit on Nasdaq. We cannot guarantee that our securities will be approved for listing on Nasdaq.</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57" w:name="page158"/>
    <w:bookmarkEnd w:id="157"/>
    <w:p>
      <w:pPr>
        <w:jc w:val="center"/>
        <w:ind w:right="-3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following discussion summarizes certain U.S. federal income tax considerations generally applicable to the acquisition, ownership and disposition of our units (each consisting of one share of our Class A common stock and one-half of one redeemable warrant to acquire one share of our Class A common stock)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share of our Class A common stock and the one-half of one warrant components of the unit. As a result, the discussion below with respect to holders of shares of our Class A common stock and warrants should also apply to holders of units (as the deemed owners of the underlying common stock and warrants that constitute the units).</w:t>
      </w:r>
    </w:p>
    <w:p>
      <w:pPr>
        <w:spacing w:after="0" w:line="17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a unit pursuant to this offering and hold the unit and each component of the unit as capital assets within the meaning of Section 1221(a) of the U.S. Internal Revenue Code of 1986, as amended (the “Code”) (generally, property held for investment). This discussion assumes that the shares of our Class A common stock and warrants will trade separately and that any distributions made (or deemed made) by us on the shares of our Class A common stock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or that is subject to special rules under the U.S. federal income tax laws, including, but not limited to:</w:t>
      </w:r>
    </w:p>
    <w:p>
      <w:pPr>
        <w:spacing w:after="0" w:line="178"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sponsor, officers, directors or other holders of our Class B common stock or private placement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banks and other 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taxpayers that are subject to the mark-to-market tax accounting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S-corporations, partnerships or other flow-through entities and investors therein;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qualified foreign pension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8" w:name="page159"/>
    <w:bookmarkEnd w:id="158"/>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 of the Code;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discussion below is based upon current provisions of the Code, applicable U.S. Treasury regulations promulgated under the Code (“Treasury Regulations”), judicial decisions and administrative rulings of the IRS, all as in effect on the date hereof, and all of which are subject to differing interpretations or change, possibly on a retroactive basis. Any such differing interpretations or change could alter the U.S. federal income tax consequences discussed below. Furthermore, this discussion does not address any aspect of U.S. federal non-income tax laws, such as gift, estate or Medicare contribution tax laws, or state, local or non-U.S. tax laws.</w:t>
      </w:r>
    </w:p>
    <w:p>
      <w:pPr>
        <w:spacing w:after="0" w:line="18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6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As used herein, the term “U.S. Holder” means a beneficial owner of units, shares of our Class A common stock or warrants that is for U.S. federal income tax purposes: (i) an individual who is a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under Treasury Regulations to be treated as a United States person.</w:t>
      </w:r>
    </w:p>
    <w:p>
      <w:pPr>
        <w:spacing w:after="0" w:line="19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This discussion does not consider the tax treatment of partnerships or other pass-through entities (including branches)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or a partnership holding our securities, we urge you to consult your own tax advisor.</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UNITS. EACH PROSPECTIVE INVESTOR IN OUR UNITS IS URGED TO CONSULT ITS OWN TAX ADVISOR WITH RESPECT TO THE PARTICULAR TAX CONSEQUENCES TO SUCH INVESTOR OF THE ACQUISITION, OWNERSHIP AND DISPOSITION OF OUR UNITS, INCLUDING THE APPLICABILITY AND EFFECT OF ANY STATE, LOCAL, AND NON-UNITED STATES TAX 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i w:val="1"/>
          <w:iCs w:val="1"/>
          <w:color w:val="auto"/>
        </w:rPr>
        <w:t>Personal Holding Company Status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could be subject to a second level of U.S. federal income tax on a portion of our income if we are determined to be a personal holding company (a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common stock and one-half of one warrant, with each whole warrant exercisable to acquire one share of our Class A common stock, and we intend to treat the acquisition of a unit in this manner. For U.S. federal income tax purposes, each holder of a unit must allocate the purchase price paid by such holder for such unit among the one share of our Class A common stock and the one-half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our Class A common stock and one-half of one warrant should constitute the holder’s initial tax basis in such share and one-half of one warrant, respectively. Any disposition of a unit should be treated for U.S. federal income tax purposes as a disposition of the share of our Class A common stock and one-half of one warrant comprising the unit, and the amount realized on the disposition should be allocated among the share of our Class A common stock and one-half of one warrant based on their respective relative fair market values at the time of disposition. Neither the separation of the share of our Class A common stock and the one-half of one warrant constituting a unit nor the combination of halves of warrants into a single warrant should be a taxable event for U.S. federal income tax purposes.</w:t>
      </w:r>
    </w:p>
    <w:p>
      <w:pPr>
        <w:spacing w:after="0" w:line="17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foregoing treatment of the shares of our Class A common stock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to U.S. Holders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shares of our Class A common stock. Any remaining excess will be treated as gain realized on the sale or other disposition of the shares of our Class A common stock and will be treated as described under “U.S. Holders — Gain or Loss on Sale, Taxable Exchange or Other Taxable Disposition of Our Class A Common Stock and Warrants” below.</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firstLine="324"/>
        <w:spacing w:after="0" w:line="253" w:lineRule="auto"/>
        <w:rPr>
          <w:sz w:val="20"/>
          <w:szCs w:val="20"/>
          <w:color w:val="auto"/>
        </w:rPr>
      </w:pPr>
      <w:r>
        <w:rPr>
          <w:rFonts w:ascii="Arial" w:cs="Arial" w:eastAsia="Arial" w:hAnsi="Arial"/>
          <w:sz w:val="18"/>
          <w:szCs w:val="18"/>
          <w:color w:val="auto"/>
        </w:rPr>
        <w:t>Dividends we pay to a corporate U.S. Holder generally will qualify for the dividends received deduction if certain holding period requirements are met. With certain exceptions (including, but not limited to, dividends treated as investment income for purposes of investment interest deduction limitations), and provided certain holding period requirements are met, dividends we pay to a non-corporate U.S. Holder will generally be taxed as qualified dividend income at the preferential tax rate for long-term capital gains. It is unclear whether the redemption rights with respect to the shares of our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met,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Our Securities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 U.S. Holder generally will recognize capital gain or loss on a sale or other taxable disposition of our shares of Class A common stock or warrants (including on our dissolution and liquidation if we do not complete an initial business combination within the required time period). Any such capital gain or loss generally will be long-term capital gain or loss if the U.S. Holder’s holding period for such shares of our Class A common stock or warrants exceeds one year. Long-term capital gains recognized by a non-corporate U.S. Holder are currently eligible to be taxed preferential rates. It is unclear, however, whether certain redemption rights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The deductibility of capital losses is subject to limitations.</w:t>
      </w:r>
    </w:p>
    <w:p>
      <w:pPr>
        <w:spacing w:after="0" w:line="16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shares of our Class A common stock or warrants are held as part of units at the time of the disposition, the portion of the amount realized on such disposition that is allocated to the shares of our Class A common stock or warrants based upon the then relative fair market values of the shares of our Class A common stock and the warrants included in the units) and (ii) the U.S. Holder’s adjusted tax basis in its shares of our Class A common stock or warrants so disposed of. A U.S. Holder’s adjusted tax basis in its shares of our Class A common stock and warrants generally will equal the U.S. Holder’s acquisition cost (that is, the portion of the purchase price of a unit allocated to a share of our Class A common stock or one-half of one warrant, as described above under “— Allocation of Purchase Price and Characterization of a Unit”) reduced, in the case of a share of our Class A common stock, by any prior distributions treated as a return of capital. See “U.S. Holders — Exercise, Lapse or Redemption of a Warrant” below for a discussion regarding a U.S. Holder’s tax basis in a share of our Class A common stock acquired pursuant to the exercise of a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In the event that a U.S. Holder’s shares of our Class A common stock are redeemed pursuant to the redemption provisions described in this prospectus under “Description of Securities — Common Stock” or if we purchase a U.S. Holder’s shares of our Class A common stock in an open market transaction (each referred to herein as a “redemption”), the treatment of the redemption for U.S. federal income tax purposes will depend on whether it qualifies as a sale or exchange of the shares of our Class A common stock under Section 302 of the Code. If the redemption qualifies as a sale or exchange of the shares of our Class A common stock under the tests described below, the U.S. Holder will be treated as described under “U.S. Holders — Gain or Loss on Sale, Taxable Exchange or Other Taxable Disposition of Our Class A Common Stock and Warrants” above. If the redemption does not qualify as a sale or exchange of the shares of our Class A common stock, the U.S. Holder will be treated as receiving a corporate distribution with the tax consequences described above under “U.S. Holders — Taxation of Distributions.” Whether a redemption qualifies for sale or exchange treatment will depend largely on the total number of our shares treated as held by the U.S. Holder (including any shares constructively owned by the U.S. Holder as described in the following paragraph) relative to all of our shares outstanding both before and after such redemption. The redemption of our Class A common stock generally will be treated as a sale or exchange of the shares of our Class A common stock (rather than as a corporate distribution) if, within the meaning of Section 302 of the Code, such redemption (i) is “substantially disproportionate” with respect to the U.S. Holder, (ii) results in a “complete termination” of the U.S. Holder’s interest in us or (iii) is “not essentially equivalent to a dividend” with respect to the U.S. Holder.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firstLine="324"/>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must take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shares of our Class A common stock which could be acquired pursuant to the exercise of the warrants. In order to meet the “substantially disproportionate” test, the percentage of our outstanding voting shares actually and constructively owned by the U.S. Holder immediately following the redemption of shares of our Class A common stock must, among other requirements, be less than 80% of the percentage of our outstanding voting stock actually and constructively owned by the U.S. Holder immediately before the redemption. Prior to our initial business combination, the shares of our Class A common stock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 stock. The redemption of the shares of our Class A common stock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A U.S. Holder should consult with its own tax advisors as to the tax consequences of a redemption.</w:t>
      </w:r>
    </w:p>
    <w:p>
      <w:pPr>
        <w:spacing w:after="0" w:line="174"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“U.S. Holders — Taxation of Distributions” above. After the application of those rules, any remaining tax basis of the U.S. Holder in the redeemed shares of our Class A common stock will be added to the U.S. Holder’s adjusted tax basis in its remaining shares, or, if it has none, to the U.S. Holder’s adjusted tax basis in its warrants or possibly in other stock constructively owned by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Except as discussed below with respect to the cashless exercise of a warrant, a U.S. Holder generally will not recognize gain or loss upon the acquisition of a share of our Class A common stock on the exercise of a warrant for cash. A U.S. Holder’s initial tax basis in a share of our Class A common stock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of such warrant. It is unclear whether a U.S. Holder’s holding period for the share of our Class A common stock received upon exercise of the warrants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tax consequences of a cashless exercise of a warrant are not clear under current law. A cashless exercise may not be taxable, either because the exercise is not a realization event or because the exercise is treated as a “recapitalization” for U.S. federal income tax purposes. In either situation, a U.S. Holder’s tax basis in the shares of our Class A common stock received generally would equal the U.S. Holder’s tax basis in the warrants exercised therefor. If the cashless exercise were not a realization event, it is unclear whether a U.S. Holder’s holding period for the shares of our Class A common stock will commence on the date of exercise of the warrant or the day following the date of exercise of the warrant. If the cashless exercise were treated as a recapitalization, the holding period of the shares of our Class A common stock would include the holding period of the warrants exercised therefor.</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2" w:name="page163"/>
    <w:bookmarkEnd w:id="162"/>
    <w:p>
      <w:pPr>
        <w:ind w:right="40" w:firstLine="324"/>
        <w:spacing w:after="0" w:line="269" w:lineRule="auto"/>
        <w:rPr>
          <w:sz w:val="20"/>
          <w:szCs w:val="20"/>
          <w:color w:val="auto"/>
        </w:rPr>
      </w:pPr>
      <w:r>
        <w:rPr>
          <w:rFonts w:ascii="Arial" w:cs="Arial" w:eastAsia="Arial" w:hAnsi="Arial"/>
          <w:sz w:val="17"/>
          <w:szCs w:val="17"/>
          <w:color w:val="auto"/>
        </w:rPr>
        <w:t>It is also possible that a cashless exercise could be treated in whole or in part as a taxable exchange in which gain or loss would be recognized. In such event, a U.S. Holder could be deemed to have surrendered a number of warrants having an aggregate value (as measured by the excess of the fair market value of our Class A common stock over the exercise price of the warrants) equal to the exercise price for the total number of warrants to be exercised (</w:t>
      </w:r>
      <w:r>
        <w:rPr>
          <w:rFonts w:ascii="Arial" w:cs="Arial" w:eastAsia="Arial" w:hAnsi="Arial"/>
          <w:sz w:val="17"/>
          <w:szCs w:val="17"/>
          <w:i w:val="1"/>
          <w:iCs w:val="1"/>
          <w:color w:val="auto"/>
        </w:rPr>
        <w:t>i.e.</w:t>
      </w:r>
      <w:r>
        <w:rPr>
          <w:rFonts w:ascii="Arial" w:cs="Arial" w:eastAsia="Arial" w:hAnsi="Arial"/>
          <w:sz w:val="17"/>
          <w:szCs w:val="17"/>
          <w:color w:val="auto"/>
        </w:rPr>
        <w:t>, the warrants underlying the number of shares of our Class A common stock actually received by the U.S. Holder pursuant to the cashless exercise). The U.S. Holder would recognize capital gain or loss in an amount equal to the difference between the value of the warrants deemed surrendered and the U.S. Holder’s tax basis in such warrants. Such gain or loss would be long-term or short-term, depending on the U.S. Holder’s holding period in the warrants deemed surrendered. In this case, a U.S. Holder’s tax basis in the Class A common stock received would equal the sum of the U.S. Holder’s tax basis in the warrants exercised and the exercise price of such warrants.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Alternative characterizations are also possible (including as a taxable exchange of all of the warrants surrendered by the U.S. Holder for shares of our Class A common stock received upon exercise). 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Our Class A Common Stock and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subject to tax as described under “U.S. Holders — Taxation of Distributions” above in the same manner as if the 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section applies to “Non-U.S. Holders.” As used herein, the term “Non-U.S. Holder” means a beneficial owner of our units, Class A common stock or warrants that is not a U.S. Holder and is not a partnership or other entity classified as a partnership for U.S. federal income tax purposes, but such term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Provided such dividends are not effectively connected with the Non-U.S. Holder’s conduct of a trade or business within the United States (or, if required pursuant to an applicable income tax treaty, are not attributable to a permanent establishment of fixed base maintained by the Non-U.S. Holder 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shares of our Class A common stock, which will be treated as described under “Non-U.S. Holders — Gain on Sale, Taxable Exchange or Other Taxable Disposition of Our Securities” below. In addition, if we determine that we are or are likely to be classified as a “United States real property holding corporation” (see “Non-U.S. Holders — Gain on Sale, Taxable Exchange or Other Taxable Disposition of Our Securities” below), we will withhold 15% of any distribution that exceeds our current and accumulated earnings and profits, including a distribution in redemption of shares of our Class A common stock. See also “Non-U.S. Holders — Possible Constructive Distributions” for potential U.S. federal tax consequences with respect to constructive distributions.</w:t>
      </w:r>
    </w:p>
    <w:p>
      <w:pPr>
        <w:spacing w:after="0" w:line="176" w:lineRule="exact"/>
        <w:rPr>
          <w:sz w:val="20"/>
          <w:szCs w:val="20"/>
          <w:color w:val="auto"/>
        </w:rPr>
      </w:pPr>
    </w:p>
    <w:p>
      <w:pPr>
        <w:ind w:right="400" w:firstLine="324"/>
        <w:spacing w:after="0" w:line="291" w:lineRule="auto"/>
        <w:rPr>
          <w:sz w:val="20"/>
          <w:szCs w:val="20"/>
          <w:color w:val="auto"/>
        </w:rPr>
      </w:pPr>
      <w:r>
        <w:rPr>
          <w:rFonts w:ascii="Arial" w:cs="Arial" w:eastAsia="Arial" w:hAnsi="Arial"/>
          <w:sz w:val="16"/>
          <w:szCs w:val="16"/>
          <w:color w:val="auto"/>
        </w:rPr>
        <w:t>Dividends that we pay to a Non-U.S. Holder that are effectively connected with such Non-U.S. Holder’s conduct of a trade or business within the United States (and, if a tax treaty applies, are attributable to a permanent establishment or fixed base maintained by the Non-U.S. Holder in the</w:t>
      </w:r>
    </w:p>
    <w:p>
      <w:pPr>
        <w:ind w:right="100"/>
        <w:spacing w:after="0" w:line="295" w:lineRule="auto"/>
        <w:rPr>
          <w:sz w:val="20"/>
          <w:szCs w:val="20"/>
          <w:color w:val="auto"/>
        </w:rPr>
      </w:pPr>
      <w:r>
        <w:rPr>
          <w:rFonts w:ascii="Arial" w:cs="Arial" w:eastAsia="Arial" w:hAnsi="Arial"/>
          <w:sz w:val="16"/>
          <w:szCs w:val="16"/>
          <w:color w:val="auto"/>
        </w:rPr>
        <w:t>United States) will not be subject to U.S. withholding tax, provided such Non-U.S. Holder complies with certain certification and disclosure requirements (usually by providing an IRS Form W-8ECI). Instead, the effectively connected dividends will be subject to regular U.S. federal income tax as if the Non-U.S. Holder were a U.S. resident, unless an applicable income tax treaty provides otherwise. A Non-U.S. Holder that is a foreign corporation receiving effectively connected dividends may also be subject to an additional “branch profits tax” imposed at a rate of 30% (or a lower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a U.S. Holder, as described under “U.S. Holders — Exercise, Lapse or Redemption of a Warrant” above, although to the extent a cashless exercise results in a taxable exchange, the consequences would be similar to those described below under “Non-U.S. Holders — Gain on Sale, Taxable Exchange or Other Taxable Disposition of Our Securities.” The U.S. federal income tax treatment for a Non-U.S. Holder of a redemption of warrants for cash (or if we purchase warrants in an open market transaction) would be similar to that described below in “Non-U.S. Holders — Gain on Sale, Taxable Exchange or Other Taxable Disposition of Our Securities.”</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i w:val="1"/>
          <w:iCs w:val="1"/>
          <w:color w:val="auto"/>
        </w:rPr>
        <w:t>Gain on Sale, Taxable Exchange or Other Taxable Disposition of Our Securities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shares of our Class A common stock (including upon a dissolution and liquidation if we do not complete an initial business combination within the required time period) or warrants (including an expiration or redemption of our warrants), in each case without regard to whether such securities were held as part of a unit, unless:</w:t>
      </w:r>
    </w:p>
    <w:p>
      <w:pPr>
        <w:spacing w:after="0" w:line="171" w:lineRule="exact"/>
        <w:rPr>
          <w:sz w:val="20"/>
          <w:szCs w:val="20"/>
          <w:color w:val="auto"/>
        </w:rPr>
      </w:pPr>
    </w:p>
    <w:p>
      <w:pPr>
        <w:ind w:left="660" w:right="480" w:hanging="328"/>
        <w:spacing w:after="0" w:line="342"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or</w:t>
      </w:r>
    </w:p>
    <w:p>
      <w:pPr>
        <w:spacing w:after="0" w:line="123" w:lineRule="exact"/>
        <w:rPr>
          <w:rFonts w:ascii="Arial" w:cs="Arial" w:eastAsia="Arial" w:hAnsi="Arial"/>
          <w:sz w:val="16"/>
          <w:szCs w:val="16"/>
          <w:color w:val="auto"/>
        </w:rPr>
      </w:pPr>
    </w:p>
    <w:p>
      <w:pPr>
        <w:ind w:left="660" w:right="40" w:hanging="328"/>
        <w:spacing w:after="0" w:line="271"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 These rules may be modified for Non-U.S. Holders of warrants. If we are or have been a “United States real property holding corporation” and you own warrants, you are urged to consult your own tax advisor regarding the application of these rules.</w:t>
      </w:r>
    </w:p>
    <w:p>
      <w:pPr>
        <w:spacing w:after="0" w:line="17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generally be subject to tax at the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disposition of our Class A common stock or warrants will generally be subject to tax at applicable U.S. federal income tax rates as if the Non-U.S. Holder were a U.S. resident.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In general, 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225"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auto"/>
        </w:rPr>
        <w:t>The characterization for U.S. federal income tax purposes of the redemption of a Non-U.S. Holder’s shares of our Class A common stock pursuant to the redemption provisions described in the section of this prospectus entitled “Description of Securities — Common Stock” will generally correspond to the U.S. federal income tax characterization of such a redemption of a U.S. Holder’s shares of our Class A common stock, as described under “U.S.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 Redemption of Our Class A Common Stock” above, and the consequences of the redemption to the Non-U.S. Holder will be as described above under “Non-U.S. Holders — Taxation of Distributions” and “Non-U.S. Holders — Gain on Sale, Taxable Exchange or Other Taxable Disposition of Our Securities,” as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Non-U.S.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taxed as described under “Non-U.S. Holders — Taxation of Distributions” above, in the same manner as if the Non-U.S. Holders of the warrants received a cash distribution from us equal to the fair market value of such increased interest resulting from the adjustment.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Dividend payments (including constructive dividends) with respect to our Class A common stock and proceeds from the sale, exchange or redemption of shares of our Class A common stock or warrants may be subject to information reporting to the IRS and possible United States backup withholding. Backup withholding will not apply, however, to payments made to a U.S. Holder who furnishes a correct taxpayer identification number and makes other required certifications, or who is otherwise exempt from backup withholding and establishes such exempt status. Payments made to a Non-U.S. Holder generally will not be subject to backup withholding if the Non-U.S. Holder provides certification of its foreign status, under penalties of perjury, on a duly executed applicable IRS Form W-8 or by otherwise establishing an exemption.</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credited against a holder’s U.S. federal income tax liability, and a holder generally may obtain a refund of any excess amounts withheld by timely filing the appropriate claim for refund with the IRS and furnishing any required information. All holders should consult their tax advisors regarding the application of information reporting and backup withholding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Taxes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to as the “Foreign Account Tax Compliance Act” or “FATCA”) generally impose withholding of 30% in certain circumstances on payments of dividends (including constructive dividends) and, subject to the proposed Treasury Regulations discussed below, on proceeds from sales or other disposition of our securities paid to “foreign financial institutions” (which is broadly defined for this purpose and includes investment vehicles) and certain other non-U.S. entities unless various U.S. information reporting and due diligence requirements (relating to ownership by U.S. persons of interests in or accounts with those entities) have been satisfied or an exemption applies (typically certified as to by the delivery of a properly completed IRS Form W-8BEN-E). If FATCA withholding is imposed, a beneficial owner that is not a foreign financial institution will be entitled to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Similarly, dividends and, subject to the proposed Treasury Regulations discussed below, proceeds from sales or other disposition in respect of our units held by an investor that is a non-financial non-U.S. entity that does not qualify under certain exceptions generally will be subject to withholding at a rate of 30%, unless such entity either (i) certifies to us or the applicable withholding agent that such entity does not have any “substantial United States owners” or (ii) provides certain information regarding the entity’s “substantial United States owners,” which will in turn be provided to the U.S. Department of the Treasury. The U.S. Department of the Treasury has proposed regulations which eliminate the federal withholding tax of 30% applicable to the gross proceeds of a sale or other disposition of our securities. Withholding agents may rely on the proposed Treasury Regulations until final regulations are issued. Prospective investors should consult their tax advisors regarding the possible effects of FATCA on their investment in our securities.</w:t>
      </w:r>
    </w:p>
    <w:p>
      <w:pPr>
        <w:spacing w:after="0" w:line="17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CLASS A COMMON STOCK AND WARRANTS, INCLUDING THE TAX CONSEQUENCES UNDER STATE, LOCAL, ESTATE, NON-U.S. AND OTHER TAX LAWS AND TAX TREATIES AND THE POSSIBLE EFFECTS OF CHANGES IN U.S. OR OTHER TAX LAWS.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representative is acting as the sole book-running manager of the offering and as representative of the underwriters named below. Subject to the terms and conditions of the underwriting agreement dated the date of this prospectus, the underwriters named below, through the representative, have severally agreed to purchase, and we have agreed to sell to the underwriters, the following respective number of units set forth opposite the underwriter’s name.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23"/>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 Hutton, division of Benchmark Investments, LLC</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25,000,000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25,000,000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Any units sold by the underwriters to securities dealers may be sold at a discount from the initial public offering price not to exceed $[●] per unit. If all of the units are not sold at the initial offering price, the underwriters may change the offering price and the other selling terms. The underwriters have advised us that they do not intend to make sales to discretionary accounts.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If the underwriters sell more units than the total number set forth in the table above, we have granted to the underwriters an option, exercisable for 45 days from the date of this prospectus, to purchase up to 3,750,000 additional units at the public offering price less the underwriting discount. The underwriters may exercise this option solely for the purpose of covering over-allotments, if any, in connection with this offering. Any units issued or sold under the option will be issued and sold on the same terms and conditions as the other units that are the subject of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Agreements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the representative,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units, shares of common stock, warrants or any securities convertible into, or exercisable, or exchangeable for, shares of common stock, (ii) enter into any swap or other arrangement that transfers to another, in whole or in part, any of the economic consequences of ownership of any units, shares of common stock, warrants or any securities convertible into, or exercisable, or exchangeable for, shares of common stock, whether any such transaction is to be settled by delivery of such securities, in cash or otherwise, or (iii) publicly announce any intention to effect any transaction specified in clause (i) or (ii), subject to certain exceptions. The representative in its sole discretion may release any of the securities subject to the lock-up agreement at any time without notice, other than in the case of the officers and directors, which shall be with notice. Our sponsor, officers and directors are also subject to separate transfer restrictions on their founder shares and placement units pursuant to the letter agreement as described herein.</w:t>
      </w:r>
    </w:p>
    <w:p>
      <w:pPr>
        <w:spacing w:after="0" w:line="18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initial stockholders have agreed not to transfer, assign or sell any of their founder shares (or shares of common stock issuable upon conversion thereof)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(except with respect to permitted transferees as described herein under the section of this prospectus entitled “Principal Stockholders — Restrictions on Transfers of Founder Shares and Placement Units”).</w:t>
      </w:r>
    </w:p>
    <w:p>
      <w:pPr>
        <w:spacing w:after="0" w:line="192"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 placement units, placement shares and placement warrants (including the Class A common stock issuable upon exercise of the placement warrants) will not be transferable, assignable or salable until 30 days after the completion of our initial business combination (except with respect to permitted transferees as described herein under the section of this prospectus entitled “Principal Stockholders — Restrictions on Transfers of Founder Shares and Placement Units”).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Prior to this offering, there has been no public market for our securities. Consequently, the initial public offering price for the units was determined by negotiations between us and the underwriters.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We have applied to list our units on Nasdaq under the symbol “BRKHU.” We cannot guarantee that our securities will be approved for listing on Nasdaq. We expect that our units will be listed on Nasdaq on or promptly after the date of this prospectus. We expect that our Class A common stock and warrants will be listed under the symbols “BRKH” and “BRKHW,” respectively, once the Class A common stock and warrants begin separate trading.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 The upfront portion of the underwriting discounts and commissions will be $0.10 per unit.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6"/>
          </w:tcPr>
          <w:p>
            <w:pPr>
              <w:ind w:left="460"/>
              <w:spacing w:after="0"/>
              <w:rPr>
                <w:sz w:val="20"/>
                <w:szCs w:val="20"/>
                <w:color w:val="auto"/>
              </w:rPr>
            </w:pPr>
            <w:r>
              <w:rPr>
                <w:rFonts w:ascii="Arial" w:cs="Arial" w:eastAsia="Arial" w:hAnsi="Arial"/>
                <w:sz w:val="18"/>
                <w:szCs w:val="18"/>
                <w:b w:val="1"/>
                <w:bCs w:val="1"/>
                <w:color w:val="auto"/>
              </w:rPr>
              <w:t>Payable by BurTech</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ind w:left="580"/>
              <w:spacing w:after="0"/>
              <w:rPr>
                <w:sz w:val="20"/>
                <w:szCs w:val="20"/>
                <w:color w:val="auto"/>
              </w:rPr>
            </w:pPr>
            <w:r>
              <w:rPr>
                <w:rFonts w:ascii="Arial" w:cs="Arial" w:eastAsia="Arial" w:hAnsi="Arial"/>
                <w:sz w:val="18"/>
                <w:szCs w:val="18"/>
                <w:b w:val="1"/>
                <w:bCs w:val="1"/>
                <w:color w:val="auto"/>
              </w:rPr>
              <w:t>Acquisition Corp.</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No Exercise</w:t>
            </w:r>
          </w:p>
        </w:tc>
        <w:tc>
          <w:tcPr>
            <w:tcW w:w="3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Full Exercise</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Per Unit</w:t>
            </w:r>
            <w:r>
              <w:rPr>
                <w:rFonts w:ascii="Arial" w:cs="Arial" w:eastAsia="Arial" w:hAnsi="Arial"/>
                <w:sz w:val="28"/>
                <w:szCs w:val="28"/>
                <w:color w:val="auto"/>
                <w:vertAlign w:val="superscript"/>
              </w:rPr>
              <w:t>(1)</w:t>
            </w:r>
          </w:p>
        </w:tc>
        <w:tc>
          <w:tcPr>
            <w:tcW w:w="3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line="284" w:lineRule="exact"/>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60" w:type="dxa"/>
            <w:vAlign w:val="bottom"/>
            <w:vMerge w:val="continue"/>
          </w:tcPr>
          <w:p>
            <w:pPr>
              <w:spacing w:after="0"/>
              <w:rPr>
                <w:sz w:val="22"/>
                <w:szCs w:val="22"/>
                <w:color w:val="auto"/>
              </w:rPr>
            </w:pPr>
          </w:p>
        </w:tc>
        <w:tc>
          <w:tcPr>
            <w:tcW w:w="3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11,250,000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12,937,500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hanging="332"/>
        <w:spacing w:after="0" w:line="311"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Includes $0.35 per unit, or $8,750,000 (or $10,062,500 if the underwriters’ over-allotment option is exercised in full) in the aggregate payable to the underwriters for deferred underwriting commissions to be placed in a trust account located in the United States as described herein. The deferred commissions will be released to the representative only on completion of an initial business combination as described in this prospectus.</w:t>
      </w:r>
    </w:p>
    <w:p>
      <w:pPr>
        <w:spacing w:after="0" w:line="14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If we do not complete our initial business combination and subsequently liquidate, the underwriters have agreed that (i) they will forfeit any rights or claims to their deferred underwriting discounts and commissions, including any accrued interest thereon, then in the trust account upon liquidation, and</w:t>
      </w:r>
    </w:p>
    <w:p>
      <w:pPr>
        <w:ind w:right="80" w:firstLine="8"/>
        <w:spacing w:after="0" w:line="260" w:lineRule="auto"/>
        <w:tabs>
          <w:tab w:leader="none" w:pos="2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the deferred underwriters’ discounts and commissions will be distributed on a pro rata basis, including interest earned on the funds held in the trust account and not previously released to us to pay our taxes to the public stockholders.</w:t>
      </w:r>
    </w:p>
    <w:p>
      <w:pPr>
        <w:spacing w:after="0" w:line="18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addition to the underwriting discount, we have agreed to pay or reimburse the underwriters for bound volumes in form and style reasonably satisfactory to the Representative and transaction Lucite cubes or similar commemorative items in a style as reasonably requested by the Representative, reimbursement for background checks on our directors and executive officers, the reasonable fees of counsel of the Underwriters and other expenses, all subject to a maximum aggregate expense reimbursement of $50,000.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agreed to issue to the representative or its designees 375,000 shares (or 431,250 shares if the underwriters’ over-allotment option is exercised in full) of our Class A common stock upon the consummation of this offering. We refer to such shares of Class A common stock as the “representative shares.”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24 month from the closing of this offering.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right="20" w:firstLine="324"/>
        <w:spacing w:after="0" w:line="272"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7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“Shares Eligible for Future Sale — Registration Rights.” Notwithstanding anything to the contrary, under FINRA Rule 5110(g)(8), the underwriters and/or their designees may only make a demand registration on one occasion during the five-year period beginning on the effective date of the registration statement of which this prospectus is a part, and the underwriters and/or their designees may participate in a “piggy-back” registration only during the seven-year period beginning on the effective date of the registration statement of which this prospectus is a part.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Subject to certain conditions, we granted the representative, for a period of 24 months after the date of the consummation of our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us or any of our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civil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Sales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184" w:lineRule="exact"/>
        <w:rPr>
          <w:sz w:val="20"/>
          <w:szCs w:val="20"/>
          <w:color w:val="auto"/>
        </w:rPr>
      </w:pPr>
    </w:p>
    <w:p>
      <w:pPr>
        <w:ind w:left="720" w:hanging="388"/>
        <w:spacing w:after="0"/>
        <w:tabs>
          <w:tab w:leader="none" w:pos="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Short sales involve secondary market sales by the underwriters of a greater number of units than it is required to purchase in the offering.</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“Covered” short sales are sales of units in an amount up to the number of units represented by the underwriters’ over-allotment option.</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“Naked” short sales are sales of units in an amount in excess of the number of units represented by the underwriters’ over-allotment option.</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9" w:name="page170"/>
    <w:bookmarkEnd w:id="169"/>
    <w:p>
      <w:pPr>
        <w:ind w:left="720" w:hanging="388"/>
        <w:spacing w:after="0" w:line="277" w:lineRule="auto"/>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Covering transactions involve purchases of units either pursuant to the over-allotment option or in the open market after the distribution has been completed in order to cover short positions.</w:t>
      </w:r>
    </w:p>
    <w:p>
      <w:pPr>
        <w:spacing w:after="0" w:line="170" w:lineRule="exact"/>
        <w:rPr>
          <w:rFonts w:ascii="Arial" w:cs="Arial" w:eastAsia="Arial" w:hAnsi="Arial"/>
          <w:sz w:val="18"/>
          <w:szCs w:val="18"/>
          <w:color w:val="auto"/>
        </w:rPr>
      </w:pPr>
    </w:p>
    <w:p>
      <w:pPr>
        <w:ind w:left="720" w:right="20" w:hanging="388"/>
        <w:spacing w:after="0" w:line="286" w:lineRule="auto"/>
        <w:tabs>
          <w:tab w:leader="none" w:pos="7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65" w:lineRule="exact"/>
        <w:rPr>
          <w:rFonts w:ascii="Arial" w:cs="Arial" w:eastAsia="Arial" w:hAnsi="Arial"/>
          <w:sz w:val="17"/>
          <w:szCs w:val="17"/>
          <w:color w:val="auto"/>
        </w:rPr>
      </w:pPr>
    </w:p>
    <w:p>
      <w:pPr>
        <w:ind w:left="720" w:right="140" w:hanging="388"/>
        <w:spacing w:after="0" w:line="259" w:lineRule="auto"/>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86" w:lineRule="exact"/>
        <w:rPr>
          <w:rFonts w:ascii="Arial" w:cs="Arial" w:eastAsia="Arial" w:hAnsi="Arial"/>
          <w:sz w:val="18"/>
          <w:szCs w:val="18"/>
          <w:color w:val="auto"/>
        </w:rPr>
      </w:pPr>
    </w:p>
    <w:p>
      <w:pPr>
        <w:ind w:left="720" w:hanging="388"/>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Purchases to cover short positions and stabilizing purchases, as well as other purchases by the underwriters for their own account,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it may discontinue them at any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estimate that our portion of the total expenses of this offering payable by us will be $645,000, excluding underwriting discounts and commissions.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reimburse the underwriters for expenses and fees of up to $50,000.</w:t>
      </w:r>
    </w:p>
    <w:p>
      <w:pPr>
        <w:spacing w:after="0" w:line="2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Affiliations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underwriters and their respective affiliates are financial institutions engaged in various activities, which may include, among other things, securities trading, commercial and investment banking, financial advisory, investment management, financing and brokerage activities. Such underwriters and their affiliates have in the past, in the ordinary course of business, provided certain of these services to affiliates of the sponsor, and have arrangements in place whereby they may currently or in the future provide such services to affiliates of the sponsor, for which they have received and may receive customary fees, interest, commissions and other compensation.</w:t>
      </w:r>
    </w:p>
    <w:p>
      <w:pPr>
        <w:spacing w:after="0" w:line="18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an initial business combination.</w:t>
      </w:r>
    </w:p>
    <w:p>
      <w:pPr>
        <w:spacing w:after="0" w:line="17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underwriters and their affiliates may in the future engage in, investment banking and other commercial dealings in the ordinary course of business with us or our affiliates, for which it may in the future receive, customary fees and commissions for any such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pursuant to the offering to the public in that relevant state prior to the publication of a prospectus in relation to the units that has been approved by the competent authority in that relevant state or, where appropriate, approved in another relevant state and notified to the competent authority in that relevant state, all in accordance with the Prospectus Regulation, except that offers of our units may be made to the public in that relevant state at any time under the following exemptions under the Prospectus Regulation:</w:t>
      </w:r>
    </w:p>
    <w:p>
      <w:pPr>
        <w:spacing w:after="0" w:line="188"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provided that no such offer of units shall require the issuer or the representative to publish a prospectus pursuant to Article 3 of the Prospectus Regulation or supplement a prospectus pursuant to Article 23 of the Prospectus Regulation.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ind w:right="200" w:firstLine="324"/>
        <w:spacing w:after="0" w:line="342" w:lineRule="auto"/>
        <w:rPr>
          <w:sz w:val="20"/>
          <w:szCs w:val="20"/>
          <w:color w:val="auto"/>
        </w:rPr>
      </w:pPr>
      <w:r>
        <w:rPr>
          <w:rFonts w:ascii="Arial" w:cs="Arial" w:eastAsia="Arial" w:hAnsi="Arial"/>
          <w:sz w:val="16"/>
          <w:szCs w:val="16"/>
          <w:color w:val="auto"/>
        </w:rPr>
        <w:t>Each person in a relevant state who initially acquires any units or to whom any offer is made will be deemed to have represented, acknowledged and agreed to and with the Company and the representative that it is a qualified investor within the meaning of the Prospectus Regulation.</w:t>
      </w:r>
    </w:p>
    <w:p>
      <w:pPr>
        <w:spacing w:after="0" w:line="12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case of any units being offered to a financial intermediary as that term is used in Article 5(1) of the Prospectus Regulation, each such financial intermediary will be deemed to have represented, acknowledged and agreed that the units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88"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We, the representative and each of our and the representative’s respective affiliates will rely upon the truth and accuracy of the foregoing representations, acknowledgements and agreements.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References to the Prospectus Regulation include, in relation to the United Kingdom, the Prospectus Regulation as it forms part of United Kingdom domestic law by virtue of the European Union (Withdrawal) Act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connection with the offering, the representative is not acting for anyone other than the issuer and will not be responsible to anyone other than the issuer for providing the protections afforded to its clients nor for providing advice in relation to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prospectus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87"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2" w:name="page173"/>
    <w:bookmarkEnd w:id="172"/>
    <w:p>
      <w:pPr>
        <w:ind w:left="3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660" w:right="12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25" w:lineRule="exact"/>
        <w:rPr>
          <w:rFonts w:ascii="Arial" w:cs="Arial" w:eastAsia="Arial" w:hAnsi="Arial"/>
          <w:sz w:val="18"/>
          <w:szCs w:val="18"/>
          <w:color w:val="auto"/>
        </w:rPr>
      </w:pPr>
    </w:p>
    <w:p>
      <w:pPr>
        <w:ind w:left="660" w:right="300" w:hanging="328"/>
        <w:spacing w:after="0" w:line="34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units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units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units which are or are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units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units,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3" w:name="page174"/>
    <w:bookmarkEnd w:id="173"/>
    <w:p>
      <w:pPr>
        <w:ind w:left="340"/>
        <w:spacing w:after="0"/>
        <w:rPr>
          <w:sz w:val="20"/>
          <w:szCs w:val="20"/>
          <w:color w:val="auto"/>
        </w:rPr>
      </w:pPr>
      <w:r>
        <w:rPr>
          <w:rFonts w:ascii="Arial" w:cs="Arial" w:eastAsia="Arial" w:hAnsi="Arial"/>
          <w:sz w:val="18"/>
          <w:szCs w:val="18"/>
          <w:color w:val="auto"/>
        </w:rPr>
        <w:t>Where the units are subscribed or purchased under Section 275 of the SFA by a relevant person which is:</w:t>
      </w:r>
    </w:p>
    <w:p>
      <w:pPr>
        <w:spacing w:after="0" w:line="225" w:lineRule="exact"/>
        <w:rPr>
          <w:sz w:val="20"/>
          <w:szCs w:val="20"/>
          <w:color w:val="auto"/>
        </w:rPr>
      </w:pPr>
    </w:p>
    <w:p>
      <w:pPr>
        <w:ind w:left="660" w:right="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units pursuant to an offer made under Section 275 of the SFA except:</w:t>
      </w:r>
    </w:p>
    <w:p>
      <w:pPr>
        <w:spacing w:after="0" w:line="184" w:lineRule="exact"/>
        <w:rPr>
          <w:sz w:val="20"/>
          <w:szCs w:val="20"/>
          <w:color w:val="auto"/>
        </w:rPr>
      </w:pPr>
    </w:p>
    <w:p>
      <w:pPr>
        <w:ind w:left="660" w:right="10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units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w:t>
      </w:r>
    </w:p>
    <w:p>
      <w:pPr>
        <w:spacing w:after="0" w:line="1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Prospective purchasers of the securities offered should conduct their own due diligence on the securities. If you do not understand the contents of this prospectus you should consult an authorized financial advisor.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6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7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5" w:name="page176"/>
    <w:bookmarkEnd w:id="175"/>
    <w:p>
      <w:pPr>
        <w:ind w:right="40" w:firstLine="324"/>
        <w:spacing w:after="0" w:line="284"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93"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Loeb &amp; Loeb LLP, New York, New York, is acting as counsel in connection with the registration of our securities under the Securities Act, and as such, will pass upon the validity of the securities offered in this prospectus. Certain legal matters will be passed upon on behalf of the underwriters by Lucosky Brookman LLP,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financial statements of BurTech Acquisition Corp. as of May 21, 2021, and for the period from March 2, 2021 (inception) through May 21, 2021 appearing in this prospectus have been audited by Marcum LLP, independent registered public accounting firm, as stated in their report herein (which contains an explanatory paragraph relating to substantial doubt about the ability of BurTech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120" w:type="dxa"/>
            <w:vAlign w:val="bottom"/>
            <w:gridSpan w:val="7"/>
            <w:shd w:val="clear" w:color="auto" w:fill="CCEEFF"/>
          </w:tcPr>
          <w:p>
            <w:pPr>
              <w:spacing w:after="0" w:line="169" w:lineRule="exact"/>
              <w:rPr>
                <w:rFonts w:ascii="Arial" w:cs="Arial" w:eastAsia="Arial" w:hAnsi="Arial"/>
                <w:sz w:val="18"/>
                <w:szCs w:val="18"/>
                <w:color w:val="0000EE"/>
              </w:rPr>
            </w:pPr>
            <w:hyperlink w:anchor="page179">
              <w:r>
                <w:rPr>
                  <w:rFonts w:ascii="Arial" w:cs="Arial" w:eastAsia="Arial" w:hAnsi="Arial"/>
                  <w:sz w:val="18"/>
                  <w:szCs w:val="18"/>
                  <w:color w:val="0000EE"/>
                </w:rPr>
                <w:t>Report of Independent Registered Public Accounting Firm</w:t>
              </w:r>
            </w:hyperlink>
          </w:p>
        </w:tc>
        <w:tc>
          <w:tcPr>
            <w:tcW w:w="1120" w:type="dxa"/>
            <w:vAlign w:val="bottom"/>
            <w:gridSpan w:val="3"/>
            <w:shd w:val="clear" w:color="auto" w:fill="CCEEFF"/>
          </w:tcPr>
          <w:p>
            <w:pPr>
              <w:jc w:val="center"/>
              <w:spacing w:after="0" w:line="169"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F-2</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20" w:type="dxa"/>
            <w:vAlign w:val="bottom"/>
            <w:gridSpan w:val="3"/>
          </w:tcPr>
          <w:p>
            <w:pPr>
              <w:spacing w:after="0" w:line="176" w:lineRule="exact"/>
              <w:rPr>
                <w:rFonts w:ascii="Arial" w:cs="Arial" w:eastAsia="Arial" w:hAnsi="Arial"/>
                <w:sz w:val="18"/>
                <w:szCs w:val="18"/>
                <w:color w:val="0000EE"/>
              </w:rPr>
            </w:pPr>
            <w:hyperlink w:anchor="page180">
              <w:r>
                <w:rPr>
                  <w:rFonts w:ascii="Arial" w:cs="Arial" w:eastAsia="Arial" w:hAnsi="Arial"/>
                  <w:sz w:val="18"/>
                  <w:szCs w:val="18"/>
                  <w:color w:val="0000EE"/>
                </w:rPr>
                <w:t>Balance Sheet as of May 21, 2021</w:t>
              </w:r>
            </w:hyperlink>
          </w:p>
        </w:tc>
        <w:tc>
          <w:tcPr>
            <w:tcW w:w="5900" w:type="dxa"/>
            <w:vAlign w:val="bottom"/>
            <w:gridSpan w:val="4"/>
          </w:tcPr>
          <w:p>
            <w:pPr>
              <w:spacing w:after="0"/>
              <w:rPr>
                <w:sz w:val="15"/>
                <w:szCs w:val="15"/>
                <w:color w:val="auto"/>
              </w:rPr>
            </w:pPr>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F-3</w:t>
              </w:r>
            </w:hyperlink>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10120" w:type="dxa"/>
            <w:vAlign w:val="bottom"/>
            <w:gridSpan w:val="7"/>
            <w:shd w:val="clear" w:color="auto" w:fill="CCEEFF"/>
          </w:tcPr>
          <w:p>
            <w:pPr>
              <w:spacing w:after="0" w:line="176" w:lineRule="exact"/>
              <w:rPr>
                <w:rFonts w:ascii="Arial" w:cs="Arial" w:eastAsia="Arial" w:hAnsi="Arial"/>
                <w:sz w:val="18"/>
                <w:szCs w:val="18"/>
                <w:color w:val="0000EE"/>
              </w:rPr>
            </w:pPr>
            <w:hyperlink w:anchor="page181">
              <w:r>
                <w:rPr>
                  <w:rFonts w:ascii="Arial" w:cs="Arial" w:eastAsia="Arial" w:hAnsi="Arial"/>
                  <w:sz w:val="18"/>
                  <w:szCs w:val="18"/>
                  <w:color w:val="0000EE"/>
                </w:rPr>
                <w:t>Statement of Operations for the period from March 2, 2021 (inception) through May 21, 2021</w:t>
              </w:r>
            </w:hyperlink>
          </w:p>
        </w:tc>
        <w:tc>
          <w:tcPr>
            <w:tcW w:w="1120" w:type="dxa"/>
            <w:vAlign w:val="bottom"/>
            <w:gridSpan w:val="3"/>
            <w:shd w:val="clear" w:color="auto" w:fill="CCEEFF"/>
          </w:tcPr>
          <w:p>
            <w:pPr>
              <w:jc w:val="center"/>
              <w:spacing w:after="0" w:line="176" w:lineRule="exact"/>
              <w:rPr>
                <w:rFonts w:ascii="Arial" w:cs="Arial" w:eastAsia="Arial" w:hAnsi="Arial"/>
                <w:sz w:val="18"/>
                <w:szCs w:val="18"/>
                <w:color w:val="0000EE"/>
                <w:w w:val="88"/>
              </w:rPr>
            </w:pPr>
            <w:hyperlink w:anchor="page181">
              <w:r>
                <w:rPr>
                  <w:rFonts w:ascii="Arial" w:cs="Arial" w:eastAsia="Arial" w:hAnsi="Arial"/>
                  <w:sz w:val="18"/>
                  <w:szCs w:val="18"/>
                  <w:color w:val="0000EE"/>
                  <w:w w:val="88"/>
                </w:rPr>
                <w:t>F-4</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7"/>
          </w:tcPr>
          <w:p>
            <w:pPr>
              <w:spacing w:after="0" w:line="176" w:lineRule="exact"/>
              <w:rPr>
                <w:rFonts w:ascii="Arial" w:cs="Arial" w:eastAsia="Arial" w:hAnsi="Arial"/>
                <w:sz w:val="18"/>
                <w:szCs w:val="18"/>
                <w:color w:val="0000EE"/>
              </w:rPr>
            </w:pPr>
            <w:hyperlink w:anchor="page182">
              <w:r>
                <w:rPr>
                  <w:rFonts w:ascii="Arial" w:cs="Arial" w:eastAsia="Arial" w:hAnsi="Arial"/>
                  <w:sz w:val="18"/>
                  <w:szCs w:val="18"/>
                  <w:color w:val="0000EE"/>
                </w:rPr>
                <w:t>Statement of Changes in Stockholder’s Equity for the period from March 2, 2021 (inception) through May 21, 2021</w:t>
              </w:r>
            </w:hyperlink>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82">
              <w:r>
                <w:rPr>
                  <w:rFonts w:ascii="Arial" w:cs="Arial" w:eastAsia="Arial" w:hAnsi="Arial"/>
                  <w:sz w:val="18"/>
                  <w:szCs w:val="18"/>
                  <w:color w:val="0000EE"/>
                  <w:w w:val="88"/>
                </w:rPr>
                <w:t>F-5</w:t>
              </w:r>
            </w:hyperlink>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6820" w:type="dxa"/>
            <w:vAlign w:val="bottom"/>
            <w:gridSpan w:val="5"/>
            <w:shd w:val="clear" w:color="auto" w:fill="CCEEFF"/>
          </w:tcPr>
          <w:p>
            <w:pPr>
              <w:spacing w:after="0" w:line="176" w:lineRule="exact"/>
              <w:rPr>
                <w:rFonts w:ascii="Arial" w:cs="Arial" w:eastAsia="Arial" w:hAnsi="Arial"/>
                <w:sz w:val="18"/>
                <w:szCs w:val="18"/>
                <w:color w:val="0000EE"/>
                <w:w w:val="91"/>
              </w:rPr>
            </w:pPr>
            <w:hyperlink w:anchor="page183">
              <w:r>
                <w:rPr>
                  <w:rFonts w:ascii="Arial" w:cs="Arial" w:eastAsia="Arial" w:hAnsi="Arial"/>
                  <w:sz w:val="18"/>
                  <w:szCs w:val="18"/>
                  <w:color w:val="0000EE"/>
                  <w:w w:val="91"/>
                </w:rPr>
                <w:t>Statement of Cash Flows for the period from March 2, 2021 (inception) through May 21, 2021</w:t>
              </w:r>
            </w:hyperlink>
          </w:p>
        </w:tc>
        <w:tc>
          <w:tcPr>
            <w:tcW w:w="3300" w:type="dxa"/>
            <w:vAlign w:val="bottom"/>
            <w:gridSpan w:val="2"/>
            <w:shd w:val="clear" w:color="auto" w:fill="CCEEFF"/>
          </w:tcPr>
          <w:p>
            <w:pPr>
              <w:spacing w:after="0"/>
              <w:rPr>
                <w:sz w:val="15"/>
                <w:szCs w:val="15"/>
                <w:color w:val="auto"/>
              </w:rPr>
            </w:pPr>
          </w:p>
        </w:tc>
        <w:tc>
          <w:tcPr>
            <w:tcW w:w="1120" w:type="dxa"/>
            <w:vAlign w:val="bottom"/>
            <w:gridSpan w:val="3"/>
            <w:shd w:val="clear" w:color="auto" w:fill="CCEEFF"/>
          </w:tcPr>
          <w:p>
            <w:pPr>
              <w:jc w:val="center"/>
              <w:spacing w:after="0" w:line="176" w:lineRule="exact"/>
              <w:rPr>
                <w:rFonts w:ascii="Arial" w:cs="Arial" w:eastAsia="Arial" w:hAnsi="Arial"/>
                <w:sz w:val="18"/>
                <w:szCs w:val="18"/>
                <w:color w:val="0000EE"/>
                <w:w w:val="88"/>
              </w:rPr>
            </w:pPr>
            <w:hyperlink w:anchor="page183">
              <w:r>
                <w:rPr>
                  <w:rFonts w:ascii="Arial" w:cs="Arial" w:eastAsia="Arial" w:hAnsi="Arial"/>
                  <w:sz w:val="18"/>
                  <w:szCs w:val="18"/>
                  <w:color w:val="0000EE"/>
                  <w:w w:val="88"/>
                </w:rPr>
                <w:t>F-6</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20" w:type="dxa"/>
            <w:vAlign w:val="bottom"/>
            <w:gridSpan w:val="5"/>
          </w:tcPr>
          <w:p>
            <w:pPr>
              <w:spacing w:after="0" w:line="176" w:lineRule="exact"/>
              <w:rPr>
                <w:rFonts w:ascii="Arial" w:cs="Arial" w:eastAsia="Arial" w:hAnsi="Arial"/>
                <w:sz w:val="18"/>
                <w:szCs w:val="18"/>
                <w:color w:val="0000EE"/>
              </w:rPr>
            </w:pPr>
            <w:hyperlink w:anchor="page184">
              <w:r>
                <w:rPr>
                  <w:rFonts w:ascii="Arial" w:cs="Arial" w:eastAsia="Arial" w:hAnsi="Arial"/>
                  <w:sz w:val="18"/>
                  <w:szCs w:val="18"/>
                  <w:color w:val="0000EE"/>
                </w:rPr>
                <w:t>Notes to Financial Statements</w:t>
              </w:r>
            </w:hyperlink>
          </w:p>
        </w:tc>
        <w:tc>
          <w:tcPr>
            <w:tcW w:w="3300" w:type="dxa"/>
            <w:vAlign w:val="bottom"/>
            <w:gridSpan w:val="2"/>
          </w:tcPr>
          <w:p>
            <w:pPr>
              <w:spacing w:after="0"/>
              <w:rPr>
                <w:sz w:val="15"/>
                <w:szCs w:val="15"/>
                <w:color w:val="auto"/>
              </w:rPr>
            </w:pPr>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F-7</w:t>
              </w:r>
            </w:hyperlink>
          </w:p>
        </w:tc>
      </w:tr>
      <w:tr>
        <w:trPr>
          <w:trHeight w:val="668"/>
        </w:trPr>
        <w:tc>
          <w:tcPr>
            <w:tcW w:w="216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4"/>
          </w:tcPr>
          <w:p>
            <w:pPr>
              <w:ind w:left="1280"/>
              <w:spacing w:after="0"/>
              <w:rPr>
                <w:sz w:val="20"/>
                <w:szCs w:val="20"/>
                <w:color w:val="auto"/>
              </w:rPr>
            </w:pPr>
            <w:r>
              <w:rPr>
                <w:rFonts w:ascii="Arial" w:cs="Arial" w:eastAsia="Arial" w:hAnsi="Arial"/>
                <w:sz w:val="18"/>
                <w:szCs w:val="18"/>
                <w:color w:val="auto"/>
              </w:rPr>
              <w:t>F-1</w:t>
            </w:r>
          </w:p>
        </w:tc>
        <w:tc>
          <w:tcPr>
            <w:tcW w:w="44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8" w:name="page179"/>
    <w:bookmarkEnd w:id="17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audited the accompanying balance sheet of BurTech Acquisition Corp. (the “Company”) as of May 21, 2021, the related statements of operations, changes in stockholder’s equity and cash flows for the period from March 2, 2021 (inception) through May 21, 2021, and the related notes (collectively referred to as the “financial statements”). In our opinion, the financial statements present fairly, in all material respects, the financial position of the Company as of May 21, 2021, and the results of its operations and its cash flows for the period from March 2, 2021 (inception) through May 21, 2021,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no working capital and needs to raise additional funds to meet its obligations and sustain its operations.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2021</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9" w:name="page180"/>
    <w:bookmarkEnd w:id="179"/>
    <w:p>
      <w:pPr>
        <w:jc w:val="center"/>
        <w:ind w:left="206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left="2060"/>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ind w:left="2060"/>
        <w:spacing w:after="0"/>
        <w:rPr>
          <w:sz w:val="20"/>
          <w:szCs w:val="20"/>
          <w:color w:val="auto"/>
        </w:rPr>
      </w:pPr>
      <w:r>
        <w:rPr>
          <w:rFonts w:ascii="Arial" w:cs="Arial" w:eastAsia="Arial" w:hAnsi="Arial"/>
          <w:sz w:val="18"/>
          <w:szCs w:val="18"/>
          <w:b w:val="1"/>
          <w:bCs w:val="1"/>
          <w:color w:val="auto"/>
        </w:rPr>
        <w:t>MAY 21,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Asset - 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Offering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offering costs and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Class A common stock, $0.0001 par value; 280,000,000 shares authorized; none issued and outstanding</w:t>
      </w:r>
    </w:p>
    <w:p>
      <w:pPr>
        <w:spacing w:after="0" w:line="232" w:lineRule="auto"/>
        <w:rPr>
          <w:sz w:val="20"/>
          <w:szCs w:val="20"/>
          <w:color w:val="auto"/>
        </w:rPr>
      </w:pPr>
      <w:r>
        <w:rPr>
          <w:rFonts w:ascii="Arial" w:cs="Arial" w:eastAsia="Arial" w:hAnsi="Arial"/>
          <w:sz w:val="15"/>
          <w:szCs w:val="15"/>
          <w:color w:val="auto"/>
        </w:rPr>
        <w:t>Class B common stock, $0.0001 par value; 20,000,000 shares authorized; 8,625,000 shares issued and outstanding</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Additional paid-in capital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40" w:hanging="737"/>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25,100</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5" w:lineRule="exact"/>
        <w:rPr>
          <w:sz w:val="20"/>
          <w:szCs w:val="20"/>
          <w:color w:val="auto"/>
        </w:rPr>
      </w:pPr>
    </w:p>
    <w:p>
      <w:pPr>
        <w:ind w:left="740" w:hanging="737"/>
        <w:spacing w:after="0"/>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49,600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40" w:hanging="737"/>
        <w:spacing w:after="0"/>
        <w:tabs>
          <w:tab w:leader="none" w:pos="7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25,000</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100</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863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24,137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5" w:lineRule="exact"/>
        <w:rPr>
          <w:sz w:val="20"/>
          <w:szCs w:val="20"/>
          <w:color w:val="auto"/>
        </w:rPr>
      </w:pPr>
    </w:p>
    <w:p>
      <w:pPr>
        <w:ind w:left="740" w:hanging="737"/>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49,600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7797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00"/>
          </w:cols>
          <w:pgMar w:left="320" w:top="904" w:right="379" w:bottom="1440" w:gutter="0" w:footer="0" w:header="0"/>
        </w:sectPr>
      </w:pPr>
    </w:p>
    <w:p>
      <w:pPr>
        <w:spacing w:after="0" w:line="93" w:lineRule="exact"/>
        <w:rPr>
          <w:sz w:val="20"/>
          <w:szCs w:val="20"/>
          <w:color w:val="auto"/>
        </w:rPr>
      </w:pPr>
    </w:p>
    <w:p>
      <w:pPr>
        <w:ind w:left="66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up to 1,125,000 shares of Class B Common stock subject to forfeiture if the over-allotment option is not exercised in full or in part by the underwriter (see Note 5).</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 2021 (INCEPTION) THROUGH MAY 21,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3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w:t>
            </w:r>
          </w:p>
        </w:tc>
      </w:tr>
      <w:tr>
        <w:trPr>
          <w:trHeight w:val="263"/>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7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71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23"/>
        </w:trPr>
        <w:tc>
          <w:tcPr>
            <w:tcW w:w="7140" w:type="dxa"/>
            <w:vAlign w:val="bottom"/>
          </w:tcPr>
          <w:p>
            <w:pPr>
              <w:spacing w:after="0" w:line="284" w:lineRule="exact"/>
              <w:rPr>
                <w:sz w:val="20"/>
                <w:szCs w:val="20"/>
                <w:color w:val="auto"/>
              </w:rPr>
            </w:pPr>
            <w:r>
              <w:rPr>
                <w:rFonts w:ascii="Arial" w:cs="Arial" w:eastAsia="Arial" w:hAnsi="Arial"/>
                <w:sz w:val="18"/>
                <w:szCs w:val="18"/>
                <w:b w:val="1"/>
                <w:bCs w:val="1"/>
                <w:color w:val="auto"/>
              </w:rPr>
              <w:t>Basic and diluted weighted average shares outstanding</w:t>
            </w:r>
            <w:r>
              <w:rPr>
                <w:rFonts w:ascii="Arial" w:cs="Arial" w:eastAsia="Arial" w:hAnsi="Arial"/>
                <w:sz w:val="29"/>
                <w:szCs w:val="29"/>
                <w:b w:val="1"/>
                <w:bCs w:val="1"/>
                <w:color w:val="auto"/>
                <w:vertAlign w:val="superscript"/>
              </w:rPr>
              <w:t>(1)</w:t>
            </w: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7,500,000</w:t>
            </w:r>
          </w:p>
        </w:tc>
      </w:tr>
      <w:tr>
        <w:trPr>
          <w:trHeight w:val="197"/>
        </w:trPr>
        <w:tc>
          <w:tcPr>
            <w:tcW w:w="71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and diluted net loss per common share</w:t>
            </w:r>
          </w:p>
        </w:tc>
        <w:tc>
          <w:tcPr>
            <w:tcW w:w="27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420" w:hanging="332"/>
        <w:spacing w:after="0" w:line="277" w:lineRule="auto"/>
        <w:tabs>
          <w:tab w:leader="none" w:pos="2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Excludes up to 1,125,000 shares of Class B common stock subject to forfeiture if the over-allotment option is not exercised in full or in part by the underwriter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center"/>
        <w:ind w:right="-3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PERIOD FROM MARCH 2, 2021 (INCEPTION) THROUGH MAY 21, 2021</w:t>
      </w:r>
    </w:p>
    <w:p>
      <w:pPr>
        <w:sectPr>
          <w:pgSz w:w="11900" w:h="16838" w:orient="portrait"/>
          <w:cols w:equalWidth="0" w:num="1">
            <w:col w:w="11200"/>
          </w:cols>
          <w:pgMar w:left="320" w:top="90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Balance as of March 2, 2021 (inception) </w:t>
      </w:r>
      <w:r>
        <w:rPr>
          <w:rFonts w:ascii="Arial" w:cs="Arial" w:eastAsia="Arial" w:hAnsi="Arial"/>
          <w:sz w:val="18"/>
          <w:szCs w:val="18"/>
          <w:color w:val="auto"/>
        </w:rPr>
        <w:t>Class B common stock issued to Sponsors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5"/>
          </w:tcPr>
          <w:p>
            <w:pPr>
              <w:ind w:left="280"/>
              <w:spacing w:after="0"/>
              <w:rPr>
                <w:sz w:val="20"/>
                <w:szCs w:val="20"/>
                <w:color w:val="auto"/>
              </w:rPr>
            </w:pPr>
            <w:r>
              <w:rPr>
                <w:rFonts w:ascii="Arial" w:cs="Arial" w:eastAsia="Arial" w:hAnsi="Arial"/>
                <w:sz w:val="18"/>
                <w:szCs w:val="18"/>
                <w:b w:val="1"/>
                <w:bCs w:val="1"/>
                <w:color w:val="auto"/>
              </w:rPr>
              <w:t>Class B Common Stock</w:t>
            </w:r>
          </w:p>
        </w:tc>
        <w:tc>
          <w:tcPr>
            <w:tcW w:w="17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Additional Paid-In</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Shares</w:t>
            </w:r>
            <w:r>
              <w:rPr>
                <w:rFonts w:ascii="Arial" w:cs="Arial" w:eastAsia="Arial" w:hAnsi="Arial"/>
                <w:sz w:val="29"/>
                <w:szCs w:val="29"/>
                <w:b w:val="1"/>
                <w:bCs w:val="1"/>
                <w:color w:val="auto"/>
                <w:vertAlign w:val="superscript"/>
              </w:rPr>
              <w:t>(1)</w:t>
            </w: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Capital</w:t>
            </w: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Accumulated Deficit</w:t>
            </w:r>
          </w:p>
        </w:tc>
        <w:tc>
          <w:tcPr>
            <w:tcW w:w="1680" w:type="dxa"/>
            <w:vAlign w:val="bottom"/>
            <w:gridSpan w:val="4"/>
          </w:tcPr>
          <w:p>
            <w:pPr>
              <w:spacing w:after="0"/>
              <w:rPr>
                <w:sz w:val="20"/>
                <w:szCs w:val="20"/>
                <w:color w:val="auto"/>
              </w:rPr>
            </w:pPr>
            <w:r>
              <w:rPr>
                <w:rFonts w:ascii="Arial" w:cs="Arial" w:eastAsia="Arial" w:hAnsi="Arial"/>
                <w:sz w:val="18"/>
                <w:szCs w:val="18"/>
                <w:b w:val="1"/>
                <w:bCs w:val="1"/>
                <w:color w:val="auto"/>
                <w:w w:val="92"/>
              </w:rPr>
              <w:t>Stockholder’s Equity</w:t>
            </w:r>
          </w:p>
        </w:tc>
        <w:tc>
          <w:tcPr>
            <w:tcW w:w="0" w:type="dxa"/>
            <w:vAlign w:val="bottom"/>
          </w:tcPr>
          <w:p>
            <w:pPr>
              <w:spacing w:after="0"/>
              <w:rPr>
                <w:sz w:val="1"/>
                <w:szCs w:val="1"/>
                <w:color w:val="auto"/>
              </w:rPr>
            </w:pPr>
          </w:p>
        </w:tc>
      </w:tr>
      <w:tr>
        <w:trPr>
          <w:trHeight w:val="195"/>
        </w:trPr>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8,625,000</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863</w:t>
            </w: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24,137</w:t>
            </w:r>
          </w:p>
        </w:tc>
        <w:tc>
          <w:tcPr>
            <w:tcW w:w="66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8,625,000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24,137</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-607695</wp:posOffset>
            </wp:positionV>
            <wp:extent cx="713232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-325120</wp:posOffset>
            </wp:positionV>
            <wp:extent cx="713232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320"/>
            <w:col w:w="7840"/>
          </w:cols>
          <w:pgMar w:left="320" w:top="904" w:right="379" w:bottom="1440" w:gutter="0" w:footer="0" w:header="0"/>
          <w:type w:val="continuous"/>
        </w:sectPr>
      </w:pPr>
    </w:p>
    <w:p>
      <w:pPr>
        <w:spacing w:after="0" w:line="29" w:lineRule="exact"/>
        <w:rPr>
          <w:sz w:val="20"/>
          <w:szCs w:val="20"/>
          <w:color w:val="auto"/>
        </w:rPr>
      </w:pPr>
    </w:p>
    <w:p>
      <w:pPr>
        <w:ind w:left="340" w:right="440" w:hanging="332"/>
        <w:spacing w:after="0" w:line="277" w:lineRule="auto"/>
        <w:tabs>
          <w:tab w:leader="none" w:pos="271"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up to 1,125,000 shares of Class B common stock subject to forfeiture if the over-allotment option is not exercised in full or in part by the underwriter (see Note 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 2021 (INCEPTION) THROUGH MAY 21,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loss</w:t>
            </w:r>
          </w:p>
        </w:tc>
        <w:tc>
          <w:tcPr>
            <w:tcW w:w="2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660" w:type="dxa"/>
            <w:vAlign w:val="bottom"/>
          </w:tcPr>
          <w:p>
            <w:pPr>
              <w:ind w:left="180"/>
              <w:spacing w:after="0"/>
              <w:rPr>
                <w:sz w:val="20"/>
                <w:szCs w:val="20"/>
                <w:color w:val="auto"/>
              </w:rPr>
            </w:pPr>
            <w:r>
              <w:rPr>
                <w:rFonts w:ascii="Arial" w:cs="Arial" w:eastAsia="Arial" w:hAnsi="Arial"/>
                <w:sz w:val="18"/>
                <w:szCs w:val="18"/>
                <w:color w:val="auto"/>
              </w:rPr>
              <w:t>Accrued offering costs and expenses</w:t>
            </w:r>
          </w:p>
        </w:tc>
        <w:tc>
          <w:tcPr>
            <w:tcW w:w="2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0"/>
        </w:trPr>
        <w:tc>
          <w:tcPr>
            <w:tcW w:w="7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2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initial shareholder</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30"/>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promissory note to related party</w:t>
            </w:r>
          </w:p>
        </w:tc>
        <w:tc>
          <w:tcPr>
            <w:tcW w:w="2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09"/>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2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tcPr>
          <w:p>
            <w:pPr>
              <w:spacing w:after="0"/>
              <w:rPr>
                <w:sz w:val="18"/>
                <w:szCs w:val="18"/>
                <w:color w:val="auto"/>
              </w:rPr>
            </w:pPr>
          </w:p>
        </w:tc>
      </w:tr>
      <w:tr>
        <w:trPr>
          <w:trHeight w:val="209"/>
        </w:trPr>
        <w:tc>
          <w:tcPr>
            <w:tcW w:w="7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change in cash</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25,100</w:t>
            </w: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inception</w:t>
            </w:r>
          </w:p>
        </w:tc>
        <w:tc>
          <w:tcPr>
            <w:tcW w:w="2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the period</w:t>
            </w:r>
          </w:p>
        </w:tc>
        <w:tc>
          <w:tcPr>
            <w:tcW w:w="22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tcPr>
          <w:p>
            <w:pPr>
              <w:spacing w:after="0"/>
              <w:rPr>
                <w:sz w:val="22"/>
                <w:szCs w:val="22"/>
                <w:color w:val="auto"/>
              </w:rPr>
            </w:pPr>
          </w:p>
        </w:tc>
      </w:tr>
      <w:tr>
        <w:trPr>
          <w:trHeight w:val="196"/>
        </w:trPr>
        <w:tc>
          <w:tcPr>
            <w:tcW w:w="76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flow financing activities:</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 included in accrued offerings costs and expenses</w:t>
            </w:r>
          </w:p>
        </w:tc>
        <w:tc>
          <w:tcPr>
            <w:tcW w:w="2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Business Operations and Going Concern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May 21, 2021, the Company had not commenced any operations. All activity for the period from March 2, 2021 (inception) through May 21, 2021 relates to the Company’s formation and the Proposed Public Offering (as defined below). The Company will not generate any operating revenues until after the completion of its initial Business Combination, at the earliest. The Company will generate non-operating income in the form of interest income from the proceeds derived from the Proposed Public Offering (as defined below). The Company has selected December 31 as its fiscal year end.</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sponsor is BurTech LP LLC, (the “Sponsor”). The Company’s ability to commence operations is contingent upon obtaining adequate financial resources through a proposed public offering (the “Proposed Public Offering”) of 25,000,000 units (each, a “Unit” and collectively, the “Units”) at $10.00 per Unit (or 28,750,000 units if the underwriters’ over-allotment option is exercised in full), which is discussed in Note 3, and the sale of 429,500 placement units (or 467,000 placement units if the over-allotment option is exercised in full) at a price of $10.00 per unit, for an aggregate purchase price of $4,295,000 ($4,670,000 if the over-allotment option is exercised in full), which is discussed in Note 4. Each placement unit will be identical to the units sold in this offering, except as described in this prospectus. The placement units will be sold in a private placement that will close simultaneously with the closing of this offering.</w:t>
      </w:r>
    </w:p>
    <w:p>
      <w:pPr>
        <w:spacing w:after="0" w:line="19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Upon the closing of the Proposed Public Offering, management has agreed that $10.00 per Unit sold in the Proposed Public Offering, including the proceeds of the sale of the Private Placement Units, will be held in a Trust Account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Proposed Public Offering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24 months from the closing of the Proposed Public Offering or (ii) with respect to any other provision relating to stockholders’ rights or pre-Business Combination activity, and (c) the redemption of the public shares if the Company is unable to complete the initial Business Combination within 24 months from the closing of the Proposed Public Offering, subject to applicable law. The proceeds deposited in the Trust Account could become subject to the claims of the Company’s creditors, if any, which could have priority over the claims of the Company’s public stockholders.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4" w:name="page185"/>
    <w:bookmarkEnd w:id="184"/>
    <w:p>
      <w:pPr>
        <w:spacing w:after="0" w:line="269"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 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$10.00 per public share, however, there is no guarantee that investors will receive $10.00 per share upon redemption.</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shares of common stock subject to redemption will be recorded at a redemption value and classified as temporary equity upon the completion of the Proposed Public Offering, in accordance with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will have only 24 months from the closing of the Proposed Public Offering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Proposed Public Offering (including in open market and privately-negotiated transactions) in favor of the initial Business Combination.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5" w:name="page186"/>
    <w:bookmarkEnd w:id="185"/>
    <w:p>
      <w:pPr>
        <w:spacing w:after="0" w:line="269"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Proposed Public Offering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May 21, 2021, the Company had $25,100 in cash and a working capital of $0 (excluding deferred offering costs).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(“US GAAP”) and pursuant to the rules and regulations of the U.S. Securities and Exchange Commission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is an “emerging growth company,” as defined in Section2(a)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spacing w:after="0" w:line="289" w:lineRule="auto"/>
        <w:rPr>
          <w:sz w:val="20"/>
          <w:szCs w:val="20"/>
          <w:color w:val="auto"/>
        </w:rPr>
      </w:pPr>
      <w:r>
        <w:rPr>
          <w:rFonts w:ascii="Arial" w:cs="Arial" w:eastAsia="Arial" w:hAnsi="Arial"/>
          <w:sz w:val="16"/>
          <w:szCs w:val="16"/>
          <w:color w:val="auto"/>
        </w:rPr>
        <w:t>Further, Section102(b)(1)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$25,100 in cash did not have any cash equivalents as of May 21,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Deferred offering costs consist of legal expenses incurred through the balance sheet date that are directly related to the Proposed Public Offering and will be charged to stockholders’ equity. Should the Proposed Public Offering prove to be unsuccessful, all of these deferred costs, as well as additional expenses to be incurred, will be charged to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ind w:left="440" w:right="60" w:hanging="216"/>
        <w:spacing w:after="0" w:line="277" w:lineRule="auto"/>
        <w:tabs>
          <w:tab w:leader="none" w:pos="440" w:val="left"/>
        </w:tabs>
        <w:numPr>
          <w:ilvl w:val="0"/>
          <w:numId w:val="97"/>
        </w:numPr>
        <w:rPr>
          <w:rFonts w:ascii="Arial" w:cs="Arial" w:eastAsia="Arial" w:hAnsi="Arial"/>
          <w:sz w:val="18"/>
          <w:szCs w:val="18"/>
          <w:color w:val="auto"/>
          <w:vertAlign w:val="superscript"/>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left="440" w:right="120" w:hanging="216"/>
        <w:spacing w:after="0" w:line="342" w:lineRule="auto"/>
        <w:tabs>
          <w:tab w:leader="none" w:pos="440" w:val="left"/>
        </w:tabs>
        <w:numPr>
          <w:ilvl w:val="0"/>
          <w:numId w:val="98"/>
        </w:numPr>
        <w:rPr>
          <w:rFonts w:ascii="Arial" w:cs="Arial" w:eastAsia="Arial" w:hAnsi="Arial"/>
          <w:sz w:val="16"/>
          <w:szCs w:val="16"/>
          <w:color w:val="auto"/>
          <w:vertAlign w:val="superscript"/>
        </w:rPr>
      </w:pPr>
      <w:r>
        <w:rPr>
          <w:rFonts w:ascii="Arial" w:cs="Arial" w:eastAsia="Arial" w:hAnsi="Arial"/>
          <w:sz w:val="16"/>
          <w:szCs w:val="16"/>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23" w:lineRule="exact"/>
        <w:rPr>
          <w:rFonts w:ascii="Arial" w:cs="Arial" w:eastAsia="Arial" w:hAnsi="Arial"/>
          <w:sz w:val="16"/>
          <w:szCs w:val="16"/>
          <w:color w:val="auto"/>
          <w:vertAlign w:val="superscript"/>
        </w:rPr>
      </w:pPr>
    </w:p>
    <w:p>
      <w:pPr>
        <w:ind w:left="440" w:right="260" w:hanging="216"/>
        <w:spacing w:after="0" w:line="277" w:lineRule="auto"/>
        <w:tabs>
          <w:tab w:leader="none" w:pos="440" w:val="left"/>
        </w:tabs>
        <w:numPr>
          <w:ilvl w:val="0"/>
          <w:numId w:val="98"/>
        </w:numPr>
        <w:rPr>
          <w:rFonts w:ascii="Arial" w:cs="Arial" w:eastAsia="Arial" w:hAnsi="Arial"/>
          <w:sz w:val="18"/>
          <w:szCs w:val="18"/>
          <w:color w:val="auto"/>
          <w:vertAlign w:val="superscript"/>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complies with the accounting and disclosure requirements of FASB ASC Topic 260, “Earnings Per Share.” Net loss per common share is computed by dividing net loss by the weighted average number of shares of common stock outstanding during the period, excluding common stock subject to forfeiture. Weighted average shares were reduced for the effect of an aggregate of 1,125,000 shares of Class B common stock that are subject to forfeiture if the over-allotment option is not exercised by the underwriter (see Note 5). At May 21, 2021,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May 21, 2021. The Company is currently not aware of any issues under review that could result in significant payments, accruals or material deviation from its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the United States as its only “major” tax jurisdiction.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is subject to income tax examinations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immaterial for the period from March 2, 2021(inception) through May 21,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May 21, 2021, the Company had not experienced losses on this account and management believes the Company is not exposed to significant risks on such account.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March 2, 2021 (inception). Adoption of the ASU did not impact the Company’s financial position, results of operations or cash flows.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the Proposed Public Offering, the Company will offer for sale 25,000,000 Units (or 28,750,000 Units if the underwriter’s overallotment option is exercised in full) at a purchase price of $10.00 per Unit. Each Unit will consist of one share of Class A common stock and one-half of one redeemable warrant (“public warrant”) for a total of 12,500,000 warrants (14,375,000 warrants if the underwriter’s overallotment option is exercised in full). Each whole public warrant entitles the holder to purchase one share of Common Stock at a purchase price of $11.50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Sponsor has subscribed to purchase an aggregate of 429,500 placement units (or 467,000 placement units if the over-allotment option is exercised in full) Private Placement Units for a purchase price of approximately $4,295,000 (or $4,670,000 if the over-allotment option is exercised in full), or $10.00 per unit, in a private placement that will close simultaneously with the closing of the Proposed Public Offering. Each Private Placement Unit will consist of one share of Class A common stock and one-half of one redeemable warrant (“private warrant”) for a total of 214,750 private warrants (233,500 private warrants if the underwriter’s overallotment option is exercised in full). Each whole private warrant entitles the holder to purchase one share of Common Stock at a purchase price of $11.50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2021 the Sponsor purchased 8,625,000 shares of the Company’s Class B common stock, par value $0.0001 per share (the “Founder Shares”), for an aggregate price of $25,000. The number of founder shares outstanding was determined based on the expectation that the total size of the Proposed Public Offering would be a maximum of 28,750,000 Units if the underwriter’s over-allotment option is exercised in full, and therefore that such founder shares would represent 23.1% of the outstanding shares after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Up to 1,125,000 of the founder shares will be forfeited depending on the extent to which the underwriter’s over-allotment is not exercised.</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9" w:name="page190"/>
    <w:bookmarkEnd w:id="189"/>
    <w:p>
      <w:pPr>
        <w:ind w:right="20"/>
        <w:spacing w:after="0" w:line="254" w:lineRule="auto"/>
        <w:rPr>
          <w:sz w:val="20"/>
          <w:szCs w:val="20"/>
          <w:color w:val="auto"/>
        </w:rPr>
      </w:pPr>
      <w:r>
        <w:rPr>
          <w:rFonts w:ascii="Arial" w:cs="Arial" w:eastAsia="Arial" w:hAnsi="Arial"/>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(except as described herein under the section of this prospectus entitled “Principal Stockholders — Restrictions on Transfers of Founder Shares and Placement Units”). Any permitted transferees will be subject to the same restrictions and other agreements of the initial stockholders with respect to any founder shares (the “Lock-up”).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Sponsors have agreed to loan the Company up to $300,000 to be used for a portion of the expenses of the Proposed Public Offering. These loans are non-interest bearing, unsecured and due at the earlier of December 31, 2021 or the closing of the Proposed Public Offering. These loans will be repaid upon the closing of the Proposed Public Offering. As of May 21, 2021, the Company had borrowed $100 under the promissory note.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Loans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we complete an initial Business Combination, we would repay the Working Capital Loans. In the event that the initial Business Combination does not close, we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we do not believe third parties will be willing to loan such funds and provide a waiver against any and all rights to seek access to funds in the Trust Account. At May 21, 2021, no such Working Capital Loans were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will enter into an administrative services agreement on the effective date of the registration statement for the Proposed Public Offering pursuant to which the Company will pay an affiliate of the Sponsor a total of $10,000 per month for office space, utilities and secretarial and administrative support. Upon completion of the Company’s initial Business Combination or its liquidation, the Company will cease paying these monthly fees.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Proposed Public Offering, requiring the Company to register such securities for resale (in the case of the founder shares, only after conversion to the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will grant the underwriter a 45-day option to purchase up to 3,750,000 additional Units to cover any over-allotments, if any, at the Proposed Public Offering price less the underwriting discounts and commissions.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underwriter will be entitled to a cash underwriting discount of one percent (1%) of the gross proceeds of the Proposed Public Offering, or $2,500,000 (or $2,875,000 if the underwriters’ over-allotment option is exercised in full), and 375,000 Class A shares (or 431,250 Class A Shares if the underwriters’ over-allotment option is exercised in full) as part of the underwriting fee (see below). Additionally, the underwriter will be entitled to a deferred underwriting discount of 3.5% of the gross proceeds or $8,750,000 (or $10,062,500 if the underwriter’s over-allotment is exercised in full) of the Proposed Public Offering upon the completion of the Company’s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Company has agreed to issue to the representative or its designees 375,000 shares (or 431,250 shares if the underwriters’ over-allotment option is exercised in full) of Class A common stock upon the consummation of the Proposed Public Offering. These shares are referred to as the “representative shares.” 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ind w:right="80" w:firstLine="8"/>
        <w:spacing w:after="0" w:line="255" w:lineRule="auto"/>
        <w:tabs>
          <w:tab w:leader="none" w:pos="2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waive their rights to liquidating distributions from the Trust Account with respect to such shares if the Company fails to complete its initial Business Combination within 24 months from the closing of the Proposed Public Offering. The representative shares are deemed to be underwriters’ compensation by FINRA pursuant to FINRA Rule 5110.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Subject to certain conditions, the Company granted the representative, for a period of 24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us or any of our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authorized to issue 1,000,000 shares of preferred stock with a par value of $0.0001 per share. At May 21, 2021, there were no shares of preferred stock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 authorized to issue 280,000,000 shares of Class A common stock with a par value of $0.0001 per share. Holders of Class A common stock are entitled to one vote for each share. At May 21, 2021, there were no shares of Class A common stock issued or outstanding.</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is authorized to issue 20,000,000 shares of Class B common stock with a par value of $0.0001 per share. Holders of the Class B common stock are entitled to one vote for each share. At May 21, 2021, there were 8,625,000 shares of Class B common stock issued and outstanding, of which 1,125,000 shares are subject to forfeiture to the extent that the underwriter’s over-allotment option is not exercised in full so that the founder shares, will represent, on an as-converted basis, 23.1% of the Company’s issued and outstanding shares after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23.1% of the sum of the total number of all shares of common stock outstanding upon the completion of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 warrants are currently outstanding. Each whole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Proposed Public Offering.</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ind w:right="60"/>
        <w:spacing w:after="0" w:line="26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ectPr>
          <w:pgSz w:w="11900" w:h="16838" w:orient="portrait"/>
          <w:cols w:equalWidth="0" w:num="1">
            <w:col w:w="11220"/>
          </w:cols>
          <w:pgMar w:left="320" w:top="908" w:right="359" w:bottom="254" w:gutter="0" w:footer="0" w:header="0"/>
        </w:sect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whole and not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 price of $0.01 per warrant;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sz w:val="20"/>
          <w:szCs w:val="20"/>
          <w:color w:val="auto"/>
        </w:rPr>
      </w:pPr>
    </w:p>
    <w:p>
      <w:pPr>
        <w:sectPr>
          <w:pgSz w:w="11900" w:h="16838" w:orient="portrait"/>
          <w:cols w:equalWidth="0" w:num="2">
            <w:col w:w="240" w:space="200"/>
            <w:col w:w="10780"/>
          </w:cols>
          <w:pgMar w:left="320" w:top="908" w:right="359" w:bottom="254" w:gutter="0" w:footer="0" w:header="0"/>
          <w:type w:val="continuous"/>
        </w:sectPr>
      </w:pPr>
    </w:p>
    <w:p>
      <w:pPr>
        <w:ind w:left="440" w:right="440" w:hanging="216"/>
        <w:spacing w:after="0" w:line="286" w:lineRule="auto"/>
        <w:tabs>
          <w:tab w:leader="none" w:pos="440" w:val="left"/>
        </w:tabs>
        <w:numPr>
          <w:ilvl w:val="0"/>
          <w:numId w:val="100"/>
        </w:numPr>
        <w:rPr>
          <w:rFonts w:ascii="Arial" w:cs="Arial" w:eastAsia="Arial" w:hAnsi="Arial"/>
          <w:sz w:val="17"/>
          <w:szCs w:val="17"/>
          <w:color w:val="auto"/>
          <w:vertAlign w:val="superscript"/>
        </w:rPr>
      </w:pPr>
      <w:r>
        <w:rPr>
          <w:rFonts w:ascii="Arial" w:cs="Arial" w:eastAsia="Arial" w:hAnsi="Arial"/>
          <w:sz w:val="17"/>
          <w:szCs w:val="17"/>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 and</w:t>
      </w:r>
    </w:p>
    <w:p>
      <w:pPr>
        <w:spacing w:after="0" w:line="165" w:lineRule="exact"/>
        <w:rPr>
          <w:rFonts w:ascii="Arial" w:cs="Arial" w:eastAsia="Arial" w:hAnsi="Arial"/>
          <w:sz w:val="17"/>
          <w:szCs w:val="17"/>
          <w:color w:val="auto"/>
          <w:vertAlign w:val="superscript"/>
        </w:rPr>
      </w:pPr>
    </w:p>
    <w:p>
      <w:pPr>
        <w:ind w:left="440" w:hanging="216"/>
        <w:spacing w:after="0"/>
        <w:tabs>
          <w:tab w:leader="none" w:pos="440" w:val="left"/>
        </w:tabs>
        <w:numPr>
          <w:ilvl w:val="0"/>
          <w:numId w:val="100"/>
        </w:numPr>
        <w:rPr>
          <w:rFonts w:ascii="Arial" w:cs="Arial" w:eastAsia="Arial" w:hAnsi="Arial"/>
          <w:sz w:val="17"/>
          <w:szCs w:val="17"/>
          <w:color w:val="auto"/>
          <w:vertAlign w:val="superscript"/>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8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on August 18, 2021. Based on the Company’s review, the Company did not identify any subsequent events that would have required adjustment or disclosure in the financial statements.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254" w:gutter="0" w:footer="0" w:header="0"/>
          <w:type w:val="continuous"/>
        </w:sectPr>
      </w:pPr>
    </w:p>
    <w:bookmarkStart w:id="193" w:name="page194"/>
    <w:bookmarkEnd w:id="193"/>
    <w:p>
      <w:pPr>
        <w:jc w:val="center"/>
        <w:ind w:right="-119"/>
        <w:spacing w:after="0"/>
        <w:rPr>
          <w:sz w:val="20"/>
          <w:szCs w:val="20"/>
          <w:color w:val="auto"/>
        </w:rPr>
      </w:pPr>
      <w:r>
        <w:rPr>
          <w:rFonts w:ascii="Arial" w:cs="Arial" w:eastAsia="Arial" w:hAnsi="Arial"/>
          <w:sz w:val="25"/>
          <w:szCs w:val="25"/>
          <w:b w:val="1"/>
          <w:bCs w:val="1"/>
          <w:color w:val="auto"/>
        </w:rPr>
        <w:t>25,000,000 Units</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BurTech Acquisition Corp.</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EF Hutton</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division of Benchmark Investments, LLC.</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2021</w:t>
      </w:r>
    </w:p>
    <w:p>
      <w:pPr>
        <w:spacing w:after="0" w:line="229"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7"/>
          <w:szCs w:val="17"/>
          <w:color w:val="auto"/>
        </w:rPr>
        <w:t>Until</w:t>
      </w:r>
      <w:r>
        <w:rPr>
          <w:sz w:val="20"/>
          <w:szCs w:val="20"/>
          <w:color w:val="auto"/>
        </w:rPr>
        <w:tab/>
      </w:r>
      <w:r>
        <w:rPr>
          <w:rFonts w:ascii="Arial" w:cs="Arial" w:eastAsia="Arial" w:hAnsi="Arial"/>
          <w:sz w:val="17"/>
          <w:szCs w:val="17"/>
          <w:color w:val="auto"/>
        </w:rPr>
        <w:t>, 2021 (25 days after the date of this prospectus), all dealers that buy, sell or trade our Class A common stock, whether or not</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its unsold allotments or subscriptions.</w:t>
      </w:r>
    </w:p>
    <w:p>
      <w:pPr>
        <w:spacing w:after="0" w:line="181" w:lineRule="exact"/>
        <w:rPr>
          <w:sz w:val="20"/>
          <w:szCs w:val="20"/>
          <w:color w:val="auto"/>
        </w:rPr>
      </w:pPr>
    </w:p>
    <w:p>
      <w:pPr>
        <w:ind w:right="20" w:firstLine="324"/>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5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estimated approximate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Reimbursement to underwriters for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75,000</w:t>
            </w:r>
          </w:p>
        </w:tc>
      </w:tr>
      <w:tr>
        <w:trPr>
          <w:trHeight w:val="229"/>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Total (1)</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20" w:hanging="332"/>
        <w:spacing w:after="0" w:line="194" w:lineRule="auto"/>
        <w:tabs>
          <w:tab w:leader="none" w:pos="340" w:val="left"/>
        </w:tabs>
        <w:numPr>
          <w:ilvl w:val="0"/>
          <w:numId w:val="101"/>
        </w:numPr>
        <w:rPr>
          <w:rFonts w:ascii="Arial" w:cs="Arial" w:eastAsia="Arial" w:hAnsi="Arial"/>
          <w:sz w:val="30"/>
          <w:szCs w:val="30"/>
          <w:color w:val="auto"/>
          <w:vertAlign w:val="superscript"/>
        </w:rPr>
      </w:pPr>
      <w:r>
        <w:rPr>
          <w:rFonts w:ascii="Arial" w:cs="Arial" w:eastAsia="Arial" w:hAnsi="Arial"/>
          <w:sz w:val="18"/>
          <w:szCs w:val="18"/>
          <w:color w:val="auto"/>
        </w:rPr>
        <w:t>This amount does not include $400,000 of annual director and officer liability insurance premiums the registrant anticipates paying following the completion of its initial public offering and until it completes an initial business combination.</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ind w:left="800" w:right="20" w:hanging="333"/>
        <w:spacing w:after="0" w:line="287" w:lineRule="auto"/>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71" w:lineRule="exact"/>
        <w:rPr>
          <w:rFonts w:ascii="Arial" w:cs="Arial" w:eastAsia="Arial" w:hAnsi="Arial"/>
          <w:sz w:val="16"/>
          <w:szCs w:val="16"/>
          <w:color w:val="auto"/>
        </w:rPr>
      </w:pPr>
    </w:p>
    <w:p>
      <w:pPr>
        <w:ind w:left="800" w:right="40" w:hanging="333"/>
        <w:spacing w:after="0" w:line="288" w:lineRule="auto"/>
        <w:tabs>
          <w:tab w:leader="none" w:pos="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left="340" w:right="80" w:hanging="333"/>
        <w:spacing w:after="0" w:line="311"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ind w:left="340" w:right="40" w:hanging="333"/>
        <w:spacing w:after="0" w:line="272" w:lineRule="auto"/>
        <w:tabs>
          <w:tab w:leader="none" w:pos="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ind w:left="340" w:hanging="333"/>
        <w:spacing w:after="0" w:line="296"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ind w:left="340" w:right="100" w:hanging="333"/>
        <w:spacing w:after="0" w:line="271" w:lineRule="auto"/>
        <w:tabs>
          <w:tab w:leader="none" w:pos="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ind w:left="340" w:right="120" w:hanging="333"/>
        <w:spacing w:after="0" w:line="257"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87" w:lineRule="exact"/>
        <w:rPr>
          <w:rFonts w:ascii="Arial" w:cs="Arial" w:eastAsia="Arial" w:hAnsi="Arial"/>
          <w:sz w:val="18"/>
          <w:szCs w:val="18"/>
          <w:color w:val="auto"/>
        </w:rPr>
      </w:pPr>
    </w:p>
    <w:p>
      <w:pPr>
        <w:ind w:left="340" w:right="60" w:hanging="333"/>
        <w:spacing w:after="0" w:line="254"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00" w:lineRule="exact"/>
        <w:rPr>
          <w:sz w:val="20"/>
          <w:szCs w:val="20"/>
          <w:color w:val="auto"/>
        </w:rPr>
      </w:pP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780" w:top="908" w:right="339" w:bottom="1440" w:gutter="0" w:footer="0" w:header="0"/>
        </w:sectPr>
      </w:pPr>
    </w:p>
    <w:bookmarkStart w:id="196" w:name="page197"/>
    <w:bookmarkEnd w:id="196"/>
    <w:p>
      <w:pPr>
        <w:ind w:left="800" w:right="20" w:hanging="333"/>
        <w:spacing w:after="0" w:line="293" w:lineRule="auto"/>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ind w:left="800" w:right="340" w:hanging="333"/>
        <w:spacing w:after="0" w:line="263" w:lineRule="auto"/>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ind w:left="800" w:right="340" w:hanging="333"/>
        <w:spacing w:after="0" w:line="311" w:lineRule="auto"/>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7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7" w:name="page198"/>
    <w:bookmarkEnd w:id="197"/>
    <w:p>
      <w:pPr>
        <w:ind w:right="40" w:firstLine="324"/>
        <w:spacing w:after="0" w:line="273" w:lineRule="auto"/>
        <w:rPr>
          <w:sz w:val="20"/>
          <w:szCs w:val="20"/>
          <w:color w:val="auto"/>
        </w:rPr>
      </w:pPr>
      <w:r>
        <w:rPr>
          <w:rFonts w:ascii="Arial" w:cs="Arial" w:eastAsia="Arial" w:hAnsi="Arial"/>
          <w:sz w:val="17"/>
          <w:szCs w:val="17"/>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78"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8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92"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7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8" w:name="page199"/>
    <w:bookmarkEnd w:id="198"/>
    <w:p>
      <w:pPr>
        <w:ind w:firstLine="324"/>
        <w:spacing w:after="0" w:line="263"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21, 2021, BurTech LP LLC, our sponsor, purchased an aggregate of 8,625,000 founder shares, for an aggregate purchase price of $25,000 at an average purchase price of approximately $0.003 per share. The number of founder shares issued was determined based on the expectation that the founder shares would represent 23.1% of the outstanding shares of common stock upon completion of this (excluding the shares of Class A common stock to be issued to the representative or its designees upon consummation of this offering, the placement units and securities underlying the placement units and assuming the initial stockholders do not purchase units in this offering). All such securities were issued in connection with our organization pursuant to the exemption from registration contained in Section 4(a)(2) of the Securities Act. Our sponsor is an accredited investor for purposes of Rule 501 of Regulation D.</w:t>
      </w:r>
    </w:p>
    <w:p>
      <w:pPr>
        <w:spacing w:after="0" w:line="19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May 2021, we agreed to issue 375,000 Class A common stock to the representative and its designees for nominal consideration as part of the compensation for the representative’s services provided to us in connection with this offering (or 431,250 in the event the underwriters exercise their over-allotment option). Such shares were issued pursuant to the exemption from registration contained in Section 4(a)(2) of the Securities Act.</w:t>
      </w:r>
    </w:p>
    <w:p>
      <w:pPr>
        <w:spacing w:after="0" w:line="16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On or before the date of the prospectus accompanying this registration statement, our sponsor has agreed to purchase an aggregate of 429,500 placement units (or 467,000 placement units if the over-allotment option is exercised in full), at a price of $10.00 per unit, for an aggregate purchase price of $4,295,000 ($4,670,000 if the over-allotment option is exercised in full). These placement units will be issued pursuant to the exemption from registration contained in Section 4(a)(2) of the Securities Act as they will be sold to “accredited investors” as defined in Rule 501(a) of the Securities Act. No underwriting discounts or commissions will be paid with respect to such sales. Subscription agreements will be entered into with our sponsor in connection with these placement units and copies of such agreements will be attached as exhibits to this registration statement.</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list of exhibits following the signature page of this registration statement is incorporated herein by reference.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and schedules included in the registration statement.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right="60" w:hanging="328"/>
        <w:spacing w:after="0" w:line="34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left="328" w:right="60" w:hanging="328"/>
        <w:spacing w:after="0" w:line="271" w:lineRule="auto"/>
        <w:tabs>
          <w:tab w:leader="none" w:pos="3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328" w:hanging="328"/>
        <w:spacing w:after="0"/>
        <w:tabs>
          <w:tab w:leader="none" w:pos="3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648" w:right="40" w:hanging="324"/>
        <w:spacing w:after="0" w:line="291" w:lineRule="auto"/>
        <w:tabs>
          <w:tab w:leader="none" w:pos="64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648"/>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233" w:lineRule="exact"/>
        <w:rPr>
          <w:rFonts w:ascii="Arial" w:cs="Arial" w:eastAsia="Arial" w:hAnsi="Arial"/>
          <w:sz w:val="16"/>
          <w:szCs w:val="16"/>
          <w:color w:val="auto"/>
        </w:rPr>
      </w:pPr>
    </w:p>
    <w:p>
      <w:pPr>
        <w:ind w:left="648" w:right="220" w:hanging="324"/>
        <w:spacing w:after="0" w:line="263" w:lineRule="auto"/>
        <w:tabs>
          <w:tab w:leader="none" w:pos="64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48" w:hanging="324"/>
        <w:spacing w:after="0" w:line="271" w:lineRule="auto"/>
        <w:tabs>
          <w:tab w:leader="none" w:pos="64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648" w:right="80" w:hanging="324"/>
        <w:spacing w:after="0" w:line="257" w:lineRule="auto"/>
        <w:tabs>
          <w:tab w:leader="none" w:pos="64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968" w:hanging="320"/>
        <w:spacing w:after="0"/>
        <w:tabs>
          <w:tab w:leader="none" w:pos="96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968" w:right="320" w:hanging="320"/>
        <w:spacing w:after="0" w:line="277" w:lineRule="auto"/>
        <w:tabs>
          <w:tab w:leader="none" w:pos="9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left="968" w:right="100" w:hanging="320"/>
        <w:spacing w:after="0" w:line="277" w:lineRule="auto"/>
        <w:tabs>
          <w:tab w:leader="none" w:pos="9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4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20" w:type="dxa"/>
            <w:vAlign w:val="bottom"/>
            <w:gridSpan w:val="4"/>
          </w:tcPr>
          <w:p>
            <w:pPr>
              <w:ind w:left="170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300" w:type="dxa"/>
            <w:vAlign w:val="bottom"/>
            <w:gridSpan w:val="3"/>
          </w:tcPr>
          <w:p>
            <w:pPr>
              <w:ind w:left="86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1.1</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auto"/>
            </w:tcBorders>
            <w:gridSpan w:val="10"/>
            <w:shd w:val="clear" w:color="auto" w:fill="CCEEFF"/>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w:anchor="page20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0"/>
          </w:tcPr>
          <w:p>
            <w:pPr>
              <w:ind w:left="20"/>
              <w:spacing w:after="0" w:line="176" w:lineRule="exact"/>
              <w:rPr>
                <w:rFonts w:ascii="Arial" w:cs="Arial" w:eastAsia="Arial" w:hAnsi="Arial"/>
                <w:sz w:val="18"/>
                <w:szCs w:val="18"/>
                <w:color w:val="0000EE"/>
              </w:rPr>
            </w:pPr>
            <w:hyperlink w:anchor="page203">
              <w:r>
                <w:rPr>
                  <w:rFonts w:ascii="Arial" w:cs="Arial" w:eastAsia="Arial" w:hAnsi="Arial"/>
                  <w:sz w:val="18"/>
                  <w:szCs w:val="18"/>
                  <w:color w:val="0000EE"/>
                </w:rPr>
                <w:t>Certificate of Incorporation</w:t>
              </w:r>
            </w:hyperlink>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240" w:type="dxa"/>
            <w:vAlign w:val="bottom"/>
            <w:shd w:val="clear" w:color="auto" w:fill="CCEEFF"/>
          </w:tcPr>
          <w:p>
            <w:pPr>
              <w:spacing w:after="0" w:line="176" w:lineRule="exact"/>
              <w:rPr>
                <w:rFonts w:ascii="Arial" w:cs="Arial" w:eastAsia="Arial" w:hAnsi="Arial"/>
                <w:sz w:val="18"/>
                <w:szCs w:val="18"/>
                <w:color w:val="0000EE"/>
                <w:w w:val="87"/>
              </w:rPr>
            </w:pPr>
            <w:hyperlink w:anchor="page20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205">
              <w:r>
                <w:rPr>
                  <w:rFonts w:ascii="Arial" w:cs="Arial" w:eastAsia="Arial" w:hAnsi="Arial"/>
                  <w:sz w:val="18"/>
                  <w:szCs w:val="18"/>
                  <w:color w:val="0000EE"/>
                </w:rPr>
                <w:t>Amended and Restated Certificate of Incorporation</w:t>
              </w:r>
            </w:hyperlink>
          </w:p>
        </w:tc>
      </w:tr>
      <w:tr>
        <w:trPr>
          <w:trHeight w:val="175"/>
        </w:trPr>
        <w:tc>
          <w:tcPr>
            <w:tcW w:w="24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21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700" w:type="dxa"/>
            <w:vAlign w:val="bottom"/>
            <w:tcBorders>
              <w:top w:val="single" w:sz="8" w:color="0000EE"/>
            </w:tcBorders>
            <w:gridSpan w:val="7"/>
          </w:tcPr>
          <w:p>
            <w:pPr>
              <w:ind w:left="20"/>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By Laws</w:t>
              </w:r>
            </w:hyperlink>
          </w:p>
        </w:tc>
        <w:tc>
          <w:tcPr>
            <w:tcW w:w="6300" w:type="dxa"/>
            <w:vAlign w:val="bottom"/>
            <w:tcBorders>
              <w:top w:val="single" w:sz="8" w:color="CCEEFF"/>
            </w:tcBorders>
            <w:gridSpan w:val="3"/>
          </w:tcPr>
          <w:p>
            <w:pPr>
              <w:spacing w:after="0"/>
              <w:rPr>
                <w:sz w:val="15"/>
                <w:szCs w:val="15"/>
                <w:color w:val="auto"/>
              </w:rPr>
            </w:pP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Specimen Unit Certificate*</w:t>
            </w: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Specimen Class A Common Stock Certificate*</w:t>
            </w: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Specimen Warrant Certificate*</w:t>
            </w: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Form of Warrant Agreement between Continental Stock Transfer &amp; Trust Company and the Registrant*</w:t>
            </w: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Opinion of Loeb &amp; Loeb LLP*</w:t>
            </w: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Form of Letter Agreement among the Registrant and our officers, directors and BurTech LP LLC*</w:t>
            </w:r>
          </w:p>
        </w:tc>
      </w:tr>
      <w:tr>
        <w:trPr>
          <w:trHeight w:val="196"/>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2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780" w:type="dxa"/>
            <w:vAlign w:val="bottom"/>
            <w:tcBorders>
              <w:bottom w:val="single" w:sz="8" w:color="0000EE"/>
            </w:tcBorders>
            <w:gridSpan w:val="8"/>
            <w:shd w:val="clear" w:color="auto" w:fill="CCEEFF"/>
          </w:tcPr>
          <w:p>
            <w:pPr>
              <w:ind w:left="20"/>
              <w:spacing w:after="0" w:line="176" w:lineRule="exact"/>
              <w:rPr>
                <w:rFonts w:ascii="Arial" w:cs="Arial" w:eastAsia="Arial" w:hAnsi="Arial"/>
                <w:sz w:val="18"/>
                <w:szCs w:val="18"/>
                <w:color w:val="0000EE"/>
                <w:w w:val="90"/>
              </w:rPr>
            </w:pPr>
            <w:hyperlink w:anchor="page220">
              <w:r>
                <w:rPr>
                  <w:rFonts w:ascii="Arial" w:cs="Arial" w:eastAsia="Arial" w:hAnsi="Arial"/>
                  <w:sz w:val="18"/>
                  <w:szCs w:val="18"/>
                  <w:color w:val="0000EE"/>
                  <w:w w:val="90"/>
                </w:rPr>
                <w:t>Promissory Note, dated May 21, 2021, issued to BurTech LP LLC</w:t>
              </w:r>
            </w:hyperlink>
          </w:p>
        </w:tc>
        <w:tc>
          <w:tcPr>
            <w:tcW w:w="5220" w:type="dxa"/>
            <w:vAlign w:val="bottom"/>
            <w:tcBorders>
              <w:bottom w:val="single" w:sz="8" w:color="CCEEFF"/>
            </w:tcBorders>
            <w:gridSpan w:val="2"/>
            <w:shd w:val="clear" w:color="auto" w:fill="CCEEFF"/>
          </w:tcPr>
          <w:p>
            <w:pPr>
              <w:spacing w:after="0"/>
              <w:rPr>
                <w:sz w:val="17"/>
                <w:szCs w:val="17"/>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10.3</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w w:val="99"/>
              </w:rPr>
              <w:t>Form of Investment Management Trust Agreement between Continental Stock Transfer &amp; Trust Company and the Registrant*</w:t>
            </w: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10.4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Form of Registration Rights Agreement between the Registrant and certain security holders*</w:t>
            </w:r>
          </w:p>
        </w:tc>
      </w:tr>
      <w:tr>
        <w:trPr>
          <w:trHeight w:val="176"/>
        </w:trPr>
        <w:tc>
          <w:tcPr>
            <w:tcW w:w="320" w:type="dxa"/>
            <w:vAlign w:val="bottom"/>
            <w:gridSpan w:val="2"/>
          </w:tcPr>
          <w:p>
            <w:pPr>
              <w:spacing w:after="0" w:line="176" w:lineRule="exact"/>
              <w:rPr>
                <w:rFonts w:ascii="Arial" w:cs="Arial" w:eastAsia="Arial" w:hAnsi="Arial"/>
                <w:sz w:val="18"/>
                <w:szCs w:val="18"/>
                <w:color w:val="0000EE"/>
                <w:w w:val="85"/>
              </w:rPr>
            </w:pPr>
            <w:hyperlink w:anchor="page22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0"/>
          </w:tcPr>
          <w:p>
            <w:pPr>
              <w:ind w:left="20"/>
              <w:spacing w:after="0" w:line="176" w:lineRule="exact"/>
              <w:rPr>
                <w:rFonts w:ascii="Arial" w:cs="Arial" w:eastAsia="Arial" w:hAnsi="Arial"/>
                <w:sz w:val="18"/>
                <w:szCs w:val="18"/>
                <w:color w:val="0000EE"/>
              </w:rPr>
            </w:pPr>
            <w:hyperlink w:anchor="page224">
              <w:r>
                <w:rPr>
                  <w:rFonts w:ascii="Arial" w:cs="Arial" w:eastAsia="Arial" w:hAnsi="Arial"/>
                  <w:sz w:val="18"/>
                  <w:szCs w:val="18"/>
                  <w:color w:val="0000EE"/>
                </w:rPr>
                <w:t>Securities Subscription Agreement, dated May 21, 2021, between the Registrant and BurTech LP LLC</w:t>
              </w:r>
            </w:hyperlink>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10.6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Form of Placement Unit Purchase Agreement between the Registrant and BurTech LP LLC*</w:t>
            </w: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10.7</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Form of Indemnity Agreement*</w:t>
            </w: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10.8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Form of Administrative Support Agreement by and between the Registrant and BurTech LP LLC*</w:t>
            </w:r>
          </w:p>
        </w:tc>
      </w:tr>
      <w:tr>
        <w:trPr>
          <w:trHeight w:val="202"/>
        </w:trPr>
        <w:tc>
          <w:tcPr>
            <w:tcW w:w="320" w:type="dxa"/>
            <w:vAlign w:val="bottom"/>
            <w:gridSpan w:val="2"/>
          </w:tcPr>
          <w:p>
            <w:pPr>
              <w:spacing w:after="0" w:line="201" w:lineRule="exact"/>
              <w:rPr>
                <w:sz w:val="20"/>
                <w:szCs w:val="20"/>
                <w:color w:val="auto"/>
              </w:rPr>
            </w:pPr>
            <w:r>
              <w:rPr>
                <w:rFonts w:ascii="Arial" w:cs="Arial" w:eastAsia="Arial" w:hAnsi="Arial"/>
                <w:sz w:val="18"/>
                <w:szCs w:val="18"/>
                <w:color w:val="auto"/>
                <w:w w:val="85"/>
              </w:rPr>
              <w:t>10.9</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201" w:lineRule="exact"/>
              <w:rPr>
                <w:sz w:val="20"/>
                <w:szCs w:val="20"/>
                <w:color w:val="auto"/>
              </w:rPr>
            </w:pPr>
            <w:r>
              <w:rPr>
                <w:rFonts w:ascii="Arial" w:cs="Arial" w:eastAsia="Arial" w:hAnsi="Arial"/>
                <w:sz w:val="18"/>
                <w:szCs w:val="18"/>
                <w:color w:val="auto"/>
                <w:w w:val="93"/>
              </w:rPr>
              <w:t>Form of Representative Share Purchase Letter Agreement between the Registrant and EF Hutton, division of Benchmark Investments</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LLC.*</w:t>
            </w: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Form of Code of Ethics*</w:t>
            </w:r>
          </w:p>
        </w:tc>
      </w:tr>
      <w:tr>
        <w:trPr>
          <w:trHeight w:val="175"/>
        </w:trPr>
        <w:tc>
          <w:tcPr>
            <w:tcW w:w="320" w:type="dxa"/>
            <w:vAlign w:val="bottom"/>
            <w:gridSpan w:val="2"/>
          </w:tcPr>
          <w:p>
            <w:pPr>
              <w:spacing w:after="0" w:line="176" w:lineRule="exact"/>
              <w:rPr>
                <w:rFonts w:ascii="Arial" w:cs="Arial" w:eastAsia="Arial" w:hAnsi="Arial"/>
                <w:sz w:val="18"/>
                <w:szCs w:val="18"/>
                <w:color w:val="0000EE"/>
                <w:w w:val="85"/>
              </w:rPr>
            </w:pPr>
            <w:hyperlink w:anchor="page23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0"/>
          </w:tcPr>
          <w:p>
            <w:pPr>
              <w:ind w:left="20"/>
              <w:spacing w:after="0" w:line="176" w:lineRule="exact"/>
              <w:rPr>
                <w:rFonts w:ascii="Arial" w:cs="Arial" w:eastAsia="Arial" w:hAnsi="Arial"/>
                <w:sz w:val="18"/>
                <w:szCs w:val="18"/>
                <w:color w:val="0000EE"/>
              </w:rPr>
            </w:pPr>
            <w:hyperlink w:anchor="page231">
              <w:r>
                <w:rPr>
                  <w:rFonts w:ascii="Arial" w:cs="Arial" w:eastAsia="Arial" w:hAnsi="Arial"/>
                  <w:sz w:val="18"/>
                  <w:szCs w:val="18"/>
                  <w:color w:val="0000EE"/>
                </w:rPr>
                <w:t>Consent of Marcum LLP</w:t>
              </w:r>
            </w:hyperlink>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23.2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Consent of Loeb &amp; Loeb LLP (included in Exhibit 5.1)*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99.1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Form of Audit Committee Charter*</w:t>
            </w: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w w:val="85"/>
              </w:rPr>
              <w:t>99.2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Form of Compensation Committee Charter*</w:t>
            </w:r>
          </w:p>
        </w:tc>
      </w:tr>
      <w:tr>
        <w:trPr>
          <w:trHeight w:val="196"/>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23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0"/>
              </w:rPr>
            </w:pPr>
            <w:hyperlink w:anchor="page232">
              <w:r>
                <w:rPr>
                  <w:rFonts w:ascii="Arial" w:cs="Arial" w:eastAsia="Arial" w:hAnsi="Arial"/>
                  <w:sz w:val="18"/>
                  <w:szCs w:val="18"/>
                  <w:color w:val="0000EE"/>
                  <w:w w:val="90"/>
                </w:rPr>
                <w:t>Consent of Hans H. Hertell</w:t>
              </w:r>
            </w:hyperlink>
          </w:p>
        </w:tc>
        <w:tc>
          <w:tcPr>
            <w:tcW w:w="802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w w:val="85"/>
              </w:rPr>
            </w:pPr>
            <w:hyperlink w:anchor="page23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0"/>
          </w:tcPr>
          <w:p>
            <w:pPr>
              <w:ind w:left="20"/>
              <w:spacing w:after="0" w:line="176" w:lineRule="exact"/>
              <w:rPr>
                <w:rFonts w:ascii="Arial" w:cs="Arial" w:eastAsia="Arial" w:hAnsi="Arial"/>
                <w:sz w:val="18"/>
                <w:szCs w:val="18"/>
                <w:color w:val="0000EE"/>
              </w:rPr>
            </w:pPr>
            <w:hyperlink w:anchor="page233">
              <w:r>
                <w:rPr>
                  <w:rFonts w:ascii="Arial" w:cs="Arial" w:eastAsia="Arial" w:hAnsi="Arial"/>
                  <w:sz w:val="18"/>
                  <w:szCs w:val="18"/>
                  <w:color w:val="0000EE"/>
                </w:rPr>
                <w:t>Consent of Peter Plaut</w:t>
              </w:r>
            </w:hyperlink>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20" w:type="dxa"/>
            <w:vAlign w:val="bottom"/>
            <w:gridSpan w:val="2"/>
            <w:shd w:val="clear" w:color="auto" w:fill="CCEEFF"/>
          </w:tcPr>
          <w:p>
            <w:pPr>
              <w:spacing w:after="0" w:line="176" w:lineRule="exact"/>
              <w:rPr>
                <w:rFonts w:ascii="Arial" w:cs="Arial" w:eastAsia="Arial" w:hAnsi="Arial"/>
                <w:sz w:val="18"/>
                <w:szCs w:val="18"/>
                <w:color w:val="0000EE"/>
                <w:w w:val="85"/>
              </w:rPr>
            </w:pPr>
            <w:hyperlink w:anchor="page23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5</w:t>
              </w:r>
            </w:hyperlink>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234">
              <w:r>
                <w:rPr>
                  <w:rFonts w:ascii="Arial" w:cs="Arial" w:eastAsia="Arial" w:hAnsi="Arial"/>
                  <w:sz w:val="18"/>
                  <w:szCs w:val="18"/>
                  <w:color w:val="0000EE"/>
                </w:rPr>
                <w:t>Consent of Michael Penrod</w:t>
              </w:r>
            </w:hyperlink>
          </w:p>
        </w:tc>
      </w:tr>
      <w:tr>
        <w:trPr>
          <w:trHeight w:val="175"/>
        </w:trPr>
        <w:tc>
          <w:tcPr>
            <w:tcW w:w="320" w:type="dxa"/>
            <w:vAlign w:val="bottom"/>
            <w:tcBorders>
              <w:top w:val="single" w:sz="8" w:color="0000EE"/>
            </w:tcBorders>
            <w:gridSpan w:val="2"/>
          </w:tcPr>
          <w:p>
            <w:pPr>
              <w:spacing w:after="0" w:line="176" w:lineRule="exact"/>
              <w:rPr>
                <w:rFonts w:ascii="Arial" w:cs="Arial" w:eastAsia="Arial" w:hAnsi="Arial"/>
                <w:sz w:val="18"/>
                <w:szCs w:val="18"/>
                <w:color w:val="0000EE"/>
                <w:w w:val="85"/>
              </w:rPr>
            </w:pPr>
            <w:hyperlink w:anchor="page23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6</w:t>
              </w:r>
            </w:hyperlink>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80" w:type="dxa"/>
            <w:vAlign w:val="bottom"/>
            <w:tcBorders>
              <w:top w:val="single" w:sz="8" w:color="0000EE"/>
            </w:tcBorders>
            <w:gridSpan w:val="6"/>
          </w:tcPr>
          <w:p>
            <w:pPr>
              <w:ind w:left="20"/>
              <w:spacing w:after="0" w:line="176" w:lineRule="exact"/>
              <w:rPr>
                <w:rFonts w:ascii="Arial" w:cs="Arial" w:eastAsia="Arial" w:hAnsi="Arial"/>
                <w:sz w:val="18"/>
                <w:szCs w:val="18"/>
                <w:color w:val="0000EE"/>
                <w:w w:val="99"/>
              </w:rPr>
            </w:pPr>
            <w:hyperlink w:anchor="page235">
              <w:r>
                <w:rPr>
                  <w:rFonts w:ascii="Arial" w:cs="Arial" w:eastAsia="Arial" w:hAnsi="Arial"/>
                  <w:sz w:val="18"/>
                  <w:szCs w:val="18"/>
                  <w:color w:val="0000EE"/>
                  <w:w w:val="99"/>
                </w:rPr>
                <w:t>Consent of Leon Golden</w:t>
              </w:r>
            </w:hyperlink>
          </w:p>
        </w:tc>
        <w:tc>
          <w:tcPr>
            <w:tcW w:w="8020" w:type="dxa"/>
            <w:vAlign w:val="bottom"/>
            <w:tcBorders>
              <w:top w:val="single" w:sz="8" w:color="CCEEFF"/>
            </w:tcBorders>
            <w:gridSpan w:val="4"/>
          </w:tcPr>
          <w:p>
            <w:pPr>
              <w:spacing w:after="0"/>
              <w:rPr>
                <w:sz w:val="15"/>
                <w:szCs w:val="15"/>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40" w:type="dxa"/>
            <w:vAlign w:val="bottom"/>
            <w:gridSpan w:val="5"/>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23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7</w:t>
              </w:r>
            </w:hyperlink>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Consent of Gene Zolotarev</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hanging="512"/>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Washington DC, on the 18 day of August, 2021.</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each of Shahal Khan and Roman Livson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7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6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26"/>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Shahal Khan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August 18, 2021</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Shahal Khan</w:t>
            </w: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Roman Livson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August 18, 2021</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Roman Livson</w:t>
            </w: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19"/>
                <w:szCs w:val="19"/>
                <w:color w:val="auto"/>
              </w:rPr>
            </w:pPr>
          </w:p>
        </w:tc>
      </w:tr>
      <w:tr>
        <w:trPr>
          <w:trHeight w:val="661"/>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UNDERSIGNED, in order to form a corporation for the purposes herein stated, under and pursuant to the provisions of the General Corporation Law of the State of Delaware, hereby certifies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BurTech Acquisition Corp. (hereinafter called the "Corporation").</w:t>
      </w:r>
    </w:p>
    <w:p>
      <w:pPr>
        <w:spacing w:after="0" w:line="225"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registered office of the Corporation is to be located at 3411 Silverside Road, Tatnall Building, #104, in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Wilmington, in the County of New Castle, Delaware 19810. The name of its Registered Agent at such address is Corporate Creations Network Inc.</w:t>
      </w:r>
    </w:p>
    <w:p>
      <w:pPr>
        <w:spacing w:after="0" w:line="14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Delaware.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name and mailing address of the incorporator is: Jaszick Maldonado, c/o Loeb &amp; Loeb LLP, 345 Park Avenue, New York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NY 10154.</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The total number of shares which the Corporation shall have authority to issue is ten million (10,000,000)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$0.0001 par value.</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SIXTH</w:t>
      </w:r>
      <w:r>
        <w:rPr>
          <w:rFonts w:ascii="Arial" w:cs="Arial" w:eastAsia="Arial" w:hAnsi="Arial"/>
          <w:sz w:val="17"/>
          <w:szCs w:val="17"/>
          <w:color w:val="auto"/>
        </w:rPr>
        <w:t>: A Director of the Corporation shall not be liable to the Corporation or its stockholders for monetary damages for breach of</w:t>
      </w:r>
      <w:r>
        <w:rPr>
          <w:rFonts w:ascii="Arial" w:cs="Arial" w:eastAsia="Arial" w:hAnsi="Arial"/>
          <w:sz w:val="17"/>
          <w:szCs w:val="17"/>
          <w:b w:val="1"/>
          <w:bCs w:val="1"/>
          <w:color w:val="auto"/>
        </w:rPr>
        <w:t xml:space="preserve"> </w:t>
      </w:r>
      <w:r>
        <w:rPr>
          <w:rFonts w:ascii="Arial" w:cs="Arial" w:eastAsia="Arial" w:hAnsi="Arial"/>
          <w:sz w:val="17"/>
          <w:szCs w:val="17"/>
          <w:color w:val="auto"/>
        </w:rPr>
        <w:t>fiduciary duty as a Director of the Corporation, except to the extent that exculpation from liability is not permitted under the General Corporation Law of the State of Delaware as in effect at the time such liability is determined. No amendment or repeal of this paragraph shall apply to or have any effect on the liability or alleged liability of any Director of the Corporation for or with respect to any acts or omissions of such Director occurring</w:t>
      </w:r>
    </w:p>
    <w:p>
      <w:pPr>
        <w:spacing w:after="0" w:line="16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In furtherance and not in imitation of the powers conferred by statute, the Board of Directors of the Corporation is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make, alter or repeal the By-Laws of the Corporation; provided, however, that no By-Laws hereafter adopted by the Board of Directors or stockholders shall invalidate any prior act of the Directors which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3" w:name="page204"/>
    <w:bookmarkEnd w:id="203"/>
    <w:p>
      <w:pPr>
        <w:jc w:val="both"/>
        <w:ind w:firstLine="1296"/>
        <w:spacing w:after="0" w:line="287" w:lineRule="auto"/>
        <w:rPr>
          <w:sz w:val="20"/>
          <w:szCs w:val="20"/>
          <w:color w:val="auto"/>
        </w:rPr>
      </w:pPr>
      <w:r>
        <w:rPr>
          <w:rFonts w:ascii="Arial" w:cs="Arial" w:eastAsia="Arial" w:hAnsi="Arial"/>
          <w:sz w:val="16"/>
          <w:szCs w:val="16"/>
          <w:b w:val="1"/>
          <w:bCs w:val="1"/>
          <w:color w:val="auto"/>
        </w:rPr>
        <w:t>EIGHTH</w:t>
      </w:r>
      <w:r>
        <w:rPr>
          <w:rFonts w:ascii="Arial" w:cs="Arial" w:eastAsia="Arial" w:hAnsi="Arial"/>
          <w:sz w:val="16"/>
          <w:szCs w:val="16"/>
          <w:color w:val="auto"/>
        </w:rPr>
        <w:t>: The Corporation shall, to the maximum extent permitted from time to time under the law of the State of Delaware, indemnify</w:t>
      </w:r>
      <w:r>
        <w:rPr>
          <w:rFonts w:ascii="Arial" w:cs="Arial" w:eastAsia="Arial" w:hAnsi="Arial"/>
          <w:sz w:val="16"/>
          <w:szCs w:val="16"/>
          <w:b w:val="1"/>
          <w:bCs w:val="1"/>
          <w:color w:val="auto"/>
        </w:rPr>
        <w:t xml:space="preserve"> </w:t>
      </w:r>
      <w:r>
        <w:rPr>
          <w:rFonts w:ascii="Arial" w:cs="Arial" w:eastAsia="Arial" w:hAnsi="Arial"/>
          <w:sz w:val="16"/>
          <w:szCs w:val="16"/>
          <w:color w:val="auto"/>
        </w:rPr>
        <w:t>and upon 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or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benefits of the heirs and legal representatives of such person. Any person seeking indemnification under this paragraph shall be deemed to have met the standard of conduct required for such indemnification unless the contrary shall be established. Any repeal or modification of the foregoing provisions of this paragraph shall not adversely affect any right or protection of a Director or officer of the Corporation with respect to any acts or omissions of such Director or officer occurring prior to such repeal or modification.</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In furtherance of and not in limitation of powers conferred by statute, it is further provided:</w:t>
      </w:r>
    </w:p>
    <w:p>
      <w:pPr>
        <w:spacing w:after="0" w:line="229" w:lineRule="exact"/>
        <w:rPr>
          <w:sz w:val="20"/>
          <w:szCs w:val="20"/>
          <w:color w:val="auto"/>
        </w:rPr>
      </w:pPr>
    </w:p>
    <w:p>
      <w:pPr>
        <w:ind w:left="1980" w:hanging="676"/>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Election of Directors need not be by written ballot unless the By-Laws of the Corporation so provide.</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Meetings of stockholders may be held within or without the State of Delaware, as the By Laws may provide.</w:t>
      </w:r>
    </w:p>
    <w:p>
      <w:pPr>
        <w:spacing w:after="0" w:line="225" w:lineRule="exact"/>
        <w:rPr>
          <w:rFonts w:ascii="Arial" w:cs="Arial" w:eastAsia="Arial" w:hAnsi="Arial"/>
          <w:sz w:val="18"/>
          <w:szCs w:val="18"/>
          <w:color w:val="auto"/>
        </w:rPr>
      </w:pPr>
    </w:p>
    <w:p>
      <w:pPr>
        <w:ind w:firstLine="1304"/>
        <w:spacing w:after="0" w:line="277" w:lineRule="auto"/>
        <w:tabs>
          <w:tab w:leader="none" w:pos="202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extent permitted by law, the books of the Corporation may be kept outside the State of Delaware at such place or places as may be designated from time to time by the Board of Directors or in the By-Laws of the Corporation.</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Except as otherwise provided herein, the Corporation reserves the right to amend, alter, change or repeal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Certificate of Incorporation, in the manner now or hereafter prescribed by statute, and all rights conferred upon stockholders herein are granted subject to this reservation.</w:t>
      </w:r>
    </w:p>
    <w:p>
      <w:pPr>
        <w:spacing w:after="0" w:line="17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being the incorporator herein before named, has executed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March, 2021.</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Jaszick Maldonado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Jaszick Maldonado, Incorporator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19, 2021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BurTech Acquisition Corp.,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ind w:right="300" w:firstLine="656"/>
        <w:spacing w:after="0" w:line="277" w:lineRule="auto"/>
        <w:tabs>
          <w:tab w:leader="none" w:pos="8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name of the Corporation is “</w:t>
      </w:r>
      <w:r>
        <w:rPr>
          <w:rFonts w:ascii="Arial" w:cs="Arial" w:eastAsia="Arial" w:hAnsi="Arial"/>
          <w:sz w:val="18"/>
          <w:szCs w:val="18"/>
          <w:b w:val="1"/>
          <w:bCs w:val="1"/>
          <w:i w:val="1"/>
          <w:iCs w:val="1"/>
          <w:color w:val="auto"/>
        </w:rPr>
        <w:t>BurTech Acquisition Corp.</w:t>
      </w:r>
      <w:r>
        <w:rPr>
          <w:rFonts w:ascii="Arial" w:cs="Arial" w:eastAsia="Arial" w:hAnsi="Arial"/>
          <w:sz w:val="18"/>
          <w:szCs w:val="18"/>
          <w:color w:val="auto"/>
        </w:rPr>
        <w:t>”. The original certificate of incorporation of the Corporation was filed with the Secretary of State of the State of Delaware on March 2, 2021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656"/>
        <w:spacing w:after="0" w:line="263" w:lineRule="auto"/>
        <w:tabs>
          <w:tab w:leader="none" w:pos="8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Corporation has neither received payment for, nor issued any of its capital stock. This Amended and Restated Certificate of 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which both restates and amends the provisions of the Original Certificate, was duly adopted in accordance with Sections 241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Certificate shall become effective on the date of filing with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BurTech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3411 Silverside Road, Tatnall Building, #104, Wilmington, County of New Castle, Delaware 19810, and the name of the Corporation’s registered agent at such address is Corporate Creations Network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including</w:t>
      </w:r>
    </w:p>
    <w:p>
      <w:pPr>
        <w:ind w:right="380" w:firstLine="8"/>
        <w:spacing w:after="0" w:line="260" w:lineRule="auto"/>
        <w:tabs>
          <w:tab w:leader="none" w:pos="2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280,000,000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20,000,000 shares of Class B Common Stock (the “</w:t>
      </w:r>
      <w:r>
        <w:rPr>
          <w:rFonts w:ascii="Arial" w:cs="Arial" w:eastAsia="Arial" w:hAnsi="Arial"/>
          <w:sz w:val="18"/>
          <w:szCs w:val="18"/>
          <w:b w:val="1"/>
          <w:bCs w:val="1"/>
          <w:i w:val="1"/>
          <w:i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rFonts w:ascii="Arial" w:cs="Arial" w:eastAsia="Arial" w:hAnsi="Arial"/>
          <w:sz w:val="18"/>
          <w:szCs w:val="18"/>
          <w:color w:val="auto"/>
        </w:rPr>
      </w:pPr>
    </w:p>
    <w:p>
      <w:pPr>
        <w:ind w:left="640" w:right="580" w:firstLine="652"/>
        <w:spacing w:after="0" w:line="277" w:lineRule="auto"/>
        <w:tabs>
          <w:tab w:leader="none" w:pos="150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ind w:left="640" w:right="100" w:firstLine="652"/>
        <w:spacing w:after="0" w:line="263" w:lineRule="auto"/>
        <w:tabs>
          <w:tab w:leader="none" w:pos="155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ind w:left="640" w:firstLine="652"/>
        <w:spacing w:after="0" w:line="270" w:lineRule="auto"/>
        <w:tabs>
          <w:tab w:leader="none" w:pos="160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Except as otherwise required by law or this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Certificate (including any Preferred Stock Designation) or the DGCL.</w:t>
      </w:r>
    </w:p>
    <w:p>
      <w:pPr>
        <w:spacing w:after="0" w:line="180" w:lineRule="exact"/>
        <w:rPr>
          <w:rFonts w:ascii="Arial" w:cs="Arial" w:eastAsia="Arial" w:hAnsi="Arial"/>
          <w:sz w:val="17"/>
          <w:szCs w:val="17"/>
          <w:color w:val="auto"/>
        </w:rPr>
      </w:pPr>
    </w:p>
    <w:p>
      <w:pPr>
        <w:ind w:left="900" w:hanging="25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225" w:lineRule="exact"/>
        <w:rPr>
          <w:rFonts w:ascii="Arial" w:cs="Arial" w:eastAsia="Arial" w:hAnsi="Arial"/>
          <w:sz w:val="18"/>
          <w:szCs w:val="18"/>
          <w:color w:val="auto"/>
        </w:rPr>
      </w:pPr>
    </w:p>
    <w:p>
      <w:pPr>
        <w:ind w:left="1500" w:hanging="208"/>
        <w:spacing w:after="0"/>
        <w:tabs>
          <w:tab w:leader="none" w:pos="150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Shares of Class B Common Stock shall be convertible into shares of Class A Common Stock on a one-for-one basis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upon the consummation of the Business Combination (as defined below).</w:t>
      </w:r>
    </w:p>
    <w:p>
      <w:pPr>
        <w:spacing w:after="0" w:line="211" w:lineRule="exact"/>
        <w:rPr>
          <w:sz w:val="20"/>
          <w:szCs w:val="20"/>
          <w:color w:val="auto"/>
        </w:rPr>
      </w:pPr>
    </w:p>
    <w:p>
      <w:pPr>
        <w:ind w:left="640" w:firstLine="652"/>
        <w:spacing w:after="0" w:line="255" w:lineRule="auto"/>
        <w:tabs>
          <w:tab w:leader="none" w:pos="159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the Initial Conversion Ratio, in the case that additional shares of Class A Common Stock, or equity-linked securities, are issued or deemed issued in excess of the amounts sold in the Corporation’s initial public offering of securities and related to the closing of the initial Business Combination, all issued and outstanding shares of Class B Common Stock shall automatically convert into shares of Class A Common Stock at the time of the closing of the Corporation’s initial merger, capital stock exchange, asset acquisition, stock purchase, reorganization or similar business combination with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at a ratio for which:</w:t>
      </w:r>
    </w:p>
    <w:p>
      <w:pPr>
        <w:spacing w:after="0" w:line="192" w:lineRule="exact"/>
        <w:rPr>
          <w:sz w:val="20"/>
          <w:szCs w:val="20"/>
          <w:color w:val="auto"/>
        </w:rPr>
      </w:pPr>
    </w:p>
    <w:p>
      <w:pPr>
        <w:ind w:left="1620" w:right="40" w:hanging="328"/>
        <w:spacing w:after="0" w:line="257" w:lineRule="auto"/>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numerator shall be equal to the sum of (A) 25% of all shares of Class A Common Stock issued or issuable (upon the conversion or exercise of any equity-linked securities or otherwise) by the Corporation, related to or in connection with the consummation of the initial Business Combination (excluding any securities issued or issuable to any seller in the initial Business Combination) plus (B) the number of shares of Class B Common Stock issued and outstanding prior to the closing of the initial Business Combination; and</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06" w:name="page207"/>
    <w:bookmarkEnd w:id="206"/>
    <w:p>
      <w:pPr>
        <w:ind w:left="1160" w:right="120" w:hanging="328"/>
        <w:spacing w:after="0" w:line="182" w:lineRule="auto"/>
        <w:tabs>
          <w:tab w:leader="none" w:pos="1160" w:val="left"/>
        </w:tabs>
        <w:numPr>
          <w:ilvl w:val="0"/>
          <w:numId w:val="116"/>
        </w:numPr>
        <w:rPr>
          <w:rFonts w:ascii="Arial" w:cs="Arial" w:eastAsia="Arial" w:hAnsi="Arial"/>
          <w:sz w:val="34"/>
          <w:szCs w:val="34"/>
          <w:color w:val="auto"/>
          <w:vertAlign w:val="subscript"/>
        </w:rPr>
      </w:pPr>
      <w:r>
        <w:rPr>
          <w:rFonts w:ascii="Arial" w:cs="Arial" w:eastAsia="Arial" w:hAnsi="Arial"/>
          <w:sz w:val="17"/>
          <w:szCs w:val="17"/>
          <w:color w:val="auto"/>
        </w:rPr>
        <w:t>the denominator shall be the number of shares of Class B Common Stock issued and outstanding prior to the closing of the initial Business Combination.</w:t>
      </w:r>
    </w:p>
    <w:p>
      <w:pPr>
        <w:spacing w:after="0" w:line="230" w:lineRule="exact"/>
        <w:rPr>
          <w:sz w:val="20"/>
          <w:szCs w:val="20"/>
          <w:color w:val="auto"/>
        </w:rPr>
      </w:pPr>
    </w:p>
    <w:p>
      <w:pPr>
        <w:ind w:left="180" w:right="60"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ind w:left="180" w:firstLine="648"/>
        <w:spacing w:after="0" w:line="275" w:lineRule="auto"/>
        <w:rPr>
          <w:sz w:val="20"/>
          <w:szCs w:val="20"/>
          <w:color w:val="auto"/>
        </w:rPr>
      </w:pPr>
      <w:r>
        <w:rPr>
          <w:rFonts w:ascii="Arial" w:cs="Arial" w:eastAsia="Arial" w:hAnsi="Arial"/>
          <w:sz w:val="17"/>
          <w:szCs w:val="17"/>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Certificate without a proportionate and corresponding subdivision, combination or similar reclassification or recapitalization of the outstanding shares of Class B Common Stock.</w:t>
      </w:r>
    </w:p>
    <w:p>
      <w:pPr>
        <w:spacing w:after="0" w:line="176" w:lineRule="exact"/>
        <w:rPr>
          <w:sz w:val="20"/>
          <w:szCs w:val="20"/>
          <w:color w:val="auto"/>
        </w:rPr>
      </w:pPr>
    </w:p>
    <w:p>
      <w:pPr>
        <w:ind w:left="180" w:right="160" w:firstLine="648"/>
        <w:spacing w:after="0" w:line="293" w:lineRule="auto"/>
        <w:rPr>
          <w:sz w:val="20"/>
          <w:szCs w:val="20"/>
          <w:color w:val="auto"/>
        </w:rPr>
      </w:pPr>
      <w:r>
        <w:rPr>
          <w:rFonts w:ascii="Arial" w:cs="Arial" w:eastAsia="Arial" w:hAnsi="Arial"/>
          <w:sz w:val="16"/>
          <w:szCs w:val="16"/>
          <w:color w:val="auto"/>
        </w:rPr>
        <w:t xml:space="preserve">Each share of Class B Common Stock shall convert into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Class A Common Stock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and the denominator of which shall be the total number of issued and outstanding shares of Class B Common Stock at the time of conversion.</w:t>
      </w:r>
    </w:p>
    <w:p>
      <w:pPr>
        <w:spacing w:after="0" w:line="164" w:lineRule="exact"/>
        <w:rPr>
          <w:sz w:val="20"/>
          <w:szCs w:val="20"/>
          <w:color w:val="auto"/>
        </w:rPr>
      </w:pPr>
    </w:p>
    <w:p>
      <w:pPr>
        <w:ind w:left="180" w:right="40" w:firstLine="652"/>
        <w:spacing w:after="0" w:line="285" w:lineRule="auto"/>
        <w:tabs>
          <w:tab w:leader="none" w:pos="1143"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Voting. </w:t>
      </w:r>
      <w:r>
        <w:rPr>
          <w:rFonts w:ascii="Arial" w:cs="Arial" w:eastAsia="Arial" w:hAnsi="Arial"/>
          <w:sz w:val="16"/>
          <w:szCs w:val="16"/>
          <w:color w:val="auto"/>
        </w:rPr>
        <w:t>Except as otherwise required by law or this Certificate (including any Preferred Stock Designation), for so long as</w:t>
      </w:r>
      <w:r>
        <w:rPr>
          <w:rFonts w:ascii="Arial" w:cs="Arial" w:eastAsia="Arial" w:hAnsi="Arial"/>
          <w:sz w:val="16"/>
          <w:szCs w:val="16"/>
          <w:i w:val="1"/>
          <w:iCs w:val="1"/>
          <w:color w:val="auto"/>
        </w:rPr>
        <w:t xml:space="preserve"> </w:t>
      </w:r>
      <w:r>
        <w:rPr>
          <w:rFonts w:ascii="Arial" w:cs="Arial" w:eastAsia="Arial" w:hAnsi="Arial"/>
          <w:sz w:val="16"/>
          <w:szCs w:val="16"/>
          <w:color w:val="auto"/>
        </w:rPr>
        <w:t>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7" w:name="page208"/>
    <w:bookmarkEnd w:id="207"/>
    <w:p>
      <w:pPr>
        <w:ind w:right="140" w:firstLine="1304"/>
        <w:spacing w:after="0" w:line="259"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ind w:right="180" w:firstLine="1304"/>
        <w:spacing w:after="0" w:line="275" w:lineRule="auto"/>
        <w:tabs>
          <w:tab w:leader="none" w:pos="1551"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of the Corporation. </w:t>
      </w:r>
      <w:r>
        <w:rPr>
          <w:rFonts w:ascii="Arial" w:cs="Arial" w:eastAsia="Arial" w:hAnsi="Arial"/>
          <w:sz w:val="17"/>
          <w:szCs w:val="17"/>
          <w:color w:val="auto"/>
        </w:rPr>
        <w:t>Subject to applicable law, the rights, if any, of the holders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7260" w:type="dxa"/>
            <w:vAlign w:val="bottom"/>
            <w:gridSpan w:val="3"/>
          </w:tcPr>
          <w:p>
            <w:pPr>
              <w:jc w:val="center"/>
              <w:ind w:right="387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3980" w:type="dxa"/>
            <w:vAlign w:val="bottom"/>
          </w:tcPr>
          <w:p>
            <w:pPr>
              <w:spacing w:after="0"/>
              <w:rPr>
                <w:sz w:val="20"/>
                <w:szCs w:val="20"/>
                <w:color w:val="auto"/>
              </w:rPr>
            </w:pPr>
          </w:p>
        </w:tc>
        <w:tc>
          <w:tcPr>
            <w:tcW w:w="7260" w:type="dxa"/>
            <w:vAlign w:val="bottom"/>
            <w:gridSpan w:val="3"/>
          </w:tcPr>
          <w:p>
            <w:pPr>
              <w:jc w:val="center"/>
              <w:ind w:right="3890"/>
              <w:spacing w:after="0"/>
              <w:rPr>
                <w:sz w:val="20"/>
                <w:szCs w:val="20"/>
                <w:color w:val="auto"/>
              </w:rPr>
            </w:pPr>
            <w:r>
              <w:rPr>
                <w:rFonts w:ascii="Arial" w:cs="Arial" w:eastAsia="Arial" w:hAnsi="Arial"/>
                <w:sz w:val="18"/>
                <w:szCs w:val="18"/>
                <w:b w:val="1"/>
                <w:bCs w:val="1"/>
                <w:color w:val="auto"/>
                <w:w w:val="99"/>
              </w:rPr>
              <w:t>INCORPORATOR</w:t>
            </w:r>
          </w:p>
        </w:tc>
      </w:tr>
      <w:tr>
        <w:trPr>
          <w:trHeight w:val="432"/>
        </w:trPr>
        <w:tc>
          <w:tcPr>
            <w:tcW w:w="11240" w:type="dxa"/>
            <w:vAlign w:val="bottom"/>
            <w:gridSpan w:val="4"/>
          </w:tcPr>
          <w:p>
            <w:pPr>
              <w:ind w:left="660"/>
              <w:spacing w:after="0"/>
              <w:rPr>
                <w:sz w:val="20"/>
                <w:szCs w:val="20"/>
                <w:color w:val="auto"/>
              </w:rPr>
            </w:pPr>
            <w:r>
              <w:rPr>
                <w:rFonts w:ascii="Arial" w:cs="Arial" w:eastAsia="Arial" w:hAnsi="Arial"/>
                <w:sz w:val="18"/>
                <w:szCs w:val="18"/>
                <w:color w:val="auto"/>
              </w:rPr>
              <w:t>The name and mailing address of the sole incorporator of the Corporation are as follows:</w:t>
            </w:r>
          </w:p>
        </w:tc>
      </w:tr>
      <w:tr>
        <w:trPr>
          <w:trHeight w:val="439"/>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Address</w:t>
            </w: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Jaszick Maldonado, c/o Loeb &amp; Loeb LLP</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345 Park Avenue</w:t>
            </w:r>
          </w:p>
        </w:tc>
      </w:tr>
      <w:tr>
        <w:trPr>
          <w:trHeight w:val="230"/>
        </w:trPr>
        <w:tc>
          <w:tcPr>
            <w:tcW w:w="39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New York, NY 10154</w:t>
            </w:r>
          </w:p>
        </w:tc>
      </w:tr>
    </w:tbl>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Board Powers.</w:t>
      </w:r>
      <w:r>
        <w:rPr>
          <w:rFonts w:ascii="Arial" w:cs="Arial" w:eastAsia="Arial" w:hAnsi="Arial"/>
          <w:sz w:val="16"/>
          <w:szCs w:val="16"/>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Election.</w:t>
      </w:r>
      <w:r>
        <w:rPr>
          <w:rFonts w:ascii="Arial" w:cs="Arial" w:eastAsia="Arial" w:hAnsi="Arial"/>
          <w:sz w:val="17"/>
          <w:szCs w:val="17"/>
          <w:color w:val="auto"/>
        </w:rPr>
        <w:t xml:space="preserve"> Unless and except to the extent that the Bylaws shall so require, the election of directors need not be by written ballot.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to adopt, amend, alter, change, add or repeal the Bylaws. The Bylaws also may be adopted, amended, altered or repealed by the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Limitation of Director Liability</w:t>
      </w:r>
      <w:r>
        <w:rPr>
          <w:rFonts w:ascii="Arial" w:cs="Arial" w:eastAsia="Arial" w:hAnsi="Arial"/>
          <w:sz w:val="16"/>
          <w:szCs w:val="16"/>
          <w:color w:val="auto"/>
        </w:rPr>
        <w:t>. A director of the Corporation shall not be personally liable to the Corporation or its stockholders for monetary damages for any breach of fiduciary duty by such director as a director, except for liability (i) for any breach of the director’s duty of loyalty to the Corporation or its stockholders, (ii) for acts or omissions not in good faith or which involve intentional misconduct or a knowing violation of law,</w:t>
      </w:r>
    </w:p>
    <w:p>
      <w:pPr>
        <w:spacing w:after="0" w:line="2" w:lineRule="exact"/>
        <w:rPr>
          <w:sz w:val="20"/>
          <w:szCs w:val="20"/>
          <w:color w:val="auto"/>
        </w:rPr>
      </w:pPr>
    </w:p>
    <w:p>
      <w:pPr>
        <w:ind w:right="80" w:firstLine="8"/>
        <w:spacing w:after="0" w:line="253" w:lineRule="auto"/>
        <w:tabs>
          <w:tab w:leader="none" w:pos="3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by the stockholders of the Corporation shall not adversely affect any right or protection of a director of the Corporation with respect to events occurring prior to the time of such repeal or modification.</w:t>
      </w:r>
    </w:p>
    <w:p>
      <w:pPr>
        <w:spacing w:after="0" w:line="19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INSOLVENCY; SALE, LEASE OR EXCHANGE OF ASSETS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Corporation reserves the right to amend, alter, change, add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all rights, preferences and privileges herein conferred upon stockholders, directors or any other persons by and pursuant to this Certificate in its present form or as hereafter amended are granted subject to the right reserved in this Article.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t>IN WITNESS WHEREOF, the undersigned has executed this Certificate as of the date first set forth above.</w:t>
      </w:r>
    </w:p>
    <w:p>
      <w:pPr>
        <w:spacing w:after="0" w:line="24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Jaszick Maldonado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Jaszick Maldonado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Incorporator</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10" w:name="page211"/>
    <w:bookmarkEnd w:id="210"/>
    <w:p>
      <w:pPr>
        <w:ind w:left="10360"/>
        <w:spacing w:after="0"/>
        <w:rPr>
          <w:sz w:val="20"/>
          <w:szCs w:val="20"/>
          <w:color w:val="auto"/>
        </w:rPr>
      </w:pPr>
      <w:r>
        <w:rPr>
          <w:rFonts w:ascii="Arial" w:cs="Arial" w:eastAsia="Arial" w:hAnsi="Arial"/>
          <w:sz w:val="17"/>
          <w:szCs w:val="17"/>
          <w:b w:val="1"/>
          <w:bCs w:val="1"/>
          <w:color w:val="auto"/>
        </w:rPr>
        <w:t>Exhibit 3.3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registered office of the corporation shall be located in such place as may be provided from time to time in the Certificate of Incorporation.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(the “Board”) may from time to time determine or as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the corporation shall be held wholly or partially by means of remote communication or at such place, within or without the State of Delaware, on such date and at such time as may be determined by the Board of Directors and as shall be designated in the notice of said meeting.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held wholly or partially by means of remote communication or at any place, within or without the State of Delaware, and may be called by resolution of the Board of Directors, or by the Chief Executive Officer, or by the holders of not less than one-quarter of all of the shares entitled to vote at the meeting.</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Notice and Purpose of Meetings</w:t>
      </w:r>
      <w:r>
        <w:rPr>
          <w:rFonts w:ascii="Arial" w:cs="Arial" w:eastAsia="Arial" w:hAnsi="Arial"/>
          <w:sz w:val="17"/>
          <w:szCs w:val="17"/>
          <w:color w:val="auto"/>
        </w:rPr>
        <w:t>. Written or printed notice of the meeting stating the place, day and hour of the meeting and, in case of a special meeting, stating the purpose or purposes for which the meeting is called, and in case of a meeting held by remote communication stating such means, shall be delivered not less than ten nor more than sixty days before the date of the meeting, either personally, or by telegram, facsimile or cable or other electronic means</w:t>
      </w:r>
      <w:r>
        <w:rPr>
          <w:rFonts w:ascii="Arial" w:cs="Arial" w:eastAsia="Arial" w:hAnsi="Arial"/>
          <w:sz w:val="17"/>
          <w:szCs w:val="17"/>
          <w:b w:val="1"/>
          <w:bCs w:val="1"/>
          <w:color w:val="auto"/>
        </w:rPr>
        <w:t>,</w:t>
      </w:r>
      <w:r>
        <w:rPr>
          <w:rFonts w:ascii="Arial" w:cs="Arial" w:eastAsia="Arial" w:hAnsi="Arial"/>
          <w:sz w:val="17"/>
          <w:szCs w:val="17"/>
          <w:color w:val="auto"/>
        </w:rPr>
        <w:t xml:space="preserve"> by or at the direction of the Chief Executive Officer, the Secretary, or the persons calling the meeting, to each stockholder of record entitled to vote at such meeting. Such notice shall be deemed to be given at the time of receipt thereof if given personally or at the time of transmission thereof if given by telegram, telex, facsimile or cable or other electronic means.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shares of capital stock issued and outstanding and entitled to vote, represented in person or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1" w:name="page212"/>
    <w:bookmarkEnd w:id="211"/>
    <w:p>
      <w:pPr>
        <w:jc w:val="both"/>
        <w:ind w:firstLine="648"/>
        <w:spacing w:after="0" w:line="29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Voting Process</w:t>
      </w:r>
      <w:r>
        <w:rPr>
          <w:rFonts w:ascii="Arial" w:cs="Arial" w:eastAsia="Arial" w:hAnsi="Arial"/>
          <w:sz w:val="16"/>
          <w:szCs w:val="16"/>
          <w:color w:val="auto"/>
        </w:rPr>
        <w:t>. If a quorum is present or represented, the affirmative vote of a majority of the shares of stock present or represented at the meeting, by ballot, proxy or electronic ballot, shall be the act of the stockholders unless the vote of a greater number of shares of stock is required by law, by the Certificate of Incorporation or by these by-laws. Each outstanding share of stock having voting power, shall be entitled to one vote on each matter submitted to a vote at a meeting of stockholders. A shareholder may vote either in person, by proxy executed in writing by the stockholder or by his duly authorized attorney-in-fact, or by an electronic ballot from which it can be determined that the ballot was authorized by a stockholder or proxyholder. The term, validity and enforceability of any proxy shall be determined in accordance with the General Corporation Law of the State of Delaware.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Written Consent of Stockholders Without a Meeting</w:t>
      </w:r>
      <w:r>
        <w:rPr>
          <w:rFonts w:ascii="Arial" w:cs="Arial" w:eastAsia="Arial" w:hAnsi="Arial"/>
          <w:sz w:val="18"/>
          <w:szCs w:val="18"/>
          <w:color w:val="auto"/>
        </w:rPr>
        <w:t>. Whenever the stockholders are required or permitted to take any action by vote, such action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 The Board of Directors may adopt such rules and regulations, not inconsistent with the Certificate of Incorporation or these by-laws or applicable laws, as it may deem proper for the conduct of its meetings and the management of the Corporation.</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Qualifications, Term</w:t>
      </w:r>
      <w:r>
        <w:rPr>
          <w:rFonts w:ascii="Arial" w:cs="Arial" w:eastAsia="Arial" w:hAnsi="Arial"/>
          <w:sz w:val="16"/>
          <w:szCs w:val="16"/>
          <w:color w:val="auto"/>
        </w:rPr>
        <w:t>. The Board of Directors shall consist of one or more members. The number of directors shall be fixed initially by the Incorporator and may thereafter be changed from time to time by resolution of the Board of Directors or of the shareholders. Directors need not be residents of the State of Delaware nor stockholders of the corporation. The directors shall be elected at the annual meeting of the stockholders, and each director elected shall serve until the next succeeding annual meeting and until his successor shall have been elected and qualified.</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number of directors may be filled by a majority of the directors then in office, though less than a quorum, and the directors so chosen shall hold office until the next annual election and until their successors are duly elected and shall qualify. A vacancy created by the removal of a director by the stockholders may be filled by the stockholders.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Board of Directors, regular or special, may be held either within or without the State of Delaware.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First Meeting</w:t>
      </w:r>
      <w:r>
        <w:rPr>
          <w:rFonts w:ascii="Arial" w:cs="Arial" w:eastAsia="Arial" w:hAnsi="Arial"/>
          <w:sz w:val="16"/>
          <w:szCs w:val="16"/>
          <w:color w:val="auto"/>
        </w:rPr>
        <w:t>. The first meeting of each newly elected Board of Directors shall be held immediately following and at the place of the annual meeting of stockholders and no other notice of such meeting shall be necessary to the newly elected directors in order legally to constitute the meeting, provided a quorum shall be present, or it may convene at such place and time as shall be fixed by the consent in writing of all the directors.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upon such notice, or without notice, and at such time and at such place as shall from time to time be determined by the Board.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Chief Executive Officer or by the number of directors who then legally constitute a quorum. Notice of each special meeting shall, if mailed, be addressed to each director at least ten nor more than sixty days prior to the date on which the meeting is to be held.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 Waiver</w:t>
      </w:r>
      <w:r>
        <w:rPr>
          <w:rFonts w:ascii="Arial" w:cs="Arial" w:eastAsia="Arial" w:hAnsi="Arial"/>
          <w:sz w:val="18"/>
          <w:szCs w:val="18"/>
          <w:color w:val="auto"/>
        </w:rPr>
        <w:t>. Attendance of a director at any meeting shall constitute a waiver of notice of such meeting, except where a director attends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Quorum</w:t>
      </w:r>
      <w:r>
        <w:rPr>
          <w:rFonts w:ascii="Arial" w:cs="Arial" w:eastAsia="Arial" w:hAnsi="Arial"/>
          <w:sz w:val="16"/>
          <w:szCs w:val="16"/>
          <w:color w:val="auto"/>
        </w:rPr>
        <w:t>. Two-thirds of the directors then in office shall constitute a quorum for the transaction of business unless a greater number is required by law, by the Certificate of Incorporation or by these by-laws. If a quorum shall not be present at any meeting of directors, the directors present thereat may adjourn the meeting from time to time, without notice other than announcement at the meeting, until a quorum shall be present.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 meeting of the directors may be taken without a meeting if a consent in writing or by electronic transmission, setting forth the action so taken, shall be signed by all of the directors entitled to vote with respect to the subject matter thereof. In addition, meetings of the Board of Directors may be held by means of conference telephone or voice communication as permitted by the General Corporation Law of the State of Delaware.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w:t>
      </w:r>
      <w:r>
        <w:rPr>
          <w:rFonts w:ascii="Arial" w:cs="Arial" w:eastAsia="Arial" w:hAnsi="Arial"/>
          <w:sz w:val="18"/>
          <w:szCs w:val="18"/>
          <w:color w:val="auto"/>
        </w:rPr>
        <w:t>. Except as otherwise provided by law or in the Certificate of Incorporation or these by-laws, if a quorum is present, the affirmative vote of a majority of the members of the Board of Directors will be required for any 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12.</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Any director may be removed, either for or without cause, at any time by action of the holders of a majority of the outstanding shares of stock entitled to vote thereon, either at a meeting of the holders of such shares or, whenever permitted by law, without a meeting by their written consents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Executive Committee</w:t>
      </w:r>
      <w:r>
        <w:rPr>
          <w:rFonts w:ascii="Arial" w:cs="Arial" w:eastAsia="Arial" w:hAnsi="Arial"/>
          <w:sz w:val="18"/>
          <w:szCs w:val="18"/>
          <w:color w:val="auto"/>
        </w:rPr>
        <w:t>. The Board of Directors may, by resolution adopted by a majority of the whole Board, designate one or more of its members to constitute members or alternate members of an Executive Committee.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Powers and Authority of Executive Committee</w:t>
      </w:r>
      <w:r>
        <w:rPr>
          <w:rFonts w:ascii="Arial" w:cs="Arial" w:eastAsia="Arial" w:hAnsi="Arial"/>
          <w:sz w:val="17"/>
          <w:szCs w:val="17"/>
          <w:color w:val="auto"/>
        </w:rPr>
        <w:t>. The Executive Committee shall have and may exercise, between meetings of the Board of Directors, all the powers and authority of the Board in the management of the business and affairs of the Company, including, the right to authorize the purchase of stock, except that the Executive Committee shall not have such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or authorizing the declaration of a dividend.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Other Committees</w:t>
      </w:r>
      <w:r>
        <w:rPr>
          <w:rFonts w:ascii="Arial" w:cs="Arial" w:eastAsia="Arial" w:hAnsi="Arial"/>
          <w:sz w:val="18"/>
          <w:szCs w:val="18"/>
          <w:color w:val="auto"/>
        </w:rPr>
        <w:t>. The Board of Directors may, by resolution adopted by a majority of the whole Board, designate one or more other committees, each of which shall, except as otherwise prescribed by law, have such authority of the Board as shall be specified in the resolution of the Board designating such committee. A majority of all the members of such committee may determine its action and fix the time and place of its meeting, unless the Board shall otherwise provide. The Board shall have the power at any time to change the membership of, to fill all vacancies in and to discharge any such committee, either with or without cause.</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Procedure; Meetings; Quorum</w:t>
      </w:r>
      <w:r>
        <w:rPr>
          <w:rFonts w:ascii="Arial" w:cs="Arial" w:eastAsia="Arial" w:hAnsi="Arial"/>
          <w:sz w:val="16"/>
          <w:szCs w:val="16"/>
          <w:color w:val="auto"/>
        </w:rPr>
        <w:t>. Regular meetings of the Executive Committee or any other committee of the Board of Directors, of which no notice shall be necessary, may be held at such times and places as shall be fixed by resolution adopted by a majority of the members thereof. Special meetings of the Executive Committee or any other committee of the Board shall be called at the request of any member thereof. So far as applicable, the provisions of Article III of these by-laws relating to notice, quorum and voting requirements applicable to meetings of the Board shall govern meetings of the Executive Committee or any other committee of the Board. The Executive Committee and each other committee of the Board shall keep written minutes of its proceedings and circulate summaries of such written minutes to the Board before or at the next meeting of the Board.</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w:t>
      </w:r>
      <w:r>
        <w:rPr>
          <w:rFonts w:ascii="Arial" w:cs="Arial" w:eastAsia="Arial" w:hAnsi="Arial"/>
          <w:sz w:val="17"/>
          <w:szCs w:val="17"/>
          <w:color w:val="auto"/>
        </w:rPr>
        <w:t>. The Board of Directors at its first meeting after each annual meeting of stockholders shall choose one or more Chief Executive Officers and a Secretary, none of whom need be a member of the Board. The Board may also choose a Chairman from among the directors, one or more Executive Vice Presidents, one or more Vice Presidents, Assistant Secretaries, Treasurers and Assistant Treasurers. The Board may appoint such other officers and agents as it shall deem necessary, who shall hold their offices for such terms and shall exercise such powers and perform such duties as shall be determined from time to time by the Board. The same person may hold two or more offices.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Compensation</w:t>
      </w:r>
      <w:r>
        <w:rPr>
          <w:rFonts w:ascii="Arial" w:cs="Arial" w:eastAsia="Arial" w:hAnsi="Arial"/>
          <w:sz w:val="18"/>
          <w:szCs w:val="18"/>
          <w:color w:val="auto"/>
        </w:rPr>
        <w:t>. The salaries or other compensation of all officers of the corporation shall be fixed by the Board of Directors. No officer shall be prevented from receiving a salary or other compensation by reason of the fact that he or she is also a director.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Removal; Vacancy</w:t>
      </w:r>
      <w:r>
        <w:rPr>
          <w:rFonts w:ascii="Arial" w:cs="Arial" w:eastAsia="Arial" w:hAnsi="Arial"/>
          <w:sz w:val="18"/>
          <w:szCs w:val="18"/>
          <w:color w:val="auto"/>
        </w:rPr>
        <w:t>. The officers of the corporation shall hold office until their successors are chosen and qualify. Any officer may be removed at any time, with or without cause, by the affirmative vote of a majority of the whole Board of Directors. Any vacancy occurring in any office of the corporation shall be filled by the Board of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shall, if one be elected, preside at all meetings of the Board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preside at all meetings of the stockholders and the Board of Directors in the absence of a Chairman, shall have general supervision over the business of the corporation and shall see that all directions and resolutions of the Board of Directors are carried into effect.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Vice President</w:t>
      </w:r>
      <w:r>
        <w:rPr>
          <w:rFonts w:ascii="Arial" w:cs="Arial" w:eastAsia="Arial" w:hAnsi="Arial"/>
          <w:sz w:val="17"/>
          <w:szCs w:val="17"/>
          <w:color w:val="auto"/>
        </w:rPr>
        <w:t>. The Vice President shall, in the absence or disability of the Chief Executive Officers, perform the duties and exercise the powers of the Chief Executive officers and shall perform such other duties and have such other powers as the Board of Directors may from time to time prescribe. The Vice President shall, in the absence or disability of the Chief Executive Officer and of the Vice President, perform the duties and exercise the powers of the Chief Executive Officer and shall perform such other duties and have such other powers as the Board of Directors may from time to time prescribe. If there shall be more than one vice president, the vice presidents shall perform such duties and exercise such powers in the absence or disability of the Chief Executive Officer and of the Vice President, in the order determined by the Board of Directors.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He shall give, or cause to be given, notice of all meetings of the stockholders and special meetings of the Board of Directors, and shall perform such other duties as may be prescribed by the Board of Directors or Chief Executive Officer, under whose supervision he shall be. He shall have custody of the corporate seal of the corporation and he, or an assistant secretary, shall have the authority to affix the same to an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if there shall be one, or if there shall be more than one, the assistant secretaries in the order determined by the Board of Directors, shall, in the absence or disability of the Secretary, perform the duties and exercise the powers of the Secretary and shall perform such other duties and have such powers as the Board of Directors may from time to time prescribe.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648"/>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Chairman, the Chief Executive Officer and the Board of Directors, at its regular meetings, or when the Board of Directors so requires, an account of all of his transactions as Treasurer and of the financial condition of the corporation.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if there shall be one,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Form</w:t>
      </w:r>
      <w:r>
        <w:rPr>
          <w:rFonts w:ascii="Arial" w:cs="Arial" w:eastAsia="Arial" w:hAnsi="Arial"/>
          <w:sz w:val="16"/>
          <w:szCs w:val="16"/>
          <w:color w:val="auto"/>
        </w:rPr>
        <w:t>. The shares of the capital stock of the corporation shall be represented by certificates in such form as shall be approved by the Board of Directors and shall be signed by the Chief Executive Officer, a Vice President or a Vice President, and by the Treasurer or an assistant treasurer or the Secretary or an Assistant Secretary of the corporation, and may be sealed with the seal of the corporation or a facsimile thereof.</w:t>
      </w:r>
    </w:p>
    <w:p>
      <w:pPr>
        <w:spacing w:after="0" w:line="14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and Destroyed Certificates</w:t>
      </w:r>
      <w:r>
        <w:rPr>
          <w:rFonts w:ascii="Arial" w:cs="Arial" w:eastAsia="Arial" w:hAnsi="Arial"/>
          <w:sz w:val="18"/>
          <w:szCs w:val="18"/>
          <w:color w:val="auto"/>
        </w:rPr>
        <w:t>.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cancelled and the transaction recorded upon the books of the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1. (a) The Corporation shall indemnify, subject to the requirements of subsection (d) of this Section,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656"/>
        <w:spacing w:after="0" w:line="269" w:lineRule="auto"/>
        <w:tabs>
          <w:tab w:leader="none" w:pos="1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Corporation shall indemnify, subject to the requirements of subsection (d) of this Section,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185" w:lineRule="exact"/>
        <w:rPr>
          <w:rFonts w:ascii="Arial" w:cs="Arial" w:eastAsia="Arial" w:hAnsi="Arial"/>
          <w:sz w:val="17"/>
          <w:szCs w:val="17"/>
          <w:color w:val="auto"/>
        </w:rPr>
      </w:pPr>
    </w:p>
    <w:p>
      <w:pPr>
        <w:jc w:val="both"/>
        <w:ind w:firstLine="656"/>
        <w:spacing w:after="0" w:line="286" w:lineRule="auto"/>
        <w:tabs>
          <w:tab w:leader="none" w:pos="144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subsections (a) and (b) of this Section, or in defense of any claim, issue or matter therein, the Corporation shall indemnify him against expenses (including attorneys’ fees) actually and reasonably incurred by him in connection therewith.</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40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subsections (a) and (b) of this Section.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spacing w:after="0" w:line="192" w:lineRule="exact"/>
        <w:rPr>
          <w:rFonts w:ascii="Arial" w:cs="Arial" w:eastAsia="Arial" w:hAnsi="Arial"/>
          <w:sz w:val="18"/>
          <w:szCs w:val="18"/>
          <w:color w:val="auto"/>
        </w:rPr>
      </w:pPr>
    </w:p>
    <w:p>
      <w:pPr>
        <w:jc w:val="both"/>
        <w:ind w:firstLine="656"/>
        <w:spacing w:after="0" w:line="301" w:lineRule="auto"/>
        <w:tabs>
          <w:tab w:leader="none" w:pos="138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Expenses incurred by a director, officer, employee or agent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incurred by other employees and agents may be so paid upon such terms and conditions, if any, as the Board of Directors deems appropriate.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56"/>
        <w:spacing w:after="0" w:line="301" w:lineRule="auto"/>
        <w:tabs>
          <w:tab w:leader="none" w:pos="147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limit the Corporation from providing any other indemnification or advancement of expenses permitted by law nor shall they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57" w:lineRule="exact"/>
        <w:rPr>
          <w:rFonts w:ascii="Arial" w:cs="Arial" w:eastAsia="Arial" w:hAnsi="Arial"/>
          <w:sz w:val="16"/>
          <w:szCs w:val="16"/>
          <w:color w:val="auto"/>
        </w:rPr>
      </w:pPr>
    </w:p>
    <w:p>
      <w:pPr>
        <w:jc w:val="both"/>
        <w:ind w:firstLine="656"/>
        <w:spacing w:after="0" w:line="279" w:lineRule="auto"/>
        <w:tabs>
          <w:tab w:leader="none" w:pos="143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71" w:lineRule="exact"/>
        <w:rPr>
          <w:rFonts w:ascii="Arial" w:cs="Arial" w:eastAsia="Arial" w:hAnsi="Arial"/>
          <w:sz w:val="17"/>
          <w:szCs w:val="17"/>
          <w:color w:val="auto"/>
        </w:rPr>
      </w:pPr>
    </w:p>
    <w:p>
      <w:pPr>
        <w:jc w:val="both"/>
        <w:ind w:firstLine="656"/>
        <w:spacing w:after="0" w:line="293" w:lineRule="auto"/>
        <w:tabs>
          <w:tab w:leader="none" w:pos="143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 the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color w:val="auto"/>
        </w:rPr>
      </w:pPr>
    </w:p>
    <w:p>
      <w:pPr>
        <w:jc w:val="both"/>
        <w:ind w:firstLine="656"/>
        <w:spacing w:after="0" w:line="273" w:lineRule="auto"/>
        <w:tabs>
          <w:tab w:leader="none" w:pos="145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any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50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by the Board of Directors, continue as to a person who has ceased to be a director, officer, employee or agent of the Corporation and shall inure to the benefit of the heirs executors and administrators of such a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and may be changed, by resolution of the Board of Directors.</w:t>
      </w:r>
    </w:p>
    <w:p>
      <w:pPr>
        <w:spacing w:after="0" w:line="2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1. These by-laws may be altered, amended, supplemented or repealed or new by-laws may be adopted (a) at any regular or special meeting of stockholders at which a quorum is present or represented, by the affirmative vote of the holders of a majority of the shares entitled to vote, provided notice of the proposed alteration, amendment or repeal be contained in the notice of such meeting, or (b) by a resolution adopted by a majority of the whole Board of Directors at any regular or special meeting of the Board. The stockholders shall have authority to change or repeal any by-laws adopted by the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ind w:left="1032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tcPr>
          <w:p>
            <w:pPr>
              <w:jc w:val="right"/>
              <w:ind w:right="4650"/>
              <w:spacing w:after="0"/>
              <w:rPr>
                <w:sz w:val="20"/>
                <w:szCs w:val="20"/>
                <w:color w:val="auto"/>
              </w:rPr>
            </w:pPr>
            <w:r>
              <w:rPr>
                <w:rFonts w:ascii="Arial" w:cs="Arial" w:eastAsia="Arial" w:hAnsi="Arial"/>
                <w:sz w:val="18"/>
                <w:szCs w:val="18"/>
                <w:b w:val="1"/>
                <w:bCs w:val="1"/>
                <w:color w:val="auto"/>
              </w:rPr>
              <w:t>PROMISSORY NOTE</w:t>
            </w:r>
          </w:p>
        </w:tc>
        <w:tc>
          <w:tcPr>
            <w:tcW w:w="0" w:type="dxa"/>
            <w:vAlign w:val="bottom"/>
          </w:tcPr>
          <w:p>
            <w:pPr>
              <w:spacing w:after="0"/>
              <w:rPr>
                <w:sz w:val="1"/>
                <w:szCs w:val="1"/>
                <w:color w:val="auto"/>
              </w:rPr>
            </w:pPr>
          </w:p>
        </w:tc>
      </w:tr>
      <w:tr>
        <w:trPr>
          <w:trHeight w:val="418"/>
        </w:trPr>
        <w:tc>
          <w:tcPr>
            <w:tcW w:w="3640" w:type="dxa"/>
            <w:vAlign w:val="bottom"/>
            <w:vMerge w:val="restart"/>
          </w:tcPr>
          <w:p>
            <w:pPr>
              <w:spacing w:after="0"/>
              <w:rPr>
                <w:sz w:val="20"/>
                <w:szCs w:val="20"/>
                <w:color w:val="auto"/>
              </w:rPr>
            </w:pPr>
            <w:r>
              <w:rPr>
                <w:rFonts w:ascii="Arial" w:cs="Arial" w:eastAsia="Arial" w:hAnsi="Arial"/>
                <w:sz w:val="18"/>
                <w:szCs w:val="18"/>
                <w:color w:val="auto"/>
              </w:rPr>
              <w:t>Principal Amount: Up to $300,000</w:t>
            </w:r>
          </w:p>
        </w:tc>
        <w:tc>
          <w:tcPr>
            <w:tcW w:w="7600" w:type="dxa"/>
            <w:vAlign w:val="bottom"/>
          </w:tcPr>
          <w:p>
            <w:pPr>
              <w:jc w:val="right"/>
              <w:spacing w:after="0"/>
              <w:rPr>
                <w:sz w:val="20"/>
                <w:szCs w:val="20"/>
                <w:color w:val="auto"/>
              </w:rPr>
            </w:pPr>
            <w:r>
              <w:rPr>
                <w:rFonts w:ascii="Arial" w:cs="Arial" w:eastAsia="Arial" w:hAnsi="Arial"/>
                <w:sz w:val="18"/>
                <w:szCs w:val="18"/>
                <w:color w:val="auto"/>
              </w:rPr>
              <w:t>Dated as of May 21, 2021</w:t>
            </w: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7600" w:type="dxa"/>
            <w:vAlign w:val="bottom"/>
            <w:vMerge w:val="restart"/>
          </w:tcPr>
          <w:p>
            <w:pPr>
              <w:jc w:val="right"/>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7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BurTech Acquisition Corp., a Delaware corporation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BurTech LP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up to Three Hundred Thousand Dollars ($300,000)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3" w:lineRule="exact"/>
        <w:rPr>
          <w:sz w:val="20"/>
          <w:szCs w:val="20"/>
          <w:color w:val="auto"/>
        </w:rPr>
      </w:pPr>
    </w:p>
    <w:p>
      <w:pPr>
        <w:jc w:val="both"/>
        <w:ind w:right="340" w:firstLine="8"/>
        <w:spacing w:after="0" w:line="261" w:lineRule="auto"/>
        <w:tabs>
          <w:tab w:leader="none" w:pos="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by the Maker on the earlier of: (i) December 31, 2021 or (ii) the date on which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 initial public offering of its securities.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b w:val="1"/>
          <w:bCs w:val="1"/>
          <w:color w:val="auto"/>
        </w:rPr>
      </w:pPr>
    </w:p>
    <w:p>
      <w:pPr>
        <w:ind w:left="180" w:hanging="172"/>
        <w:spacing w:after="0"/>
        <w:tabs>
          <w:tab w:leader="none" w:pos="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b w:val="1"/>
          <w:bCs w:val="1"/>
          <w:color w:val="auto"/>
        </w:rPr>
      </w:pPr>
    </w:p>
    <w:p>
      <w:pPr>
        <w:ind w:right="20" w:firstLine="8"/>
        <w:spacing w:after="0" w:line="270" w:lineRule="auto"/>
        <w:tabs>
          <w:tab w:leader="none" w:pos="18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Drawdown Requests. </w:t>
      </w:r>
      <w:r>
        <w:rPr>
          <w:rFonts w:ascii="Arial" w:cs="Arial" w:eastAsia="Arial" w:hAnsi="Arial"/>
          <w:sz w:val="17"/>
          <w:szCs w:val="17"/>
          <w:color w:val="auto"/>
        </w:rPr>
        <w:t>Maker and Payee agree that Maker may request up to Three Hundred Thousand Dollars ($300,000) for costs reasonably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Maker’s initial public offering of its securities. The principal of this Note may be drawn down from time to time prior to the earlier of: (i) December 31, 2021 or (ii) the date on which Maker consummates an initial public offering of its securities, upon written request from Maker to Payee (each, a “</w:t>
      </w:r>
      <w:r>
        <w:rPr>
          <w:rFonts w:ascii="Arial" w:cs="Arial" w:eastAsia="Arial" w:hAnsi="Arial"/>
          <w:sz w:val="17"/>
          <w:szCs w:val="17"/>
          <w:b w:val="1"/>
          <w:bCs w:val="1"/>
          <w:color w:val="auto"/>
        </w:rPr>
        <w:t>Drawdown Request</w:t>
      </w:r>
      <w:r>
        <w:rPr>
          <w:rFonts w:ascii="Arial" w:cs="Arial" w:eastAsia="Arial" w:hAnsi="Arial"/>
          <w:sz w:val="17"/>
          <w:szCs w:val="17"/>
          <w:color w:val="auto"/>
        </w:rPr>
        <w:t>”). Each Drawdown Request must state the amount to be drawn down, and must not be an amount less than Ten Thousand Dollars ($10,000) unless agreed upon by Maker and Payee. Payee shall fund each Drawdown Request no later than five (5) business days after receipt of a Drawdown Request; provided, however, that the maximum amount of drawdowns collectively under this Note is Three Hundred Thousand Dollars ($300,000). Once an amount is drawn down under this Note, it shall not be available for future Drawdown Requests even if prepaid. No fees, payments or other amounts shall be due to Payee in connection with, or as a result of, any Drawdown Request by Maker. Notwithstanding the foregoing, all payments shall be applied first to payment in full of any costs incurred in the collection of any sum due under this Note, including (without limitation) reasonable attorneys’ fees, and then to the reduction of the unpaid principal balance of this Note.</w:t>
      </w:r>
    </w:p>
    <w:p>
      <w:pPr>
        <w:spacing w:after="0" w:line="176" w:lineRule="exact"/>
        <w:rPr>
          <w:rFonts w:ascii="Arial" w:cs="Arial" w:eastAsia="Arial" w:hAnsi="Arial"/>
          <w:sz w:val="17"/>
          <w:szCs w:val="17"/>
          <w:b w:val="1"/>
          <w:bCs w:val="1"/>
          <w:color w:val="auto"/>
        </w:rPr>
      </w:pPr>
    </w:p>
    <w:p>
      <w:pPr>
        <w:jc w:val="both"/>
        <w:ind w:right="120" w:firstLine="8"/>
        <w:spacing w:after="0" w:line="266" w:lineRule="auto"/>
        <w:tabs>
          <w:tab w:leader="none" w:pos="17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b w:val="1"/>
          <w:bCs w:val="1"/>
          <w:color w:val="auto"/>
        </w:rPr>
      </w:pPr>
    </w:p>
    <w:p>
      <w:pPr>
        <w:ind w:left="180" w:hanging="172"/>
        <w:spacing w:after="0"/>
        <w:tabs>
          <w:tab w:leader="none" w:pos="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656"/>
        <w:spacing w:after="0" w:line="277" w:lineRule="auto"/>
        <w:tabs>
          <w:tab w:leader="none" w:pos="892"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right="80" w:firstLine="656"/>
        <w:spacing w:after="0" w:line="257" w:lineRule="auto"/>
        <w:tabs>
          <w:tab w:leader="none" w:pos="903"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0" w:name="page221"/>
    <w:bookmarkEnd w:id="220"/>
    <w:p>
      <w:pPr>
        <w:ind w:left="-8" w:right="240" w:firstLine="656"/>
        <w:spacing w:after="0" w:line="259" w:lineRule="auto"/>
        <w:tabs>
          <w:tab w:leader="none" w:pos="884"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172" w:hanging="172"/>
        <w:spacing w:after="0"/>
        <w:tabs>
          <w:tab w:leader="none" w:pos="17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ind w:left="-8" w:firstLine="656"/>
        <w:spacing w:after="0" w:line="259" w:lineRule="auto"/>
        <w:tabs>
          <w:tab w:leader="none" w:pos="88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left="-8" w:right="240" w:firstLine="656"/>
        <w:spacing w:after="0" w:line="342" w:lineRule="auto"/>
        <w:tabs>
          <w:tab w:leader="none" w:pos="89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ind w:left="-8" w:right="60" w:firstLine="8"/>
        <w:spacing w:after="0" w:line="294" w:lineRule="auto"/>
        <w:tabs>
          <w:tab w:leader="none" w:pos="169"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59" w:lineRule="exact"/>
        <w:rPr>
          <w:rFonts w:ascii="Arial" w:cs="Arial" w:eastAsia="Arial" w:hAnsi="Arial"/>
          <w:sz w:val="16"/>
          <w:szCs w:val="16"/>
          <w:b w:val="1"/>
          <w:bCs w:val="1"/>
          <w:color w:val="auto"/>
        </w:rPr>
      </w:pPr>
    </w:p>
    <w:p>
      <w:pPr>
        <w:ind w:left="-8" w:right="120" w:firstLine="8"/>
        <w:spacing w:after="0" w:line="298" w:lineRule="auto"/>
        <w:tabs>
          <w:tab w:leader="none" w:pos="172"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b w:val="1"/>
          <w:bCs w:val="1"/>
          <w:color w:val="auto"/>
        </w:rPr>
      </w:pPr>
    </w:p>
    <w:p>
      <w:pPr>
        <w:ind w:left="172" w:hanging="172"/>
        <w:spacing w:after="0"/>
        <w:tabs>
          <w:tab w:leader="none" w:pos="172"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made in writing and delivered:</w:t>
      </w:r>
    </w:p>
    <w:p>
      <w:pPr>
        <w:spacing w:after="0" w:line="39" w:lineRule="exact"/>
        <w:rPr>
          <w:sz w:val="20"/>
          <w:szCs w:val="20"/>
          <w:color w:val="auto"/>
        </w:rPr>
      </w:pPr>
    </w:p>
    <w:p>
      <w:pPr>
        <w:ind w:left="-8" w:right="100" w:firstLine="8"/>
        <w:spacing w:after="0" w:line="270" w:lineRule="auto"/>
        <w:tabs>
          <w:tab w:leader="none" w:pos="20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4" w:lineRule="exact"/>
        <w:rPr>
          <w:sz w:val="20"/>
          <w:szCs w:val="20"/>
          <w:color w:val="auto"/>
        </w:rPr>
      </w:pPr>
    </w:p>
    <w:p>
      <w:pPr>
        <w:ind w:left="-8" w:right="300" w:firstLine="8"/>
        <w:spacing w:after="0" w:line="282" w:lineRule="auto"/>
        <w:tabs>
          <w:tab w:leader="none" w:pos="26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b w:val="1"/>
          <w:bCs w:val="1"/>
          <w:color w:val="auto"/>
        </w:rPr>
      </w:pPr>
    </w:p>
    <w:p>
      <w:pPr>
        <w:jc w:val="both"/>
        <w:ind w:left="-8" w:right="160" w:firstLine="8"/>
        <w:spacing w:after="0" w:line="266" w:lineRule="auto"/>
        <w:tabs>
          <w:tab w:leader="none" w:pos="25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21" w:name="page222"/>
    <w:bookmarkEnd w:id="221"/>
    <w:p>
      <w:pPr>
        <w:ind w:left="280" w:hanging="272"/>
        <w:spacing w:after="0"/>
        <w:tabs>
          <w:tab w:leader="none" w:pos="28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Trust Waiver</w:t>
      </w:r>
      <w:r>
        <w:rPr>
          <w:rFonts w:ascii="Arial" w:cs="Arial" w:eastAsia="Arial" w:hAnsi="Arial"/>
          <w:sz w:val="17"/>
          <w:szCs w:val="17"/>
          <w:color w:val="auto"/>
        </w:rPr>
        <w:t>. Notwithstanding anything herein to the contrary, the Payee hereby waives any and all right, title, interest or claim of any kind</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the proceeds of the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to be conducted by the Maker (including the deferred underwriters discounts and commissions) and the proceeds of the sale of the warrants to be issued in a private placement to occur prior to the closing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Waiver</w:t>
      </w:r>
      <w:r>
        <w:rPr>
          <w:rFonts w:ascii="Arial" w:cs="Arial" w:eastAsia="Arial" w:hAnsi="Arial"/>
          <w:sz w:val="18"/>
          <w:szCs w:val="18"/>
          <w:color w:val="auto"/>
        </w:rPr>
        <w:t>. 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2"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color w:val="auto"/>
        </w:rPr>
        <w:t>.</w:t>
      </w:r>
      <w:r>
        <w:rPr>
          <w:rFonts w:ascii="Arial" w:cs="Arial" w:eastAsia="Arial" w:hAnsi="Arial"/>
          <w:sz w:val="16"/>
          <w:szCs w:val="16"/>
          <w:b w:val="1"/>
          <w:bCs w:val="1"/>
          <w:color w:val="auto"/>
        </w:rPr>
        <w:t xml:space="preserve"> Assignment</w:t>
      </w:r>
      <w:r>
        <w:rPr>
          <w:rFonts w:ascii="Arial" w:cs="Arial" w:eastAsia="Arial" w:hAnsi="Arial"/>
          <w:sz w:val="16"/>
          <w:szCs w:val="16"/>
          <w:color w:val="auto"/>
        </w:rPr>
        <w:t>. 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23" w:name="page224"/>
    <w:bookmarkEnd w:id="223"/>
    <w:p>
      <w:pPr>
        <w:ind w:left="10260"/>
        <w:spacing w:after="0"/>
        <w:rPr>
          <w:sz w:val="20"/>
          <w:szCs w:val="20"/>
          <w:color w:val="auto"/>
        </w:rPr>
      </w:pPr>
      <w:r>
        <w:rPr>
          <w:rFonts w:ascii="Arial" w:cs="Arial" w:eastAsia="Arial" w:hAnsi="Arial"/>
          <w:sz w:val="17"/>
          <w:szCs w:val="17"/>
          <w:b w:val="1"/>
          <w:bCs w:val="1"/>
          <w:color w:val="auto"/>
        </w:rPr>
        <w:t>Exhibit 10.5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7770 Norfolk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Bethesda, MD 20814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LP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7770 Norfolk Avnue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Subscription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May 21, 2021 by and between BurTech LP LLC, a Delaware limited liability company (the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and BurTech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Pursuant to the terms hereof, the Company hereby accepts the offer the Subscriber has made to purchase 8,625,000 shares of Class B common stock, $0.0001 par value per share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up to 1,125.000 of which are subject to forfeiture by you if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units (“</w:t>
      </w:r>
      <w:r>
        <w:rPr>
          <w:rFonts w:ascii="Arial" w:cs="Arial" w:eastAsia="Arial" w:hAnsi="Arial"/>
          <w:sz w:val="18"/>
          <w:szCs w:val="18"/>
          <w:b w:val="1"/>
          <w:bCs w:val="1"/>
          <w:color w:val="auto"/>
        </w:rPr>
        <w:t>Units</w:t>
      </w:r>
      <w:r>
        <w:rPr>
          <w:rFonts w:ascii="Arial" w:cs="Arial" w:eastAsia="Arial" w:hAnsi="Arial"/>
          <w:sz w:val="18"/>
          <w:szCs w:val="18"/>
          <w:color w:val="auto"/>
        </w:rPr>
        <w:t>”) of the Company, do not fully exercise their over-allotment option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The Company and the Subscriber’s agreements regarding such Shares are as follows:</w:t>
      </w:r>
    </w:p>
    <w:p>
      <w:pPr>
        <w:spacing w:after="0" w:line="191" w:lineRule="exact"/>
        <w:rPr>
          <w:sz w:val="20"/>
          <w:szCs w:val="20"/>
          <w:color w:val="auto"/>
        </w:rPr>
      </w:pPr>
    </w:p>
    <w:p>
      <w:pPr>
        <w:ind w:left="180" w:hanging="172"/>
        <w:spacing w:after="0"/>
        <w:tabs>
          <w:tab w:leader="none" w:pos="1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Purchase of Securities.</w:t>
      </w:r>
    </w:p>
    <w:p>
      <w:pPr>
        <w:spacing w:after="0" w:line="221"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Purchase of Shares.</w:t>
      </w:r>
      <w:r>
        <w:rPr>
          <w:rFonts w:ascii="Arial" w:cs="Arial" w:eastAsia="Arial" w:hAnsi="Arial"/>
          <w:sz w:val="16"/>
          <w:szCs w:val="16"/>
          <w:color w:val="auto"/>
        </w:rPr>
        <w:t xml:space="preserve"> For the sum of $25,000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the Company acknowledges receiving in cash, the Company hereby issues the Shares to the Subscriber, and the Subscriber hereby purchases the Shares from the Company, subject to forfeiture, on the terms and subject to the conditions set forth in this Agreement. Concurrently with the Subscriber’s execution of this Agreement, the Company shall, at its option, deliver to the Subscriber a certificate registered in the Subscriber’s name representing the shares (the “</w:t>
      </w:r>
      <w:r>
        <w:rPr>
          <w:rFonts w:ascii="Arial" w:cs="Arial" w:eastAsia="Arial" w:hAnsi="Arial"/>
          <w:sz w:val="16"/>
          <w:szCs w:val="16"/>
          <w:b w:val="1"/>
          <w:bCs w:val="1"/>
          <w:color w:val="auto"/>
        </w:rPr>
        <w:t>Original Certificate</w:t>
      </w:r>
      <w:r>
        <w:rPr>
          <w:rFonts w:ascii="Arial" w:cs="Arial" w:eastAsia="Arial" w:hAnsi="Arial"/>
          <w:sz w:val="16"/>
          <w:szCs w:val="16"/>
          <w:color w:val="auto"/>
        </w:rPr>
        <w:t>”), or effect such delivery in book-entry form.</w:t>
      </w:r>
    </w:p>
    <w:p>
      <w:pPr>
        <w:spacing w:after="0" w:line="155" w:lineRule="exact"/>
        <w:rPr>
          <w:sz w:val="20"/>
          <w:szCs w:val="20"/>
          <w:color w:val="auto"/>
        </w:rPr>
      </w:pPr>
    </w:p>
    <w:p>
      <w:pPr>
        <w:ind w:left="180" w:hanging="172"/>
        <w:spacing w:after="0"/>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xml:space="preserve"> To induce the Company to issue the Shares to the Subscriber, the Subscriber hereby represents and warrants to the Company and agrees with the Company as follows: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xml:space="preserve"> The Subscriber understands that no federal or state agency has passed upon or made any recommendation or endorsement of the offering of the Shares.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or (iii) any law, statute, rule or regulation to which the Subscriber is subject, or any agreement, order, judgment or decree to which the Subscriber is subject.</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xml:space="preserve">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is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4" w:name="page225"/>
    <w:bookmarkEnd w:id="224"/>
    <w:p>
      <w:pPr>
        <w:ind w:firstLine="648"/>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xml:space="preserve">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(i) an effective registration statement under the Securities Act or (ii) an exemption from registration available with respect to such sale. Subscriber is able to bear the economic risks of an investment in the Shares and to afford a complete loss of Subscriber’s investment in the Shares.</w:t>
      </w:r>
    </w:p>
    <w:p>
      <w:pPr>
        <w:spacing w:after="0" w:line="17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xml:space="preserve">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and/or its prospects.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Regulation D Offering.</w:t>
      </w:r>
      <w:r>
        <w:rPr>
          <w:rFonts w:ascii="Arial" w:cs="Arial" w:eastAsia="Arial" w:hAnsi="Arial"/>
          <w:sz w:val="18"/>
          <w:szCs w:val="18"/>
          <w:color w:val="auto"/>
        </w:rPr>
        <w:t xml:space="preserve"> Subscriber represents that it is an “accredited investor” as such term is defined in Rule 501(a)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acknowledges the sale contemplated hereby is being made in reliance on a private placement exemption to “accredited investors” within the meaning of Section 501(a) of Regulation D under the Securities Act or similar exemptions under state law.</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Investment Purposes.</w:t>
      </w:r>
      <w:r>
        <w:rPr>
          <w:rFonts w:ascii="Arial" w:cs="Arial" w:eastAsia="Arial" w:hAnsi="Arial"/>
          <w:sz w:val="17"/>
          <w:szCs w:val="17"/>
          <w:color w:val="auto"/>
        </w:rPr>
        <w:t xml:space="preserve"> The Subscriber is purchasing the Shares solely for investment purposes, for the Subscriber’s own account and not for the account or benefit of any other person, and not with a view towards the distribution or dissemination thereof. The Subscriber did not decide to enter into this Agreement as a result of any general solicitation or general advertising within the meaning of Rule 502 under the Securities Act.</w:t>
      </w:r>
    </w:p>
    <w:p>
      <w:pPr>
        <w:spacing w:after="0" w:line="165" w:lineRule="exact"/>
        <w:rPr>
          <w:sz w:val="20"/>
          <w:szCs w:val="20"/>
          <w:color w:val="auto"/>
        </w:rPr>
      </w:pPr>
    </w:p>
    <w:p>
      <w:pPr>
        <w:ind w:right="480" w:firstLine="648"/>
        <w:spacing w:after="0" w:line="291"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Restrictions on Transfer; Shell Company.</w:t>
      </w:r>
      <w:r>
        <w:rPr>
          <w:rFonts w:ascii="Arial" w:cs="Arial" w:eastAsia="Arial" w:hAnsi="Arial"/>
          <w:sz w:val="16"/>
          <w:szCs w:val="16"/>
          <w:color w:val="auto"/>
        </w:rPr>
        <w:t xml:space="preserve"> Subscriber understands the Shares are being offered in a transaction not involving a public offering within the meaning of the Securities Act. Subscriber understands the Shares will be “restricted securities” within the meaning of Rule 144(a)</w:t>
      </w:r>
    </w:p>
    <w:p>
      <w:pPr>
        <w:ind w:firstLine="8"/>
        <w:spacing w:after="0" w:line="268" w:lineRule="auto"/>
        <w:tabs>
          <w:tab w:leader="none" w:pos="25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under the Securities Act, and Subscriber understands that the certificates or book-entries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18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xml:space="preserve"> No governmental, administrative or other third party consents or approvals are required, necessary or appropriate on the part of Subscriber in connection with the transactions contemplated by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ind w:right="240" w:firstLine="324"/>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xml:space="preserve"> To induce the Subscriber to purchase the Shares, the Company hereby represents and warrants to the Subscriber and agrees with the Subscriber as follows:</w:t>
      </w:r>
    </w:p>
    <w:p>
      <w:pPr>
        <w:spacing w:after="0" w:line="17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xml:space="preserve"> The Company is a Delaware corporation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4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Company of the transactions contemplated hereby do not violate, conflict with or constitute a default under (i) the Certificate of Incorporation or By Laws of the Company, (ii) any agreement, indenture or instrument to which the Company is a party or (iii) any law, statute, rule or regulation to which the Company is subject, or any agreement, order, judgment or decree to which the Company is subject.</w:t>
      </w:r>
    </w:p>
    <w:p>
      <w:pPr>
        <w:spacing w:after="0" w:line="18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Title to Securities.</w:t>
      </w:r>
      <w:r>
        <w:rPr>
          <w:rFonts w:ascii="Arial" w:cs="Arial" w:eastAsia="Arial" w:hAnsi="Arial"/>
          <w:sz w:val="16"/>
          <w:szCs w:val="16"/>
          <w:color w:val="auto"/>
        </w:rPr>
        <w:t xml:space="preserve">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(a) transfer restrictions hereunder and other agreements to which the Shares may be subject which have been notified to the Subscriber in writing, (b) transfer restrictions under federal and state securities laws,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 liens, claims or encumbrances imposed due to the actions of the Subscriber.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No Adverse Actions.</w:t>
      </w:r>
      <w:r>
        <w:rPr>
          <w:rFonts w:ascii="Arial" w:cs="Arial" w:eastAsia="Arial" w:hAnsi="Arial"/>
          <w:sz w:val="16"/>
          <w:szCs w:val="16"/>
          <w:color w:val="auto"/>
        </w:rPr>
        <w:t xml:space="preserve"> There are no actions, suits, investigations or proceedings pending, threatened against or affecting the Company which:</w:t>
      </w:r>
    </w:p>
    <w:p>
      <w:pPr>
        <w:spacing w:after="0" w:line="46" w:lineRule="exact"/>
        <w:rPr>
          <w:sz w:val="20"/>
          <w:szCs w:val="20"/>
          <w:color w:val="auto"/>
        </w:rPr>
      </w:pPr>
    </w:p>
    <w:p>
      <w:pPr>
        <w:ind w:right="80" w:firstLine="8"/>
        <w:spacing w:after="0" w:line="260" w:lineRule="auto"/>
        <w:tabs>
          <w:tab w:leader="none" w:pos="2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seek to restrain, enjoin, prevent the consummation of or otherwise affect the transactions contemplated by this Agreement or (ii) question the validity or legality of any transactions or seeks to recover damages or to obtain other relief in connection with any transactions.</w:t>
      </w:r>
    </w:p>
    <w:p>
      <w:pPr>
        <w:spacing w:after="0" w:line="185" w:lineRule="exact"/>
        <w:rPr>
          <w:sz w:val="20"/>
          <w:szCs w:val="20"/>
          <w:color w:val="auto"/>
        </w:rPr>
      </w:pPr>
    </w:p>
    <w:p>
      <w:pPr>
        <w:ind w:left="180" w:hanging="172"/>
        <w:spacing w:after="0"/>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Partial or No Exercise of the Over-allotment Option.</w:t>
      </w:r>
      <w:r>
        <w:rPr>
          <w:rFonts w:ascii="Arial" w:cs="Arial" w:eastAsia="Arial" w:hAnsi="Arial"/>
          <w:sz w:val="18"/>
          <w:szCs w:val="18"/>
          <w:color w:val="auto"/>
        </w:rPr>
        <w:t xml:space="preserve"> In the event the Over-allotment Option granted to the underwriters of the IPO is not exercised in full, the Subscriber acknowledges and agrees that it (or, if applicable, it and any transferees of Shares) shall forfeit any and all rights to such number of Shares (up to an aggregate of 937,500 Shares and pro rata based upon the percentage of the Over-allotment Option exercised) such that immediately following such forfeiture, the Subscriber (and all other initial stockholders prior to the IPO, if any) will own an aggregate number of Shares, not including Shares issuable upon exercise of any warrants or any common stock of the Company purchased by Subscriber in the IPO or in the aftermarket equal to 20% of the issued and outstanding Shares immediately following the IPO.</w:t>
      </w:r>
    </w:p>
    <w:p>
      <w:pPr>
        <w:spacing w:after="0" w:line="19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xml:space="preserve"> If any of the Shares are forfeited in accordance with this Section 3, then after such time the Subscriber (or successor in interest), shall no longer have any rights as a holder of such forfeited Shares, and the Company shall take such action as is appropriate to cancel such forfeited Shares.</w:t>
      </w:r>
    </w:p>
    <w:p>
      <w:pPr>
        <w:spacing w:after="0" w:line="18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Share Certificates.</w:t>
      </w:r>
      <w:r>
        <w:rPr>
          <w:rFonts w:ascii="Arial" w:cs="Arial" w:eastAsia="Arial" w:hAnsi="Arial"/>
          <w:sz w:val="17"/>
          <w:szCs w:val="17"/>
          <w:color w:val="auto"/>
        </w:rPr>
        <w:t xml:space="preserve"> </w:t>
      </w:r>
      <w:r>
        <w:rPr>
          <w:rFonts w:ascii="Arial" w:cs="Arial" w:eastAsia="Arial" w:hAnsi="Arial"/>
          <w:sz w:val="17"/>
          <w:szCs w:val="17"/>
          <w:color w:val="auto"/>
          <w:highlight w:val="white"/>
        </w:rPr>
        <w:t>In the event an adjustment to the Original Certificates, if any, is required pursuant to this Section 3, then the Subscriber shall</w:t>
      </w:r>
      <w:r>
        <w:rPr>
          <w:rFonts w:ascii="Arial" w:cs="Arial" w:eastAsia="Arial" w:hAnsi="Arial"/>
          <w:sz w:val="17"/>
          <w:szCs w:val="17"/>
          <w:color w:val="auto"/>
        </w:rPr>
        <w:t xml:space="preserve"> return such Original Certificates to the Company or its designated agent as soon as practicable upon its receipt of notice from the Company advising Subscriber of such adjustment, following which a new certificate (the “</w:t>
      </w:r>
      <w:r>
        <w:rPr>
          <w:rFonts w:ascii="Arial" w:cs="Arial" w:eastAsia="Arial" w:hAnsi="Arial"/>
          <w:sz w:val="17"/>
          <w:szCs w:val="17"/>
          <w:b w:val="1"/>
          <w:bCs w:val="1"/>
          <w:color w:val="auto"/>
        </w:rPr>
        <w:t>New Certificate</w:t>
      </w:r>
      <w:r>
        <w:rPr>
          <w:rFonts w:ascii="Arial" w:cs="Arial" w:eastAsia="Arial" w:hAnsi="Arial"/>
          <w:sz w:val="17"/>
          <w:szCs w:val="17"/>
          <w:color w:val="auto"/>
        </w:rPr>
        <w:t>”), if any, shall be issued in such amount representing the adjusted number of Shares held by the Subscriber. The New Certificate, if any, shall be returned to the Subscriber as soon as practicable. Any such adjustment for any uncertificated securities held by the Subscriber shall be made in book-entry form.</w:t>
      </w:r>
    </w:p>
    <w:p>
      <w:pPr>
        <w:spacing w:after="0" w:line="176" w:lineRule="exact"/>
        <w:rPr>
          <w:sz w:val="20"/>
          <w:szCs w:val="20"/>
          <w:color w:val="auto"/>
        </w:rPr>
      </w:pPr>
    </w:p>
    <w:p>
      <w:pPr>
        <w:ind w:firstLine="8"/>
        <w:spacing w:after="0" w:line="254" w:lineRule="auto"/>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Waiver of Liquidation Distributions; Redemption Rights.</w:t>
      </w:r>
      <w:r>
        <w:rPr>
          <w:rFonts w:ascii="Arial" w:cs="Arial" w:eastAsia="Arial" w:hAnsi="Arial"/>
          <w:sz w:val="18"/>
          <w:szCs w:val="18"/>
          <w:color w:val="auto"/>
        </w:rPr>
        <w:t xml:space="preserve">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stockholders and into which substantially all of the proceeds of the IPO will be deposited (the “</w:t>
      </w:r>
      <w:r>
        <w:rPr>
          <w:rFonts w:ascii="Arial" w:cs="Arial" w:eastAsia="Arial" w:hAnsi="Arial"/>
          <w:sz w:val="18"/>
          <w:szCs w:val="18"/>
          <w:b w:val="1"/>
          <w:bCs w:val="1"/>
          <w:color w:val="auto"/>
        </w:rPr>
        <w:t>Trust Account</w:t>
      </w:r>
      <w:r>
        <w:rPr>
          <w:rFonts w:ascii="Arial" w:cs="Arial" w:eastAsia="Arial" w:hAnsi="Arial"/>
          <w:sz w:val="18"/>
          <w:szCs w:val="18"/>
          <w:color w:val="auto"/>
        </w:rPr>
        <w:t>”), in the event of a liquidation of the Company upon the Company’s failure to timely complete an initial business combination. For purposes of clarity, in the event the Subscriber purchases Shares in the IPO or in the aftermarket, any additional Shares so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ind w:left="180" w:hanging="172"/>
        <w:spacing w:after="0"/>
        <w:tabs>
          <w:tab w:leader="none" w:pos="1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221"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xml:space="preserve"> In addition to any restrictions to be contained in that certain letter agreement (commonly known as an “</w:t>
      </w:r>
      <w:r>
        <w:rPr>
          <w:rFonts w:ascii="Arial" w:cs="Arial" w:eastAsia="Arial" w:hAnsi="Arial"/>
          <w:sz w:val="16"/>
          <w:szCs w:val="16"/>
          <w:b w:val="1"/>
          <w:bCs w:val="1"/>
          <w:color w:val="auto"/>
        </w:rPr>
        <w:t>Insider</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to be dated as of the closing of the IPO by and between Subscriber and the Company, Subscriber agrees not to sell, transfer, pledge, hypothecate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Lock-up</w:t>
      </w:r>
      <w:r>
        <w:rPr>
          <w:rFonts w:ascii="Arial" w:cs="Arial" w:eastAsia="Arial" w:hAnsi="Arial"/>
          <w:sz w:val="17"/>
          <w:szCs w:val="17"/>
          <w:color w:val="auto"/>
          <w:highlight w:val="white"/>
        </w:rPr>
        <w:t>. Subscriber acknowledges that the Securities will be subject to lock-up provisions (the “</w:t>
      </w:r>
      <w:r>
        <w:rPr>
          <w:rFonts w:ascii="Arial" w:cs="Arial" w:eastAsia="Arial" w:hAnsi="Arial"/>
          <w:sz w:val="17"/>
          <w:szCs w:val="17"/>
          <w:b w:val="1"/>
          <w:bCs w:val="1"/>
          <w:color w:val="auto"/>
          <w:highlight w:val="white"/>
        </w:rPr>
        <w:t>Lock-up</w:t>
      </w:r>
      <w:r>
        <w:rPr>
          <w:rFonts w:ascii="Arial" w:cs="Arial" w:eastAsia="Arial" w:hAnsi="Arial"/>
          <w:sz w:val="17"/>
          <w:szCs w:val="17"/>
          <w:color w:val="auto"/>
          <w:highlight w:val="white"/>
        </w:rPr>
        <w:t>”) contained in the Insider Letter.</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xml:space="preserve"> Any certificates representing the Shares shall have endorsed thereon legends substantially as follows: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SECURITIES REPRESENTED BY THIS CERTIFICATE ARE SUBJECT TO A LOCKUP AND MAY NOT BE OFFERED, SOLD, TRANSFERRED, PLEDGED OR OTHERWISE DISPOSED DURING THE TERM OF THE LOCKUP.”</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xml:space="preserve"> In the event of the declaration of a share dividend, the declaration of an extraordinary dividend payable in a form other 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and/or class of Shares subject to this Section 5 and Section 3.</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Subscriber acknowledges that the Shares are being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184" w:lineRule="exact"/>
        <w:rPr>
          <w:sz w:val="20"/>
          <w:szCs w:val="20"/>
          <w:color w:val="auto"/>
        </w:rPr>
      </w:pPr>
    </w:p>
    <w:p>
      <w:pPr>
        <w:ind w:left="180" w:hanging="172"/>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statements or other documents which are required or contemplated by this Agreement shall be: (i) in writing and 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27" w:name="page228"/>
    <w:bookmarkEnd w:id="227"/>
    <w:p>
      <w:pPr>
        <w:ind w:right="160" w:firstLine="324"/>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together with the Insider Letter and the Registration Rights Agreement, each substantially in the form to be filed as an exhibit to the Registration Statement on Form S-1 associated with the Company’s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6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xml:space="preserve"> The terms and provisions of this Agreement may be modified or amended only by written agreement executed by all parties hereto.</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xml:space="preserve">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rights and obligations under this Agreement may not be assigned by either party hereto without the prior written consent of the other party.</w:t>
      </w:r>
    </w:p>
    <w:p>
      <w:pPr>
        <w:spacing w:after="0" w:line="17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w:t>
      </w:r>
    </w:p>
    <w:p>
      <w:pPr>
        <w:spacing w:after="0" w:line="184"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xml:space="preserve">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xml:space="preserve">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8" w:name="page229"/>
    <w:bookmarkEnd w:id="228"/>
    <w:p>
      <w:pPr>
        <w:ind w:right="120" w:firstLine="324"/>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xml:space="preserve">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xml:space="preserve">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76"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8"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Mutual Drafting.</w:t>
      </w:r>
      <w:r>
        <w:rPr>
          <w:rFonts w:ascii="Arial" w:cs="Arial" w:eastAsia="Arial" w:hAnsi="Arial"/>
          <w:sz w:val="17"/>
          <w:szCs w:val="17"/>
          <w:color w:val="auto"/>
        </w:rPr>
        <w:t xml:space="preserve">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46" w:lineRule="exact"/>
        <w:rPr>
          <w:sz w:val="20"/>
          <w:szCs w:val="20"/>
          <w:color w:val="auto"/>
        </w:rPr>
      </w:pPr>
    </w:p>
    <w:p>
      <w:pPr>
        <w:ind w:firstLine="8"/>
        <w:spacing w:after="0" w:line="259" w:lineRule="auto"/>
        <w:tabs>
          <w:tab w:leader="none" w:pos="225"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Voting and Tender of Shares.</w:t>
      </w:r>
      <w:r>
        <w:rPr>
          <w:rFonts w:ascii="Arial" w:cs="Arial" w:eastAsia="Arial" w:hAnsi="Arial"/>
          <w:sz w:val="18"/>
          <w:szCs w:val="18"/>
          <w:color w:val="auto"/>
        </w:rPr>
        <w:t xml:space="preserve"> Subscriber agrees to vote the Shares in favor of an initial business combination that the Company negotiates and submits for approval to the Company’s stockholders and shall not seek redemption with respect to such Shares. Additionally, the Subscriber agrees not to tender any Shares in connection with a tender offer presented to the Company’s stockholders in connection with an initial business combination negotiated by the Company.</w:t>
      </w:r>
    </w:p>
    <w:p>
      <w:pPr>
        <w:spacing w:after="0" w:line="186" w:lineRule="exact"/>
        <w:rPr>
          <w:rFonts w:ascii="Arial" w:cs="Arial" w:eastAsia="Arial" w:hAnsi="Arial"/>
          <w:sz w:val="18"/>
          <w:szCs w:val="18"/>
          <w:color w:val="auto"/>
        </w:rPr>
      </w:pPr>
    </w:p>
    <w:p>
      <w:pPr>
        <w:ind w:right="40" w:firstLine="8"/>
        <w:spacing w:after="0" w:line="277" w:lineRule="auto"/>
        <w:tabs>
          <w:tab w:leader="none" w:pos="495"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Each party shall indemnify the other against any loss, cost or damages (including reasonable attorney’s fees and expenses) incurred as a result of such party’s breach of any representation, warranty, covenant or agreement in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6"/>
          <w:szCs w:val="16"/>
          <w:color w:val="auto"/>
        </w:rPr>
        <w:t>If the foregoing accurately sets forth our understanding and agreement, please sign the enclosed copy of this Agreement and return it to us.</w:t>
      </w:r>
    </w:p>
    <w:p>
      <w:pPr>
        <w:spacing w:after="0" w:line="200" w:lineRule="exact"/>
        <w:rPr>
          <w:sz w:val="20"/>
          <w:szCs w:val="20"/>
          <w:color w:val="auto"/>
        </w:rPr>
      </w:pP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BURTECH LP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Roman Livson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Subscription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8" w:right="9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consent to the inclusion in this Registration Statement of BurTech Acquisition Corp. (the “Company”) on Form S-1 of our report dated August 18, 2021, which includes an explanatory paragraph as to the Company’s ability to continue as a going concern, with respect to our audit of the financial statements of BurTech Acquisition Corp. as of May 21, 2021 and for the period from March 2, 2021 (inception) through May 21, 2021,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Hans Hertell</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Amb Hans Hertell</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Peter Plaut</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Peter Plaut</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Penrod</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Michael Penrod</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Leon Golden</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Leon Golden</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2"/>
          <w:szCs w:val="22"/>
          <w:b w:val="1"/>
          <w:bCs w:val="1"/>
          <w:color w:val="auto"/>
        </w:rPr>
        <w:t>Exhibit 99.7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Gene Zolotarev</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Gene Zolotarev</w:t>
            </w:r>
          </w:p>
        </w:tc>
      </w:tr>
      <w:tr>
        <w:trPr>
          <w:trHeight w:val="66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1)"/>
      <w:numFmt w:val="decimal"/>
      <w:start w:val="1"/>
    </w:lvl>
  </w:abstractNum>
  <w:abstractNum w:abstractNumId="1">
    <w:nsid w:val="6590700B"/>
    <w:multiLevelType w:val="hybridMultilevel"/>
    <w:lvl w:ilvl="0">
      <w:lvlJc w:val="left"/>
      <w:lvlText w:val="(%1)"/>
      <w:numFmt w:val="decimal"/>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1)"/>
      <w:numFmt w:val="lowerRoman"/>
      <w:start w:val="2"/>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1)"/>
      <w:numFmt w:val="decimal"/>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1)"/>
      <w:numFmt w:val="lowerRoman"/>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1)"/>
      <w:numFmt w:val="lowerRoman"/>
      <w:start w:val="2"/>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1)"/>
      <w:numFmt w:val="decimal"/>
      <w:start w:val="1"/>
    </w:lvl>
  </w:abstractNum>
  <w:abstractNum w:abstractNumId="18">
    <w:nsid w:val="42963E5A"/>
    <w:multiLevelType w:val="hybridMultilevel"/>
    <w:lvl w:ilvl="0">
      <w:lvlJc w:val="left"/>
      <w:lvlText w:val="(%1)"/>
      <w:numFmt w:val="lowerRoman"/>
      <w:start w:val="2"/>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1)"/>
      <w:numFmt w:val="lowerRoman"/>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1)"/>
      <w:numFmt w:val="lowerRoman"/>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1)"/>
      <w:numFmt w:val="lowerRoman"/>
      <w:start w:val="2"/>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1)"/>
      <w:numFmt w:val="decimal"/>
      <w:start w:val="3"/>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1)"/>
      <w:numFmt w:val="lowerRoman"/>
      <w:start w:val="2"/>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1)"/>
      <w:numFmt w:val="lowerRoman"/>
      <w:start w:val="2"/>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1)"/>
      <w:numFmt w:val="lowerRoman"/>
      <w:start w:val="2"/>
    </w:lvl>
  </w:abstractNum>
  <w:abstractNum w:abstractNumId="52">
    <w:nsid w:val="26F324BA"/>
    <w:multiLevelType w:val="hybridMultilevel"/>
    <w:lvl w:ilvl="0">
      <w:lvlJc w:val="left"/>
      <w:lvlText w:val="(%1)"/>
      <w:numFmt w:val="lowerRoman"/>
      <w:start w:val="1"/>
    </w:lvl>
  </w:abstractNum>
  <w:abstractNum w:abstractNumId="53">
    <w:nsid w:val="7F01579B"/>
    <w:multiLevelType w:val="hybridMultilevel"/>
    <w:lvl w:ilvl="0">
      <w:lvlJc w:val="left"/>
      <w:lvlText w:val="(%1)"/>
      <w:numFmt w:val="decimal"/>
      <w:start w:val="2"/>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1)"/>
      <w:numFmt w:val="lowerRoman"/>
      <w:start w:val="3"/>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emdash "/>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1)"/>
      <w:numFmt w:val="upperLetter"/>
      <w:start w:val="3"/>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1)"/>
      <w:numFmt w:val="decimal"/>
      <w:start w:val="1"/>
    </w:lvl>
  </w:abstractNum>
  <w:abstractNum w:abstractNumId="80">
    <w:nsid w:val="2A155DBC"/>
    <w:multiLevelType w:val="hybridMultilevel"/>
    <w:lvl w:ilvl="0">
      <w:lvlJc w:val="left"/>
      <w:lvlText w:val="(%1)"/>
      <w:numFmt w:val="lowerRoman"/>
      <w:start w:val="2"/>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
      <w:numFmt w:val="bullet"/>
      <w:start w:val="1"/>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1)"/>
      <w:numFmt w:val="lowerLetter"/>
      <w:start w:val="1"/>
    </w:lvl>
  </w:abstractNum>
  <w:abstractNum w:abstractNumId="87">
    <w:nsid w:val="7C58FD05"/>
    <w:multiLevelType w:val="hybridMultilevel"/>
    <w:lvl w:ilvl="0">
      <w:lvlJc w:val="left"/>
      <w:lvlText w:val="(%1)"/>
      <w:numFmt w:val="lowerLetter"/>
      <w:start w:val="1"/>
    </w:lvl>
  </w:abstractNum>
  <w:abstractNum w:abstractNumId="88">
    <w:nsid w:val="23D86AAC"/>
    <w:multiLevelType w:val="hybridMultilevel"/>
    <w:lvl w:ilvl="0">
      <w:lvlJc w:val="left"/>
      <w:lvlText w:val="\endash "/>
      <w:numFmt w:val="bullet"/>
      <w:start w:val="1"/>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
      <w:numFmt w:val="bullet"/>
      <w:start w:val="1"/>
    </w:lvl>
  </w:abstractNum>
  <w:abstractNum w:abstractNumId="91">
    <w:nsid w:val="E7FFA2B"/>
    <w:multiLevelType w:val="hybridMultilevel"/>
    <w:lvl w:ilvl="0">
      <w:lvlJc w:val="left"/>
      <w:lvlText w:val="$"/>
      <w:numFmt w:val="bullet"/>
      <w:start w:val="1"/>
    </w:lvl>
  </w:abstractNum>
  <w:abstractNum w:abstractNumId="92">
    <w:nsid w:val="3C5991AA"/>
    <w:multiLevelType w:val="hybridMultilevel"/>
    <w:lvl w:ilvl="0">
      <w:lvlJc w:val="left"/>
      <w:lvlText w:val="$"/>
      <w:numFmt w:val="bullet"/>
      <w:start w:val="1"/>
    </w:lvl>
  </w:abstractNum>
  <w:abstractNum w:abstractNumId="93">
    <w:nsid w:val="4BD8591A"/>
    <w:multiLevelType w:val="hybridMultilevel"/>
    <w:lvl w:ilvl="0">
      <w:lvlJc w:val="left"/>
      <w:lvlText w:val="(%1)"/>
      <w:numFmt w:val="decimal"/>
      <w:start w:val="1"/>
    </w:lvl>
  </w:abstractNum>
  <w:abstractNum w:abstractNumId="94">
    <w:nsid w:val="78DF6A55"/>
    <w:multiLevelType w:val="hybridMultilevel"/>
    <w:lvl w:ilvl="0">
      <w:lvlJc w:val="left"/>
      <w:lvlText w:val="(%1)"/>
      <w:numFmt w:val="decimal"/>
      <w:start w:val="1"/>
    </w:lvl>
  </w:abstractNum>
  <w:abstractNum w:abstractNumId="95">
    <w:nsid w:val="39B7AAA2"/>
    <w:multiLevelType w:val="hybridMultilevel"/>
    <w:lvl w:ilvl="0">
      <w:lvlJc w:val="left"/>
      <w:lvlText w:val="(%1)"/>
      <w:numFmt w:val="decimal"/>
      <w:start w:val="1"/>
    </w:lvl>
  </w:abstractNum>
  <w:abstractNum w:abstractNumId="96">
    <w:nsid w:val="2B0D8DBE"/>
    <w:multiLevelType w:val="hybridMultilevel"/>
    <w:lvl w:ilvl="0">
      <w:lvlJc w:val="left"/>
      <w:lvlText w:val="l"/>
      <w:numFmt w:val="bullet"/>
      <w:start w:val="1"/>
    </w:lvl>
  </w:abstractNum>
  <w:abstractNum w:abstractNumId="97">
    <w:nsid w:val="6C80EC70"/>
    <w:multiLevelType w:val="hybridMultilevel"/>
    <w:lvl w:ilvl="0">
      <w:lvlJc w:val="left"/>
      <w:lvlText w:val="l"/>
      <w:numFmt w:val="bullet"/>
      <w:start w:val="1"/>
    </w:lvl>
  </w:abstractNum>
  <w:abstractNum w:abstractNumId="98">
    <w:nsid w:val="379E21B5"/>
    <w:multiLevelType w:val="hybridMultilevel"/>
    <w:lvl w:ilvl="0">
      <w:lvlJc w:val="left"/>
      <w:lvlText w:val="(%1)"/>
      <w:numFmt w:val="lowerRoman"/>
      <w:start w:val="2"/>
    </w:lvl>
  </w:abstractNum>
  <w:abstractNum w:abstractNumId="99">
    <w:nsid w:val="69E373"/>
    <w:multiLevelType w:val="hybridMultilevel"/>
    <w:lvl w:ilvl="0">
      <w:lvlJc w:val="left"/>
      <w:lvlText w:val="l"/>
      <w:numFmt w:val="bullet"/>
      <w:start w:val="1"/>
    </w:lvl>
  </w:abstractNum>
  <w:abstractNum w:abstractNumId="100">
    <w:nsid w:val="2C27173B"/>
    <w:multiLevelType w:val="hybridMultilevel"/>
    <w:lvl w:ilvl="0">
      <w:lvlJc w:val="left"/>
      <w:lvlText w:val="(%1)"/>
      <w:numFmt w:val="decimal"/>
      <w:start w:val="1"/>
    </w:lvl>
  </w:abstractNum>
  <w:abstractNum w:abstractNumId="101">
    <w:nsid w:val="4C9B0904"/>
    <w:multiLevelType w:val="hybridMultilevel"/>
    <w:lvl w:ilvl="0">
      <w:lvlJc w:val="left"/>
      <w:lvlText w:val="(%1)"/>
      <w:numFmt w:val="lowerLetter"/>
      <w:start w:val="1"/>
    </w:lvl>
  </w:abstractNum>
  <w:abstractNum w:abstractNumId="102">
    <w:nsid w:val="6AA7B75C"/>
    <w:multiLevelType w:val="hybridMultilevel"/>
    <w:lvl w:ilvl="0">
      <w:lvlJc w:val="left"/>
      <w:lvlText w:val="(%1)"/>
      <w:numFmt w:val="lowerLetter"/>
      <w:start w:val="3"/>
    </w:lvl>
  </w:abstractNum>
  <w:abstractNum w:abstractNumId="103">
    <w:nsid w:val="1DF029D3"/>
    <w:multiLevelType w:val="hybridMultilevel"/>
    <w:lvl w:ilvl="0">
      <w:lvlJc w:val="left"/>
      <w:lvlText w:val="(%1)"/>
      <w:numFmt w:val="lowerLetter"/>
      <w:start w:val="9"/>
    </w:lvl>
  </w:abstractNum>
  <w:abstractNum w:abstractNumId="104">
    <w:nsid w:val="5675FF36"/>
    <w:multiLevelType w:val="hybridMultilevel"/>
    <w:lvl w:ilvl="0">
      <w:lvlJc w:val="left"/>
      <w:lvlText w:val="(%1)"/>
      <w:numFmt w:val="lowerLetter"/>
      <w:start w:val="1"/>
    </w:lvl>
  </w:abstractNum>
  <w:abstractNum w:abstractNumId="105">
    <w:nsid w:val="3DD15094"/>
    <w:multiLevelType w:val="hybridMultilevel"/>
    <w:lvl w:ilvl="0">
      <w:lvlJc w:val="left"/>
      <w:lvlText w:val="(%1)"/>
      <w:numFmt w:val="lowerLetter"/>
      <w:start w:val="1"/>
    </w:lvl>
  </w:abstractNum>
  <w:abstractNum w:abstractNumId="106">
    <w:nsid w:val="3DB012B3"/>
    <w:multiLevelType w:val="hybridMultilevel"/>
    <w:lvl w:ilvl="0">
      <w:lvlJc w:val="left"/>
      <w:lvlText w:val="(%1)"/>
      <w:numFmt w:val="lowerLetter"/>
      <w:start w:val="2"/>
    </w:lvl>
    <w:lvl w:ilvl="1">
      <w:lvlJc w:val="left"/>
      <w:lvlText w:val="(%2)"/>
      <w:numFmt w:val="decimal"/>
      <w:start w:val="1"/>
    </w:lvl>
  </w:abstractNum>
  <w:abstractNum w:abstractNumId="107">
    <w:nsid w:val="2708C9AF"/>
    <w:multiLevelType w:val="hybridMultilevel"/>
    <w:lvl w:ilvl="0">
      <w:lvlJc w:val="left"/>
      <w:lvlText w:val="(%1)"/>
      <w:numFmt w:val="lowerRoman"/>
      <w:start w:val="1"/>
    </w:lvl>
  </w:abstractNum>
  <w:abstractNum w:abstractNumId="108">
    <w:nsid w:val="5B25ACE2"/>
    <w:multiLevelType w:val="hybridMultilevel"/>
    <w:lvl w:ilvl="0">
      <w:lvlJc w:val="left"/>
      <w:lvlText w:val="*"/>
      <w:numFmt w:val="bullet"/>
      <w:start w:val="1"/>
    </w:lvl>
  </w:abstractNum>
  <w:abstractNum w:abstractNumId="109">
    <w:nsid w:val="175DFCF0"/>
    <w:multiLevelType w:val="hybridMultilevel"/>
    <w:lvl w:ilvl="0">
      <w:lvlJc w:val="left"/>
      <w:lvlText w:val="%1."/>
      <w:numFmt w:val="decimal"/>
      <w:start w:val="1"/>
    </w:lvl>
  </w:abstractNum>
  <w:abstractNum w:abstractNumId="110">
    <w:nsid w:val="4F97E3E4"/>
    <w:multiLevelType w:val="hybridMultilevel"/>
    <w:lvl w:ilvl="0">
      <w:lvlJc w:val="left"/>
      <w:lvlText w:val="%1."/>
      <w:numFmt w:val="decimal"/>
      <w:start w:val="1"/>
    </w:lvl>
  </w:abstractNum>
  <w:abstractNum w:abstractNumId="111">
    <w:nsid w:val="53B0A9E"/>
    <w:multiLevelType w:val="hybridMultilevel"/>
    <w:lvl w:ilvl="0">
      <w:lvlJc w:val="left"/>
      <w:lvlText w:val="(%1)"/>
      <w:numFmt w:val="lowerRoman"/>
      <w:start w:val="1"/>
    </w:lvl>
  </w:abstractNum>
  <w:abstractNum w:abstractNumId="112">
    <w:nsid w:val="34FD6B4F"/>
    <w:multiLevelType w:val="hybridMultilevel"/>
    <w:lvl w:ilvl="0">
      <w:lvlJc w:val="left"/>
      <w:lvlText w:val="(%1)"/>
      <w:numFmt w:val="lowerLetter"/>
      <w:start w:val="1"/>
    </w:lvl>
    <w:lvl w:ilvl="1">
      <w:lvlJc w:val="left"/>
      <w:lvlText w:val="(%2)"/>
      <w:numFmt w:val="lowerRoman"/>
      <w:start w:val="1"/>
    </w:lvl>
  </w:abstractNum>
  <w:abstractNum w:abstractNumId="113">
    <w:nsid w:val="5915FF32"/>
    <w:multiLevelType w:val="hybridMultilevel"/>
    <w:lvl w:ilvl="0">
      <w:lvlJc w:val="left"/>
      <w:lvlText w:val="(%1)"/>
      <w:numFmt w:val="lowerRoman"/>
      <w:start w:val="2"/>
    </w:lvl>
  </w:abstractNum>
  <w:abstractNum w:abstractNumId="114">
    <w:nsid w:val="56438D15"/>
    <w:multiLevelType w:val="hybridMultilevel"/>
    <w:lvl w:ilvl="0">
      <w:lvlJc w:val="left"/>
      <w:lvlText w:val="●"/>
      <w:numFmt w:val="bullet"/>
      <w:start w:val="1"/>
    </w:lvl>
  </w:abstractNum>
  <w:abstractNum w:abstractNumId="115">
    <w:nsid w:val="519E3149"/>
    <w:multiLevelType w:val="hybridMultilevel"/>
    <w:lvl w:ilvl="0">
      <w:lvlJc w:val="left"/>
      <w:lvlText w:val="●"/>
      <w:numFmt w:val="bullet"/>
      <w:start w:val="1"/>
    </w:lvl>
  </w:abstractNum>
  <w:abstractNum w:abstractNumId="116">
    <w:nsid w:val="2C6E4AFD"/>
    <w:multiLevelType w:val="hybridMultilevel"/>
    <w:lvl w:ilvl="0">
      <w:lvlJc w:val="left"/>
      <w:lvlText w:val="(%1)"/>
      <w:numFmt w:val="lowerRoman"/>
      <w:start w:val="3"/>
    </w:lvl>
  </w:abstractNum>
  <w:abstractNum w:abstractNumId="117">
    <w:nsid w:val="17A1B582"/>
    <w:multiLevelType w:val="hybridMultilevel"/>
    <w:lvl w:ilvl="0">
      <w:lvlJc w:val="left"/>
      <w:lvlText w:val="(%1)"/>
      <w:numFmt w:val="lowerLetter"/>
      <w:start w:val="3"/>
    </w:lvl>
  </w:abstractNum>
  <w:abstractNum w:abstractNumId="118">
    <w:nsid w:val="4DF72E4E"/>
    <w:multiLevelType w:val="hybridMultilevel"/>
    <w:lvl w:ilvl="0">
      <w:lvlJc w:val="left"/>
      <w:lvlText w:val="(%1)"/>
      <w:numFmt w:val="lowerRoman"/>
      <w:start w:val="3"/>
    </w:lvl>
  </w:abstractNum>
  <w:abstractNum w:abstractNumId="119">
    <w:nsid w:val="5046B5A9"/>
    <w:multiLevelType w:val="hybridMultilevel"/>
    <w:lvl w:ilvl="0">
      <w:lvlJc w:val="left"/>
      <w:lvlText w:val="(%1)"/>
      <w:numFmt w:val="lowerLetter"/>
      <w:start w:val="2"/>
    </w:lvl>
  </w:abstractNum>
  <w:abstractNum w:abstractNumId="120">
    <w:nsid w:val="5D888A08"/>
    <w:multiLevelType w:val="hybridMultilevel"/>
    <w:lvl w:ilvl="0">
      <w:lvlJc w:val="left"/>
      <w:lvlText w:val="(%1)"/>
      <w:numFmt w:val="lowerLetter"/>
      <w:start w:val="6"/>
    </w:lvl>
  </w:abstractNum>
  <w:abstractNum w:abstractNumId="121">
    <w:nsid w:val="2A082C70"/>
    <w:multiLevelType w:val="hybridMultilevel"/>
    <w:lvl w:ilvl="0">
      <w:lvlJc w:val="left"/>
      <w:lvlText w:val="%1."/>
      <w:numFmt w:val="decimal"/>
      <w:start w:val="1"/>
    </w:lvl>
    <w:lvl w:ilvl="1">
      <w:lvlJc w:val="left"/>
      <w:lvlText w:val="(%2)"/>
      <w:numFmt w:val="lowerLetter"/>
      <w:start w:val="1"/>
    </w:lvl>
  </w:abstractNum>
  <w:abstractNum w:abstractNumId="122">
    <w:nsid w:val="5EC6AFD4"/>
    <w:multiLevelType w:val="hybridMultilevel"/>
    <w:lvl w:ilvl="0">
      <w:lvlJc w:val="left"/>
      <w:lvlText w:val="%1"/>
      <w:numFmt w:val="decimal"/>
      <w:start w:val="1"/>
    </w:lvl>
    <w:lvl w:ilvl="1">
      <w:lvlJc w:val="left"/>
      <w:lvlText w:val="(%2)"/>
      <w:numFmt w:val="lowerLetter"/>
      <w:start w:val="3"/>
    </w:lvl>
  </w:abstractNum>
  <w:abstractNum w:abstractNumId="123">
    <w:nsid w:val="19E21BB2"/>
    <w:multiLevelType w:val="hybridMultilevel"/>
    <w:lvl w:ilvl="0">
      <w:lvlJc w:val="left"/>
      <w:lvlText w:val="%1."/>
      <w:numFmt w:val="decimal"/>
      <w:start w:val="6"/>
    </w:lvl>
    <w:lvl w:ilvl="1">
      <w:lvlJc w:val="left"/>
      <w:lvlText w:val="(%2)"/>
      <w:numFmt w:val="lowerLetter"/>
      <w:start w:val="1"/>
    </w:lvl>
  </w:abstractNum>
  <w:abstractNum w:abstractNumId="124">
    <w:nsid w:val="75E0858A"/>
    <w:multiLevelType w:val="hybridMultilevel"/>
    <w:lvl w:ilvl="0">
      <w:lvlJc w:val="left"/>
      <w:lvlText w:val="(%1)"/>
      <w:numFmt w:val="lowerRoman"/>
      <w:start w:val="1"/>
    </w:lvl>
  </w:abstractNum>
  <w:abstractNum w:abstractNumId="125">
    <w:nsid w:val="57A61A29"/>
    <w:multiLevelType w:val="hybridMultilevel"/>
    <w:lvl w:ilvl="0">
      <w:lvlJc w:val="left"/>
      <w:lvlText w:val="%1."/>
      <w:numFmt w:val="decimal"/>
      <w:start w:val="10"/>
    </w:lvl>
  </w:abstractNum>
  <w:abstractNum w:abstractNumId="126">
    <w:nsid w:val="5399C654"/>
    <w:multiLevelType w:val="hybridMultilevel"/>
    <w:lvl w:ilvl="0">
      <w:lvlJc w:val="left"/>
      <w:lvlText w:val="%1."/>
      <w:numFmt w:val="decimal"/>
      <w:start w:val="12"/>
    </w:lvl>
  </w:abstractNum>
  <w:abstractNum w:abstractNumId="127">
    <w:nsid w:val="20EE1348"/>
    <w:multiLevelType w:val="hybridMultilevel"/>
    <w:lvl w:ilvl="0">
      <w:lvlJc w:val="left"/>
      <w:lvlText w:val="%1."/>
      <w:numFmt w:val="decimal"/>
      <w:start w:val="1"/>
    </w:lvl>
  </w:abstractNum>
  <w:abstractNum w:abstractNumId="128">
    <w:nsid w:val="4427069A"/>
    <w:multiLevelType w:val="hybridMultilevel"/>
    <w:lvl w:ilvl="0">
      <w:lvlJc w:val="left"/>
      <w:lvlText w:val="%1."/>
      <w:numFmt w:val="decimal"/>
      <w:start w:val="2"/>
    </w:lvl>
  </w:abstractNum>
  <w:abstractNum w:abstractNumId="129">
    <w:nsid w:val="B37E80A"/>
    <w:multiLevelType w:val="hybridMultilevel"/>
    <w:lvl w:ilvl="0">
      <w:lvlJc w:val="left"/>
      <w:lvlText w:val="(%1)"/>
      <w:numFmt w:val="decimal"/>
      <w:start w:val="3"/>
    </w:lvl>
  </w:abstractNum>
  <w:abstractNum w:abstractNumId="130">
    <w:nsid w:val="2157F6BC"/>
    <w:multiLevelType w:val="hybridMultilevel"/>
    <w:lvl w:ilvl="0">
      <w:lvlJc w:val="left"/>
      <w:lvlText w:val="(%1)"/>
      <w:numFmt w:val="lowerRoman"/>
      <w:start w:val="1"/>
    </w:lvl>
  </w:abstractNum>
  <w:abstractNum w:abstractNumId="131">
    <w:nsid w:val="704E1DD5"/>
    <w:multiLevelType w:val="hybridMultilevel"/>
    <w:lvl w:ilvl="0">
      <w:lvlJc w:val="left"/>
      <w:lvlText w:val="%1."/>
      <w:numFmt w:val="decimal"/>
      <w:start w:val="3"/>
    </w:lvl>
  </w:abstractNum>
  <w:abstractNum w:abstractNumId="132">
    <w:nsid w:val="57D2F10E"/>
    <w:multiLevelType w:val="hybridMultilevel"/>
    <w:lvl w:ilvl="0">
      <w:lvlJc w:val="left"/>
      <w:lvlText w:val="%1."/>
      <w:numFmt w:val="decimal"/>
      <w:start w:val="4"/>
    </w:lvl>
  </w:abstractNum>
  <w:abstractNum w:abstractNumId="133">
    <w:nsid w:val="BFFAE18"/>
    <w:multiLevelType w:val="hybridMultilevel"/>
    <w:lvl w:ilvl="0">
      <w:lvlJc w:val="left"/>
      <w:lvlText w:val="%1."/>
      <w:numFmt w:val="decimal"/>
      <w:start w:val="5"/>
    </w:lvl>
  </w:abstractNum>
  <w:abstractNum w:abstractNumId="134">
    <w:nsid w:val="E3E47A8"/>
    <w:multiLevelType w:val="hybridMultilevel"/>
    <w:lvl w:ilvl="0">
      <w:lvlJc w:val="left"/>
      <w:lvlText w:val="%1."/>
      <w:numFmt w:val="decimal"/>
      <w:start w:val="6"/>
    </w:lvl>
  </w:abstractNum>
  <w:abstractNum w:abstractNumId="135">
    <w:nsid w:val="2E48F04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2021-08-19T05:16:34Z</dcterms:created>
  <dcterms:modified xsi:type="dcterms:W3CDTF">2021-08-19T05:16:34Z</dcterms:modified>
</cp:coreProperties>
</file>