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BurTech Acquisition Corp. pursuant to</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425 under the Securities Act of 1933, as amended,</w:t>
      </w:r>
    </w:p>
    <w:p>
      <w:pPr>
        <w:spacing w:after="0" w:line="9"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and deemed filed pursuant to Rule 14a-12 under</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BurTech Acquisition Corp.</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001-41139</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101A"/>
        </w:rPr>
        <w:t>The following contains communications Blaize, Inc. (“</w:t>
      </w:r>
      <w:r>
        <w:rPr>
          <w:rFonts w:ascii="Times New Roman" w:cs="Times New Roman" w:eastAsia="Times New Roman" w:hAnsi="Times New Roman"/>
          <w:sz w:val="18"/>
          <w:szCs w:val="18"/>
          <w:u w:val="single" w:color="auto"/>
          <w:color w:val="0E101A"/>
        </w:rPr>
        <w:t>Blaize</w:t>
      </w:r>
      <w:r>
        <w:rPr>
          <w:rFonts w:ascii="Times New Roman" w:cs="Times New Roman" w:eastAsia="Times New Roman" w:hAnsi="Times New Roman"/>
          <w:sz w:val="18"/>
          <w:szCs w:val="18"/>
          <w:color w:val="0E101A"/>
        </w:rPr>
        <w:t>”) made to its employees via email on December 22,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What is a SPAC, and why are we doing a SPAC?</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E101A"/>
        </w:rPr>
        <w:t>A special purpose acquisition company (SPAC) is a company with no commercial operations formed strictly to raise capital thr</w:t>
      </w:r>
      <w:r>
        <w:rPr>
          <w:rFonts w:ascii="Times New Roman" w:cs="Times New Roman" w:eastAsia="Times New Roman" w:hAnsi="Times New Roman"/>
          <w:sz w:val="18"/>
          <w:szCs w:val="18"/>
          <w:color w:val="000000"/>
        </w:rPr>
        <w:t>ough an</w:t>
      </w:r>
      <w:r>
        <w:rPr>
          <w:rFonts w:ascii="Times New Roman" w:cs="Times New Roman" w:eastAsia="Times New Roman" w:hAnsi="Times New Roman"/>
          <w:sz w:val="18"/>
          <w:szCs w:val="18"/>
          <w:color w:val="0E101A"/>
        </w:rPr>
        <w:t xml:space="preserve"> </w:t>
      </w:r>
      <w:r>
        <w:rPr>
          <w:rFonts w:ascii="Times New Roman" w:cs="Times New Roman" w:eastAsia="Times New Roman" w:hAnsi="Times New Roman"/>
          <w:sz w:val="18"/>
          <w:szCs w:val="18"/>
          <w:u w:val="single" w:color="auto"/>
          <w:color w:val="000000"/>
        </w:rPr>
        <w:t>initial public</w:t>
      </w:r>
      <w:r>
        <w:rPr>
          <w:rFonts w:ascii="Times New Roman" w:cs="Times New Roman" w:eastAsia="Times New Roman" w:hAnsi="Times New Roman"/>
          <w:sz w:val="18"/>
          <w:szCs w:val="18"/>
          <w:color w:val="0E101A"/>
        </w:rPr>
        <w:t xml:space="preserve"> </w:t>
      </w:r>
      <w:r>
        <w:rPr>
          <w:rFonts w:ascii="Times New Roman" w:cs="Times New Roman" w:eastAsia="Times New Roman" w:hAnsi="Times New Roman"/>
          <w:sz w:val="18"/>
          <w:szCs w:val="18"/>
          <w:u w:val="single" w:color="auto"/>
          <w:color w:val="000000"/>
        </w:rPr>
        <w:t>offering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IPO</w:t>
      </w:r>
      <w:r>
        <w:rPr>
          <w:rFonts w:ascii="Times New Roman" w:cs="Times New Roman" w:eastAsia="Times New Roman" w:hAnsi="Times New Roman"/>
          <w:sz w:val="18"/>
          <w:szCs w:val="18"/>
          <w:color w:val="000000"/>
        </w:rPr>
        <w:t>) to combine with an ex</w:t>
      </w:r>
      <w:r>
        <w:rPr>
          <w:rFonts w:ascii="Times New Roman" w:cs="Times New Roman" w:eastAsia="Times New Roman" w:hAnsi="Times New Roman"/>
          <w:sz w:val="18"/>
          <w:szCs w:val="18"/>
          <w:color w:val="0E101A"/>
        </w:rPr>
        <w:t>isting company -- in our case, BurTech Acquisition Corp. (NASDAQ: BRKH) (“BurTech”) is the publicly traded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E101A"/>
        </w:rPr>
        <w:t>SPAC that is combining with Blaize for us to reach the public markets.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E101A"/>
        </w:rPr>
        <w:t>By merging with BurTech, we will be better able to continue to grow our business rapidly. We believe working with a SPAC as a vehicle to enter the public markets is a streamlined and efficient way to build upon the story of Blaize’s success, brand power, and ongoing potential as we work to ncrease investment in our proprietary full-stack edge AI solutions to grow both our existing and new markets.</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Can I tell others about this news?</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121"/>
        </w:rPr>
        <w:t>We’re glad you’re excited and enthusiastic about this news - it’s a big moment for Blaize! That said, there are a lot of eyes on our company at the moment and there’s a lot we just can’t share as widely as we’d like.</w:t>
      </w:r>
    </w:p>
    <w:p>
      <w:pPr>
        <w:spacing w:after="0" w:line="16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121"/>
        </w:rPr>
        <w:t xml:space="preserve">You can confirm to others, including a prospect or a customer, that our intent to has been announced by the company, but we ask that you refrain from talking about the news further in person or on your social media. If anyone asks any additional questions, direct them to </w:t>
      </w:r>
      <w:r>
        <w:rPr>
          <w:rFonts w:ascii="Times New Roman" w:cs="Times New Roman" w:eastAsia="Times New Roman" w:hAnsi="Times New Roman"/>
          <w:sz w:val="18"/>
          <w:szCs w:val="18"/>
          <w:u w:val="single" w:color="auto"/>
          <w:color w:val="000000"/>
        </w:rPr>
        <w:t>IR@blaize.com</w:t>
      </w:r>
      <w:r>
        <w:rPr>
          <w:rFonts w:ascii="Times New Roman" w:cs="Times New Roman" w:eastAsia="Times New Roman" w:hAnsi="Times New Roman"/>
          <w:sz w:val="18"/>
          <w:szCs w:val="18"/>
          <w:color w:val="212121"/>
        </w:rPr>
        <w:t>. As always, anything said in internal discussions or emails (including this one), and any developments with our business, should be kept strictly confidential unless and until we make the announcement as a company. As we transition to being a public company, this will be of even greater importance, both for you individually and for us as company. We will follow up with more training on this in the weeks to come.</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If I get a call or meet someone from the media that knows that I work at Blaize and they ask about the merger, what should I tell them?</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121"/>
        </w:rPr>
        <w:t>You should have no conversations with the media. Please direct all media inquirie</w:t>
      </w:r>
      <w:r>
        <w:rPr>
          <w:rFonts w:ascii="Times New Roman" w:cs="Times New Roman" w:eastAsia="Times New Roman" w:hAnsi="Times New Roman"/>
          <w:sz w:val="18"/>
          <w:szCs w:val="18"/>
          <w:color w:val="000000"/>
        </w:rPr>
        <w:t>s to</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u w:val="single" w:color="auto"/>
          <w:color w:val="000000"/>
        </w:rPr>
        <w:t>info@blaize.com</w:t>
      </w:r>
      <w:r>
        <w:rPr>
          <w:rFonts w:ascii="Times New Roman" w:cs="Times New Roman" w:eastAsia="Times New Roman" w:hAnsi="Times New Roman"/>
          <w:sz w:val="18"/>
          <w:szCs w:val="18"/>
          <w:color w:val="000000"/>
        </w:rPr>
        <w:t>, whi</w:t>
      </w:r>
      <w:r>
        <w:rPr>
          <w:rFonts w:ascii="Times New Roman" w:cs="Times New Roman" w:eastAsia="Times New Roman" w:hAnsi="Times New Roman"/>
          <w:sz w:val="18"/>
          <w:szCs w:val="18"/>
          <w:color w:val="212121"/>
        </w:rPr>
        <w:t>ch is our current policy. Any other response from you could jeopardize yourself and Blaize with the SEC.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Are we going public? Why now?</w:t>
      </w:r>
    </w:p>
    <w:p>
      <w:pPr>
        <w:spacing w:after="0" w:line="229"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12121"/>
        </w:rPr>
        <w:t>Announcing the merger is a major step towards going public. We have reached a scale and business that has created significant value and one that we believe will be very attractive to public investors once the transaction has closed.</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When specifically will we merge?</w:t>
      </w:r>
    </w:p>
    <w:p>
      <w:pPr>
        <w:spacing w:after="0" w:line="229" w:lineRule="exact"/>
        <w:rPr>
          <w:sz w:val="24"/>
          <w:szCs w:val="24"/>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212121"/>
        </w:rPr>
        <w:t>Though we can’t provide you with a specific date, we expect that the transaction will close and Blaize will be a publicly traded company in the second quarter of 2024, and we will keep you apprised as things develop. Closing of the transaction is subject to approval by BurTech’s and Blaize’s stockholders and the satisfaction of other customary closing conditions.</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What does this mean for me?</w:t>
      </w:r>
    </w:p>
    <w:p>
      <w:pPr>
        <w:spacing w:after="0" w:line="229" w:lineRule="exact"/>
        <w:rPr>
          <w:sz w:val="24"/>
          <w:szCs w:val="24"/>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212121"/>
        </w:rPr>
        <w:t>This doesn’t change your job. Now more than ever it’s critically important that everyone remain focused on delivering the superior products and platform Blaize has always been committed to.</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What are the rules?</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121"/>
        </w:rPr>
        <w:t>We have to be careful what we say and don’t say about our Company and products.</w:t>
      </w:r>
    </w:p>
    <w:p>
      <w:pPr>
        <w:spacing w:after="0" w:line="225" w:lineRule="exact"/>
        <w:rPr>
          <w:sz w:val="24"/>
          <w:szCs w:val="24"/>
          <w:color w:val="auto"/>
        </w:rPr>
      </w:pPr>
    </w:p>
    <w:p>
      <w:pPr>
        <w:jc w:val="both"/>
        <w:ind w:left="40" w:right="120"/>
        <w:spacing w:after="0" w:line="266" w:lineRule="auto"/>
        <w:rPr>
          <w:sz w:val="20"/>
          <w:szCs w:val="20"/>
          <w:color w:val="auto"/>
        </w:rPr>
      </w:pPr>
      <w:r>
        <w:rPr>
          <w:rFonts w:ascii="Times New Roman" w:cs="Times New Roman" w:eastAsia="Times New Roman" w:hAnsi="Times New Roman"/>
          <w:sz w:val="18"/>
          <w:szCs w:val="18"/>
          <w:color w:val="212121"/>
        </w:rPr>
        <w:t>The quick summary - you CAN’T disclose confidential or proprietary information about Blaize and its products that we haven’t already publicly announced - so financial information, M&amp;A, product roadmaps, or any information that a reasonable person could consider important in making an investment decision.</w:t>
      </w:r>
    </w:p>
    <w:p>
      <w:pPr>
        <w:spacing w:after="0" w:line="176" w:lineRule="exact"/>
        <w:rPr>
          <w:sz w:val="24"/>
          <w:szCs w:val="24"/>
          <w:color w:val="auto"/>
        </w:rPr>
      </w:pPr>
    </w:p>
    <w:p>
      <w:pPr>
        <w:jc w:val="both"/>
        <w:ind w:left="40" w:right="120"/>
        <w:spacing w:after="0" w:line="282" w:lineRule="auto"/>
        <w:rPr>
          <w:sz w:val="20"/>
          <w:szCs w:val="20"/>
          <w:color w:val="auto"/>
        </w:rPr>
      </w:pPr>
      <w:r>
        <w:rPr>
          <w:rFonts w:ascii="Times New Roman" w:cs="Times New Roman" w:eastAsia="Times New Roman" w:hAnsi="Times New Roman"/>
          <w:sz w:val="18"/>
          <w:szCs w:val="18"/>
          <w:color w:val="212121"/>
        </w:rPr>
        <w:t>This also means that whether you’re at a BBQ with family and friends, or out and about around town, you need to ensure you aren’t discussing confidential business matters.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Filed by BurTech Acquisition Corp. pursuant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425 under the Securities Act of 1933, as amended,</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and deemed filed pursuant to Rule 14a-12 under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BurTech Acquisition Corp.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001-41139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Can we buy stock in BurTech Acquisition Corp. while we are waiting to complete the merger and become public?</w:t>
      </w:r>
    </w:p>
    <w:p>
      <w:pPr>
        <w:spacing w:after="0" w:line="229" w:lineRule="exact"/>
        <w:rPr>
          <w:sz w:val="20"/>
          <w:szCs w:val="20"/>
          <w:color w:val="auto"/>
        </w:rPr>
      </w:pPr>
    </w:p>
    <w:p>
      <w:pPr>
        <w:jc w:val="both"/>
        <w:ind w:left="40" w:right="120"/>
        <w:spacing w:after="0" w:line="282" w:lineRule="auto"/>
        <w:rPr>
          <w:sz w:val="20"/>
          <w:szCs w:val="20"/>
          <w:color w:val="auto"/>
        </w:rPr>
      </w:pPr>
      <w:r>
        <w:rPr>
          <w:rFonts w:ascii="Times New Roman" w:cs="Times New Roman" w:eastAsia="Times New Roman" w:hAnsi="Times New Roman"/>
          <w:sz w:val="18"/>
          <w:szCs w:val="18"/>
          <w:color w:val="212121"/>
        </w:rPr>
        <w:t>Due to securities law considerations, you and your family members should not buy shares of the SPAC (either directly or through someone doing it on your behalf) right now.</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12121"/>
        </w:rPr>
        <w:t>What about our culture?</w:t>
      </w:r>
    </w:p>
    <w:p>
      <w:pPr>
        <w:spacing w:after="0" w:line="229" w:lineRule="exact"/>
        <w:rPr>
          <w:sz w:val="20"/>
          <w:szCs w:val="20"/>
          <w:color w:val="auto"/>
        </w:rPr>
      </w:pPr>
    </w:p>
    <w:p>
      <w:pPr>
        <w:jc w:val="both"/>
        <w:ind w:left="40" w:right="120"/>
        <w:spacing w:after="0" w:line="266" w:lineRule="auto"/>
        <w:rPr>
          <w:sz w:val="20"/>
          <w:szCs w:val="20"/>
          <w:color w:val="auto"/>
        </w:rPr>
      </w:pPr>
      <w:r>
        <w:rPr>
          <w:rFonts w:ascii="Times New Roman" w:cs="Times New Roman" w:eastAsia="Times New Roman" w:hAnsi="Times New Roman"/>
          <w:sz w:val="18"/>
          <w:szCs w:val="18"/>
          <w:color w:val="212121"/>
        </w:rPr>
        <w:t>Culture is constantly evolving. But our values will not change. We will continue to be all about openness, integrity, trust, excellence, simplicity, ownership, and customer experience. And just because we are going public doesn’t mean everyone has to come to work uptight and miserable. We’re not changing, and we hope you don’t either.</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12121"/>
        </w:rPr>
        <w:t>What if I have a question? Who should I go to?</w:t>
      </w:r>
    </w:p>
    <w:p>
      <w:pPr>
        <w:spacing w:after="0" w:line="229" w:lineRule="exact"/>
        <w:rPr>
          <w:sz w:val="20"/>
          <w:szCs w:val="20"/>
          <w:color w:val="auto"/>
        </w:rPr>
      </w:pPr>
    </w:p>
    <w:p>
      <w:pPr>
        <w:jc w:val="both"/>
        <w:ind w:left="40" w:right="120"/>
        <w:spacing w:after="0" w:line="282" w:lineRule="auto"/>
        <w:rPr>
          <w:sz w:val="20"/>
          <w:szCs w:val="20"/>
          <w:color w:val="auto"/>
        </w:rPr>
      </w:pPr>
      <w:r>
        <w:rPr>
          <w:rFonts w:ascii="Times New Roman" w:cs="Times New Roman" w:eastAsia="Times New Roman" w:hAnsi="Times New Roman"/>
          <w:sz w:val="18"/>
          <w:szCs w:val="18"/>
          <w:color w:val="212121"/>
        </w:rPr>
        <w:t>If you have a question, check with your manager first. They can get more details from our investor relations, legal, or public relations teams if they don't have the answer.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Business Combination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firstLine="58"/>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BurTech intends to file with the SEC a Registration Statement on Form S-4 with the U.S. Securities and Exchange Commission (“SEC”), which will include a preliminary prospectus and proxy statement of BurTech in connection with the Business Combination, referred to as a proxy statement/prospectus (the “Registration Statement”), and after the Registration Statement is declared effective, BurTech will mail a definitive proxy statement/prospectus relating to the Business Combination to its stockholders. This communication does not contain all the information that should be considered concerning the Business Combination and is not intended to form the basis of any investment decision or any other decision in respect of the Business Combination. BurTech may file other documents regarding the Business Combination with the SEC, and BurTech’s stockholders and other interested persons are advised to read, when available, the preliminary proxy statement/prospectus and the amendments thereto, the definitive proxy statement/prospectus and the other documents filed in connection with the Business Combination, as these materials will contain important information about Blaize, BurTech and the Business Combination. When available, the definitive proxy statement/prospectus and other relevant materials for the Business Combination will be mailed to stockholders of BurTech as of a record date to be established for voting on the Business Combination and the other matters to be voted upon at a meeting of BurTech’s stockholders to be held to approve the Business Combination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Filed by BurTech Acquisition Corp. pursuant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425 under the Securities Act of 1933, as amended,</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and deemed filed pursuant to Rule 14a-12 under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BurTech Acquisition Corp.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001-41139</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Before making any voting decision, investors and security holders of BurTech are urged to read the registration statement, the proxy statement/prospectus, and amendments thereto, and the definitive proxy statement/prospectus in connection with BurTech’s solicitation of proxies for its stockholders’ meeting to be held to approve the Business Combination, and all other relevant documents filed or that will be filed with the SEC in connection with the Business Combination as they become available because they will contain important information about BurTech, Blaize and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BurTech, Blaize, and their respective directors, executive officers, other members of management, and employees, under SEC rules, may be deemed to be participants in the solicitation of proxies from BurTech’s stockholders in connection with the Business Combination. Information regarding the persons who may, under SEC rules, be deemed participants in the solicitation of BurTech’s stockholders in connection with the Business Combination,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business combination may be obtained by reading the Registration Statement regarding the proposed business combination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Filed by BurTech Acquisition Corp. pursuant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425 under the Securities Act of 1933, as amended,</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and deemed filed pursuant to Rule 14a-12 under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BurTech Acquisition Corp.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001-41139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Legend</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BurTech and Blaize.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BurTech’s securities; (ii) the risk that the Business Combination may not be completed by BurTech’s business combination deadline and the potential failure to obtain an extension of the business combination deadline if sought by BurTech; (iii) the failure to satisfy the conditions to the consummation of the Business Combination, including the approval of the Business Combination by BurTech’s stockholders, the satisfaction of the minimum aggregate transaction proceeds amount following redemptions by BurTech’s public stockholders and the receipt of certain governmental and regulatory approvals; (iv) the failure to obtain financing to complete the Business Combination and to support the future working capital needs of Blaize and the combined company; (v) the effect of the announcement or pendency of the Business Combination on Blaize’s business relationships, performance, and business generally; (vi) risks that the Business Combination disrupts current plans of Blaize and potential difficulties in the retention of Blaize as a result of the Business Combination; (vii) the outcome of any legal proceedings that may be instituted against BurTech or Blaize related to the Merger Agreement and the Business Combination; (viii) changes to the proposed structure of the Business Combination that may be required or appropriate as a result of applicable laws or regulations or as a condition to obtaining regulatory approval of the Business Combination;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w:t>
      </w:r>
    </w:p>
    <w:p>
      <w:pPr>
        <w:spacing w:after="0" w:line="8" w:lineRule="exact"/>
        <w:rPr>
          <w:sz w:val="20"/>
          <w:szCs w:val="20"/>
          <w:color w:val="auto"/>
        </w:rPr>
      </w:pPr>
    </w:p>
    <w:p>
      <w:pPr>
        <w:jc w:val="both"/>
        <w:ind w:firstLine="8"/>
        <w:spacing w:after="0" w:line="251" w:lineRule="auto"/>
        <w:tabs>
          <w:tab w:leader="none" w:pos="30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implement business plans, forecasts, and other expectations after the completion of the Business Combination,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and (xiv) other risks and uncertainties set forth in the section entitled “Risk Factors” and “Cautionary Note Regarding Forward-Looking Statements” in BurTech’s Annual Reports on Form 10-K, Quarterly Reports on Form 10-Q and Current Reports on Form 8-K that are available on the website of the Securities and Exchange Commission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2023-12-22T14:37:14Z</dcterms:created>
  <dcterms:modified xsi:type="dcterms:W3CDTF">2023-12-22T14:37:14Z</dcterms:modified>
</cp:coreProperties>
</file>