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Munagala Dinakar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BLAIZE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4659 GOLDEN FOOTHILL PARKWAY, SUITE 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DORADO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95762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Blaize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BZAI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849"/>
        <w:gridCol w:w="457"/>
        <w:gridCol w:w="619"/>
        <w:gridCol w:w="1325"/>
        <w:gridCol w:w="1001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3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4,344,696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1,371,303 Earn-Out Shares, each of which represents a contingent right to receive one share of Common Stock if the trading price of the Issuer's Common Stock exceeds certain thresholds.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amount in column 5 reflects the number of shares of Common Stock beneficially owned as of the date 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Dinakar Munagala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8309" TargetMode="External"/><Relationship Id="rId5" Type="http://schemas.openxmlformats.org/officeDocument/2006/relationships/hyperlink" Target="http://www.sec.gov/cgi-bin/browse-edgar?action=getcompany&amp;CIK=00018716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3346</Characters>
  <CharactersWithSpaces>3903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