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5, 2024 (June 3,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BURTECH ACQUISITION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1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0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001-41139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86-2708752</w:t>
            </w:r>
          </w:p>
        </w:tc>
      </w:tr>
      <w:tr>
        <w:trPr>
          <w:trHeight w:val="198"/>
        </w:trPr>
        <w:tc>
          <w:tcPr>
            <w:tcW w:w="3140" w:type="dxa"/>
            <w:vAlign w:val="bottom"/>
            <w:tcBorders>
              <w:top w:val="single" w:sz="8" w:color="auto"/>
            </w:tcBorders>
          </w:tcPr>
          <w:p>
            <w:pPr>
              <w:jc w:val="center"/>
              <w:ind w:left="6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w:t>
            </w: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5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of incorporation)</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rPr>
              <w:t>File Number)</w:t>
            </w:r>
          </w:p>
        </w:tc>
        <w:tc>
          <w:tcPr>
            <w:tcW w:w="29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1300 Pennsylvania Ave NW, Suite 700</w:t>
            </w:r>
          </w:p>
        </w:tc>
        <w:tc>
          <w:tcPr>
            <w:tcW w:w="2940" w:type="dxa"/>
            <w:vAlign w:val="bottom"/>
          </w:tcPr>
          <w:p>
            <w:pPr>
              <w:spacing w:after="0"/>
              <w:rPr>
                <w:sz w:val="24"/>
                <w:szCs w:val="24"/>
                <w:color w:val="auto"/>
              </w:rPr>
            </w:pPr>
          </w:p>
        </w:tc>
      </w:tr>
      <w:tr>
        <w:trPr>
          <w:trHeight w:val="220"/>
        </w:trPr>
        <w:tc>
          <w:tcPr>
            <w:tcW w:w="3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Washington, DC 20004</w:t>
            </w:r>
          </w:p>
        </w:tc>
        <w:tc>
          <w:tcPr>
            <w:tcW w:w="2940" w:type="dxa"/>
            <w:vAlign w:val="bottom"/>
          </w:tcPr>
          <w:p>
            <w:pPr>
              <w:spacing w:after="0"/>
              <w:rPr>
                <w:sz w:val="19"/>
                <w:szCs w:val="19"/>
                <w:color w:val="auto"/>
              </w:rPr>
            </w:pPr>
          </w:p>
        </w:tc>
      </w:tr>
      <w:tr>
        <w:trPr>
          <w:trHeight w:val="234"/>
        </w:trPr>
        <w:tc>
          <w:tcPr>
            <w:tcW w:w="3140" w:type="dxa"/>
            <w:vAlign w:val="bottom"/>
          </w:tcPr>
          <w:p>
            <w:pPr>
              <w:spacing w:after="0"/>
              <w:rPr>
                <w:sz w:val="20"/>
                <w:szCs w:val="20"/>
                <w:color w:val="auto"/>
              </w:rPr>
            </w:pPr>
          </w:p>
        </w:tc>
        <w:tc>
          <w:tcPr>
            <w:tcW w:w="51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940" w:type="dxa"/>
            <w:vAlign w:val="bottom"/>
          </w:tcPr>
          <w:p>
            <w:pPr>
              <w:spacing w:after="0"/>
              <w:rPr>
                <w:sz w:val="20"/>
                <w:szCs w:val="20"/>
                <w:color w:val="auto"/>
              </w:rPr>
            </w:pPr>
          </w:p>
        </w:tc>
      </w:tr>
      <w:tr>
        <w:trPr>
          <w:trHeight w:val="414"/>
        </w:trPr>
        <w:tc>
          <w:tcPr>
            <w:tcW w:w="3140" w:type="dxa"/>
            <w:vAlign w:val="bottom"/>
          </w:tcPr>
          <w:p>
            <w:pPr>
              <w:spacing w:after="0"/>
              <w:rPr>
                <w:sz w:val="24"/>
                <w:szCs w:val="24"/>
                <w:color w:val="auto"/>
              </w:rPr>
            </w:pPr>
          </w:p>
        </w:tc>
        <w:tc>
          <w:tcPr>
            <w:tcW w:w="44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(202) 600-5757</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51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40" w:type="dxa"/>
            <w:vAlign w:val="bottom"/>
          </w:tcPr>
          <w:p>
            <w:pPr>
              <w:spacing w:after="0"/>
              <w:rPr>
                <w:sz w:val="20"/>
                <w:szCs w:val="20"/>
                <w:color w:val="auto"/>
              </w:rPr>
            </w:pPr>
          </w:p>
        </w:tc>
      </w:tr>
      <w:tr>
        <w:trPr>
          <w:trHeight w:val="414"/>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94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51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940" w:type="dxa"/>
            <w:vAlign w:val="bottom"/>
          </w:tcPr>
          <w:p>
            <w:pPr>
              <w:spacing w:after="0"/>
              <w:rPr>
                <w:sz w:val="20"/>
                <w:szCs w:val="20"/>
                <w:color w:val="auto"/>
              </w:rPr>
            </w:pPr>
          </w:p>
        </w:tc>
      </w:tr>
    </w:tbl>
    <w:p>
      <w:pPr>
        <w:spacing w:after="0" w:line="198"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860" w:hanging="3552"/>
        <w:spacing w:after="0" w:line="498" w:lineRule="auto"/>
        <w:tabs>
          <w:tab w:leader="none" w:pos="35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45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share of Class A Common Stock</w:t>
            </w:r>
          </w:p>
        </w:tc>
        <w:tc>
          <w:tcPr>
            <w:tcW w:w="12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BRKHU</w:t>
            </w:r>
          </w:p>
        </w:tc>
        <w:tc>
          <w:tcPr>
            <w:tcW w:w="120" w:type="dxa"/>
            <w:vAlign w:val="bottom"/>
            <w:tcBorders>
              <w:top w:val="single" w:sz="8" w:color="CCEEFF"/>
            </w:tcBorders>
            <w:shd w:val="clear" w:color="auto" w:fill="CCEEFF"/>
          </w:tcPr>
          <w:p>
            <w:pPr>
              <w:spacing w:after="0"/>
              <w:rPr>
                <w:sz w:val="16"/>
                <w:szCs w:val="16"/>
                <w:color w:val="auto"/>
              </w:rPr>
            </w:pPr>
          </w:p>
        </w:tc>
        <w:tc>
          <w:tcPr>
            <w:tcW w:w="42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and one Redeemable Warrant</w:t>
            </w: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2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BRKH</w:t>
            </w:r>
          </w:p>
        </w:tc>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198"/>
        </w:trPr>
        <w:tc>
          <w:tcPr>
            <w:tcW w:w="46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Warrants, each exercisable for one share of Class A Common</w:t>
            </w:r>
          </w:p>
        </w:tc>
        <w:tc>
          <w:tcPr>
            <w:tcW w:w="23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BRKHW</w:t>
            </w:r>
          </w:p>
        </w:tc>
        <w:tc>
          <w:tcPr>
            <w:tcW w:w="4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Stock for $11.50 per share</w:t>
            </w: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On June 3, 2024, BurTech Acquisition Corp.,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received a notification letter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from the Listing Qualifications Department of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indicating that, as a result of the Company’s delay in filing its Quarterly Report on Form 10-Q for the period ended March 31, 2024 (the “</w:t>
      </w:r>
      <w:r>
        <w:rPr>
          <w:rFonts w:ascii="Times New Roman" w:cs="Times New Roman" w:eastAsia="Times New Roman" w:hAnsi="Times New Roman"/>
          <w:sz w:val="18"/>
          <w:szCs w:val="18"/>
          <w:b w:val="1"/>
          <w:bCs w:val="1"/>
          <w:color w:val="auto"/>
        </w:rPr>
        <w:t>10-Q</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the Company was not in compliance with the requirements for continued listing under Nasdaq Listing Rule 5250(c)(1) (the </w:t>
      </w:r>
      <w:r>
        <w:rPr>
          <w:rFonts w:ascii="Times New Roman" w:cs="Times New Roman" w:eastAsia="Times New Roman" w:hAnsi="Times New Roman"/>
          <w:sz w:val="18"/>
          <w:szCs w:val="18"/>
          <w:b w:val="1"/>
          <w:bCs w:val="1"/>
          <w:color w:val="auto"/>
        </w:rPr>
        <w:t>“Listing Rule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notification letter has no immediate effect on the listing or trading of the Company’s common stock on the Nasdaq Global Market. The Notice states that the Company has 60 calendar days from the date of the Notice, or August 2, 2024, to submit a plan to regain compliance with the Listing Rule. If Nasdaq accepts the Company’s plan to regain compliance, then Nasdaq may grant the Company up to 180 calendar days from the prescribed due date of the 10-Q, or November 8, 2024, to file the 10-Q to regain compliance.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will file its 10-Q as soon as practible in order to regain compliance with the Listing Rule, and in any event within the abovementioned time frame.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press release, dated June 5, 2024, disclosing the Company’s receipt of the Notice referenced above is attached hereto as Exhibit 99.1.</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Item 7.01 of this Current Report on Form 8-K (including Exhibit 99.1 attached hereto) shall not be deemed “filed” for purposes of Section 18 of the Securities Exchange Act of 1934, as amended, and shall not be incorporated by reference into any filing of the Company under the Securities Act of 1933, as amended, except as shall be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Current Report on Form 8-K includes information that constitutes forward-looking statements within the meaning of Section 27A of the Securities Act of 1933, as amended, and Section 21E of the Securities Exchange Act of 1934, as amended. Words such as “anticipate”, “estimate”, “expect”, “project”, “plan”, “intend”, “believe”, “may”, “might”, “will”, “should”, “can have”, “likely” and similar expressions are used to identify forward-looking statements. These forward-looking statements are based on the Company’s current beliefs, assumptions and expectations regarding future events, which in turn are based on information currently available to the Company. By their nature, forward-looking statements address matters that are subject to risks and uncertainties. A variety of factors could cause actual events and results to differ materially from those expressed in or contemplated by the forward-looking statements. These factors include, without limitation, the Company’s ability to respond in a timely and satisfactory matter to the inquiries by Nasdaq, the Company’s ability to regain compliance with Listing Rule, the Company’s ability to become current with its reports with the SEC, and the risk that the completion and filing of the 10-Q will take longer than expected. For additional information about factors that could cause actual results to differ materially from those described in the forward-looking statements, please refer to the Company’s filings with the SEC. The Company undertakes no obligation to publicly update or revise any forward-looking statement, whether as a result of new information, future events or otherwise, except to the extent required by applicable laws.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60" w:type="dxa"/>
            <w:vAlign w:val="bottom"/>
          </w:tcPr>
          <w:p>
            <w:pPr>
              <w:spacing w:after="0"/>
              <w:rPr>
                <w:sz w:val="20"/>
                <w:szCs w:val="20"/>
                <w:color w:val="auto"/>
              </w:rPr>
            </w:pPr>
          </w:p>
        </w:tc>
        <w:tc>
          <w:tcPr>
            <w:tcW w:w="742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Borders>
              <w:top w:val="single" w:sz="8" w:color="CCEEFF"/>
            </w:tcBorders>
            <w:shd w:val="clear" w:color="auto" w:fill="CCEEFF"/>
          </w:tcPr>
          <w:p>
            <w:pPr>
              <w:spacing w:after="0"/>
              <w:rPr>
                <w:sz w:val="14"/>
                <w:szCs w:val="14"/>
                <w:color w:val="auto"/>
              </w:rPr>
            </w:pPr>
          </w:p>
        </w:tc>
        <w:tc>
          <w:tcPr>
            <w:tcW w:w="988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June 5, 2024.</w:t>
            </w:r>
          </w:p>
        </w:tc>
      </w:tr>
      <w:tr>
        <w:trPr>
          <w:trHeight w:val="20"/>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0000EE"/>
            </w:tcBorders>
            <w:shd w:val="clear" w:color="auto" w:fill="CCEEFF"/>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r>
    </w:tbl>
    <w:p>
      <w:pPr>
        <w:ind w:left="5580" w:right="4100" w:hanging="5572"/>
        <w:spacing w:after="0" w:line="761" w:lineRule="auto"/>
        <w:tabs>
          <w:tab w:leader="none" w:pos="13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5,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 Receives Notice from Nasdaq Regarding Delayed Quarterly Report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New York, NY</w:t>
      </w:r>
      <w:r>
        <w:rPr>
          <w:rFonts w:ascii="Times New Roman" w:cs="Times New Roman" w:eastAsia="Times New Roman" w:hAnsi="Times New Roman"/>
          <w:sz w:val="18"/>
          <w:szCs w:val="18"/>
          <w:color w:val="auto"/>
        </w:rPr>
        <w:t>., June 5, 2024 -- BurTech Acquisition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(NASDAQ: BRKH) today announced that it received a notice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 2024 from the Listing Qualifications Department of The Nasdaq Stock Market (“Nasdaq”) stating that the Company is not in compliance with Nasdaq Listing Rule 5250(c)(1) (the “</w:t>
      </w:r>
      <w:r>
        <w:rPr>
          <w:rFonts w:ascii="Times New Roman" w:cs="Times New Roman" w:eastAsia="Times New Roman" w:hAnsi="Times New Roman"/>
          <w:sz w:val="18"/>
          <w:szCs w:val="18"/>
          <w:b w:val="1"/>
          <w:bCs w:val="1"/>
          <w:color w:val="auto"/>
        </w:rPr>
        <w:t>Listing Rule</w:t>
      </w:r>
      <w:r>
        <w:rPr>
          <w:rFonts w:ascii="Times New Roman" w:cs="Times New Roman" w:eastAsia="Times New Roman" w:hAnsi="Times New Roman"/>
          <w:sz w:val="18"/>
          <w:szCs w:val="18"/>
          <w:color w:val="auto"/>
        </w:rPr>
        <w:t>”) because the Company failed to timely file its Quarterly Report on Form 10-Q for the period ended March 31, 2024 (the “</w:t>
      </w:r>
      <w:r>
        <w:rPr>
          <w:rFonts w:ascii="Times New Roman" w:cs="Times New Roman" w:eastAsia="Times New Roman" w:hAnsi="Times New Roman"/>
          <w:sz w:val="18"/>
          <w:szCs w:val="18"/>
          <w:b w:val="1"/>
          <w:bCs w:val="1"/>
          <w:color w:val="auto"/>
        </w:rPr>
        <w:t>10-Q</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will file its 10-Q as soon as practicable in order to regain compliance with the Listing Rule, and in any event within the abovementioned time frame.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Notice has no immediate effect on the listing or trading of the Company’s securities on the Nasdaq Global Market. The Notice states that the Company has 60 calendar days from the date of the Notice, or August 2, 2024, to submit a plan to regain compliance with the Listing Rule. If Nasdaq accepts the Company’s plan to regain compliance, then Nasdaq may grant the Company up to 180 calendar days from the prescribed due date of the Form 10-Q, or November 8, 2024, to file the 10-Q to regain compliance.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previously reported by the Company in its Notification of Late Filing on Form 12b-25, filed with the SEC on May 16, 2024, the Company was unable to timely file the 10-Q without unreasonable effort or expense.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announcement is made in compliance with Nasdaq Listing Rule 5810(b), which requires prompt disclosure of receipt of a deficiency notification.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BurTech Acquisition Corp.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BurTech Acquisition Corp. is a blank check company whose business purpose is to effect a merger, capital stock exchange, asset acquisition, stock purchase, reorganization or similar business combination with one or more businesses or entities. The Company has not selected a business combination target and has not, nor has anyone on its behalf, initiated any substantive discussions, directly or indirectly, with any business combination target. The Company intends to focus its search for a target business in the retail, lifestyle, hospitality, technology, or real estate markets. The Company is led by its Chief Executive Officer, Shahal Khan.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regarding future events and our future results that are subject to the safe harbor created under the Private Securities Litigation Reform Act of 1995 and other safe harbors under the Securities Act of 1933, as amended, and the Securities Exchange Act of 1934, as amended. Words such as “anticipate”, “estimate”, “expect”, “project”, “plan”, “intend”, “believe”, “may”, “might”, “will”, “should”, “can have”, “likely” and similar expressions are used to identify forward-looking statements. These forward-looking statements are based on our current beliefs, assumptions and expectations regarding future events, which in turn are based on information currently available to us. By their nature, forward-looking statements address matters that are subject to risks and uncertainties. A variety of factors could cause actual events and results to differ materially from those expressed in or contemplated by the forward-looking statements. These factors include, without limitation, our ability to respond in a timely and satisfactory matter to the inquiries by Nasdaq, our ability to regain compliance with Listing Rule, our ability to become current with our reports with the SEC, and the risk that the completion and filing of the Form 10-Q will take longer than expected. For additional information about factors that could cause actual results to differ materially from those described in the forward-looking statements, please refer to our filings with the SEC. Forward-looking statements represent management’s current expectations and are inherently uncertain. Except to the extent required by applicable law, we do not undertake any obligation to update or revise forward-looking statements made by us to reflect subsequent events or circumstances.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Shahal Khan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shahal@burkhan.world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2024-06-05T16:24:14Z</dcterms:created>
  <dcterms:modified xsi:type="dcterms:W3CDTF">2024-06-05T16:24:14Z</dcterms:modified>
</cp:coreProperties>
</file>