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bzai-20250930.htm"/>
      <w:bookmarkStart w:id="1" w:name="ksbzai20250930"/>
      <w:bookmarkEnd w:id="0"/>
      <w:bookmarkEnd w:id="1"/>
      <w:r>
        <w:rPr/>
        <w:t> </w:t>
      </w:r>
    </w:p>
    <w:p>
      <w:pPr>
        <w:pStyle w:val="TextBody"/>
        <w:pBdr>
          <w:top w:val="double" w:sz="6" w:space="1" w:color="000000"/>
        </w:pBdr>
        <w:bidi w:val="0"/>
        <w:jc w:val="both"/>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8" w:space="1" w:color="000000"/>
        </w:pBdr>
        <w:bidi w:val="0"/>
        <w:jc w:val="center"/>
        <w:rPr/>
      </w:pPr>
      <w:r>
        <w:rPr/>
        <w:t> </w:t>
      </w:r>
    </w:p>
    <w:p>
      <w:pPr>
        <w:pStyle w:val="TextBody"/>
        <w:bidi w:val="0"/>
        <w:spacing w:before="20" w:after="283"/>
        <w:jc w:val="center"/>
        <w:rPr>
          <w:rFonts w:ascii="Times New Roman" w:hAnsi="Times New Roman"/>
          <w:b/>
          <w:color w:val="000000"/>
          <w:sz w:val="40"/>
        </w:rPr>
      </w:pPr>
      <w:r>
        <w:rPr>
          <w:rFonts w:ascii="Times New Roman" w:hAnsi="Times New Roman"/>
          <w:b/>
          <w:color w:val="000000"/>
          <w:sz w:val="40"/>
        </w:rPr>
        <w:t>FORM 10-Q</w:t>
      </w:r>
    </w:p>
    <w:p>
      <w:pPr>
        <w:pStyle w:val="TextBody"/>
        <w:pBdr>
          <w:bottom w:val="single" w:sz="8" w:space="1" w:color="000000"/>
        </w:pBdr>
        <w:bidi w:val="0"/>
        <w:jc w:val="center"/>
        <w:rPr/>
      </w:pPr>
      <w:r>
        <w:rPr/>
        <w:t> </w:t>
      </w:r>
    </w:p>
    <w:p>
      <w:pPr>
        <w:pStyle w:val="TextBody"/>
        <w:bidi w:val="0"/>
        <w:jc w:val="both"/>
        <w:rPr>
          <w:rFonts w:ascii="Times New Roman" w:hAnsi="Times New Roman"/>
          <w:sz w:val="20"/>
        </w:rPr>
      </w:pPr>
      <w:r>
        <w:rPr>
          <w:rFonts w:ascii="Times New Roman" w:hAnsi="Times New Roman"/>
          <w:b/>
          <w:color w:val="000000"/>
          <w:sz w:val="18"/>
        </w:rPr>
        <w:t>(Mark One)</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b/>
                <w:color w:val="000000"/>
                <w:sz w:val="20"/>
              </w:rPr>
              <w:t>QUARTERLY REPORT PURSUANT TO SECTION 13 OR 15(d) OF THE SECURITIES EXCHANGE ACT OF 1934</w:t>
            </w:r>
            <w:r>
              <w:rPr>
                <w:rFonts w:ascii="Times New Roman" w:hAnsi="Times New Roman"/>
                <w:color w:val="000000"/>
                <w:sz w:val="20"/>
              </w:rPr>
              <w:t xml:space="preserve"> </w:t>
            </w:r>
          </w:p>
        </w:tc>
      </w:tr>
    </w:tbl>
    <w:p>
      <w:pPr>
        <w:pStyle w:val="TextBody"/>
        <w:bidi w:val="0"/>
        <w:spacing w:before="60" w:after="60"/>
        <w:jc w:val="center"/>
        <w:rPr>
          <w:rFonts w:ascii="Times New Roman" w:hAnsi="Times New Roman"/>
          <w:b/>
          <w:color w:val="000000"/>
          <w:sz w:val="20"/>
        </w:rPr>
      </w:pPr>
      <w:r>
        <w:rPr>
          <w:rFonts w:ascii="Times New Roman" w:hAnsi="Times New Roman"/>
          <w:b/>
          <w:color w:val="000000"/>
          <w:sz w:val="20"/>
        </w:rPr>
        <w:t>For the quarterly period ended September 30, 2025</w:t>
      </w:r>
    </w:p>
    <w:p>
      <w:pPr>
        <w:pStyle w:val="TextBody"/>
        <w:bidi w:val="0"/>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jc w:val="both"/>
              <w:rPr>
                <w:rFonts w:ascii="Times New Roman" w:hAnsi="Times New Roman"/>
                <w:sz w:val="20"/>
              </w:rPr>
            </w:pPr>
            <w:r>
              <w:rPr>
                <w:rFonts w:ascii="Times New Roman" w:hAnsi="Times New Roman"/>
                <w:b/>
                <w:color w:val="000000"/>
                <w:sz w:val="20"/>
              </w:rPr>
              <w:t>TRANSITION REPORT PURSUANT TO SECTION 13 OR 15(d) OF THE SECURITIES EXCHANGE ACT OF 1934</w:t>
            </w:r>
            <w:r>
              <w:rPr>
                <w:rFonts w:ascii="Times New Roman" w:hAnsi="Times New Roman"/>
                <w:color w:val="000000"/>
                <w:sz w:val="20"/>
              </w:rPr>
              <w:t xml:space="preserve"> </w:t>
            </w:r>
          </w:p>
          <w:p>
            <w:pPr>
              <w:pStyle w:val="TableContents"/>
              <w:bidi w:val="0"/>
              <w:spacing w:before="60" w:after="60"/>
              <w:jc w:val="center"/>
              <w:rPr>
                <w:rFonts w:ascii="Times New Roman" w:hAnsi="Times New Roman"/>
                <w:b/>
                <w:color w:val="000000"/>
                <w:sz w:val="20"/>
              </w:rPr>
            </w:pPr>
            <w:r>
              <w:rPr>
                <w:rFonts w:ascii="Times New Roman" w:hAnsi="Times New Roman"/>
                <w:b/>
                <w:color w:val="000000"/>
                <w:sz w:val="20"/>
              </w:rPr>
              <w:t>For the transition period from to</w:t>
            </w:r>
          </w:p>
        </w:tc>
      </w:tr>
    </w:tbl>
    <w:p>
      <w:pPr>
        <w:pStyle w:val="TextBody"/>
        <w:bidi w:val="0"/>
        <w:jc w:val="center"/>
        <w:rPr>
          <w:rFonts w:ascii="Times New Roman" w:hAnsi="Times New Roman"/>
          <w:b/>
          <w:color w:val="000000"/>
          <w:sz w:val="22"/>
        </w:rPr>
      </w:pPr>
      <w:r>
        <w:rPr>
          <w:rFonts w:ascii="Times New Roman" w:hAnsi="Times New Roman"/>
          <w:b/>
          <w:color w:val="000000"/>
          <w:sz w:val="22"/>
        </w:rPr>
        <w:t>Commission File Number 001-41139</w:t>
      </w:r>
    </w:p>
    <w:p>
      <w:pPr>
        <w:pStyle w:val="TextBody"/>
        <w:pBdr>
          <w:bottom w:val="single" w:sz="8" w:space="1" w:color="000000"/>
        </w:pBdr>
        <w:bidi w:val="0"/>
        <w:jc w:val="center"/>
        <w:rPr/>
      </w:pPr>
      <w:r>
        <w:rPr/>
        <w:t> </w:t>
      </w:r>
    </w:p>
    <w:p>
      <w:pPr>
        <w:pStyle w:val="TextBody"/>
        <w:bidi w:val="0"/>
        <w:jc w:val="center"/>
        <w:rPr>
          <w:rFonts w:ascii="Times New Roman" w:hAnsi="Times New Roman"/>
          <w:b/>
          <w:color w:val="000000"/>
          <w:sz w:val="40"/>
        </w:rPr>
      </w:pPr>
      <w:r>
        <w:rPr>
          <w:rFonts w:ascii="Times New Roman" w:hAnsi="Times New Roman"/>
          <w:b/>
          <w:color w:val="000000"/>
          <w:sz w:val="40"/>
        </w:rPr>
        <w:t>Blaize Holdings, Inc.</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p>
      <w:pPr>
        <w:pStyle w:val="TextBody"/>
        <w:pBdr>
          <w:bottom w:val="single" w:sz="8" w:space="1" w:color="000000"/>
        </w:pBdr>
        <w:bidi w:val="0"/>
        <w:jc w:val="center"/>
        <w:rPr/>
      </w:pPr>
      <w:r>
        <w:rPr/>
        <w:t> </w:t>
      </w:r>
    </w:p>
    <w:tbl>
      <w:tblPr>
        <w:tblW w:w="6962" w:type="dxa"/>
        <w:jc w:val="left"/>
        <w:tblInd w:w="0" w:type="dxa"/>
        <w:tblLayout w:type="fixed"/>
        <w:tblCellMar>
          <w:top w:w="28" w:type="dxa"/>
          <w:left w:w="28" w:type="dxa"/>
          <w:bottom w:w="28" w:type="dxa"/>
          <w:right w:w="28" w:type="dxa"/>
        </w:tblCellMar>
      </w:tblPr>
      <w:tblGrid>
        <w:gridCol w:w="4291"/>
        <w:gridCol w:w="2671"/>
      </w:tblGrid>
      <w:tr>
        <w:trPr/>
        <w:tc>
          <w:tcPr>
            <w:tcW w:w="429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4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2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86-2708752</w:t>
            </w:r>
          </w:p>
        </w:tc>
      </w:tr>
      <w:tr>
        <w:trPr/>
        <w:tc>
          <w:tcPr>
            <w:tcW w:w="4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(State or other jurisdiction of incorporation or organization)</w:t>
            </w:r>
          </w:p>
        </w:tc>
        <w:tc>
          <w:tcPr>
            <w:tcW w:w="2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(I.R.S. Employer Identification No.)</w:t>
            </w:r>
          </w:p>
        </w:tc>
      </w:tr>
      <w:tr>
        <w:trPr/>
        <w:tc>
          <w:tcPr>
            <w:tcW w:w="4291"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4659 Golden Foothill Parkway, Suite 206</w:t>
              <w:br/>
              <w:t>El Dorado Hills, CA</w:t>
            </w:r>
          </w:p>
        </w:tc>
        <w:tc>
          <w:tcPr>
            <w:tcW w:w="2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95762</w:t>
            </w:r>
          </w:p>
        </w:tc>
      </w:tr>
      <w:tr>
        <w:trPr/>
        <w:tc>
          <w:tcPr>
            <w:tcW w:w="4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(Address of principal executive offices)</w:t>
            </w:r>
          </w:p>
        </w:tc>
        <w:tc>
          <w:tcPr>
            <w:tcW w:w="2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(Zip Code)</w:t>
            </w:r>
          </w:p>
        </w:tc>
      </w:tr>
    </w:tbl>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Registrant’s telephone number, including area code: (916) 347-0050</w:t>
      </w:r>
    </w:p>
    <w:p>
      <w:pPr>
        <w:pStyle w:val="TextBody"/>
        <w:pBdr>
          <w:bottom w:val="single" w:sz="8" w:space="1" w:color="000000"/>
        </w:pBdr>
        <w:bidi w:val="0"/>
        <w:jc w:val="center"/>
        <w:rPr/>
      </w:pPr>
      <w:r>
        <w:rPr/>
        <w:t> </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Securities registered pursuant to Section 12(b) of the Act:</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6355"/>
        <w:gridCol w:w="146"/>
        <w:gridCol w:w="1104"/>
        <w:gridCol w:w="146"/>
        <w:gridCol w:w="2454"/>
      </w:tblGrid>
      <w:tr>
        <w:trPr/>
        <w:tc>
          <w:tcPr>
            <w:tcW w:w="63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r>
      <w:tr>
        <w:trPr/>
        <w:tc>
          <w:tcPr>
            <w:tcW w:w="635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0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45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635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Common stock</w:t>
            </w:r>
            <w:r>
              <w:rPr>
                <w:rFonts w:ascii="Times New Roman" w:hAnsi="Times New Roman"/>
                <w:color w:val="000000"/>
                <w:sz w:val="20"/>
              </w:rPr>
              <w:t>, par value $0.0001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0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BZAI</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5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w:t>
            </w:r>
          </w:p>
        </w:tc>
      </w:tr>
      <w:tr>
        <w:trPr/>
        <w:tc>
          <w:tcPr>
            <w:tcW w:w="6355"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sz w:val="20"/>
              </w:rPr>
            </w:pPr>
            <w:r>
              <w:rPr>
                <w:rFonts w:ascii="Times New Roman" w:hAnsi="Times New Roman"/>
                <w:b/>
                <w:color w:val="000000"/>
                <w:sz w:val="20"/>
              </w:rPr>
              <w:t>Warrants</w:t>
            </w:r>
            <w:r>
              <w:rPr>
                <w:rFonts w:ascii="Times New Roman" w:hAnsi="Times New Roman"/>
                <w:color w:val="000000"/>
                <w:sz w:val="20"/>
              </w:rPr>
              <w:t>, each whole warrant exercisable for one share of common stock at an exercise price of $11.50 per share</w:t>
            </w:r>
          </w:p>
        </w:tc>
        <w:tc>
          <w:tcPr>
            <w:tcW w:w="146" w:type="dxa"/>
            <w:tcBorders/>
            <w:tcMar>
              <w:top w:w="0" w:type="dxa"/>
              <w:left w:w="0" w:type="dxa"/>
              <w:bottom w:w="0" w:type="dxa"/>
              <w:right w:w="0" w:type="dxa"/>
            </w:tcMar>
            <w:vAlign w:val="center"/>
          </w:tcPr>
          <w:p>
            <w:pPr>
              <w:pStyle w:val="TableContents"/>
              <w:bidi w:val="0"/>
              <w:spacing w:before="60" w:after="283"/>
              <w:jc w:val="center"/>
              <w:rPr/>
            </w:pPr>
            <w:r>
              <w:rPr/>
              <w:t> </w:t>
            </w:r>
          </w:p>
        </w:tc>
        <w:tc>
          <w:tcPr>
            <w:tcW w:w="1104"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color w:val="000000"/>
                <w:sz w:val="20"/>
              </w:rPr>
            </w:pPr>
            <w:r>
              <w:rPr>
                <w:rFonts w:ascii="Times New Roman" w:hAnsi="Times New Roman"/>
                <w:color w:val="000000"/>
                <w:sz w:val="20"/>
              </w:rPr>
              <w:t>BZAIW</w:t>
            </w:r>
          </w:p>
        </w:tc>
        <w:tc>
          <w:tcPr>
            <w:tcW w:w="146" w:type="dxa"/>
            <w:tcBorders/>
            <w:tcMar>
              <w:top w:w="0" w:type="dxa"/>
              <w:left w:w="0" w:type="dxa"/>
              <w:bottom w:w="0" w:type="dxa"/>
              <w:right w:w="0" w:type="dxa"/>
            </w:tcMar>
            <w:vAlign w:val="center"/>
          </w:tcPr>
          <w:p>
            <w:pPr>
              <w:pStyle w:val="TableContents"/>
              <w:bidi w:val="0"/>
              <w:spacing w:before="60" w:after="283"/>
              <w:jc w:val="center"/>
              <w:rPr/>
            </w:pPr>
            <w:r>
              <w:rPr/>
              <w:t> </w:t>
            </w:r>
          </w:p>
        </w:tc>
        <w:tc>
          <w:tcPr>
            <w:tcW w:w="2454"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color w:val="000000"/>
                <w:sz w:val="20"/>
              </w:rPr>
            </w:pPr>
            <w:r>
              <w:rPr>
                <w:rFonts w:ascii="Times New Roman" w:hAnsi="Times New Roman"/>
                <w:color w:val="000000"/>
                <w:sz w:val="20"/>
              </w:rPr>
              <w:t>The Nasdaq Stock Market</w:t>
            </w:r>
          </w:p>
        </w:tc>
      </w:tr>
    </w:tbl>
    <w:p>
      <w:pPr>
        <w:pStyle w:val="TextBody"/>
        <w:bidi w:val="0"/>
        <w:spacing w:before="180" w:after="180"/>
        <w:jc w:val="both"/>
        <w:rPr>
          <w:rFonts w:ascii="Times New Roman" w:hAnsi="Times New Roman"/>
          <w:sz w:val="20"/>
        </w:rPr>
      </w:pPr>
      <w:r>
        <w:rPr>
          <w:rFonts w:ascii="Times New Roman" w:hAnsi="Times New Roman"/>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18"/>
        </w:rPr>
        <w:t>Yes</w:t>
      </w:r>
      <w:r>
        <w:rPr>
          <w:rFonts w:ascii="Times New Roman" w:hAnsi="Times New Roman"/>
          <w:color w:val="000000"/>
          <w:sz w:val="20"/>
        </w:rPr>
        <w:t xml:space="preserve"> ☒ </w:t>
      </w:r>
      <w:r>
        <w:rPr>
          <w:rFonts w:ascii="Times New Roman" w:hAnsi="Times New Roman"/>
          <w:color w:val="000000"/>
          <w:sz w:val="18"/>
        </w:rPr>
        <w:t>N</w:t>
      </w:r>
      <w:r>
        <w:rPr>
          <w:rFonts w:ascii="Times New Roman" w:hAnsi="Times New Roman"/>
          <w:caps/>
          <w:color w:val="000000"/>
          <w:sz w:val="18"/>
        </w:rPr>
        <w:t>o</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18"/>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Times New Roman" w:hAnsi="Times New Roman"/>
          <w:caps/>
          <w:color w:val="000000"/>
          <w:sz w:val="18"/>
        </w:rPr>
        <w:t>Yes</w:t>
      </w:r>
      <w:r>
        <w:rPr>
          <w:rFonts w:ascii="Times New Roman" w:hAnsi="Times New Roman"/>
          <w:caps/>
          <w:color w:val="000000"/>
          <w:sz w:val="20"/>
        </w:rPr>
        <w:t xml:space="preserve"> </w:t>
      </w:r>
      <w:r>
        <w:rPr>
          <w:rFonts w:ascii="Times New Roman" w:hAnsi="Times New Roman"/>
          <w:color w:val="000000"/>
          <w:sz w:val="20"/>
        </w:rPr>
        <w:t xml:space="preserve">☒ </w:t>
      </w:r>
      <w:r>
        <w:rPr>
          <w:rFonts w:ascii="Times New Roman" w:hAnsi="Times New Roman"/>
          <w:smallCaps/>
          <w:color w:val="000000"/>
          <w:sz w:val="18"/>
        </w:rPr>
        <w:t>N</w:t>
      </w:r>
      <w:r>
        <w:rPr>
          <w:rFonts w:ascii="Times New Roman" w:hAnsi="Times New Roman"/>
          <w:caps/>
          <w:color w:val="000000"/>
          <w:sz w:val="18"/>
        </w:rPr>
        <w:t>o</w:t>
      </w:r>
      <w:r>
        <w:rPr>
          <w:rFonts w:ascii="Times New Roman" w:hAnsi="Times New Roman"/>
          <w:smallCaps/>
          <w:color w:val="000000"/>
          <w:sz w:val="20"/>
        </w:rPr>
        <w:t xml:space="preserve"> </w:t>
      </w:r>
      <w:r>
        <w:rPr>
          <w:rFonts w:ascii="Times New Roman" w:hAnsi="Times New Roman"/>
          <w:color w:val="000000"/>
          <w:sz w:val="20"/>
        </w:rPr>
        <w:t>☐</w:t>
      </w:r>
    </w:p>
    <w:p>
      <w:pPr>
        <w:pStyle w:val="TextBody"/>
        <w:bidi w:val="0"/>
        <w:jc w:val="both"/>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both"/>
        <w:rPr/>
      </w:pPr>
      <w:r>
        <w:rPr/>
        <w:t> </w:t>
      </w:r>
    </w:p>
    <w:tbl>
      <w:tblPr>
        <w:tblW w:w="5335" w:type="dxa"/>
        <w:jc w:val="left"/>
        <w:tblInd w:w="0" w:type="dxa"/>
        <w:tblLayout w:type="fixed"/>
        <w:tblCellMar>
          <w:top w:w="28" w:type="dxa"/>
          <w:left w:w="28" w:type="dxa"/>
          <w:bottom w:w="28" w:type="dxa"/>
          <w:right w:w="28" w:type="dxa"/>
        </w:tblCellMar>
      </w:tblPr>
      <w:tblGrid>
        <w:gridCol w:w="2200"/>
        <w:gridCol w:w="460"/>
        <w:gridCol w:w="2170"/>
        <w:gridCol w:w="505"/>
      </w:tblGrid>
      <w:tr>
        <w:trPr/>
        <w:tc>
          <w:tcPr>
            <w:tcW w:w="220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170"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ind w:left="0" w:right="0" w:firstLine="144"/>
              <w:jc w:val="left"/>
              <w:rPr>
                <w:sz w:val="4"/>
                <w:szCs w:val="4"/>
              </w:rPr>
            </w:pPr>
            <w:r>
              <w:rPr>
                <w:sz w:val="4"/>
                <w:szCs w:val="4"/>
              </w:rPr>
            </w:r>
          </w:p>
        </w:tc>
      </w:tr>
      <w:tr>
        <w:trPr/>
        <w:tc>
          <w:tcPr>
            <w:tcW w:w="2200" w:type="dxa"/>
            <w:tcBorders/>
            <w:tcMar>
              <w:top w:w="0" w:type="dxa"/>
              <w:left w:w="0" w:type="dxa"/>
              <w:bottom w:w="0" w:type="dxa"/>
              <w:right w:w="0" w:type="dxa"/>
            </w:tcMar>
            <w:vAlign w:val="center"/>
          </w:tcPr>
          <w:p>
            <w:pPr>
              <w:pStyle w:val="TableContents"/>
              <w:bidi w:val="0"/>
              <w:spacing w:before="0" w:after="283"/>
              <w:ind w:left="0" w:right="0" w:firstLine="144"/>
              <w:jc w:val="both"/>
              <w:rPr>
                <w:rFonts w:ascii="Times New Roman" w:hAnsi="Times New Roman"/>
                <w:color w:val="000000"/>
                <w:sz w:val="18"/>
              </w:rPr>
            </w:pPr>
            <w:r>
              <w:rPr>
                <w:rFonts w:ascii="Times New Roman" w:hAnsi="Times New Roman"/>
                <w:color w:val="000000"/>
                <w:sz w:val="18"/>
              </w:rPr>
              <w:t>Large accelerated filer</w:t>
            </w:r>
          </w:p>
        </w:tc>
        <w:tc>
          <w:tcPr>
            <w:tcW w:w="460" w:type="dxa"/>
            <w:tcBorders/>
            <w:tcMar>
              <w:top w:w="0" w:type="dxa"/>
              <w:left w:w="0" w:type="dxa"/>
              <w:bottom w:w="0" w:type="dxa"/>
              <w:right w:w="0" w:type="dxa"/>
            </w:tcMar>
            <w:vAlign w:val="center"/>
          </w:tcPr>
          <w:p>
            <w:pPr>
              <w:pStyle w:val="TableContents"/>
              <w:bidi w:val="0"/>
              <w:spacing w:before="0" w:after="283"/>
              <w:ind w:left="0" w:right="0" w:firstLine="144"/>
              <w:jc w:val="center"/>
              <w:rPr>
                <w:color w:val="000000"/>
              </w:rPr>
            </w:pPr>
            <w:r>
              <w:rPr>
                <w:color w:val="000000"/>
              </w:rPr>
              <w:t>☐</w:t>
            </w:r>
          </w:p>
        </w:tc>
        <w:tc>
          <w:tcPr>
            <w:tcW w:w="2170" w:type="dxa"/>
            <w:tcBorders/>
            <w:tcMar>
              <w:top w:w="0" w:type="dxa"/>
              <w:left w:w="0" w:type="dxa"/>
              <w:bottom w:w="0" w:type="dxa"/>
              <w:right w:w="0" w:type="dxa"/>
            </w:tcMar>
            <w:vAlign w:val="center"/>
          </w:tcPr>
          <w:p>
            <w:pPr>
              <w:pStyle w:val="TableContents"/>
              <w:bidi w:val="0"/>
              <w:spacing w:before="0" w:after="283"/>
              <w:ind w:left="0" w:right="0" w:firstLine="144"/>
              <w:jc w:val="both"/>
              <w:rPr>
                <w:rFonts w:ascii="Times New Roman" w:hAnsi="Times New Roman"/>
                <w:color w:val="000000"/>
                <w:sz w:val="18"/>
              </w:rPr>
            </w:pPr>
            <w:r>
              <w:rPr>
                <w:rFonts w:ascii="Times New Roman" w:hAnsi="Times New Roman"/>
                <w:color w:val="000000"/>
                <w:sz w:val="18"/>
              </w:rPr>
              <w:t>Accelerated filer</w:t>
            </w:r>
          </w:p>
        </w:tc>
        <w:tc>
          <w:tcPr>
            <w:tcW w:w="505" w:type="dxa"/>
            <w:tcBorders/>
            <w:tcMar>
              <w:top w:w="0" w:type="dxa"/>
              <w:left w:w="0" w:type="dxa"/>
              <w:bottom w:w="0" w:type="dxa"/>
              <w:right w:w="0" w:type="dxa"/>
            </w:tcMar>
            <w:vAlign w:val="center"/>
          </w:tcPr>
          <w:p>
            <w:pPr>
              <w:pStyle w:val="TableContents"/>
              <w:bidi w:val="0"/>
              <w:spacing w:before="0" w:after="283"/>
              <w:ind w:left="0" w:right="0" w:firstLine="144"/>
              <w:jc w:val="center"/>
              <w:rPr>
                <w:color w:val="000000"/>
              </w:rPr>
            </w:pPr>
            <w:r>
              <w:rPr>
                <w:color w:val="000000"/>
              </w:rPr>
              <w:t>☐</w:t>
            </w:r>
          </w:p>
        </w:tc>
      </w:tr>
      <w:tr>
        <w:trPr/>
        <w:tc>
          <w:tcPr>
            <w:tcW w:w="2200" w:type="dxa"/>
            <w:tcBorders/>
            <w:tcMar>
              <w:top w:w="0" w:type="dxa"/>
              <w:left w:w="0" w:type="dxa"/>
              <w:bottom w:w="0" w:type="dxa"/>
              <w:right w:w="0" w:type="dxa"/>
            </w:tcMar>
            <w:vAlign w:val="center"/>
          </w:tcPr>
          <w:p>
            <w:pPr>
              <w:pStyle w:val="TableContents"/>
              <w:bidi w:val="0"/>
              <w:spacing w:before="0" w:after="283"/>
              <w:ind w:left="0" w:right="0" w:firstLine="144"/>
              <w:jc w:val="both"/>
              <w:rPr>
                <w:rFonts w:ascii="Times New Roman" w:hAnsi="Times New Roman"/>
                <w:color w:val="000000"/>
                <w:sz w:val="18"/>
              </w:rPr>
            </w:pPr>
            <w:r>
              <w:rPr>
                <w:rFonts w:ascii="Times New Roman" w:hAnsi="Times New Roman"/>
                <w:color w:val="000000"/>
                <w:sz w:val="18"/>
              </w:rPr>
              <w:t>Non-accelerated filer</w:t>
            </w:r>
          </w:p>
        </w:tc>
        <w:tc>
          <w:tcPr>
            <w:tcW w:w="460" w:type="dxa"/>
            <w:tcBorders/>
            <w:tcMar>
              <w:top w:w="0" w:type="dxa"/>
              <w:left w:w="0" w:type="dxa"/>
              <w:bottom w:w="0" w:type="dxa"/>
              <w:right w:w="0" w:type="dxa"/>
            </w:tcMar>
            <w:vAlign w:val="center"/>
          </w:tcPr>
          <w:p>
            <w:pPr>
              <w:pStyle w:val="TableContents"/>
              <w:bidi w:val="0"/>
              <w:spacing w:before="0" w:after="283"/>
              <w:ind w:left="0" w:right="0" w:firstLine="144"/>
              <w:jc w:val="center"/>
              <w:rPr>
                <w:color w:val="000000"/>
              </w:rPr>
            </w:pPr>
            <w:r>
              <w:rPr>
                <w:color w:val="000000"/>
              </w:rPr>
              <w:t>☒</w:t>
            </w:r>
          </w:p>
        </w:tc>
        <w:tc>
          <w:tcPr>
            <w:tcW w:w="2170" w:type="dxa"/>
            <w:tcBorders/>
            <w:tcMar>
              <w:top w:w="0" w:type="dxa"/>
              <w:left w:w="0" w:type="dxa"/>
              <w:bottom w:w="0" w:type="dxa"/>
              <w:right w:w="0" w:type="dxa"/>
            </w:tcMar>
            <w:vAlign w:val="center"/>
          </w:tcPr>
          <w:p>
            <w:pPr>
              <w:pStyle w:val="TableContents"/>
              <w:bidi w:val="0"/>
              <w:spacing w:before="0" w:after="283"/>
              <w:ind w:left="0" w:right="0" w:firstLine="144"/>
              <w:jc w:val="both"/>
              <w:rPr>
                <w:rFonts w:ascii="Times New Roman" w:hAnsi="Times New Roman"/>
                <w:color w:val="000000"/>
                <w:sz w:val="18"/>
              </w:rPr>
            </w:pPr>
            <w:r>
              <w:rPr>
                <w:rFonts w:ascii="Times New Roman" w:hAnsi="Times New Roman"/>
                <w:color w:val="000000"/>
                <w:sz w:val="18"/>
              </w:rPr>
              <w:t>Smaller reporting company</w:t>
            </w:r>
          </w:p>
        </w:tc>
        <w:tc>
          <w:tcPr>
            <w:tcW w:w="505" w:type="dxa"/>
            <w:tcBorders/>
            <w:tcMar>
              <w:top w:w="0" w:type="dxa"/>
              <w:left w:w="0" w:type="dxa"/>
              <w:bottom w:w="0" w:type="dxa"/>
              <w:right w:w="0" w:type="dxa"/>
            </w:tcMar>
            <w:vAlign w:val="center"/>
          </w:tcPr>
          <w:p>
            <w:pPr>
              <w:pStyle w:val="TableContents"/>
              <w:bidi w:val="0"/>
              <w:spacing w:before="0" w:after="283"/>
              <w:ind w:left="0" w:right="0" w:firstLine="144"/>
              <w:jc w:val="center"/>
              <w:rPr>
                <w:color w:val="000000"/>
              </w:rPr>
            </w:pPr>
            <w:r>
              <w:rPr>
                <w:color w:val="000000"/>
              </w:rPr>
              <w:t>☒</w:t>
            </w:r>
          </w:p>
        </w:tc>
      </w:tr>
      <w:tr>
        <w:trPr/>
        <w:tc>
          <w:tcPr>
            <w:tcW w:w="2200" w:type="dxa"/>
            <w:tcBorders/>
            <w:tcMar>
              <w:top w:w="0" w:type="dxa"/>
              <w:left w:w="0" w:type="dxa"/>
              <w:bottom w:w="0" w:type="dxa"/>
              <w:right w:w="0" w:type="dxa"/>
            </w:tcMar>
            <w:vAlign w:val="center"/>
          </w:tcPr>
          <w:p>
            <w:pPr>
              <w:pStyle w:val="TableContents"/>
              <w:bidi w:val="0"/>
              <w:spacing w:before="0" w:after="283"/>
              <w:ind w:left="0" w:right="0" w:firstLine="144"/>
              <w:jc w:val="both"/>
              <w:rPr>
                <w:rFonts w:ascii="Times New Roman" w:hAnsi="Times New Roman"/>
                <w:color w:val="000000"/>
                <w:sz w:val="18"/>
              </w:rPr>
            </w:pPr>
            <w:r>
              <w:rPr>
                <w:rFonts w:ascii="Times New Roman" w:hAnsi="Times New Roman"/>
                <w:color w:val="000000"/>
                <w:sz w:val="18"/>
              </w:rPr>
              <w:t>Emerging growth company</w:t>
            </w:r>
          </w:p>
        </w:tc>
        <w:tc>
          <w:tcPr>
            <w:tcW w:w="460" w:type="dxa"/>
            <w:tcBorders/>
            <w:tcMar>
              <w:top w:w="0" w:type="dxa"/>
              <w:left w:w="0" w:type="dxa"/>
              <w:bottom w:w="0" w:type="dxa"/>
              <w:right w:w="0" w:type="dxa"/>
            </w:tcMar>
            <w:vAlign w:val="center"/>
          </w:tcPr>
          <w:p>
            <w:pPr>
              <w:pStyle w:val="TableContents"/>
              <w:bidi w:val="0"/>
              <w:spacing w:before="0" w:after="283"/>
              <w:ind w:left="0" w:right="0" w:firstLine="144"/>
              <w:jc w:val="center"/>
              <w:rPr>
                <w:color w:val="000000"/>
              </w:rPr>
            </w:pPr>
            <w:r>
              <w:rPr>
                <w:color w:val="000000"/>
              </w:rPr>
              <w:t>☒</w:t>
            </w:r>
          </w:p>
        </w:tc>
        <w:tc>
          <w:tcPr>
            <w:tcW w:w="2170" w:type="dxa"/>
            <w:tcBorders/>
            <w:tcMar>
              <w:top w:w="0" w:type="dxa"/>
              <w:left w:w="0" w:type="dxa"/>
              <w:bottom w:w="0" w:type="dxa"/>
              <w:right w:w="0" w:type="dxa"/>
            </w:tcMar>
            <w:vAlign w:val="center"/>
          </w:tcPr>
          <w:p>
            <w:pPr>
              <w:pStyle w:val="TableContents"/>
              <w:bidi w:val="0"/>
              <w:spacing w:before="0" w:after="283"/>
              <w:ind w:left="0" w:right="0" w:firstLine="144"/>
              <w:jc w:val="both"/>
              <w:rPr/>
            </w:pPr>
            <w:r>
              <w:rPr/>
              <w:t> </w:t>
            </w:r>
          </w:p>
        </w:tc>
        <w:tc>
          <w:tcPr>
            <w:tcW w:w="505"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180" w:after="180"/>
        <w:jc w:val="both"/>
        <w:rPr>
          <w:rFonts w:ascii="Times New Roman" w:hAnsi="Times New Roman"/>
          <w:sz w:val="20"/>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18"/>
        </w:rPr>
        <w:t>Indicate by check mark whether the Registrant is a shell company (as defined in Rule 12b-2 of the Exchange Act).</w:t>
      </w:r>
      <w:r>
        <w:rPr>
          <w:rFonts w:ascii="Times New Roman" w:hAnsi="Times New Roman"/>
          <w:color w:val="000000"/>
          <w:sz w:val="20"/>
        </w:rPr>
        <w:t xml:space="preserve"> </w:t>
      </w:r>
      <w:r>
        <w:rPr>
          <w:rFonts w:ascii="Times New Roman" w:hAnsi="Times New Roman"/>
          <w:color w:val="000000"/>
          <w:sz w:val="18"/>
        </w:rPr>
        <w:t xml:space="preserve">YES </w:t>
      </w:r>
      <w:r>
        <w:rPr>
          <w:rFonts w:ascii="Times New Roman" w:hAnsi="Times New Roman"/>
          <w:color w:val="000000"/>
          <w:sz w:val="20"/>
        </w:rPr>
        <w:t xml:space="preserve">☐ </w:t>
      </w:r>
      <w:r>
        <w:rPr>
          <w:rFonts w:ascii="Times New Roman" w:hAnsi="Times New Roman"/>
          <w:color w:val="000000"/>
          <w:sz w:val="18"/>
        </w:rPr>
        <w:t>NO ☒</w:t>
      </w:r>
    </w:p>
    <w:p>
      <w:pPr>
        <w:pStyle w:val="TextBody"/>
        <w:bidi w:val="0"/>
        <w:spacing w:before="0" w:after="180"/>
        <w:jc w:val="both"/>
        <w:rPr>
          <w:rFonts w:ascii="Times New Roman" w:hAnsi="Times New Roman"/>
          <w:sz w:val="20"/>
        </w:rPr>
      </w:pPr>
      <w:r>
        <w:rPr>
          <w:rFonts w:ascii="Times New Roman" w:hAnsi="Times New Roman"/>
          <w:color w:val="000000"/>
          <w:sz w:val="18"/>
        </w:rPr>
        <w:t>As of November 6, 2025, the registrant had 110,988,152</w:t>
      </w:r>
      <w:r>
        <w:rPr>
          <w:rFonts w:ascii="Times New Roman" w:hAnsi="Times New Roman"/>
          <w:color w:val="000000"/>
          <w:sz w:val="20"/>
        </w:rPr>
        <w:t xml:space="preserve"> </w:t>
      </w:r>
      <w:r>
        <w:rPr>
          <w:rFonts w:ascii="Times New Roman" w:hAnsi="Times New Roman"/>
          <w:color w:val="000000"/>
          <w:sz w:val="18"/>
        </w:rPr>
        <w:t>shares of common stock, $0.0001 par value per share, outstanding.</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bookmarkStart w:id="2" w:name="toc_page"/>
      <w:bookmarkEnd w:id="2"/>
      <w:r>
        <w:rPr>
          <w:rFonts w:ascii="Times New Roman" w:hAnsi="Times New Roman"/>
          <w:b/>
          <w:color w:val="000000"/>
          <w:sz w:val="22"/>
        </w:rPr>
        <w:t>TABLE OF CONTENTS</w:t>
      </w:r>
    </w:p>
    <w:p>
      <w:pPr>
        <w:pStyle w:val="TextBody"/>
        <w:bidi w:val="0"/>
        <w:jc w:val="center"/>
        <w:rPr/>
      </w:pPr>
      <w:r>
        <w:rPr/>
        <w:t> </w:t>
      </w:r>
    </w:p>
    <w:p>
      <w:pPr>
        <w:pStyle w:val="TextBody"/>
        <w:bidi w:val="0"/>
        <w:jc w:val="center"/>
        <w:rPr/>
      </w:pPr>
      <w:r>
        <w:rPr/>
        <w:t> </w:t>
      </w:r>
    </w:p>
    <w:tbl>
      <w:tblPr>
        <w:tblW w:w="8568" w:type="dxa"/>
        <w:jc w:val="left"/>
        <w:tblInd w:w="0" w:type="dxa"/>
        <w:tblLayout w:type="fixed"/>
        <w:tblCellMar>
          <w:top w:w="28" w:type="dxa"/>
          <w:left w:w="28" w:type="dxa"/>
          <w:bottom w:w="28" w:type="dxa"/>
          <w:right w:w="28" w:type="dxa"/>
        </w:tblCellMar>
      </w:tblPr>
      <w:tblGrid>
        <w:gridCol w:w="841"/>
        <w:gridCol w:w="7366"/>
        <w:gridCol w:w="361"/>
      </w:tblGrid>
      <w:tr>
        <w:trPr/>
        <w:tc>
          <w:tcPr>
            <w:tcW w:w="841"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1">
              <w:r>
                <w:rPr>
                  <w:rStyle w:val="InternetLink"/>
                  <w:rFonts w:ascii="Times New Roman" w:hAnsi="Times New Roman"/>
                  <w:b/>
                  <w:color w:val="0000FF"/>
                  <w:sz w:val="20"/>
                  <w:u w:val="single"/>
                </w:rPr>
                <w:t>PART I</w:t>
              </w:r>
            </w:hyperlink>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INFORMATION</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1">
              <w:r>
                <w:rPr>
                  <w:rStyle w:val="InternetLink"/>
                  <w:rFonts w:ascii="Times New Roman" w:hAnsi="Times New Roman"/>
                  <w:color w:val="0000FF"/>
                  <w:sz w:val="20"/>
                  <w:u w:val="single"/>
                </w:rPr>
                <w:t>Item 1.</w:t>
              </w:r>
            </w:hyperlink>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s">
              <w:r>
                <w:rPr>
                  <w:rStyle w:val="InternetLink"/>
                  <w:rFonts w:ascii="Times New Roman" w:hAnsi="Times New Roman"/>
                  <w:color w:val="0000FF"/>
                  <w:sz w:val="20"/>
                  <w:u w:val="single"/>
                </w:rPr>
                <w:t>Financial Statements (unaudited)</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left"/>
              <w:rPr/>
            </w:pPr>
            <w:hyperlink w:anchor="bs">
              <w:r>
                <w:rPr>
                  <w:rStyle w:val="InternetLink"/>
                  <w:rFonts w:ascii="Times New Roman" w:hAnsi="Times New Roman"/>
                  <w:color w:val="0000FF"/>
                  <w:sz w:val="20"/>
                  <w:u w:val="single"/>
                </w:rPr>
                <w:t>Condensed Consolidated Balance Sheets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left"/>
              <w:rPr/>
            </w:pPr>
            <w:hyperlink w:anchor="is">
              <w:r>
                <w:rPr>
                  <w:rStyle w:val="InternetLink"/>
                  <w:rFonts w:ascii="Times New Roman" w:hAnsi="Times New Roman"/>
                  <w:color w:val="0000FF"/>
                  <w:sz w:val="20"/>
                  <w:u w:val="single"/>
                </w:rPr>
                <w:t>Condensed Consolidated Statements of Operations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left"/>
              <w:rPr/>
            </w:pPr>
            <w:hyperlink w:anchor="soe">
              <w:r>
                <w:rPr>
                  <w:rStyle w:val="InternetLink"/>
                  <w:rFonts w:ascii="Times New Roman" w:hAnsi="Times New Roman"/>
                  <w:color w:val="0000FF"/>
                  <w:sz w:val="20"/>
                  <w:u w:val="single"/>
                </w:rPr>
                <w:t>Condensed Consolidated Statements of Stockholders’ Equity (Deficit)</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left"/>
              <w:rPr/>
            </w:pPr>
            <w:hyperlink w:anchor="cf">
              <w:r>
                <w:rPr>
                  <w:rStyle w:val="InternetLink"/>
                  <w:rFonts w:ascii="Times New Roman" w:hAnsi="Times New Roman"/>
                  <w:color w:val="0000FF"/>
                  <w:sz w:val="20"/>
                  <w:u w:val="single"/>
                </w:rPr>
                <w:t>Condensed Consolidated Statements of Cash Flows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left"/>
              <w:rPr/>
            </w:pPr>
            <w:hyperlink w:anchor="fs_notes">
              <w:r>
                <w:rPr>
                  <w:rStyle w:val="InternetLink"/>
                  <w:rFonts w:ascii="Times New Roman" w:hAnsi="Times New Roman"/>
                  <w:color w:val="0000FF"/>
                  <w:sz w:val="20"/>
                  <w:u w:val="single"/>
                </w:rPr>
                <w:t>Notes to the Condensed Consolidated Financial Statements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2">
              <w:r>
                <w:rPr>
                  <w:rStyle w:val="InternetLink"/>
                  <w:rFonts w:ascii="Times New Roman" w:hAnsi="Times New Roman"/>
                  <w:color w:val="0000FF"/>
                  <w:sz w:val="20"/>
                  <w:u w:val="single"/>
                </w:rPr>
                <w:t>Item 2.</w:t>
              </w:r>
            </w:hyperlink>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2">
              <w:r>
                <w:rPr>
                  <w:rStyle w:val="InternetLink"/>
                  <w:rFonts w:ascii="Times New Roman" w:hAnsi="Times New Roman"/>
                  <w:color w:val="0000FF"/>
                  <w:sz w:val="20"/>
                  <w:u w:val="single"/>
                </w:rPr>
                <w:t>Management’s Discussion and Analysis of Financial Condition and Results of Operations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3">
              <w:r>
                <w:rPr>
                  <w:rStyle w:val="InternetLink"/>
                  <w:rFonts w:ascii="Times New Roman" w:hAnsi="Times New Roman"/>
                  <w:color w:val="0000FF"/>
                  <w:sz w:val="20"/>
                  <w:u w:val="single"/>
                </w:rPr>
                <w:t>Item 3.</w:t>
              </w:r>
            </w:hyperlink>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3">
              <w:r>
                <w:rPr>
                  <w:rStyle w:val="InternetLink"/>
                  <w:rFonts w:ascii="Times New Roman" w:hAnsi="Times New Roman"/>
                  <w:color w:val="0000FF"/>
                  <w:sz w:val="20"/>
                  <w:u w:val="single"/>
                </w:rPr>
                <w:t>Quantitative and Qualitative Disclosures About Market Risk</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4">
              <w:r>
                <w:rPr>
                  <w:rStyle w:val="InternetLink"/>
                  <w:rFonts w:ascii="Times New Roman" w:hAnsi="Times New Roman"/>
                  <w:color w:val="0000FF"/>
                  <w:sz w:val="20"/>
                  <w:u w:val="single"/>
                </w:rPr>
                <w:t>Item 4.</w:t>
              </w:r>
            </w:hyperlink>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4">
              <w:r>
                <w:rPr>
                  <w:rStyle w:val="InternetLink"/>
                  <w:rFonts w:ascii="Times New Roman" w:hAnsi="Times New Roman"/>
                  <w:color w:val="0000FF"/>
                  <w:sz w:val="20"/>
                  <w:u w:val="single"/>
                </w:rPr>
                <w:t>Controls and Procedures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2item1">
              <w:r>
                <w:rPr>
                  <w:rStyle w:val="InternetLink"/>
                  <w:rFonts w:ascii="Times New Roman" w:hAnsi="Times New Roman"/>
                  <w:b/>
                  <w:color w:val="0000FF"/>
                  <w:sz w:val="20"/>
                  <w:u w:val="single"/>
                </w:rPr>
                <w:t>PART II</w:t>
              </w:r>
            </w:hyperlink>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INFORMATION</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2item1">
              <w:r>
                <w:rPr>
                  <w:rStyle w:val="InternetLink"/>
                  <w:rFonts w:ascii="Times New Roman" w:hAnsi="Times New Roman"/>
                  <w:color w:val="0000FF"/>
                  <w:sz w:val="20"/>
                  <w:u w:val="single"/>
                </w:rPr>
                <w:t>Item 1.</w:t>
              </w:r>
            </w:hyperlink>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2item1">
              <w:r>
                <w:rPr>
                  <w:rStyle w:val="InternetLink"/>
                  <w:rFonts w:ascii="Times New Roman" w:hAnsi="Times New Roman"/>
                  <w:color w:val="0000FF"/>
                  <w:sz w:val="20"/>
                  <w:u w:val="single"/>
                </w:rPr>
                <w:t>Legal Proceedings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2item2">
              <w:r>
                <w:rPr>
                  <w:rStyle w:val="InternetLink"/>
                  <w:rFonts w:ascii="Times New Roman" w:hAnsi="Times New Roman"/>
                  <w:color w:val="0000FF"/>
                  <w:sz w:val="20"/>
                  <w:u w:val="single"/>
                </w:rPr>
                <w:t>Item 1A.</w:t>
              </w:r>
            </w:hyperlink>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2item1a">
              <w:r>
                <w:rPr>
                  <w:rStyle w:val="InternetLink"/>
                  <w:rFonts w:ascii="Times New Roman" w:hAnsi="Times New Roman"/>
                  <w:color w:val="0000FF"/>
                  <w:sz w:val="20"/>
                  <w:u w:val="single"/>
                </w:rPr>
                <w:t>Risk Factors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2item3">
              <w:r>
                <w:rPr>
                  <w:rStyle w:val="InternetLink"/>
                  <w:rFonts w:ascii="Times New Roman" w:hAnsi="Times New Roman"/>
                  <w:color w:val="0000FF"/>
                  <w:sz w:val="20"/>
                  <w:u w:val="single"/>
                </w:rPr>
                <w:t>Item 2.</w:t>
              </w:r>
            </w:hyperlink>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2item2">
              <w:r>
                <w:rPr>
                  <w:rStyle w:val="InternetLink"/>
                  <w:rFonts w:ascii="Times New Roman" w:hAnsi="Times New Roman"/>
                  <w:color w:val="0000FF"/>
                  <w:sz w:val="20"/>
                  <w:u w:val="single"/>
                </w:rPr>
                <w:t>Unregistered Sales of Equity Securities and Use of Proceeds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2item3">
              <w:r>
                <w:rPr>
                  <w:rStyle w:val="InternetLink"/>
                  <w:rFonts w:ascii="Times New Roman" w:hAnsi="Times New Roman"/>
                  <w:color w:val="0000FF"/>
                  <w:sz w:val="20"/>
                  <w:u w:val="single"/>
                </w:rPr>
                <w:t>Item 3.</w:t>
              </w:r>
            </w:hyperlink>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2item3">
              <w:r>
                <w:rPr>
                  <w:rStyle w:val="InternetLink"/>
                  <w:rFonts w:ascii="Times New Roman" w:hAnsi="Times New Roman"/>
                  <w:color w:val="0000FF"/>
                  <w:sz w:val="20"/>
                  <w:u w:val="single"/>
                </w:rPr>
                <w:t>Defaults Upon Senior Securities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2item4">
              <w:r>
                <w:rPr>
                  <w:rStyle w:val="InternetLink"/>
                  <w:rFonts w:ascii="Times New Roman" w:hAnsi="Times New Roman"/>
                  <w:color w:val="0000FF"/>
                  <w:sz w:val="20"/>
                  <w:u w:val="single"/>
                </w:rPr>
                <w:t>Item 4.</w:t>
              </w:r>
            </w:hyperlink>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2item4">
              <w:r>
                <w:rPr>
                  <w:rStyle w:val="InternetLink"/>
                  <w:rFonts w:ascii="Times New Roman" w:hAnsi="Times New Roman"/>
                  <w:color w:val="0000FF"/>
                  <w:sz w:val="20"/>
                  <w:u w:val="single"/>
                </w:rPr>
                <w:t>Mine Safety Disclosures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2item5">
              <w:r>
                <w:rPr>
                  <w:rStyle w:val="InternetLink"/>
                  <w:rFonts w:ascii="Times New Roman" w:hAnsi="Times New Roman"/>
                  <w:color w:val="0000FF"/>
                  <w:sz w:val="20"/>
                  <w:u w:val="single"/>
                </w:rPr>
                <w:t>Item 5.</w:t>
              </w:r>
            </w:hyperlink>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2item5">
              <w:r>
                <w:rPr>
                  <w:rStyle w:val="InternetLink"/>
                  <w:rFonts w:ascii="Times New Roman" w:hAnsi="Times New Roman"/>
                  <w:color w:val="0000FF"/>
                  <w:sz w:val="20"/>
                  <w:u w:val="single"/>
                </w:rPr>
                <w:t>Other Information</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2item6">
              <w:r>
                <w:rPr>
                  <w:rStyle w:val="InternetLink"/>
                  <w:rFonts w:ascii="Times New Roman" w:hAnsi="Times New Roman"/>
                  <w:color w:val="0000FF"/>
                  <w:sz w:val="20"/>
                  <w:u w:val="single"/>
                </w:rPr>
                <w:t>Item 6.</w:t>
              </w:r>
            </w:hyperlink>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2item6">
              <w:r>
                <w:rPr>
                  <w:rStyle w:val="InternetLink"/>
                  <w:rFonts w:ascii="Times New Roman" w:hAnsi="Times New Roman"/>
                  <w:color w:val="0000FF"/>
                  <w:sz w:val="20"/>
                  <w:u w:val="single"/>
                </w:rPr>
                <w:t>Exhibits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r>
      <w:tr>
        <w:trPr/>
        <w:tc>
          <w:tcPr>
            <w:tcW w:w="82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2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jc w:val="center"/>
        <w:rPr/>
      </w:pPr>
      <w:r>
        <w:rPr/>
        <w:t> </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Quarterly Report on Form 10-Q (this “Quarterly Report”) of Blaize Holdings, Inc. (“Blaize,” “we,” “our,” or “us,”) contains certain forward-looking statements within the meaning of Section 27A of the Securities Act of 1933, as amended (the “Securities Act”), and Section 21E of the Securities Exchange Act of 1934, as amended (the “Exchange Act”). Forward-looking statements relate to future events or future performance and include, without limitation, statements concerning our business strategy, future revenues, market growth, capital requirements, product introductions, expansion plans and the adequacy of our funding. Other statements contained in this Quarterly Report that are not historical facts are also forward-looking statements. We have tried, wherever possible, to identify forward-looking statements by terminology such as “may,” “will,” “could,” “should,” “expects,” “anticipates,” “intends,” “plans,” “believes,” “seeks,” “estimates,” “continue,” “might,” “possible,” “potential,” “predict,” “project,” “goal,” “would,” “commit” and other stylistic variants denoting forward-looking statements.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caution investors that any forward-looking statements presented in this Quarterly Report, or that we may make orally or in writing from time to time, are based on information currently available, as well as our beliefs and assumptions. The actual outcome related to forward-looking statements will be affected by known and unknown risks, trends, uncertainties, and factors that are beyond our control or ability to predict. Although we believe that our assumptions are reasonable, they are not guarantees of future performance, and some will inevitably prove to be incorrect. As a result, our actual future results can be expected to differ from our expectations, and those differences may be material. Accordingly, investors should use caution in relying on forward-looking statements, which are based only on known results and trends at the time they are made, to anticipate future results or trends.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forward-looking statements contained in this Quarterly Report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changes in domestic and foreign business, market, financial, political and legal conditions; the expected benefits of the Business Combination, as defined in Note 1 included in Item 1. of Part I. of this Quarterly Report, are not obtained; the ability to meet stock exchange listing standards following the consummation of the Business Combination; the risk that the Business Combination disrupts current plans and operations of Blaize as a result of the consummation of the Business Combination; failure to realize the anticipated benefits of the Business Combination, which may be affected by, among other things, competition, the ability of the combined company to grow and manage growth profitably, maintain relationships with customers and suppliers and retain its management and key employees; costs related to the Business Combination; changes in applicable law or regulations; the outcome of any legal proceedings that may be instituted against Blaize; the effects of competition on Blaize’s future business; the ability of the combined company to issue equity or equity-linked securities or obtain debt financing; the enforceability of Blaize intellectual property rights, including its copyrights, patents, trademarks and trade secrets, and the potential infringement on the intellectual property rights of others; risks related to human capital; risks related to cybersecurity and data privacy; the outcome of any government and regulatory proceedings and investigations and inquiries; and those factors in the other documents filed by Blaize from time to time with the U.S. Securities and Exchange Commission (“SEC”). The discussion in this Quarterly Report should be read in conjunction with the condensed consolidated financial statements and notes thereto included in Item 1. of Part I. of this Quarterly Report.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This Quarterly Report and all subsequent written and oral forward-looking statements attributable to us or any person acting on our behalf are expressly qualified in their entirety by the cautionary statements contained or referred to in this section. We do not undertake any obligation to release publicly any revisions to our forward-looking statements to reflect events or circumstances after the date of this Quarterly Report, except as may be required by law. </w:t>
      </w:r>
    </w:p>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PART I. FINANCIAL INFORMATION</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b/>
          <w:color w:val="000000"/>
          <w:sz w:val="20"/>
        </w:rPr>
      </w:pPr>
      <w:bookmarkStart w:id="3" w:name="item1"/>
      <w:bookmarkEnd w:id="3"/>
      <w:r>
        <w:rPr>
          <w:rFonts w:ascii="Times New Roman" w:hAnsi="Times New Roman"/>
          <w:b/>
          <w:color w:val="000000"/>
          <w:sz w:val="20"/>
        </w:rPr>
        <w:t>Item 1. Financial Statements (Unaudited)</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BLAIZE HOLDINGS, INC.</w:t>
      </w:r>
    </w:p>
    <w:p>
      <w:pPr>
        <w:pStyle w:val="TextBody"/>
        <w:bidi w:val="0"/>
        <w:jc w:val="center"/>
        <w:rPr>
          <w:rFonts w:ascii="Times New Roman" w:hAnsi="Times New Roman"/>
          <w:b/>
          <w:color w:val="000000"/>
          <w:sz w:val="20"/>
        </w:rPr>
      </w:pPr>
      <w:bookmarkStart w:id="4" w:name="bs"/>
      <w:bookmarkEnd w:id="4"/>
      <w:r>
        <w:rPr>
          <w:rFonts w:ascii="Times New Roman" w:hAnsi="Times New Roman"/>
          <w:b/>
          <w:color w:val="000000"/>
          <w:sz w:val="20"/>
        </w:rPr>
        <w:t>CONDENSED CONSOLIDATED BALANCE SHEETS</w:t>
      </w:r>
    </w:p>
    <w:p>
      <w:pPr>
        <w:pStyle w:val="TextBody"/>
        <w:bidi w:val="0"/>
        <w:jc w:val="center"/>
        <w:rPr>
          <w:rFonts w:ascii="Times New Roman" w:hAnsi="Times New Roman"/>
          <w:b/>
          <w:i/>
          <w:color w:val="000000"/>
          <w:sz w:val="16"/>
        </w:rPr>
      </w:pPr>
      <w:r>
        <w:rPr>
          <w:rFonts w:ascii="Times New Roman" w:hAnsi="Times New Roman"/>
          <w:b/>
          <w:i/>
          <w:color w:val="000000"/>
          <w:sz w:val="16"/>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013"/>
        <w:gridCol w:w="146"/>
        <w:gridCol w:w="236"/>
        <w:gridCol w:w="940"/>
        <w:gridCol w:w="166"/>
        <w:gridCol w:w="146"/>
        <w:gridCol w:w="233"/>
        <w:gridCol w:w="932"/>
        <w:gridCol w:w="393"/>
      </w:tblGrid>
      <w:tr>
        <w:trPr/>
        <w:tc>
          <w:tcPr>
            <w:tcW w:w="70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70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(Amounts in thousands, except shares and per share amounts)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50,237</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 related party,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8,561</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14,837</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73,690</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2,081</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income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60,904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80,516</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7,904</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11,996</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loss on purchase commitments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1,613</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2,109</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Working capital loan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Advances from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14,711</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148,629</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188,143</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earnout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1,670</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59,598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190,979</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 $0.0001 par value; 600,000,000 and 136,562,809 shares authorized as of September 30, 2025 and December 31, 2024, respectively, and 106,754,588 and 48,376,052 shares issued and outstanding as of September 30,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634,154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318,783</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(632,859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(429,251</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(110,463</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70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60,904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80,516</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BLAIZE HOLDINGS,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OPERATIONS</w:t>
      </w:r>
    </w:p>
    <w:p>
      <w:pPr>
        <w:pStyle w:val="TextBody"/>
        <w:bidi w:val="0"/>
        <w:jc w:val="center"/>
        <w:rPr>
          <w:rFonts w:ascii="Times New Roman" w:hAnsi="Times New Roman"/>
          <w:b/>
          <w:i/>
          <w:color w:val="000000"/>
          <w:sz w:val="16"/>
        </w:rPr>
      </w:pPr>
      <w:r>
        <w:rPr>
          <w:rFonts w:ascii="Times New Roman" w:hAnsi="Times New Roman"/>
          <w:b/>
          <w:i/>
          <w:color w:val="000000"/>
          <w:sz w:val="16"/>
        </w:rPr>
        <w:t>(Unaudited)</w:t>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34"/>
        <w:gridCol w:w="146"/>
        <w:gridCol w:w="211"/>
        <w:gridCol w:w="1141"/>
        <w:gridCol w:w="166"/>
        <w:gridCol w:w="146"/>
        <w:gridCol w:w="211"/>
        <w:gridCol w:w="1036"/>
        <w:gridCol w:w="166"/>
        <w:gridCol w:w="146"/>
        <w:gridCol w:w="211"/>
        <w:gridCol w:w="1141"/>
        <w:gridCol w:w="166"/>
        <w:gridCol w:w="146"/>
        <w:gridCol w:w="211"/>
        <w:gridCol w:w="1036"/>
        <w:gridCol w:w="491"/>
      </w:tblGrid>
      <w:tr>
        <w:trPr/>
        <w:tc>
          <w:tcPr>
            <w:tcW w:w="34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(Amounts in thousands, except shares and per share amounts)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Hardware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Software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Hardware revenue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Software revenue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Engineering services revenue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43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514</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43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15,765</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14,538</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Transaction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43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31,154</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(22,585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(11,368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(82,489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(30,640</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4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Debt financing charge on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(loss) on foreign exchange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(165,703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(25,921</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other earnout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unissued shares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committed equity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43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(23,515</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(203,386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(54,155</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(26,258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(25,607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(203,608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(54,503</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4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103,585,681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17,478,371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100,130,737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17,466,606</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bookmarkStart w:id="5" w:name="is"/>
      <w:bookmarkEnd w:id="5"/>
      <w:r>
        <w:rPr>
          <w:rFonts w:ascii="Times New Roman" w:hAnsi="Times New Roman"/>
          <w:color w:val="000000"/>
          <w:sz w:val="20"/>
        </w:rPr>
        <w:t>The accompanying notes are an integral part of these condensed consolidated financial statements.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BLAIZE HOLDINGS,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STOCKHOLDERS’ EQUITY (DEFICIT)</w:t>
      </w:r>
    </w:p>
    <w:p>
      <w:pPr>
        <w:pStyle w:val="TextBody"/>
        <w:bidi w:val="0"/>
        <w:jc w:val="center"/>
        <w:rPr>
          <w:rFonts w:ascii="Times New Roman" w:hAnsi="Times New Roman"/>
          <w:b/>
          <w:color w:val="000000"/>
          <w:sz w:val="20"/>
        </w:rPr>
      </w:pPr>
      <w:r>
        <w:rPr>
          <w:rFonts w:ascii="Times New Roman" w:hAnsi="Times New Roman"/>
          <w:b/>
          <w:color w:val="000000"/>
          <w:sz w:val="20"/>
        </w:rPr>
        <w:t>NINE MONTHS ENDED SEPTEMBER 30, 2025 AND 2024</w:t>
      </w:r>
    </w:p>
    <w:p>
      <w:pPr>
        <w:pStyle w:val="TextBody"/>
        <w:bidi w:val="0"/>
        <w:jc w:val="center"/>
        <w:rPr>
          <w:rFonts w:ascii="Times New Roman" w:hAnsi="Times New Roman"/>
          <w:b/>
          <w:i/>
          <w:color w:val="000000"/>
          <w:sz w:val="16"/>
        </w:rPr>
      </w:pPr>
      <w:r>
        <w:rPr>
          <w:rFonts w:ascii="Times New Roman" w:hAnsi="Times New Roman"/>
          <w:b/>
          <w:i/>
          <w:color w:val="000000"/>
          <w:sz w:val="16"/>
        </w:rPr>
        <w:t>(Unaudited)</w:t>
      </w:r>
    </w:p>
    <w:p>
      <w:pPr>
        <w:pStyle w:val="TextBody"/>
        <w:bidi w:val="0"/>
        <w:jc w:val="center"/>
        <w:rPr/>
      </w:pPr>
      <w:r>
        <w:rPr/>
        <w:t> </w:t>
      </w:r>
    </w:p>
    <w:tbl>
      <w:tblPr>
        <w:tblW w:w="13045" w:type="dxa"/>
        <w:jc w:val="left"/>
        <w:tblInd w:w="0" w:type="dxa"/>
        <w:tblLayout w:type="fixed"/>
        <w:tblCellMar>
          <w:top w:w="28" w:type="dxa"/>
          <w:left w:w="28" w:type="dxa"/>
          <w:bottom w:w="28" w:type="dxa"/>
          <w:right w:w="28" w:type="dxa"/>
        </w:tblCellMar>
      </w:tblPr>
      <w:tblGrid>
        <w:gridCol w:w="1101"/>
        <w:gridCol w:w="146"/>
        <w:gridCol w:w="146"/>
        <w:gridCol w:w="811"/>
        <w:gridCol w:w="151"/>
        <w:gridCol w:w="146"/>
        <w:gridCol w:w="181"/>
        <w:gridCol w:w="631"/>
        <w:gridCol w:w="151"/>
        <w:gridCol w:w="146"/>
        <w:gridCol w:w="146"/>
        <w:gridCol w:w="736"/>
        <w:gridCol w:w="151"/>
        <w:gridCol w:w="146"/>
        <w:gridCol w:w="181"/>
        <w:gridCol w:w="556"/>
        <w:gridCol w:w="151"/>
        <w:gridCol w:w="146"/>
        <w:gridCol w:w="146"/>
        <w:gridCol w:w="841"/>
        <w:gridCol w:w="146"/>
        <w:gridCol w:w="146"/>
        <w:gridCol w:w="181"/>
        <w:gridCol w:w="346"/>
        <w:gridCol w:w="146"/>
        <w:gridCol w:w="146"/>
        <w:gridCol w:w="146"/>
        <w:gridCol w:w="556"/>
        <w:gridCol w:w="151"/>
        <w:gridCol w:w="146"/>
        <w:gridCol w:w="181"/>
        <w:gridCol w:w="346"/>
        <w:gridCol w:w="146"/>
        <w:gridCol w:w="146"/>
        <w:gridCol w:w="181"/>
        <w:gridCol w:w="631"/>
        <w:gridCol w:w="151"/>
        <w:gridCol w:w="146"/>
        <w:gridCol w:w="181"/>
        <w:gridCol w:w="631"/>
        <w:gridCol w:w="151"/>
        <w:gridCol w:w="146"/>
        <w:gridCol w:w="181"/>
        <w:gridCol w:w="631"/>
        <w:gridCol w:w="276"/>
      </w:tblGrid>
      <w:tr>
        <w:trPr/>
        <w:tc>
          <w:tcPr>
            <w:tcW w:w="1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11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Redeemable Convertible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 Subject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46"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Stockholders’ Equity (Deficit)</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Preferred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 Possible Redemption</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Treasury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 Stockholders’</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(Amounts in thousands, except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Paid-in 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 (Deficit)</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34,712,525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173,347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13,663,527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96,887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145,441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(429,251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(283,810</w:t>
            </w:r>
          </w:p>
        </w:tc>
        <w:tc>
          <w:tcPr>
            <w:tcW w:w="27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b/>
                <w:color w:val="000000"/>
                <w:sz w:val="14"/>
              </w:rPr>
            </w:pPr>
            <w:r>
              <w:rPr>
                <w:rFonts w:ascii="Times New Roman" w:hAnsi="Times New Roman"/>
                <w:b/>
                <w:color w:val="000000"/>
                <w:sz w:val="14"/>
              </w:rPr>
              <w:t>)</w:t>
            </w:r>
          </w:p>
        </w:tc>
      </w:tr>
      <w:tr>
        <w:trPr/>
        <w:tc>
          <w:tcPr>
            <w:tcW w:w="110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color w:val="000000"/>
              </w:rPr>
            </w:pPr>
            <w:r>
              <w:rPr>
                <w:color w:val="000000"/>
              </w:rPr>
              <w:t> </w:t>
            </w:r>
            <w:r>
              <w:rPr>
                <w:rFonts w:ascii="Times New Roman" w:hAnsi="Times New Roman"/>
                <w:color w:val="000000"/>
                <w:sz w:val="14"/>
              </w:rPr>
              <w:t>Retroactive application of recapitalization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(34,712,525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(173,347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34,712,525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(96,887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173,342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173,347</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Adjusted balance -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48,376,052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318,783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(429,251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(110,463</w:t>
            </w:r>
          </w:p>
        </w:tc>
        <w:tc>
          <w:tcPr>
            <w:tcW w:w="27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w:t>
            </w:r>
          </w:p>
        </w:tc>
      </w:tr>
      <w:tr>
        <w:trPr/>
        <w:tc>
          <w:tcPr>
            <w:tcW w:w="110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color w:val="000000"/>
              </w:rPr>
            </w:pPr>
            <w:r>
              <w:rPr>
                <w:color w:val="000000"/>
              </w:rPr>
              <w:t> </w:t>
            </w:r>
            <w:r>
              <w:rPr>
                <w:rFonts w:ascii="Times New Roman" w:hAnsi="Times New Roman"/>
                <w:color w:val="000000"/>
                <w:sz w:val="14"/>
              </w:rPr>
              <w:t>Conversion of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31,433,259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314,331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314,334</w:t>
            </w:r>
          </w:p>
        </w:tc>
        <w:tc>
          <w:tcPr>
            <w:tcW w:w="27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10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color w:val="000000"/>
              </w:rPr>
            </w:pPr>
            <w:r>
              <w:rPr>
                <w:color w:val="000000"/>
              </w:rPr>
              <w:t> </w:t>
            </w:r>
            <w:r>
              <w:rPr>
                <w:rFonts w:ascii="Times New Roman" w:hAnsi="Times New Roman"/>
                <w:color w:val="000000"/>
                <w:sz w:val="14"/>
              </w:rPr>
              <w:t>Net exercise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7,505,657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75,056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75,057</w:t>
            </w:r>
          </w:p>
        </w:tc>
        <w:tc>
          <w:tcPr>
            <w:tcW w:w="27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10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color w:val="000000"/>
              </w:rPr>
            </w:pPr>
            <w:r>
              <w:rPr>
                <w:color w:val="000000"/>
              </w:rPr>
              <w:t> </w:t>
            </w:r>
            <w:r>
              <w:rPr>
                <w:rFonts w:ascii="Times New Roman" w:hAnsi="Times New Roman"/>
                <w:color w:val="000000"/>
                <w:sz w:val="14"/>
              </w:rPr>
              <w:t>Merger and PIPE financing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2,854,242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33,061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11,408,957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(126,165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(126,164</w:t>
            </w:r>
          </w:p>
        </w:tc>
        <w:tc>
          <w:tcPr>
            <w:tcW w:w="27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w:t>
            </w:r>
          </w:p>
        </w:tc>
      </w:tr>
      <w:tr>
        <w:trPr/>
        <w:tc>
          <w:tcPr>
            <w:tcW w:w="110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color w:val="000000"/>
              </w:rPr>
            </w:pPr>
            <w:r>
              <w:rPr>
                <w:color w:val="000000"/>
              </w:rPr>
              <w:t> </w:t>
            </w:r>
            <w:r>
              <w:rPr>
                <w:rFonts w:ascii="Times New Roman" w:hAnsi="Times New Roman"/>
                <w:color w:val="000000"/>
                <w:sz w:val="14"/>
              </w:rPr>
              <w:t>Payment of shareholder note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w:t>
            </w:r>
          </w:p>
        </w:tc>
        <w:tc>
          <w:tcPr>
            <w:tcW w:w="27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10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color w:val="000000"/>
              </w:rPr>
            </w:pPr>
            <w:r>
              <w:rPr>
                <w:color w:val="000000"/>
              </w:rPr>
              <w:t> </w:t>
            </w:r>
            <w:r>
              <w:rPr>
                <w:rFonts w:ascii="Times New Roman" w:hAnsi="Times New Roman"/>
                <w:color w:val="000000"/>
                <w:sz w:val="14"/>
              </w:rPr>
              <w:t>Issuance of common stock to advisors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873,486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2,538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2,538</w:t>
            </w:r>
          </w:p>
        </w:tc>
        <w:tc>
          <w:tcPr>
            <w:tcW w:w="27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10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color w:val="000000"/>
              </w:rPr>
            </w:pPr>
            <w:r>
              <w:rPr>
                <w:color w:val="000000"/>
              </w:rPr>
              <w:t> </w:t>
            </w:r>
            <w:r>
              <w:rPr>
                <w:rFonts w:ascii="Times New Roman" w:hAnsi="Times New Roman"/>
                <w:color w:val="000000"/>
                <w:sz w:val="14"/>
              </w:rPr>
              <w:t>Issuance of common stock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167</w:t>
            </w:r>
          </w:p>
        </w:tc>
        <w:tc>
          <w:tcPr>
            <w:tcW w:w="27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10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color w:val="000000"/>
              </w:rPr>
            </w:pPr>
            <w:r>
              <w:rPr>
                <w:color w:val="000000"/>
              </w:rPr>
              <w:t> </w:t>
            </w:r>
            <w:r>
              <w:rPr>
                <w:rFonts w:ascii="Times New Roman" w:hAnsi="Times New Roman"/>
                <w:color w:val="000000"/>
                <w:sz w:val="14"/>
              </w:rPr>
              <w:t>Increase in redemption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10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color w:val="000000"/>
              </w:rPr>
            </w:pPr>
            <w:r>
              <w:rPr>
                <w:color w:val="000000"/>
              </w:rPr>
              <w:t> </w:t>
            </w:r>
            <w:r>
              <w:rPr>
                <w:rFonts w:ascii="Times New Roman" w:hAnsi="Times New Roman"/>
                <w:color w:val="000000"/>
                <w:sz w:val="14"/>
              </w:rPr>
              <w:t>Redemption of common stock subject to possible redemption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(2,800,489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(33,157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10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color w:val="000000"/>
              </w:rPr>
            </w:pPr>
            <w:r>
              <w:rPr>
                <w:color w:val="000000"/>
              </w:rPr>
              <w:t> </w:t>
            </w:r>
            <w:r>
              <w:rPr>
                <w:rFonts w:ascii="Times New Roman" w:hAnsi="Times New Roman"/>
                <w:color w:val="000000"/>
                <w:sz w:val="14"/>
              </w:rPr>
              <w:t>Lapse of redemption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(53,753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53,753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503</w:t>
            </w:r>
          </w:p>
        </w:tc>
        <w:tc>
          <w:tcPr>
            <w:tcW w:w="27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10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color w:val="000000"/>
              </w:rPr>
            </w:pPr>
            <w:r>
              <w:rPr>
                <w:color w:val="000000"/>
              </w:rPr>
              <w:t> </w:t>
            </w:r>
            <w:r>
              <w:rPr>
                <w:rFonts w:ascii="Times New Roman" w:hAnsi="Times New Roman"/>
                <w:color w:val="000000"/>
                <w:sz w:val="14"/>
              </w:rPr>
              <w:t>Exercises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w:t>
            </w:r>
          </w:p>
        </w:tc>
        <w:tc>
          <w:tcPr>
            <w:tcW w:w="27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10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color w:val="000000"/>
              </w:rPr>
            </w:pPr>
            <w:r>
              <w:rPr>
                <w:color w:val="000000"/>
              </w:rPr>
              <w:t> </w:t>
            </w:r>
            <w:r>
              <w:rPr>
                <w:rFonts w:ascii="Times New Roman" w:hAnsi="Times New Roman"/>
                <w:color w:val="000000"/>
                <w:sz w:val="14"/>
              </w:rPr>
              <w:t>Releases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1,331,257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10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color w:val="000000"/>
              </w:rPr>
            </w:pPr>
            <w:r>
              <w:rPr>
                <w:color w:val="000000"/>
              </w:rPr>
              <w:t> </w:t>
            </w:r>
            <w:r>
              <w:rPr>
                <w:rFonts w:ascii="Times New Roman" w:hAnsi="Times New Roman"/>
                <w:color w:val="000000"/>
                <w:sz w:val="14"/>
              </w:rPr>
              <w:t>Common stock issued under the committed equity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5,673,734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20,388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20,389</w:t>
            </w:r>
          </w:p>
        </w:tc>
        <w:tc>
          <w:tcPr>
            <w:tcW w:w="27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10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color w:val="000000"/>
              </w:rPr>
            </w:pPr>
            <w:r>
              <w:rPr>
                <w:color w:val="000000"/>
              </w:rPr>
              <w:t> </w:t>
            </w:r>
            <w:r>
              <w:rPr>
                <w:rFonts w:ascii="Times New Roman" w:hAnsi="Times New Roman"/>
                <w:color w:val="000000"/>
                <w:sz w:val="14"/>
              </w:rPr>
              <w:t>Committed equity facility fee settled in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83,353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243</w:t>
            </w:r>
          </w:p>
        </w:tc>
        <w:tc>
          <w:tcPr>
            <w:tcW w:w="27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10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color w:val="000000"/>
              </w:rPr>
            </w:pPr>
            <w:r>
              <w:rPr>
                <w:color w:val="000000"/>
              </w:rPr>
              <w:t> </w:t>
            </w:r>
            <w:r>
              <w:rPr>
                <w:rFonts w:ascii="Times New Roman" w:hAnsi="Times New Roman"/>
                <w:color w:val="000000"/>
                <w:sz w:val="14"/>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28,092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28,092</w:t>
            </w:r>
          </w:p>
        </w:tc>
        <w:tc>
          <w:tcPr>
            <w:tcW w:w="27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10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color w:val="000000"/>
              </w:rPr>
            </w:pPr>
            <w:r>
              <w:rPr>
                <w:color w:val="000000"/>
              </w:rPr>
              <w:t> </w:t>
            </w:r>
            <w:r>
              <w:rPr>
                <w:rFonts w:ascii="Times New Roman" w:hAnsi="Times New Roman"/>
                <w:color w:val="000000"/>
                <w:sz w:val="14"/>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(203,608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(203,608</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1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Balance as of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106,754,588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634,154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(632,859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1,306</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tbl>
      <w:tblPr>
        <w:tblW w:w="12310" w:type="dxa"/>
        <w:jc w:val="left"/>
        <w:tblInd w:w="0" w:type="dxa"/>
        <w:tblLayout w:type="fixed"/>
        <w:tblCellMar>
          <w:top w:w="28" w:type="dxa"/>
          <w:left w:w="28" w:type="dxa"/>
          <w:bottom w:w="28" w:type="dxa"/>
          <w:right w:w="28" w:type="dxa"/>
        </w:tblCellMar>
      </w:tblPr>
      <w:tblGrid>
        <w:gridCol w:w="1101"/>
        <w:gridCol w:w="146"/>
        <w:gridCol w:w="146"/>
        <w:gridCol w:w="811"/>
        <w:gridCol w:w="151"/>
        <w:gridCol w:w="146"/>
        <w:gridCol w:w="181"/>
        <w:gridCol w:w="631"/>
        <w:gridCol w:w="151"/>
        <w:gridCol w:w="146"/>
        <w:gridCol w:w="146"/>
        <w:gridCol w:w="346"/>
        <w:gridCol w:w="146"/>
        <w:gridCol w:w="146"/>
        <w:gridCol w:w="181"/>
        <w:gridCol w:w="346"/>
        <w:gridCol w:w="146"/>
        <w:gridCol w:w="146"/>
        <w:gridCol w:w="146"/>
        <w:gridCol w:w="766"/>
        <w:gridCol w:w="146"/>
        <w:gridCol w:w="146"/>
        <w:gridCol w:w="181"/>
        <w:gridCol w:w="346"/>
        <w:gridCol w:w="146"/>
        <w:gridCol w:w="146"/>
        <w:gridCol w:w="146"/>
        <w:gridCol w:w="556"/>
        <w:gridCol w:w="151"/>
        <w:gridCol w:w="146"/>
        <w:gridCol w:w="181"/>
        <w:gridCol w:w="346"/>
        <w:gridCol w:w="146"/>
        <w:gridCol w:w="146"/>
        <w:gridCol w:w="181"/>
        <w:gridCol w:w="586"/>
        <w:gridCol w:w="146"/>
        <w:gridCol w:w="146"/>
        <w:gridCol w:w="181"/>
        <w:gridCol w:w="631"/>
        <w:gridCol w:w="151"/>
        <w:gridCol w:w="146"/>
        <w:gridCol w:w="181"/>
        <w:gridCol w:w="631"/>
        <w:gridCol w:w="276"/>
      </w:tblGrid>
      <w:tr>
        <w:trPr/>
        <w:tc>
          <w:tcPr>
            <w:tcW w:w="1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11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Redeemable Convertible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 Subject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1"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Stockholders’ Deficit</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Preferred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 Possible Redemption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Treasury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 Stockholders’</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(Amounts in thousands, except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Paid-in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Balance as of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34,712,525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173,347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13,613,269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96,887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141,496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(368,056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(226,560</w:t>
            </w:r>
          </w:p>
        </w:tc>
        <w:tc>
          <w:tcPr>
            <w:tcW w:w="27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w:t>
            </w:r>
          </w:p>
        </w:tc>
      </w:tr>
      <w:tr>
        <w:trPr/>
        <w:tc>
          <w:tcPr>
            <w:tcW w:w="110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color w:val="000000"/>
              </w:rPr>
            </w:pPr>
            <w:r>
              <w:rPr>
                <w:color w:val="000000"/>
              </w:rPr>
              <w:t> </w:t>
            </w:r>
            <w:r>
              <w:rPr>
                <w:rFonts w:ascii="Times New Roman" w:hAnsi="Times New Roman"/>
                <w:color w:val="000000"/>
                <w:sz w:val="14"/>
              </w:rPr>
              <w:t>Retroactive application of recapitalization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(34,712,525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(173,347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34,712,525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(96,887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173,342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173,347</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Adjusted balance -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48,325,794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314,838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(368,056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(53,213</w:t>
            </w:r>
          </w:p>
        </w:tc>
        <w:tc>
          <w:tcPr>
            <w:tcW w:w="27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w:t>
            </w:r>
          </w:p>
        </w:tc>
      </w:tr>
      <w:tr>
        <w:trPr/>
        <w:tc>
          <w:tcPr>
            <w:tcW w:w="110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color w:val="000000"/>
              </w:rPr>
            </w:pPr>
            <w:r>
              <w:rPr>
                <w:color w:val="000000"/>
              </w:rPr>
              <w:t> </w:t>
            </w:r>
            <w:r>
              <w:rPr>
                <w:rFonts w:ascii="Times New Roman" w:hAnsi="Times New Roman"/>
                <w:color w:val="000000"/>
                <w:sz w:val="14"/>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27,821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w:t>
            </w:r>
          </w:p>
        </w:tc>
        <w:tc>
          <w:tcPr>
            <w:tcW w:w="27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10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color w:val="000000"/>
              </w:rPr>
            </w:pPr>
            <w:r>
              <w:rPr>
                <w:color w:val="000000"/>
              </w:rPr>
              <w:t> </w:t>
            </w:r>
            <w:r>
              <w:rPr>
                <w:rFonts w:ascii="Times New Roman" w:hAnsi="Times New Roman"/>
                <w:color w:val="000000"/>
                <w:sz w:val="14"/>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1,042</w:t>
            </w:r>
          </w:p>
        </w:tc>
        <w:tc>
          <w:tcPr>
            <w:tcW w:w="27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10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color w:val="000000"/>
              </w:rPr>
            </w:pPr>
            <w:r>
              <w:rPr>
                <w:color w:val="000000"/>
              </w:rPr>
              <w:t> </w:t>
            </w:r>
            <w:r>
              <w:rPr>
                <w:rFonts w:ascii="Times New Roman" w:hAnsi="Times New Roman"/>
                <w:color w:val="000000"/>
                <w:sz w:val="14"/>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(54,503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(54,503</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1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Balance as of September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48,353,615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315,960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(422,559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(106,594</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r>
    </w:tbl>
    <w:p>
      <w:pPr>
        <w:pStyle w:val="TextBody"/>
        <w:bidi w:val="0"/>
        <w:jc w:val="center"/>
        <w:rPr/>
      </w:pPr>
      <w:r>
        <w:rPr/>
        <w:t> </w:t>
      </w:r>
    </w:p>
    <w:p>
      <w:pPr>
        <w:pStyle w:val="TextBody"/>
        <w:bidi w:val="0"/>
        <w:jc w:val="center"/>
        <w:rPr>
          <w:rFonts w:ascii="Times New Roman" w:hAnsi="Times New Roman"/>
          <w:color w:val="000000"/>
          <w:sz w:val="20"/>
        </w:rPr>
      </w:pPr>
      <w:bookmarkStart w:id="6" w:name="soe"/>
      <w:bookmarkEnd w:id="6"/>
      <w:r>
        <w:rPr>
          <w:rFonts w:ascii="Times New Roman" w:hAnsi="Times New Roman"/>
          <w:color w:val="000000"/>
          <w:sz w:val="20"/>
        </w:rPr>
        <w:t>The accompanying notes are an integral part of these condensed consolidated financial statements.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BLAIZE HOLDINGS,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STOCKHOLDERS’ EQUITY (DEFICIT)</w:t>
      </w:r>
    </w:p>
    <w:p>
      <w:pPr>
        <w:pStyle w:val="TextBody"/>
        <w:bidi w:val="0"/>
        <w:jc w:val="center"/>
        <w:rPr>
          <w:rFonts w:ascii="Times New Roman" w:hAnsi="Times New Roman"/>
          <w:b/>
          <w:color w:val="000000"/>
          <w:sz w:val="20"/>
        </w:rPr>
      </w:pPr>
      <w:r>
        <w:rPr>
          <w:rFonts w:ascii="Times New Roman" w:hAnsi="Times New Roman"/>
          <w:b/>
          <w:color w:val="000000"/>
          <w:sz w:val="20"/>
        </w:rPr>
        <w:t>THREE MONTHS ENDED SEPTEMBER 30, 2025 AND 2024</w:t>
      </w:r>
    </w:p>
    <w:p>
      <w:pPr>
        <w:pStyle w:val="TextBody"/>
        <w:bidi w:val="0"/>
        <w:jc w:val="center"/>
        <w:rPr>
          <w:rFonts w:ascii="Times New Roman" w:hAnsi="Times New Roman"/>
          <w:b/>
          <w:i/>
          <w:color w:val="000000"/>
          <w:sz w:val="16"/>
        </w:rPr>
      </w:pPr>
      <w:r>
        <w:rPr>
          <w:rFonts w:ascii="Times New Roman" w:hAnsi="Times New Roman"/>
          <w:b/>
          <w:i/>
          <w:color w:val="000000"/>
          <w:sz w:val="16"/>
        </w:rPr>
        <w:t>(Unaudited)</w:t>
      </w:r>
    </w:p>
    <w:p>
      <w:pPr>
        <w:pStyle w:val="TextBody"/>
        <w:bidi w:val="0"/>
        <w:jc w:val="center"/>
        <w:rPr/>
      </w:pPr>
      <w:r>
        <w:rPr/>
        <w:t> </w:t>
      </w:r>
    </w:p>
    <w:tbl>
      <w:tblPr>
        <w:tblW w:w="11274" w:type="dxa"/>
        <w:jc w:val="left"/>
        <w:tblInd w:w="0" w:type="dxa"/>
        <w:tblLayout w:type="fixed"/>
        <w:tblCellMar>
          <w:top w:w="28" w:type="dxa"/>
          <w:left w:w="28" w:type="dxa"/>
          <w:bottom w:w="28" w:type="dxa"/>
          <w:right w:w="28" w:type="dxa"/>
        </w:tblCellMar>
      </w:tblPr>
      <w:tblGrid>
        <w:gridCol w:w="1011"/>
        <w:gridCol w:w="146"/>
        <w:gridCol w:w="146"/>
        <w:gridCol w:w="346"/>
        <w:gridCol w:w="146"/>
        <w:gridCol w:w="146"/>
        <w:gridCol w:w="181"/>
        <w:gridCol w:w="346"/>
        <w:gridCol w:w="146"/>
        <w:gridCol w:w="146"/>
        <w:gridCol w:w="146"/>
        <w:gridCol w:w="346"/>
        <w:gridCol w:w="146"/>
        <w:gridCol w:w="146"/>
        <w:gridCol w:w="181"/>
        <w:gridCol w:w="346"/>
        <w:gridCol w:w="146"/>
        <w:gridCol w:w="146"/>
        <w:gridCol w:w="146"/>
        <w:gridCol w:w="841"/>
        <w:gridCol w:w="146"/>
        <w:gridCol w:w="146"/>
        <w:gridCol w:w="181"/>
        <w:gridCol w:w="346"/>
        <w:gridCol w:w="146"/>
        <w:gridCol w:w="146"/>
        <w:gridCol w:w="146"/>
        <w:gridCol w:w="346"/>
        <w:gridCol w:w="146"/>
        <w:gridCol w:w="146"/>
        <w:gridCol w:w="181"/>
        <w:gridCol w:w="346"/>
        <w:gridCol w:w="146"/>
        <w:gridCol w:w="146"/>
        <w:gridCol w:w="181"/>
        <w:gridCol w:w="586"/>
        <w:gridCol w:w="146"/>
        <w:gridCol w:w="146"/>
        <w:gridCol w:w="181"/>
        <w:gridCol w:w="631"/>
        <w:gridCol w:w="151"/>
        <w:gridCol w:w="146"/>
        <w:gridCol w:w="188"/>
        <w:gridCol w:w="578"/>
        <w:gridCol w:w="276"/>
      </w:tblGrid>
      <w:tr>
        <w:trPr/>
        <w:tc>
          <w:tcPr>
            <w:tcW w:w="1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Redeemable Convertible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 Subject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35"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Stockholders’ Equity (Deficit)</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 Possible Redemption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Treasury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 Stockholders’</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(Amounts in thousands, except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Paid-in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 (Deficit)</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Balance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98,881,933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601,781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(606,601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(4,810</w:t>
            </w:r>
          </w:p>
        </w:tc>
        <w:tc>
          <w:tcPr>
            <w:tcW w:w="27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b/>
                <w:color w:val="000000"/>
                <w:sz w:val="14"/>
              </w:rPr>
            </w:pPr>
            <w:r>
              <w:rPr>
                <w:rFonts w:ascii="Times New Roman" w:hAnsi="Times New Roman"/>
                <w:b/>
                <w:color w:val="000000"/>
                <w:sz w:val="14"/>
              </w:rPr>
              <w:t>)</w:t>
            </w:r>
          </w:p>
        </w:tc>
      </w:tr>
      <w:tr>
        <w:trPr/>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color w:val="000000"/>
              </w:rPr>
            </w:pPr>
            <w:r>
              <w:rPr>
                <w:color w:val="000000"/>
              </w:rPr>
              <w:t> </w:t>
            </w:r>
            <w:r>
              <w:rPr>
                <w:rFonts w:ascii="Times New Roman" w:hAnsi="Times New Roman"/>
                <w:color w:val="000000"/>
                <w:sz w:val="14"/>
              </w:rPr>
              <w:t>Issuance of common stock to advisors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769,231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2,238</w:t>
            </w:r>
          </w:p>
        </w:tc>
        <w:tc>
          <w:tcPr>
            <w:tcW w:w="27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color w:val="000000"/>
              </w:rPr>
            </w:pPr>
            <w:r>
              <w:rPr>
                <w:color w:val="000000"/>
              </w:rPr>
              <w:t> </w:t>
            </w:r>
            <w:r>
              <w:rPr>
                <w:rFonts w:ascii="Times New Roman" w:hAnsi="Times New Roman"/>
                <w:color w:val="000000"/>
                <w:sz w:val="14"/>
              </w:rPr>
              <w:t>Exercises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w:t>
            </w:r>
          </w:p>
        </w:tc>
        <w:tc>
          <w:tcPr>
            <w:tcW w:w="27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color w:val="000000"/>
              </w:rPr>
            </w:pPr>
            <w:r>
              <w:rPr>
                <w:color w:val="000000"/>
              </w:rPr>
              <w:t> </w:t>
            </w:r>
            <w:r>
              <w:rPr>
                <w:rFonts w:ascii="Times New Roman" w:hAnsi="Times New Roman"/>
                <w:color w:val="000000"/>
                <w:sz w:val="14"/>
              </w:rPr>
              <w:t>Releases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1,331,257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color w:val="000000"/>
              </w:rPr>
            </w:pPr>
            <w:r>
              <w:rPr>
                <w:color w:val="000000"/>
              </w:rPr>
              <w:t> </w:t>
            </w:r>
            <w:r>
              <w:rPr>
                <w:rFonts w:ascii="Times New Roman" w:hAnsi="Times New Roman"/>
                <w:color w:val="000000"/>
                <w:sz w:val="14"/>
              </w:rPr>
              <w:t>Common stock issued under the committed equity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5,673,734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20,388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20,389</w:t>
            </w:r>
          </w:p>
        </w:tc>
        <w:tc>
          <w:tcPr>
            <w:tcW w:w="27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color w:val="000000"/>
              </w:rPr>
            </w:pPr>
            <w:r>
              <w:rPr>
                <w:color w:val="000000"/>
              </w:rPr>
              <w:t> </w:t>
            </w:r>
            <w:r>
              <w:rPr>
                <w:rFonts w:ascii="Times New Roman" w:hAnsi="Times New Roman"/>
                <w:color w:val="000000"/>
                <w:sz w:val="14"/>
              </w:rPr>
              <w:t>Committed equity facility fee settled in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83,353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243</w:t>
            </w:r>
          </w:p>
        </w:tc>
        <w:tc>
          <w:tcPr>
            <w:tcW w:w="27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color w:val="000000"/>
              </w:rPr>
            </w:pPr>
            <w:r>
              <w:rPr>
                <w:color w:val="000000"/>
              </w:rPr>
              <w:t> </w:t>
            </w:r>
            <w:r>
              <w:rPr>
                <w:rFonts w:ascii="Times New Roman" w:hAnsi="Times New Roman"/>
                <w:color w:val="000000"/>
                <w:sz w:val="14"/>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9,486</w:t>
            </w:r>
          </w:p>
        </w:tc>
        <w:tc>
          <w:tcPr>
            <w:tcW w:w="27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color w:val="000000"/>
              </w:rPr>
            </w:pPr>
            <w:r>
              <w:rPr>
                <w:color w:val="000000"/>
              </w:rPr>
              <w:t> </w:t>
            </w:r>
            <w:r>
              <w:rPr>
                <w:rFonts w:ascii="Times New Roman" w:hAnsi="Times New Roman"/>
                <w:color w:val="000000"/>
                <w:sz w:val="14"/>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(26,258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(26,258</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Balance as of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106,754,588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634,154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(632,859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1,306</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12310" w:type="dxa"/>
        <w:jc w:val="left"/>
        <w:tblInd w:w="0" w:type="dxa"/>
        <w:tblLayout w:type="fixed"/>
        <w:tblCellMar>
          <w:top w:w="28" w:type="dxa"/>
          <w:left w:w="28" w:type="dxa"/>
          <w:bottom w:w="28" w:type="dxa"/>
          <w:right w:w="28" w:type="dxa"/>
        </w:tblCellMar>
      </w:tblPr>
      <w:tblGrid>
        <w:gridCol w:w="1101"/>
        <w:gridCol w:w="146"/>
        <w:gridCol w:w="146"/>
        <w:gridCol w:w="811"/>
        <w:gridCol w:w="151"/>
        <w:gridCol w:w="146"/>
        <w:gridCol w:w="181"/>
        <w:gridCol w:w="631"/>
        <w:gridCol w:w="151"/>
        <w:gridCol w:w="146"/>
        <w:gridCol w:w="146"/>
        <w:gridCol w:w="346"/>
        <w:gridCol w:w="146"/>
        <w:gridCol w:w="146"/>
        <w:gridCol w:w="181"/>
        <w:gridCol w:w="346"/>
        <w:gridCol w:w="146"/>
        <w:gridCol w:w="146"/>
        <w:gridCol w:w="146"/>
        <w:gridCol w:w="766"/>
        <w:gridCol w:w="146"/>
        <w:gridCol w:w="146"/>
        <w:gridCol w:w="181"/>
        <w:gridCol w:w="346"/>
        <w:gridCol w:w="146"/>
        <w:gridCol w:w="146"/>
        <w:gridCol w:w="146"/>
        <w:gridCol w:w="556"/>
        <w:gridCol w:w="151"/>
        <w:gridCol w:w="146"/>
        <w:gridCol w:w="181"/>
        <w:gridCol w:w="346"/>
        <w:gridCol w:w="146"/>
        <w:gridCol w:w="146"/>
        <w:gridCol w:w="181"/>
        <w:gridCol w:w="586"/>
        <w:gridCol w:w="146"/>
        <w:gridCol w:w="146"/>
        <w:gridCol w:w="181"/>
        <w:gridCol w:w="631"/>
        <w:gridCol w:w="151"/>
        <w:gridCol w:w="146"/>
        <w:gridCol w:w="181"/>
        <w:gridCol w:w="631"/>
        <w:gridCol w:w="276"/>
      </w:tblGrid>
      <w:tr>
        <w:trPr/>
        <w:tc>
          <w:tcPr>
            <w:tcW w:w="1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11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Redeemable Convertible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 Subject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1"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Stockholders’ Deficit</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Preferred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 Possible Redemption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Treasury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 Stockholders’</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(Amounts in thousands, except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Paid-in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Balance as of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34,712,525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173,347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13,633,706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96,887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142,221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(396,952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(254,731</w:t>
            </w:r>
          </w:p>
        </w:tc>
        <w:tc>
          <w:tcPr>
            <w:tcW w:w="27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w:t>
            </w:r>
          </w:p>
        </w:tc>
      </w:tr>
      <w:tr>
        <w:trPr/>
        <w:tc>
          <w:tcPr>
            <w:tcW w:w="110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color w:val="000000"/>
              </w:rPr>
            </w:pPr>
            <w:r>
              <w:rPr>
                <w:color w:val="000000"/>
              </w:rPr>
              <w:t> </w:t>
            </w:r>
            <w:r>
              <w:rPr>
                <w:rFonts w:ascii="Times New Roman" w:hAnsi="Times New Roman"/>
                <w:color w:val="000000"/>
                <w:sz w:val="14"/>
              </w:rPr>
              <w:t>Retroactive application of recapitalization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(34,712,525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(173,347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34,712,525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(96,887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173,342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173,347</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Adjusted balance -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48,346,231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315,563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(396,952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(81,384</w:t>
            </w:r>
          </w:p>
        </w:tc>
        <w:tc>
          <w:tcPr>
            <w:tcW w:w="27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w:t>
            </w:r>
          </w:p>
        </w:tc>
      </w:tr>
      <w:tr>
        <w:trPr/>
        <w:tc>
          <w:tcPr>
            <w:tcW w:w="110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color w:val="000000"/>
              </w:rPr>
            </w:pPr>
            <w:r>
              <w:rPr>
                <w:color w:val="000000"/>
              </w:rPr>
              <w:t> </w:t>
            </w:r>
            <w:r>
              <w:rPr>
                <w:rFonts w:ascii="Times New Roman" w:hAnsi="Times New Roman"/>
                <w:color w:val="000000"/>
                <w:sz w:val="14"/>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w:t>
            </w:r>
          </w:p>
        </w:tc>
        <w:tc>
          <w:tcPr>
            <w:tcW w:w="27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10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color w:val="000000"/>
              </w:rPr>
            </w:pPr>
            <w:r>
              <w:rPr>
                <w:color w:val="000000"/>
              </w:rPr>
              <w:t> </w:t>
            </w:r>
            <w:r>
              <w:rPr>
                <w:rFonts w:ascii="Times New Roman" w:hAnsi="Times New Roman"/>
                <w:color w:val="000000"/>
                <w:sz w:val="14"/>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359</w:t>
            </w:r>
          </w:p>
        </w:tc>
        <w:tc>
          <w:tcPr>
            <w:tcW w:w="27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10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color w:val="000000"/>
              </w:rPr>
            </w:pPr>
            <w:r>
              <w:rPr>
                <w:color w:val="000000"/>
              </w:rPr>
              <w:t> </w:t>
            </w:r>
            <w:r>
              <w:rPr>
                <w:rFonts w:ascii="Times New Roman" w:hAnsi="Times New Roman"/>
                <w:color w:val="000000"/>
                <w:sz w:val="14"/>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(25,607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(25,607</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1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Balance as of September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48,353,615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315,960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(422,559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(106,594</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BLAIZE HOLDINGS,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CASH FLOWS</w:t>
      </w:r>
    </w:p>
    <w:p>
      <w:pPr>
        <w:pStyle w:val="TextBody"/>
        <w:bidi w:val="0"/>
        <w:jc w:val="center"/>
        <w:rPr>
          <w:rFonts w:ascii="Times New Roman" w:hAnsi="Times New Roman"/>
          <w:b/>
          <w:i/>
          <w:color w:val="000000"/>
          <w:sz w:val="16"/>
        </w:rPr>
      </w:pPr>
      <w:r>
        <w:rPr>
          <w:rFonts w:ascii="Times New Roman" w:hAnsi="Times New Roman"/>
          <w:b/>
          <w:i/>
          <w:color w:val="000000"/>
          <w:sz w:val="16"/>
        </w:rPr>
        <w:t>(Unaudited)</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142"/>
        <w:gridCol w:w="146"/>
        <w:gridCol w:w="230"/>
        <w:gridCol w:w="852"/>
        <w:gridCol w:w="180"/>
        <w:gridCol w:w="159"/>
        <w:gridCol w:w="230"/>
        <w:gridCol w:w="852"/>
        <w:gridCol w:w="414"/>
      </w:tblGrid>
      <w:tr>
        <w:trPr/>
        <w:tc>
          <w:tcPr>
            <w:tcW w:w="71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7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(Amounts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(57,290</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(35,788</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71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(707</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(1,165</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71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Merger and PIPE financing, net of transaction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15,874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Funds held in escrow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deferred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(4,332</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(3,668</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 of advances from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common stock, net of financing charge on the committed equity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20,024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committed equity facility transaction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 of short-term demand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(4,750</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110,718</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31,773</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102,380</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change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(26,224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65,427</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4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cash equivalents and restricted cash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50,488</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3,213</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24,264</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68,640</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Components of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14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68,640</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4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Restricted cash (included within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24,264</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68,640</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non-cash disclosures: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Capitalized deferred offering costs included in accounts payable and 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warrants with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4,816</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asset obtained in exchange for new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common stock under committed equity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common stock to advisors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Conversion of convertible notes to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314,334</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exercise of warrants for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75,056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warrants for professional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common stock for shareholder note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Redemption of common shares with cash held in escrow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33,157</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bookmarkStart w:id="7" w:name="cf"/>
      <w:bookmarkEnd w:id="7"/>
      <w:r>
        <w:rPr>
          <w:rFonts w:ascii="Times New Roman" w:hAnsi="Times New Roman"/>
          <w:color w:val="000000"/>
          <w:sz w:val="20"/>
        </w:rPr>
        <w:t>The accompanying notes are an integral part of these condensed consolidated financial statements.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BLAIZE HOLDINGS, INC.</w:t>
      </w:r>
    </w:p>
    <w:p>
      <w:pPr>
        <w:pStyle w:val="TextBody"/>
        <w:bidi w:val="0"/>
        <w:jc w:val="center"/>
        <w:rPr>
          <w:rFonts w:ascii="Times New Roman" w:hAnsi="Times New Roman"/>
          <w:sz w:val="20"/>
        </w:rPr>
      </w:pPr>
      <w:r>
        <w:rPr>
          <w:rFonts w:ascii="Times New Roman" w:hAnsi="Times New Roman"/>
          <w:b/>
          <w:color w:val="000000"/>
          <w:sz w:val="20"/>
        </w:rPr>
        <w:t>NOTES TO THE CONDENSED CONSOLIDATED FINANCIAL STATEMENTS</w:t>
        <w:br/>
      </w:r>
      <w:r>
        <w:rPr>
          <w:rFonts w:ascii="Times New Roman" w:hAnsi="Times New Roman"/>
          <w:b/>
          <w:color w:val="000000"/>
          <w:sz w:val="16"/>
        </w:rPr>
        <w:t>(</w:t>
      </w:r>
      <w:r>
        <w:rPr>
          <w:rFonts w:ascii="Times New Roman" w:hAnsi="Times New Roman"/>
          <w:b/>
          <w:i/>
          <w:color w:val="000000"/>
          <w:sz w:val="16"/>
        </w:rPr>
        <w:t>Unaudited</w:t>
      </w:r>
      <w:r>
        <w:rPr>
          <w:rFonts w:ascii="Times New Roman" w:hAnsi="Times New Roman"/>
          <w:b/>
          <w:color w:val="000000"/>
          <w:sz w:val="16"/>
        </w:rPr>
        <w:t>)</w:t>
      </w:r>
    </w:p>
    <w:p>
      <w:pPr>
        <w:pStyle w:val="TextBody"/>
        <w:bidi w:val="0"/>
        <w:jc w:val="center"/>
        <w:rPr/>
      </w:pPr>
      <w:r>
        <w:rPr/>
        <w:t> </w:t>
      </w:r>
    </w:p>
    <w:p>
      <w:pPr>
        <w:pStyle w:val="TextBody"/>
        <w:bidi w:val="0"/>
        <w:jc w:val="left"/>
        <w:rPr>
          <w:rFonts w:ascii="Times New Roman" w:hAnsi="Times New Roman"/>
          <w:b/>
          <w:color w:val="000000"/>
          <w:sz w:val="20"/>
        </w:rPr>
      </w:pPr>
      <w:bookmarkStart w:id="8" w:name="fs_notes"/>
      <w:bookmarkEnd w:id="8"/>
      <w:r>
        <w:rPr>
          <w:rFonts w:ascii="Times New Roman" w:hAnsi="Times New Roman"/>
          <w:b/>
          <w:color w:val="000000"/>
          <w:sz w:val="20"/>
        </w:rPr>
        <w:t>Note 1. Organization and Description of Business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Organization and Description of Business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Blaize Holdings, Inc. (together with its subsidiaries, “Blaize,” or the “Company”) is headquartered in El Dorado Hills, California. The condensed consolidated financial statements of the Company, post-Merger (as defined below), include the accounts of the Company and its wholly owned subsidiaries. Prior to the Merger, the Company’s condensed consolidated financial statements included that of Legacy Blaize, as defined below, and included the accounts of Legacy Blaize and its wholly owned subsidiaries.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designs and develops low-power, high-efficiency, programmable artificial intelligence (“AI”) edge computing hardware and software, offering edge computing solutions for AI data collection and processing, with a focus on smart vision and other AI applications for the smart city, defense, retail and enterprise markets.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Merger and Reverse Recapitalization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January 13, 2025 (the “Closing Date”), the Company consummated the transaction (the “Merger”) contemplated by the Agreement and Plan of Merger (the “Merger Agreement”), dated as of December 22, 2023 (as amended on April 22, 2024, October 24, 2024 and November 21, 2024), with BurTech Acquisition Corp. (“BurTech”), BurTech Merger Sub, Inc. (“Merger Sub”), Blaize, Inc. (“Legacy Blaize”), and for the limited purposes set forth therein, Burkhan Capital LLC (“Burkhan”), a Delaware limited liability company and an affiliate of BurTech. On the Closing Date, Merger Sub merged with and into Legacy Blaize, with Legacy Blaize surviving the Merger as a wholly owned subsidiary of the Company (together with the other transactions contemplated by the Merger Agreement, the “Business Combination”).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Concurrent with the Merger, BurTech was renamed Blaize Holdings, Inc. Beginning on January 14, 2025, Blaize’s common stock and warrants trade on The Nasdaq Stock Market LLC (“Nasdaq”) under the ticker symbols “BZAI” and “BZAIW”, respectively.</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Accounting for the Merger</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Merger is accounted for as a reverse recapitalization, with BurTech treated as the acquired company and Legacy Blaize treated as the acquirer for financial reporting purposes. This accounting treatment is equivalent to Legacy Blaize issuing stock for the net assets of BurTech, accompanied by a recapitalization whereby no goodwill or other intangible assets are recorded. Operations prior to the Merger are those of Legacy Blaize. For periods prior to the Merger, the reported share and per share amounts have been retroactively converted by applying the Exchange Ratio. Legacy Blaize shareholders were issued 87,314,968 shares of common stock.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Prior to the Merger, BurTech LP, LLC (“BurTech LP”) was the sponsor of BurTech (the “Sponsor”) and with the close of the Merger, BurTech LP and its affiliated entities have remained a significant shareholder in Blaize.</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Emerging Growth Company Status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is an emerging growth company, as defined in Section 2(a) of the Securities Act of 1933, as amended, (the “Securities Act”), as modified by the Jumpstart Our Business Startups Act of 2012 (“JOBS Act”). The Company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condensed consolidated financial statements may not be comparable to companies that comply with the new or revised accounting pronouncements as of public company effective dates.</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BLAIZE HOLDINGS, INC.</w:t>
      </w:r>
    </w:p>
    <w:p>
      <w:pPr>
        <w:pStyle w:val="TextBody"/>
        <w:bidi w:val="0"/>
        <w:jc w:val="center"/>
        <w:rPr>
          <w:rFonts w:ascii="Times New Roman" w:hAnsi="Times New Roman"/>
          <w:sz w:val="20"/>
        </w:rPr>
      </w:pPr>
      <w:r>
        <w:rPr>
          <w:rFonts w:ascii="Times New Roman" w:hAnsi="Times New Roman"/>
          <w:b/>
          <w:color w:val="000000"/>
          <w:sz w:val="20"/>
        </w:rPr>
        <w:t xml:space="preserve">NOTES TO THE CONDENSED CONSOLIDATED FINANCIAL STATEMENTS </w:t>
      </w:r>
      <w:r>
        <w:rPr>
          <w:rFonts w:ascii="Times New Roman" w:hAnsi="Times New Roman"/>
          <w:color w:val="000000"/>
          <w:sz w:val="16"/>
        </w:rPr>
        <w:t>(</w:t>
      </w:r>
      <w:r>
        <w:rPr>
          <w:rFonts w:ascii="Times New Roman" w:hAnsi="Times New Roman"/>
          <w:i/>
          <w:color w:val="000000"/>
          <w:sz w:val="16"/>
        </w:rPr>
        <w:t>cont.</w:t>
      </w:r>
      <w:r>
        <w:rPr>
          <w:rFonts w:ascii="Times New Roman" w:hAnsi="Times New Roman"/>
          <w:color w:val="000000"/>
          <w:sz w:val="16"/>
        </w:rPr>
        <w:t>)</w:t>
      </w:r>
    </w:p>
    <w:p>
      <w:pPr>
        <w:pStyle w:val="TextBody"/>
        <w:bidi w:val="0"/>
        <w:jc w:val="center"/>
        <w:rPr>
          <w:rFonts w:ascii="Times New Roman" w:hAnsi="Times New Roman"/>
          <w:b/>
          <w:i/>
          <w:color w:val="000000"/>
          <w:sz w:val="16"/>
        </w:rPr>
      </w:pPr>
      <w:r>
        <w:rPr>
          <w:rFonts w:ascii="Times New Roman" w:hAnsi="Times New Roman"/>
          <w:b/>
          <w:i/>
          <w:color w:val="000000"/>
          <w:sz w:val="16"/>
        </w:rPr>
        <w:t>(Unaudited)</w:t>
      </w:r>
    </w:p>
    <w:p>
      <w:pPr>
        <w:pStyle w:val="TextBody"/>
        <w:bidi w:val="0"/>
        <w:jc w:val="center"/>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Liquidity and Going Concern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Company’s condensed consolidated financial statements have been prepared on a going concern basis, which assumes that it will be able to meet its obligations and continue its operations during the twelve months following the issuance of these condensed consolidated financial statements. These condensed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Since the inception of the Company and through September 30, 2025, the Company has funded its operations primarily with cash flows from contributions from founders or other investors and other financing activities. The Company has incurred recurring losses and negative operating cash flows since its inception, including net losses of $203.6 million and $54.5 million for the nine months ended September 30, 2025 and 2024, respectively. As of September 30, 2025, the Company had cash and cash equivalents of $24.0 million, and an accumulated deficit of $632.9 million.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July 14, 2025, the Company entered into a Common Stock Purchase Agreement (the “Committed Equity Facility”) and a related Registration Rights Agreement with B. Riley Principal Capital II, LLC (“B. Riley”). Pursuant to the Committed Equity Facility, the Company has the right, but not the obligation, to sell to B. Riley up to an aggregate of $50.0 million in gross proceeds of newly issued shares of the Company’s common stock, subject to certain conditions and limitations, which will be used to further support the Company’s growth strategy (see Notes 2, 6 and 13).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Company’s ability to continue to meet its obligations, to achieve its business objectives and continue as a going concern is dependent upon several factors, including its revenue growth rate, the timing and extent of spending to support further sales and marketing and research and development efforts. In order to finance its operations, the Company will need to raise additional financing. There can be no assurance that the Company will be able to raise additional financing.</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As a result of the above, in connection with its assessment of going concern considerations in accordance with Financial Accounting Standard Board’s (“FASB”) Accounting Standards Update (“ASU”) 2014-15, </w:t>
      </w:r>
      <w:r>
        <w:rPr>
          <w:rFonts w:ascii="Times New Roman" w:hAnsi="Times New Roman"/>
          <w:i/>
          <w:color w:val="000000"/>
          <w:sz w:val="20"/>
        </w:rPr>
        <w:t>Disclosures of Uncertainties about an Entity’s Ability to Continue as a Going Concern</w:t>
      </w:r>
      <w:r>
        <w:rPr>
          <w:rFonts w:ascii="Times New Roman" w:hAnsi="Times New Roman"/>
          <w:color w:val="000000"/>
          <w:sz w:val="20"/>
        </w:rPr>
        <w:t>, management has determined that the Company’s liquidity condition raises substantial doubt about its ability to continue as a going concern through one year from the date that these condensed consolidated financial statements are issued.</w:t>
      </w:r>
    </w:p>
    <w:p>
      <w:pPr>
        <w:pStyle w:val="TextBody"/>
        <w:bidi w:val="0"/>
        <w:jc w:val="both"/>
        <w:rPr/>
      </w:pPr>
      <w:r>
        <w:rPr/>
        <w:t> </w:t>
      </w:r>
    </w:p>
    <w:p>
      <w:pPr>
        <w:pStyle w:val="TextBody"/>
        <w:bidi w:val="0"/>
        <w:jc w:val="both"/>
        <w:rPr>
          <w:rFonts w:ascii="Times New Roman" w:hAnsi="Times New Roman"/>
          <w:b/>
          <w:color w:val="000000"/>
          <w:sz w:val="20"/>
          <w:shd w:fill="FFFFFF" w:val="clear"/>
        </w:rPr>
      </w:pPr>
      <w:r>
        <w:rPr>
          <w:rFonts w:ascii="Times New Roman" w:hAnsi="Times New Roman"/>
          <w:b/>
          <w:color w:val="000000"/>
          <w:sz w:val="20"/>
          <w:shd w:fill="FFFFFF" w:val="clear"/>
        </w:rPr>
        <w:t>Note 2. Summary of Significant Accounting Policies</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Basis of Presentation and Principles of Consolidation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These condensed consolidated financial statements have been prepared in accordance with generally accepted accounting principles in the United States (“U.S. GAAP”) for interim financial information and with the instructions to Form 10-Q and Rule 10-01 of Regulation S-X. Accordingly, they do not include all the information and footnotes required by U.S. GAAP for complete financial statements. The accompanying unaudited interim condensed consolidated financial statements reflect all adjustments which are, in the opinion of management, necessary for a fair statement of the results for the interim periods presented, and all significant intercompany balances and transactions have been eliminated in consolidation for all periods presented. The Company has no other comprehensive income or loss, therefore net loss was equal to other comprehensive loss for all periods presented. The results of operations of any interim periods are not necessarily indicative of the results of operations to be expected for the full fiscal year. The unaudited interim condensed consolidated financial statements should be read in conjunction with Blaize, Inc.’s consolidated financial statements and accompanying footnotes included in the Company’s Form 8-K/A filed with the U.S. Securities and Exchange Commission (“SEC”) on April 15, 2025, which provides a more complete discussion of the Company’s accounting policies and certain other information. </w:t>
      </w:r>
    </w:p>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BLAIZE HOLDINGS, INC.</w:t>
      </w:r>
    </w:p>
    <w:p>
      <w:pPr>
        <w:pStyle w:val="TextBody"/>
        <w:bidi w:val="0"/>
        <w:jc w:val="center"/>
        <w:rPr>
          <w:rFonts w:ascii="Times New Roman" w:hAnsi="Times New Roman"/>
          <w:sz w:val="20"/>
        </w:rPr>
      </w:pPr>
      <w:r>
        <w:rPr>
          <w:rFonts w:ascii="Times New Roman" w:hAnsi="Times New Roman"/>
          <w:b/>
          <w:color w:val="000000"/>
          <w:sz w:val="20"/>
        </w:rPr>
        <w:t xml:space="preserve">NOTES TO THE CONDENSED CONSOLIDATED FINANCIAL STATEMENTS </w:t>
      </w:r>
      <w:r>
        <w:rPr>
          <w:rFonts w:ascii="Times New Roman" w:hAnsi="Times New Roman"/>
          <w:color w:val="000000"/>
          <w:sz w:val="16"/>
        </w:rPr>
        <w:t>(</w:t>
      </w:r>
      <w:r>
        <w:rPr>
          <w:rFonts w:ascii="Times New Roman" w:hAnsi="Times New Roman"/>
          <w:i/>
          <w:color w:val="000000"/>
          <w:sz w:val="16"/>
        </w:rPr>
        <w:t>cont.</w:t>
      </w:r>
      <w:r>
        <w:rPr>
          <w:rFonts w:ascii="Times New Roman" w:hAnsi="Times New Roman"/>
          <w:color w:val="000000"/>
          <w:sz w:val="16"/>
        </w:rPr>
        <w:t>)</w:t>
      </w:r>
    </w:p>
    <w:p>
      <w:pPr>
        <w:pStyle w:val="TextBody"/>
        <w:bidi w:val="0"/>
        <w:jc w:val="center"/>
        <w:rPr>
          <w:rFonts w:ascii="Times New Roman" w:hAnsi="Times New Roman"/>
          <w:b/>
          <w:i/>
          <w:color w:val="000000"/>
          <w:sz w:val="16"/>
        </w:rPr>
      </w:pPr>
      <w:r>
        <w:rPr>
          <w:rFonts w:ascii="Times New Roman" w:hAnsi="Times New Roman"/>
          <w:b/>
          <w:i/>
          <w:color w:val="000000"/>
          <w:sz w:val="16"/>
        </w:rPr>
        <w:t>(Unaudited)</w:t>
      </w:r>
    </w:p>
    <w:p>
      <w:pPr>
        <w:pStyle w:val="TextBody"/>
        <w:bidi w:val="0"/>
        <w:jc w:val="center"/>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preparation of the condensed consolidated financial statements in accordance with U.S. GAAP requires the Company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periods presented. Such estimates and assumptions include, but are not limited to, those related to revenue recognition, the allowance for credit losses, the net realizable value of inventory, the useful lives of long-lived assets, the incremental borrowing rate used in calculating operating lease right of use assets, the accounting for income taxes, the estimates used to evaluate the recoverability of long-lived assets, and the estimated fair values of historical convertible notes and legacy warrants, the Other Earnout Shares, the Committed Equity Facility, unissued shares of common stock, and stock-based compensation expense. Management evaluates its estimates and assumptions on an ongoing basis using historical experience and other factors, including the current economic environment, and adjusts such estimates and assumptions when facts and circumstances dictate. As future events and their effects cannot be determined with precision, actual results could differ significantly from these estimates.</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considers all highly liquid investments with an original maturity of 90 days or less to be cash equivalents in the condensed consolidated financial statements. The Company’s cash equivalents are primarily comprised of U.S. Government treasury securities, mutual funds, and money market funds. The Company has cash deposits in a financial institution that, at times, may be in excess of Federal Deposit Insurance Corporation (“FDIC”) insurance limits.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September 30, 2025 and December 31, 2024, the Company had cash and cash equivalents balances in excess of domestic and international insurance limits of $23.1 million and $49.3 million, respectively.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September 30, 2025, the Company held $3.8 million in mutual funds and less than $0.1 million in U.S. Government money market funds, while as of December 31, 2024, the Company held $30.6 million in U.S. Government treasury securities, $9.2 million in U.S. Government money market funds, and $5.1 million in mutual funds (see Note 5).</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Restricted Cash</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Restricted cash represents cash balances held as security deposits related to international payment services. As of September 30, 2025 and December 31, 2024, restricted cash of $0.3 million was included within other assets on the condensed consolidated balance sheets.</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Accounts Receivable, net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Accounts receivable, net is recorded at the invoiced amount and does not accrue interest. The allowance for credit losses is the Company’s estimate of the amount of probable credit losses in the Company’s existing accounts receivable. The Company determines that allowance based upon a review of each receivable and all known factors that could affect collectability. These factors include but are not limited to a customer’s past payment performance, customer financial condition, general economic or industry conditions and disputes regarding the invoiced amount or the product or service rendered. Account balances are charged against the allowance after all means of collection have been exhausted and the potential for recovery is considered remote. The allowance for credit losses was $0.4 million as of September 30, 2025 and December 31, 2024.</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b/>
          <w:i/>
          <w:color w:val="000000"/>
          <w:sz w:val="20"/>
        </w:rPr>
        <w:t>Inventories</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Inventories consist of raw materials, work in process inventories, and finished goods. Inventories are stated at the lower of cost or net realizable value, with cost being determined on a first-in, first-out basis. Net realizable value is the estimated selling price in the ordinary course of business less the estimated costs of completion and the estimated costs necessary to make the sale. Adjustments to reduce the cost of inventory to its net realizable value are made, if required, for estimated excess, obsolescence, or impaired balances. At the point of loss recognition, a new lower cost basis for that inventory is established and subsequent changes in facts and circumstances do not result in the restoration or increase in the newly established cost basis. Any write-downs of inventories are reflected as part of cost of revenue in the condensed consolidated statements of operations.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Deferred Offering Costs</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Deferred offering costs consist of direct incremental legal, consulting and banking fees incurred from issuing securities. The Company’s deferred offering costs primarily relate to offering costs associated with the Merger (see Note 3), as well as offering costs associated with future equity financing arrangements.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BLAIZE HOLDINGS, INC.</w:t>
      </w:r>
    </w:p>
    <w:p>
      <w:pPr>
        <w:pStyle w:val="TextBody"/>
        <w:bidi w:val="0"/>
        <w:jc w:val="center"/>
        <w:rPr>
          <w:rFonts w:ascii="Times New Roman" w:hAnsi="Times New Roman"/>
          <w:sz w:val="20"/>
        </w:rPr>
      </w:pPr>
      <w:r>
        <w:rPr>
          <w:rFonts w:ascii="Times New Roman" w:hAnsi="Times New Roman"/>
          <w:b/>
          <w:color w:val="000000"/>
          <w:sz w:val="20"/>
        </w:rPr>
        <w:t xml:space="preserve">NOTES TO THE CONDENSED CONSOLIDATED FINANCIAL STATEMENTS </w:t>
      </w:r>
      <w:r>
        <w:rPr>
          <w:rFonts w:ascii="Times New Roman" w:hAnsi="Times New Roman"/>
          <w:color w:val="000000"/>
          <w:sz w:val="16"/>
        </w:rPr>
        <w:t>(</w:t>
      </w:r>
      <w:r>
        <w:rPr>
          <w:rFonts w:ascii="Times New Roman" w:hAnsi="Times New Roman"/>
          <w:i/>
          <w:color w:val="000000"/>
          <w:sz w:val="16"/>
        </w:rPr>
        <w:t>cont.</w:t>
      </w:r>
      <w:r>
        <w:rPr>
          <w:rFonts w:ascii="Times New Roman" w:hAnsi="Times New Roman"/>
          <w:color w:val="000000"/>
          <w:sz w:val="16"/>
        </w:rPr>
        <w:t>)</w:t>
      </w:r>
    </w:p>
    <w:p>
      <w:pPr>
        <w:pStyle w:val="TextBody"/>
        <w:bidi w:val="0"/>
        <w:jc w:val="center"/>
        <w:rPr>
          <w:rFonts w:ascii="Times New Roman" w:hAnsi="Times New Roman"/>
          <w:b/>
          <w:i/>
          <w:color w:val="000000"/>
          <w:sz w:val="16"/>
        </w:rPr>
      </w:pPr>
      <w:r>
        <w:rPr>
          <w:rFonts w:ascii="Times New Roman" w:hAnsi="Times New Roman"/>
          <w:b/>
          <w:i/>
          <w:color w:val="000000"/>
          <w:sz w:val="16"/>
        </w:rPr>
        <w:t>(Unaudited)</w:t>
      </w:r>
    </w:p>
    <w:p>
      <w:pPr>
        <w:pStyle w:val="TextBody"/>
        <w:bidi w:val="0"/>
        <w:jc w:val="center"/>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Upon the consummation of the Merger, the related offering costs that had been capitalized were fully expensed within transaction costs on the condensed consolidated statement of operations during the nine months ended September 30, 2025. As of September 30, 2025, there was $0.2 million of capitalized deferred offering costs in relation to future equity financing arrangements, and as of December 31, 2024, there was $11.1 million of deferred offering costs in relation to the Merger, respectively, included in prepaid expenses and other current assets on the condensed consolidated balance sheets.</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b/>
          <w:i/>
          <w:color w:val="000000"/>
          <w:sz w:val="20"/>
        </w:rPr>
        <w:t>Impairment of Long-Lived Assets</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Whenever events or changes in circumstances indicate that the carrying amount of long-lived assets may not be recoverable, the Company estimates the expected undiscounted future cash flows from the use of those assets and their eventual disposition (without any allocated debt financing charges). If the sum of the expected undiscounted future cash flows is less than the carrying amount of those assets, the Company recognizes an impairment loss based on the excess of the carrying amount over the fair value of the assets. For the three and nine months ended September 30, 2025 and 2024, the Company did not recognize any impairment expense related to its long-lived assets.</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Embedded Derivative Evaluation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evaluates the terms of its debt instruments and other contracts to determine if those contracts or any identified embedded features, including embedded conversion options or redemption features, are required to be bifurcated and accounted for separately as a derivative financial instrument. In circumstances where a host instrument contains more than one embedded derivative instrument, including a conversion option, that is required to be bifurcated, the bifurcated derivative instruments would be accounted for as a single, compound derivative instrument. Any identified and bifurcated embedded derivatives are initially recorded at fair value and are revalued at each reporting date with changes in the fair value reported as non-operating income or expense.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Committed Equity Facility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The Company evaluated the Committed Equity Facility to determine whether it should be accounted for under ASC 815, </w:t>
      </w:r>
      <w:r>
        <w:rPr>
          <w:rFonts w:ascii="Times New Roman" w:hAnsi="Times New Roman"/>
          <w:i/>
          <w:color w:val="000000"/>
          <w:sz w:val="20"/>
        </w:rPr>
        <w:t xml:space="preserve">Derivatives and Hedging </w:t>
      </w:r>
      <w:r>
        <w:rPr>
          <w:rFonts w:ascii="Times New Roman" w:hAnsi="Times New Roman"/>
          <w:color w:val="000000"/>
          <w:sz w:val="20"/>
        </w:rPr>
        <w:t xml:space="preserve">(“ASC 815”) and concluded that it is an equity-linked contract that does not qualify for equity classification (see Notes 1, 6 and 13). As a result, the Committed Equity Facility is considered to be a freestanding purchased put right and should be accounted for as a derivative with fair value accounting. Changes in the fair value of the Committed Equity Facility will be recorded on the condensed consolidated statements of operations.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Additionally, the Company analyzed the subsequent draws on the Committed Equity Facility and determined that each draw would be considered a forward contract and should be accounted for individually as derivatives with fair value accounting. As of September 30, 2025, the forward contracts from subsequent draws on the Committed Equity Facility were insignificant.</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Legacy Blaize Convertible Notes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Prior to the consummation of the Merger, the Company accounted for its convertible notes, some of which contained predominantly fixed rate conversion features under ASU 2020-06, </w:t>
      </w:r>
      <w:r>
        <w:rPr>
          <w:rFonts w:ascii="Times New Roman" w:hAnsi="Times New Roman"/>
          <w:i/>
          <w:color w:val="000000"/>
          <w:sz w:val="20"/>
        </w:rPr>
        <w:t>Debt—Debt with Conversion and Other Options (Subtopic 470-20) and Derivatives and Hedging—Contracts in Entity’s Own Equity (Subtopic 815-40):</w:t>
      </w:r>
      <w:r>
        <w:rPr>
          <w:rFonts w:ascii="Times New Roman" w:hAnsi="Times New Roman"/>
          <w:color w:val="000000"/>
          <w:sz w:val="20"/>
        </w:rPr>
        <w:t xml:space="preserve"> </w:t>
      </w:r>
      <w:r>
        <w:rPr>
          <w:rFonts w:ascii="Times New Roman" w:hAnsi="Times New Roman"/>
          <w:i/>
          <w:color w:val="000000"/>
          <w:sz w:val="20"/>
        </w:rPr>
        <w:t>Accounting for Convertible Instruments and Contracts in an Entity’s Own Equity</w:t>
      </w:r>
      <w:r>
        <w:rPr>
          <w:rFonts w:ascii="Times New Roman" w:hAnsi="Times New Roman"/>
          <w:color w:val="000000"/>
          <w:sz w:val="20"/>
        </w:rPr>
        <w:t xml:space="preserve">. The Company elected to account for its convertible notes at fair value at each period end pursuant to ASC 825, </w:t>
      </w:r>
      <w:r>
        <w:rPr>
          <w:rFonts w:ascii="Times New Roman" w:hAnsi="Times New Roman"/>
          <w:i/>
          <w:color w:val="000000"/>
          <w:sz w:val="20"/>
        </w:rPr>
        <w:t>Financial Instruments</w:t>
      </w:r>
      <w:r>
        <w:rPr>
          <w:rFonts w:ascii="Times New Roman" w:hAnsi="Times New Roman"/>
          <w:color w:val="000000"/>
          <w:sz w:val="20"/>
        </w:rPr>
        <w:t xml:space="preserve"> wherein changes in the fair value were recorded as change in fair value of convertible notes in the condensed consolidated statements of operations. The convertible notes were remeasured just prior to the date of the Merger, and upon the closing of the Merger, the convertible notes were fully converted into shares of common stock (see Note 3 and Note 5). </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Legacy Warrants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Prior to the consummation of the Merger, the Company had issued freestanding warrants in connection with certain of its convertible debt agreements and preferred stock issuances which were recorded as current liabilities on the condensed consolidated balance sheets at their estimated fair value. At initial recognition, the warrants were recorded at their estimated fair value calculated using the Black-Scholes-Merton (“Black-Scholes”) option pricing model (see Note 10). The liability associated with these warrants was subject to fair value remeasurement at each balance sheet date, with changes in fair value recorded in change in the fair value of warrants on the condensed consolidated statements of operations. The warrants were remeasured just prior to the date of the Merger and, upon the consummation of the Merger, the warrants were fully converted into shares of common stock.</w:t>
      </w:r>
    </w:p>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BLAIZE HOLDINGS, INC.</w:t>
      </w:r>
    </w:p>
    <w:p>
      <w:pPr>
        <w:pStyle w:val="TextBody"/>
        <w:bidi w:val="0"/>
        <w:jc w:val="center"/>
        <w:rPr>
          <w:rFonts w:ascii="Times New Roman" w:hAnsi="Times New Roman"/>
          <w:sz w:val="20"/>
        </w:rPr>
      </w:pPr>
      <w:r>
        <w:rPr>
          <w:rFonts w:ascii="Times New Roman" w:hAnsi="Times New Roman"/>
          <w:b/>
          <w:color w:val="000000"/>
          <w:sz w:val="20"/>
        </w:rPr>
        <w:t xml:space="preserve">NOTES TO THE CONDENSED CONSOLIDATED FINANCIAL STATEMENTS </w:t>
      </w:r>
      <w:r>
        <w:rPr>
          <w:rFonts w:ascii="Times New Roman" w:hAnsi="Times New Roman"/>
          <w:color w:val="000000"/>
          <w:sz w:val="16"/>
        </w:rPr>
        <w:t>(</w:t>
      </w:r>
      <w:r>
        <w:rPr>
          <w:rFonts w:ascii="Times New Roman" w:hAnsi="Times New Roman"/>
          <w:i/>
          <w:color w:val="000000"/>
          <w:sz w:val="16"/>
        </w:rPr>
        <w:t>cont.</w:t>
      </w:r>
      <w:r>
        <w:rPr>
          <w:rFonts w:ascii="Times New Roman" w:hAnsi="Times New Roman"/>
          <w:color w:val="000000"/>
          <w:sz w:val="16"/>
        </w:rPr>
        <w:t>)</w:t>
      </w:r>
    </w:p>
    <w:p>
      <w:pPr>
        <w:pStyle w:val="TextBody"/>
        <w:bidi w:val="0"/>
        <w:jc w:val="center"/>
        <w:rPr>
          <w:rFonts w:ascii="Times New Roman" w:hAnsi="Times New Roman"/>
          <w:b/>
          <w:i/>
          <w:color w:val="000000"/>
          <w:sz w:val="16"/>
        </w:rPr>
      </w:pPr>
      <w:r>
        <w:rPr>
          <w:rFonts w:ascii="Times New Roman" w:hAnsi="Times New Roman"/>
          <w:b/>
          <w:i/>
          <w:color w:val="000000"/>
          <w:sz w:val="16"/>
        </w:rPr>
        <w:t>(Unaudited)</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b/>
          <w:i/>
          <w:color w:val="000000"/>
          <w:sz w:val="20"/>
        </w:rPr>
        <w:t>Earnout Shares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connection with the Merger, Legacy Blaize shareholders and employee equity award holders (including holders of stock options and restricted stock units (“RSUs”) are entitled to receive up to 15,000,000 shares of common stock and Burkhan has the right to receive up to 2,600,000 shares of common stock. (collectively, the “Earnout Shares”) (see Note 3).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Earnout Shares issued to eligible Legacy Blaize employee equity award holders (“Employee Earnout Shares”) are considered a compensatory award and are accounted for under ASC 718, </w:t>
      </w:r>
      <w:r>
        <w:rPr>
          <w:rFonts w:ascii="Times New Roman" w:hAnsi="Times New Roman"/>
          <w:i/>
          <w:color w:val="000000"/>
          <w:sz w:val="20"/>
        </w:rPr>
        <w:t>Share-Based Compensation</w:t>
      </w:r>
      <w:r>
        <w:rPr>
          <w:rFonts w:ascii="Times New Roman" w:hAnsi="Times New Roman"/>
          <w:color w:val="000000"/>
          <w:sz w:val="20"/>
        </w:rPr>
        <w:t>. Further, these Employee Earnout Shares have been determined to be equity classified and accordingly, will not be remeasured at each reporting date.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Earnout Shares issued to Burkhan and Legacy Blaize shareholders not within the scope of ASC 718 (the “Other Earnout Shares”), were evaluated by management under ASC 480, </w:t>
      </w:r>
      <w:r>
        <w:rPr>
          <w:rFonts w:ascii="Times New Roman" w:hAnsi="Times New Roman"/>
          <w:i/>
          <w:color w:val="000000"/>
          <w:sz w:val="20"/>
        </w:rPr>
        <w:t xml:space="preserve">Distinguishing Liabilities from Equity </w:t>
      </w:r>
      <w:r>
        <w:rPr>
          <w:rFonts w:ascii="Times New Roman" w:hAnsi="Times New Roman"/>
          <w:color w:val="000000"/>
          <w:sz w:val="20"/>
        </w:rPr>
        <w:t>(“ASC 480”), and ASC 815. The Company determined that the Other Earnout Shares are freestanding and not liability-classified under ASC 480 but represented a structured forward contract pursuant to ASC 815, which resulted in liability classification (see Note 3). Therefore, the Company considers the Other Earnout Shares a derivative liability and will remeasure the Other Earnout Shares at each reporting date, with changes in the fair value recorded on the condensed consolidated statements of operations.</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Legacy Blaize Redeemable Convertible Preferred Stock</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Prior to the consummation of the Merger, the Company had (i) Series Seed Shadow Preferred Stock, (ii) Series A Shadow Preferred Stock, (iii) Series B Shadow Preferred Stock, (iv) Series C Shadow Preferred Stock, (v) Series D Shadow Preferred Stock, (vi) Series D Exchange Shadow Preferred Stock, (vii) Series D-1 Shadow Preferred Stock, (viii) Series D-1 Exchange Shadow Preferred Stock, and (ix) Series D-2 Shadow Preferred Stock, all outstanding. The Company’s redeemable convertible preferred stock had been classified outside of stockholders’ equity (deficit), as mezzanine equity, due to the redemption option of the preferred stock shareholders. The Company recorded redeemable convertible preferred stock at fair value on the dates of issuance, net of issuance costs. The Company adjusted the carrying values of the redeemable convertible preferred stock, subsequent to the initial issuance date, to the redemption value of such shares because it was probable that the convertible preferred stock would become redeemable.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Upon the consummation of the Merger, all shares of redeemable convertible preferred stock outstanding were converted into shares of common stock (see Note 3). All shares of redeemable convertible preferred stock that were converted into shares of common stock were retroactively adjusted using the exchange ratio and reclassified into permanent equity as a result of the Merger.</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Warrants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accounts for warrants as either equity-classified or liability-classified instruments based on an assessment of the warrant’s specific terms and applicable authoritative guidance in ASC 480 and ASC 815. The assessment considers whether the warrants are freestanding financial instruments pursuant to ASC 480, meet the definition of a liability pursuant to ASC 480, and meet all of the requirements for equity classification under ASC 815, including whether the warrants are indexed to the Company’s own common stock, among other conditions for equity classification. This assessment, which requires the use of professional judgment, is conducted at the time of warrant issuance, as well as each subsequent reporting period end while the warrants are outstanding.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The Company analyzed the warrants issued in BurTech’s Initial Public Offering (“Public Warrants”), warrants included in the private placement Units (the “Private Warrants”), and warrants issued to advisor for services (the “Common Stock Warrants”) and determined they are considered to be freestanding instruments and do not exhibit any of the characteristics in ASC 480 and therefore are not classified as liabilities under ASC 480. As of September 30, 2025, the Company’s outstanding public warrants and private warrants met all the requirements for equity classification under ASC 815 and therefore were classified as equity. As of December 31, 2024, Legacy Blaize warrants were classified as liabilities, as described above.</w:t>
      </w:r>
    </w:p>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BLAIZE HOLDINGS, INC.</w:t>
      </w:r>
    </w:p>
    <w:p>
      <w:pPr>
        <w:pStyle w:val="TextBody"/>
        <w:bidi w:val="0"/>
        <w:jc w:val="center"/>
        <w:rPr>
          <w:rFonts w:ascii="Times New Roman" w:hAnsi="Times New Roman"/>
          <w:sz w:val="20"/>
        </w:rPr>
      </w:pPr>
      <w:r>
        <w:rPr>
          <w:rFonts w:ascii="Times New Roman" w:hAnsi="Times New Roman"/>
          <w:b/>
          <w:color w:val="000000"/>
          <w:sz w:val="20"/>
        </w:rPr>
        <w:t xml:space="preserve">NOTES TO THE CONDENSED CONSOLIDATED FINANCIAL STATEMENTS </w:t>
      </w:r>
      <w:r>
        <w:rPr>
          <w:rFonts w:ascii="Times New Roman" w:hAnsi="Times New Roman"/>
          <w:color w:val="000000"/>
          <w:sz w:val="16"/>
        </w:rPr>
        <w:t>(</w:t>
      </w:r>
      <w:r>
        <w:rPr>
          <w:rFonts w:ascii="Times New Roman" w:hAnsi="Times New Roman"/>
          <w:i/>
          <w:color w:val="000000"/>
          <w:sz w:val="16"/>
        </w:rPr>
        <w:t>cont.</w:t>
      </w:r>
      <w:r>
        <w:rPr>
          <w:rFonts w:ascii="Times New Roman" w:hAnsi="Times New Roman"/>
          <w:color w:val="000000"/>
          <w:sz w:val="16"/>
        </w:rPr>
        <w:t>)</w:t>
      </w:r>
    </w:p>
    <w:p>
      <w:pPr>
        <w:pStyle w:val="TextBody"/>
        <w:bidi w:val="0"/>
        <w:jc w:val="center"/>
        <w:rPr>
          <w:rFonts w:ascii="Times New Roman" w:hAnsi="Times New Roman"/>
          <w:b/>
          <w:i/>
          <w:color w:val="000000"/>
          <w:sz w:val="16"/>
        </w:rPr>
      </w:pPr>
      <w:r>
        <w:rPr>
          <w:rFonts w:ascii="Times New Roman" w:hAnsi="Times New Roman"/>
          <w:b/>
          <w:i/>
          <w:color w:val="000000"/>
          <w:sz w:val="16"/>
        </w:rPr>
        <w:t>(Unaudited)</w:t>
      </w:r>
    </w:p>
    <w:p>
      <w:pPr>
        <w:pStyle w:val="TextBody"/>
        <w:bidi w:val="0"/>
        <w:jc w:val="center"/>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The Company derives all its revenue from contracts with customers, including sales of hardware and software products and engineering services, all as further described below. The Company recognizes revenue under ASC 606, </w:t>
      </w:r>
      <w:r>
        <w:rPr>
          <w:rFonts w:ascii="Times New Roman" w:hAnsi="Times New Roman"/>
          <w:i/>
          <w:color w:val="000000"/>
          <w:sz w:val="20"/>
        </w:rPr>
        <w:t xml:space="preserve">Revenue from Contracts with Customers </w:t>
      </w:r>
      <w:r>
        <w:rPr>
          <w:rFonts w:ascii="Times New Roman" w:hAnsi="Times New Roman"/>
          <w:color w:val="000000"/>
          <w:sz w:val="20"/>
        </w:rPr>
        <w:t>(“ASC 606”), in which it determines revenue recognition through the following steps: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Step 1: Identify the contract with the customer.</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considers the terms and conditions of the engagement in identifying the contracts. The Company determines a contract with a customer to exist when the contract is approved, each party’s rights regarding the services to be transferred can be identified, the payment terms for the services can be identified, it has been determined the customer has the ability and intent to pay, and the contract has commercial substance. At contract inception, the Company will evaluate whether two or more contracts should be combined and accounted for as a single contract and whether the combined or single contract includes more than one performance obligation. The Company applies judgment in determining the customer’s ability and intent to pay, which is based on a variety of factors, including the customer’s historical payment experience or, in the case of a new customer, credit, and financial information pertaining to the customer.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Step 2: Identify the performance obligations in the contract.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Performance obligations promised in a contract are identified based on the services that will be transferred to the customer that are both capable of being distinct, whereby the customer can benefit from the service either on its own or together with other resources that are readily available from third parties or from the Company and are distinct in the context of the contract.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Step 3: Determine the transaction price.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transaction price is determined based on the consideration to which the Company expects to be entitled in exchange for transferring services to the customer. Variable consideration is included in the transaction price if, in the Company’s judgment, it is probable that a significant future reversal of cumulative revenue under the contract will not occur. None of the Company’s contracts contain a significant financing component.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Step 4: Allocate the transaction price to the performance obligations in the contract.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Contracts that contain multiple performance obligations require an allocation of the transaction price to each performance obligation based on each performance obligation’s relative standalone selling price.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Step 5: Recognize revenue when the company satisfies a performance obligation.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Revenue is recognized at the time the related performance obligation is satisfied by transferring the control of the promised service to a customer. Revenue in respect of services, including nonrecurring engineering services or marketing services, is recognized over the contractual terms during which the Company provides services over a period of time. Hardware revenue is recognized at a point in time when the product is shipped.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Revenue from hardware product sales is recognized upon transfer of control of products to customers in an amount that reflects the consideration the Company expects to receive in exchange for the hardware. The Company offers unspecified upgrades and support on certain products, however, the related revenue has historically not been material.</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Licenses for on-premises software provide the customer with a right to use the software as it exists when made available to the customer. Revenue from distinct on-premises licenses is recognized up-front at the point in time when the software is made available to the customer.</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Company’s license and development arrangements entail revenue from the licensing of its intellectual property (“IP”) and also include revenue from engineering services to configure the Company’s IP and hardware to a customer’s needs. For each contract, the Company considers the promise to deliver a license that grants the customer the right to use the IP, as well as any professional services provided under the contract, as distinct performance obligations. The Company recognizes licensing revenue from such arrangements over the term of the arrangements and recognizes professional services over time as the services are provided. The Company measures progress to completion based on actual costs incurred to date as a percentage of the estimated total cost required to complete the project.</w:t>
      </w:r>
    </w:p>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BLAIZE HOLDINGS, INC.</w:t>
      </w:r>
    </w:p>
    <w:p>
      <w:pPr>
        <w:pStyle w:val="TextBody"/>
        <w:bidi w:val="0"/>
        <w:jc w:val="center"/>
        <w:rPr>
          <w:rFonts w:ascii="Times New Roman" w:hAnsi="Times New Roman"/>
          <w:sz w:val="20"/>
        </w:rPr>
      </w:pPr>
      <w:r>
        <w:rPr>
          <w:rFonts w:ascii="Times New Roman" w:hAnsi="Times New Roman"/>
          <w:b/>
          <w:color w:val="000000"/>
          <w:sz w:val="20"/>
        </w:rPr>
        <w:t xml:space="preserve">NOTES TO THE CONDENSED CONSOLIDATED FINANCIAL STATEMENTS </w:t>
      </w:r>
      <w:r>
        <w:rPr>
          <w:rFonts w:ascii="Times New Roman" w:hAnsi="Times New Roman"/>
          <w:color w:val="000000"/>
          <w:sz w:val="16"/>
        </w:rPr>
        <w:t>(</w:t>
      </w:r>
      <w:r>
        <w:rPr>
          <w:rFonts w:ascii="Times New Roman" w:hAnsi="Times New Roman"/>
          <w:i/>
          <w:color w:val="000000"/>
          <w:sz w:val="16"/>
        </w:rPr>
        <w:t>cont.</w:t>
      </w:r>
      <w:r>
        <w:rPr>
          <w:rFonts w:ascii="Times New Roman" w:hAnsi="Times New Roman"/>
          <w:color w:val="000000"/>
          <w:sz w:val="16"/>
        </w:rPr>
        <w:t>)</w:t>
      </w:r>
    </w:p>
    <w:p>
      <w:pPr>
        <w:pStyle w:val="TextBody"/>
        <w:bidi w:val="0"/>
        <w:jc w:val="center"/>
        <w:rPr>
          <w:rFonts w:ascii="Times New Roman" w:hAnsi="Times New Roman"/>
          <w:b/>
          <w:i/>
          <w:color w:val="000000"/>
          <w:sz w:val="16"/>
        </w:rPr>
      </w:pPr>
      <w:r>
        <w:rPr>
          <w:rFonts w:ascii="Times New Roman" w:hAnsi="Times New Roman"/>
          <w:b/>
          <w:i/>
          <w:color w:val="000000"/>
          <w:sz w:val="16"/>
        </w:rPr>
        <w:t>(Unaudited)</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timing of the Company’s revenue recognition may differ from the timing of payment by its customers. An unbilled receivable is recorded when revenue is recognized prior to invoicing and the Company has an unconditional right to payment. Alternatively, when payment precedes the provision of the related services, the Company records deferred revenue until the performance obligations are satisfied. The following table is a rollforward of contract liabilities, which are included in accrued expenses and other current liabilities and other liabilities:</w:t>
      </w:r>
    </w:p>
    <w:p>
      <w:pPr>
        <w:pStyle w:val="TextBody"/>
        <w:bidi w:val="0"/>
        <w:jc w:val="both"/>
        <w:rPr/>
      </w:pPr>
      <w:r>
        <w:rPr/>
        <w:t> </w:t>
      </w:r>
    </w:p>
    <w:tbl>
      <w:tblPr>
        <w:tblW w:w="8891" w:type="dxa"/>
        <w:jc w:val="left"/>
        <w:tblInd w:w="0" w:type="dxa"/>
        <w:tblLayout w:type="fixed"/>
        <w:tblCellMar>
          <w:top w:w="28" w:type="dxa"/>
          <w:left w:w="28" w:type="dxa"/>
          <w:bottom w:w="28" w:type="dxa"/>
          <w:right w:w="28" w:type="dxa"/>
        </w:tblCellMar>
      </w:tblPr>
      <w:tblGrid>
        <w:gridCol w:w="2866"/>
        <w:gridCol w:w="146"/>
        <w:gridCol w:w="349"/>
        <w:gridCol w:w="523"/>
        <w:gridCol w:w="275"/>
        <w:gridCol w:w="241"/>
        <w:gridCol w:w="349"/>
        <w:gridCol w:w="946"/>
        <w:gridCol w:w="166"/>
        <w:gridCol w:w="146"/>
        <w:gridCol w:w="320"/>
        <w:gridCol w:w="524"/>
        <w:gridCol w:w="251"/>
        <w:gridCol w:w="221"/>
        <w:gridCol w:w="320"/>
        <w:gridCol w:w="957"/>
        <w:gridCol w:w="291"/>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(Amounts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Additions to deferred revenue</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1,729</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Deferred revenue recognized</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2"/>
        </w:rPr>
        <w:t>(1)</w:t>
      </w:r>
      <w:r>
        <w:rPr>
          <w:rFonts w:ascii="Times New Roman" w:hAnsi="Times New Roman"/>
          <w:color w:val="000000"/>
          <w:sz w:val="20"/>
        </w:rPr>
        <w:t xml:space="preserve"> </w:t>
      </w:r>
      <w:r>
        <w:rPr>
          <w:rFonts w:ascii="Times New Roman" w:hAnsi="Times New Roman"/>
          <w:color w:val="000000"/>
          <w:sz w:val="18"/>
        </w:rPr>
        <w:t>Additions to deferred revenue and deferred revenue recognized during the three and nine months ended September 30, 2025 are from related parties (see Note 16).</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defers incremental costs of obtaining a customer contract and amortizes the deferred costs over the period that the related revenue is recognized. The Company had no material incremental costs to obtain customer contracts in any period presented.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has elected to account for shipping and handling fees as fulfillment activities and not separate performance obligations. Accordingly, these fees are reflected in revenue and the related fulfillment costs are accrued as cost of revenue as the related fulfillment costs incurred.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offers a standard assurance-type warranty to customers for hardware product sales.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Cost of Revenue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Cost of revenue is primarily comprised of the cost of semiconductors purchased from contract manufacturers, including wafer fabrication, assembly, testing and packaging, board, and device costs as well as indirect costs such as inventory carrying costs and inventory valuation reserves. In addition, cost of revenue also includes direct labor costs when applicable. There is no depreciation and amortization allocable to cost of revenue; however, if such depreciation and amortization expense were to be incurred, it would be allocated to cost of revenue.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is subject to income taxes in the U.S. and various foreign jurisdictions. The Company uses the asset-and-liability method for income taxes. Under this method, deferred tax assets and liabilities are determined based on differences between the financial statement carrying amounts and tax bases of assets and liabilities and operating loss and tax credit carryforwards and are measured using the enacted tax rates that are expected to be in effect when the differences reverse. The effect on deferred tax assets and liabilities of a change in tax rates is recognized in income in the period that includes the enactment date. Valuation allowances are established on a jurisdiction-by-jurisdiction basis when necessary to reduce deferred tax assets to an amount that, in the opinion of management, is more likely than not to be realized.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is subject to tax audits in various jurisdictions. The Company regularly assess the likely outcomes of such audits in order to determine the appropriateness of liabilities for uncertain tax benefits. The Company accounts for uncertain tax positions based on an evaluation as to whether it is more likely than not that a tax position will be sustained upon audit, including resolution of any related appeals or litigation processes. This evaluation is based on all available evidence and assumes that the appropriate tax authorities have full knowledge of all relevant information concerning the tax position. The tax benefit recognized is based on the largest amount that is greater than 50% likely of being realized upon ultimate settlement. The Company includes interest expense and penalties related to its uncertain tax positions in the provision for income taxes. </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b/>
          <w:i/>
          <w:color w:val="000000"/>
          <w:sz w:val="20"/>
        </w:rPr>
        <w:t>Stock-Based Compensation</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recognizes the cost of stock options granted to employees, consultants, and directors based on the fair value of those awards at the date of grant over the requisite service period. The fair value of stock options granted is determined using the Black-Scholes option pricing model using various inputs, including Company estimates of expected share price volatility, term, risk-free rate and future dividends. The Company has elected the simplified method to determine the expected term of the option grants. </w:t>
      </w:r>
    </w:p>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BLAIZE HOLDINGS, INC.</w:t>
      </w:r>
    </w:p>
    <w:p>
      <w:pPr>
        <w:pStyle w:val="TextBody"/>
        <w:bidi w:val="0"/>
        <w:jc w:val="center"/>
        <w:rPr>
          <w:rFonts w:ascii="Times New Roman" w:hAnsi="Times New Roman"/>
          <w:sz w:val="20"/>
        </w:rPr>
      </w:pPr>
      <w:r>
        <w:rPr>
          <w:rFonts w:ascii="Times New Roman" w:hAnsi="Times New Roman"/>
          <w:b/>
          <w:color w:val="000000"/>
          <w:sz w:val="20"/>
        </w:rPr>
        <w:t xml:space="preserve">NOTES TO THE CONDENSED CONSOLIDATED FINANCIAL STATEMENTS </w:t>
      </w:r>
      <w:r>
        <w:rPr>
          <w:rFonts w:ascii="Times New Roman" w:hAnsi="Times New Roman"/>
          <w:color w:val="000000"/>
          <w:sz w:val="16"/>
        </w:rPr>
        <w:t>(</w:t>
      </w:r>
      <w:r>
        <w:rPr>
          <w:rFonts w:ascii="Times New Roman" w:hAnsi="Times New Roman"/>
          <w:i/>
          <w:color w:val="000000"/>
          <w:sz w:val="16"/>
        </w:rPr>
        <w:t>cont.</w:t>
      </w:r>
      <w:r>
        <w:rPr>
          <w:rFonts w:ascii="Times New Roman" w:hAnsi="Times New Roman"/>
          <w:color w:val="000000"/>
          <w:sz w:val="16"/>
        </w:rPr>
        <w:t>)</w:t>
      </w:r>
    </w:p>
    <w:p>
      <w:pPr>
        <w:pStyle w:val="TextBody"/>
        <w:bidi w:val="0"/>
        <w:jc w:val="center"/>
        <w:rPr>
          <w:rFonts w:ascii="Times New Roman" w:hAnsi="Times New Roman"/>
          <w:b/>
          <w:i/>
          <w:color w:val="000000"/>
          <w:sz w:val="16"/>
        </w:rPr>
      </w:pPr>
      <w:r>
        <w:rPr>
          <w:rFonts w:ascii="Times New Roman" w:hAnsi="Times New Roman"/>
          <w:b/>
          <w:i/>
          <w:color w:val="000000"/>
          <w:sz w:val="16"/>
        </w:rPr>
        <w:t>(Unaudited)</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also grants RSUs to employees, consultants, and directors which vest upon the satisfaction of a service-based condition. The fair value of RSUs is determined based on the fair value of common stock at the date of grant. Due to the Merger that occurred during the nine months ended September 30, 2025, the Company recorded cumulative stock-based compensation using the accelerated attribution method for those RSUs for which the service condition was satisfied prior to the Merger, and will record the remaining unrecognized stock-based compensation over the remainder of the requisite service period (see Note 14). Forfeitures are recognized as they occur.</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b/>
          <w:i/>
          <w:color w:val="000000"/>
          <w:sz w:val="20"/>
        </w:rPr>
        <w:t>Fair Value Measurements</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The Company determines fair value measurements used in its condensed consolidated financial statements based upon the price that would be received to sell an asset or paid to transfer a liability in an orderly transaction between market participants at the measurement date. The fair value hierarchy distinguishes between (i) market participant assumptions developed based on market data obtained from independent sources (observable inputs), and (ii) an entity’s own assumptions about market participant assumptions developed based on the best information available in the circumstances (unobservable inputs). ASC 820, </w:t>
      </w:r>
      <w:r>
        <w:rPr>
          <w:rFonts w:ascii="Times New Roman" w:hAnsi="Times New Roman"/>
          <w:i/>
          <w:color w:val="000000"/>
          <w:sz w:val="20"/>
        </w:rPr>
        <w:t>Fair Value Measurements</w:t>
      </w:r>
      <w:r>
        <w:rPr>
          <w:rFonts w:ascii="Times New Roman" w:hAnsi="Times New Roman"/>
          <w:color w:val="000000"/>
          <w:sz w:val="20"/>
        </w:rPr>
        <w:t>, requires fair value measurements be classified and disclosed in one of the following pricing categories: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616"/>
        <w:gridCol w:w="9589"/>
      </w:tblGrid>
      <w:tr>
        <w:trPr/>
        <w:tc>
          <w:tcPr>
            <w:tcW w:w="616" w:type="dxa"/>
            <w:tcBorders/>
            <w:vAlign w:val="center"/>
          </w:tcPr>
          <w:p>
            <w:pPr>
              <w:pStyle w:val="TableContents"/>
              <w:bidi w:val="0"/>
              <w:spacing w:before="0" w:after="283"/>
              <w:jc w:val="left"/>
              <w:rPr>
                <w:sz w:val="4"/>
                <w:szCs w:val="4"/>
              </w:rPr>
            </w:pPr>
            <w:r>
              <w:rPr>
                <w:sz w:val="4"/>
                <w:szCs w:val="4"/>
              </w:rPr>
            </w:r>
          </w:p>
        </w:tc>
        <w:tc>
          <w:tcPr>
            <w:tcW w:w="9589" w:type="dxa"/>
            <w:tcBorders/>
            <w:vAlign w:val="center"/>
          </w:tcPr>
          <w:p>
            <w:pPr>
              <w:pStyle w:val="TableContents"/>
              <w:bidi w:val="0"/>
              <w:spacing w:before="0" w:after="283"/>
              <w:jc w:val="left"/>
              <w:rPr>
                <w:sz w:val="4"/>
                <w:szCs w:val="4"/>
              </w:rPr>
            </w:pPr>
            <w:r>
              <w:rPr>
                <w:sz w:val="4"/>
                <w:szCs w:val="4"/>
              </w:rPr>
            </w:r>
          </w:p>
        </w:tc>
      </w:tr>
      <w:tr>
        <w:trPr/>
        <w:tc>
          <w:tcPr>
            <w:tcW w:w="6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Level 1:</w:t>
            </w:r>
          </w:p>
        </w:tc>
        <w:tc>
          <w:tcPr>
            <w:tcW w:w="958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This level consists of unadjusted quoted prices in active markets for identical assets or liabilities that the reporting entity can access at the measurement date.</w:t>
            </w:r>
          </w:p>
        </w:tc>
      </w:tr>
      <w:tr>
        <w:trPr/>
        <w:tc>
          <w:tcPr>
            <w:tcW w:w="6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Level 2:</w:t>
            </w:r>
          </w:p>
        </w:tc>
        <w:tc>
          <w:tcPr>
            <w:tcW w:w="958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This level consists of observable inputs other than the quoted prices included within Level 1, such as quoted prices for similar assets or liabilities in markets that are not active or for which all significant inputs are observable or can be corroborated by observable market data, either directly or indirectly, for substantially the full term of the asset or liability.</w:t>
            </w:r>
          </w:p>
        </w:tc>
      </w:tr>
      <w:tr>
        <w:trPr/>
        <w:tc>
          <w:tcPr>
            <w:tcW w:w="6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Level 3:</w:t>
            </w:r>
          </w:p>
        </w:tc>
        <w:tc>
          <w:tcPr>
            <w:tcW w:w="958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This level consists of unobservable inputs for the asset or liability to the extent that observable inputs are not available, thereby allowing for situations in which there is little or no market data for the asset or liability at the measurement date. This requires the reporting entity to develop its own assumptions that market participants would use in pricing the asset or liability.</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carrying amounts of cash, accounts receivable (including from related parties), prepaid expenses and other current assets, accounts payable, accrued expenses and other current liabilities (including to related parties), accrued compensation, accrued loss on purchase commitments, and working capital loans approximate their fair values due to their short-term maturities. </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Foreign Currency</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Company’s reporting and functional currency is the United States dollar (“USD”). The local currencies of its foreign subsidiaries are the Indian rupee and British pound, however, the functional currency of its foreign subsidiaries is also the USD. Monetary assets and liabilities denominated in currencies other than USD are remeasured into USD at current exchange rates and nonmonetary assets and liabilities are measured at historical exchange rates. Revenues, cost of revenues, and operating expenses are remeasured at the average exchange rates in effect during each reporting period. The resulting transaction gains or losses are recognized in other, net, in the condensed consolidated statements of operations. During the three and nine months ended September 30, 2025 and 2024, foreign currency transaction gains and losses were immaterial.</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Concentration of Credit Risk</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Company’s cash and cash equivalents are primarily on deposit at high-credit quality financial institutions or invested in U.S. Government treasury securities, mutual funds, and money market funds. The Company’s cash accounts in a financial institution may at times exceed the FDIC insurance coverage of $250,000. Investments in money markets are not insured or guaranteed by the FDIC or any other government agency.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is exposed to credit risk in the event of nonpayment by customers up to the amounts recorded on the consolidated balance sheets. The Company manages its accounts receivable credit risk through ongoing credit evaluation of the financial condition of its customers.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September 30, 2025, two customers, one a related party (see Note 16), accounted for approximately 25% and 65% of the Company’s accounts receivable. As of December 31, 2024, one customer accounted for approximately 98% of the Company’s accounts receivable.</w:t>
      </w:r>
    </w:p>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BLAIZE HOLDINGS, INC.</w:t>
      </w:r>
    </w:p>
    <w:p>
      <w:pPr>
        <w:pStyle w:val="TextBody"/>
        <w:bidi w:val="0"/>
        <w:jc w:val="center"/>
        <w:rPr>
          <w:rFonts w:ascii="Times New Roman" w:hAnsi="Times New Roman"/>
          <w:sz w:val="20"/>
        </w:rPr>
      </w:pPr>
      <w:r>
        <w:rPr>
          <w:rFonts w:ascii="Times New Roman" w:hAnsi="Times New Roman"/>
          <w:b/>
          <w:color w:val="000000"/>
          <w:sz w:val="20"/>
        </w:rPr>
        <w:t xml:space="preserve">NOTES TO THE CONDENSED CONSOLIDATED FINANCIAL STATEMENTS </w:t>
      </w:r>
      <w:r>
        <w:rPr>
          <w:rFonts w:ascii="Times New Roman" w:hAnsi="Times New Roman"/>
          <w:color w:val="000000"/>
          <w:sz w:val="16"/>
        </w:rPr>
        <w:t>(</w:t>
      </w:r>
      <w:r>
        <w:rPr>
          <w:rFonts w:ascii="Times New Roman" w:hAnsi="Times New Roman"/>
          <w:i/>
          <w:color w:val="000000"/>
          <w:sz w:val="16"/>
        </w:rPr>
        <w:t>cont.</w:t>
      </w:r>
      <w:r>
        <w:rPr>
          <w:rFonts w:ascii="Times New Roman" w:hAnsi="Times New Roman"/>
          <w:color w:val="000000"/>
          <w:sz w:val="16"/>
        </w:rPr>
        <w:t>)</w:t>
      </w:r>
    </w:p>
    <w:p>
      <w:pPr>
        <w:pStyle w:val="TextBody"/>
        <w:bidi w:val="0"/>
        <w:jc w:val="center"/>
        <w:rPr>
          <w:rFonts w:ascii="Times New Roman" w:hAnsi="Times New Roman"/>
          <w:b/>
          <w:i/>
          <w:color w:val="000000"/>
          <w:sz w:val="16"/>
        </w:rPr>
      </w:pPr>
      <w:r>
        <w:rPr>
          <w:rFonts w:ascii="Times New Roman" w:hAnsi="Times New Roman"/>
          <w:b/>
          <w:i/>
          <w:color w:val="000000"/>
          <w:sz w:val="16"/>
        </w:rPr>
        <w:t>(Unaudited)</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Historically, a relatively small number of customers have accounted for a significant portion of the Company’s revenue. The following table presents the Company’s significant customers: </w:t>
      </w:r>
    </w:p>
    <w:p>
      <w:pPr>
        <w:pStyle w:val="TextBody"/>
        <w:bidi w:val="0"/>
        <w:jc w:val="both"/>
        <w:rPr/>
      </w:pPr>
      <w:r>
        <w:rPr/>
        <w:t> </w:t>
      </w:r>
    </w:p>
    <w:tbl>
      <w:tblPr>
        <w:tblW w:w="8574" w:type="dxa"/>
        <w:jc w:val="left"/>
        <w:tblInd w:w="0" w:type="dxa"/>
        <w:tblLayout w:type="fixed"/>
        <w:tblCellMar>
          <w:top w:w="28" w:type="dxa"/>
          <w:left w:w="28" w:type="dxa"/>
          <w:bottom w:w="28" w:type="dxa"/>
          <w:right w:w="28" w:type="dxa"/>
        </w:tblCellMar>
      </w:tblPr>
      <w:tblGrid>
        <w:gridCol w:w="2321"/>
        <w:gridCol w:w="146"/>
        <w:gridCol w:w="292"/>
        <w:gridCol w:w="632"/>
        <w:gridCol w:w="542"/>
        <w:gridCol w:w="292"/>
        <w:gridCol w:w="292"/>
        <w:gridCol w:w="632"/>
        <w:gridCol w:w="271"/>
        <w:gridCol w:w="146"/>
        <w:gridCol w:w="282"/>
        <w:gridCol w:w="611"/>
        <w:gridCol w:w="524"/>
        <w:gridCol w:w="282"/>
        <w:gridCol w:w="282"/>
        <w:gridCol w:w="611"/>
        <w:gridCol w:w="416"/>
      </w:tblGrid>
      <w:tr>
        <w:trPr/>
        <w:tc>
          <w:tcPr>
            <w:tcW w:w="2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2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(Amounts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3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Customer A (See Note 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52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Customer B (See Note 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3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Customer C (See Note 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Customer 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 Defined as less than 10% for the period.</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Net Loss Per Share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applies the treasury stock method to determine the dilutive effect of potentially dilutive securities, including warrants, and the if-converted method to determine the dilutive effect of any potentially dilutive convertible securities. The Company’s only participating securities for the three and nine months ended September 30, 2025 and 2024 are shares of the Company’s common stock, and any dividends declared on the common stock would be forfeitable if not vested. Since the Merger was accounted for as a reverse recapitalization, net loss per share has been retroactively adjusted for periods ended prior to the Merger.</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Basic net loss per share is calculated by dividing the net loss attributable to common stockholders by the weighted average number of common stock outstanding during the period, without consideration of potentially dilutive securities. Shares used in the calculation of basic net loss per common share includes vested but unissued shares of common stock that the Company is contractually obligated to issue.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There are no potentially dilutive securities included in the Company’s diluted net loss per share calculation for the three and nine months ended September 30, 2025 and 2024, as the effect of any potentially dilutive security is anti-dilutive due to the net losses in those periods.</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Segment Reporting</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operates in one reporting segment. Operating segments are defined as components of an enterprise about which separate financial information is evaluated regularly by the chief operating decision maker (“CODM”) in deciding how to allocate resources and assessing performance. The Company’s Chief Executive Officer is the CODM, who reviews financial information presented on a consolidated basis for the purposes of making operating decisions, allocating resources and evaluating financial performance.</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In June 2022, the FASB issued ASU 2022-03, </w:t>
      </w:r>
      <w:r>
        <w:rPr>
          <w:rFonts w:ascii="Times New Roman" w:hAnsi="Times New Roman"/>
          <w:i/>
          <w:color w:val="000000"/>
          <w:sz w:val="20"/>
        </w:rPr>
        <w:t>Fair Value Measurement (Topic 820): Fair Value Measurement of Equity Securities Subject to Contractual Sale Restrictions</w:t>
      </w:r>
      <w:r>
        <w:rPr>
          <w:rFonts w:ascii="Times New Roman" w:hAnsi="Times New Roman"/>
          <w:color w:val="000000"/>
          <w:sz w:val="20"/>
        </w:rPr>
        <w:t>. This ASU clarifies guidance in Topic 820 and introduces new disclosure requirements for equity securities subject to contractual sale restrictions that are measured at fair value in accordance with Topic 820. The Company adopted this standard on January 1, 2025. The adoption of this standard did not have an impact on its condensed consolidated financial statements.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In December 2023, the FASB issued ASU 2023-09, </w:t>
      </w:r>
      <w:r>
        <w:rPr>
          <w:rFonts w:ascii="Times New Roman" w:hAnsi="Times New Roman"/>
          <w:i/>
          <w:color w:val="000000"/>
          <w:sz w:val="20"/>
        </w:rPr>
        <w:t>Income Taxes (Topic 740): Improvements to Income Tax Disclosures.</w:t>
      </w:r>
      <w:r>
        <w:rPr>
          <w:rFonts w:ascii="Times New Roman" w:hAnsi="Times New Roman"/>
          <w:color w:val="000000"/>
          <w:sz w:val="20"/>
        </w:rPr>
        <w:t xml:space="preserve"> This ASU enhances the transparency and decision usefulness of income tax disclosures. This guidance is effective for the Company for the year ended December 31, 2025. The Company is currently evaluating the impact that the adoption of this ASU will have on its condensed consolidated financial statements.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In November 2024, the FASB issued ASU 2024-04, </w:t>
      </w:r>
      <w:r>
        <w:rPr>
          <w:rFonts w:ascii="Times New Roman" w:hAnsi="Times New Roman"/>
          <w:i/>
          <w:color w:val="000000"/>
          <w:sz w:val="20"/>
        </w:rPr>
        <w:t xml:space="preserve">Debt – Debt with Conversion and Other Options (Subtopic 470-20): Induced Conversions of Convertible Debt Instruments. </w:t>
      </w:r>
      <w:r>
        <w:rPr>
          <w:rFonts w:ascii="Times New Roman" w:hAnsi="Times New Roman"/>
          <w:color w:val="000000"/>
          <w:sz w:val="20"/>
        </w:rPr>
        <w:t>This ASU clarifies guidance on the requirements for determining whether certain settlements of convertible debt instruments should be accounted for as an induced conversion or extinguishment. This guidance is effective for the Company beginning on January 1, 2026, and early adoption is permitted, although the Company does not plan to early adopt. The Company is currently evaluating the impact that the adoption of this ASU will have on its condensed consolidated financial statements.</w:t>
      </w:r>
    </w:p>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BLAIZE HOLDINGS, INC.</w:t>
      </w:r>
    </w:p>
    <w:p>
      <w:pPr>
        <w:pStyle w:val="TextBody"/>
        <w:bidi w:val="0"/>
        <w:jc w:val="center"/>
        <w:rPr>
          <w:rFonts w:ascii="Times New Roman" w:hAnsi="Times New Roman"/>
          <w:sz w:val="20"/>
        </w:rPr>
      </w:pPr>
      <w:r>
        <w:rPr>
          <w:rFonts w:ascii="Times New Roman" w:hAnsi="Times New Roman"/>
          <w:b/>
          <w:color w:val="000000"/>
          <w:sz w:val="20"/>
        </w:rPr>
        <w:t xml:space="preserve">NOTES TO THE CONDENSED CONSOLIDATED FINANCIAL STATEMENTS </w:t>
      </w:r>
      <w:r>
        <w:rPr>
          <w:rFonts w:ascii="Times New Roman" w:hAnsi="Times New Roman"/>
          <w:color w:val="000000"/>
          <w:sz w:val="16"/>
        </w:rPr>
        <w:t>(</w:t>
      </w:r>
      <w:r>
        <w:rPr>
          <w:rFonts w:ascii="Times New Roman" w:hAnsi="Times New Roman"/>
          <w:i/>
          <w:color w:val="000000"/>
          <w:sz w:val="16"/>
        </w:rPr>
        <w:t>cont.</w:t>
      </w:r>
      <w:r>
        <w:rPr>
          <w:rFonts w:ascii="Times New Roman" w:hAnsi="Times New Roman"/>
          <w:color w:val="000000"/>
          <w:sz w:val="16"/>
        </w:rPr>
        <w:t>)</w:t>
      </w:r>
    </w:p>
    <w:p>
      <w:pPr>
        <w:pStyle w:val="TextBody"/>
        <w:bidi w:val="0"/>
        <w:jc w:val="center"/>
        <w:rPr>
          <w:rFonts w:ascii="Times New Roman" w:hAnsi="Times New Roman"/>
          <w:b/>
          <w:i/>
          <w:color w:val="000000"/>
          <w:sz w:val="16"/>
        </w:rPr>
      </w:pPr>
      <w:r>
        <w:rPr>
          <w:rFonts w:ascii="Times New Roman" w:hAnsi="Times New Roman"/>
          <w:b/>
          <w:i/>
          <w:color w:val="000000"/>
          <w:sz w:val="16"/>
        </w:rPr>
        <w:t>(Unaudited)</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 - Reporting Comprehensive Income - Expense Disaggregation Disclosures: Disaggregation of Income Statement Expenses</w:t>
      </w:r>
      <w:r>
        <w:rPr>
          <w:rFonts w:ascii="Times New Roman" w:hAnsi="Times New Roman"/>
          <w:color w:val="000000"/>
          <w:sz w:val="20"/>
        </w:rPr>
        <w:t>. This ASU requires disaggregated disclosure of income statement expenses for public business entities. The ASU does not change the expense captions an entity presents on the face of the income statement; rather, it requires disaggregation of certain expense captions into specified categories in disclosures within the notes to the condensed consolidated financial statements. This guidance is effective for the Company beginning on January 1, 2027, and early adoption is permitted, although the Company does not plan to early adopt. The Company is currently evaluating the impact of the adoption of this standard.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In July 2025, the FASB issued ASU 2025-05, </w:t>
      </w:r>
      <w:r>
        <w:rPr>
          <w:rFonts w:ascii="Times New Roman" w:hAnsi="Times New Roman"/>
          <w:i/>
          <w:color w:val="000000"/>
          <w:sz w:val="20"/>
        </w:rPr>
        <w:t>Financial Instruments - Credit Losses (Topic 326): Measurement of Credit Losses for Accounts Receivable and Contract Assets</w:t>
      </w:r>
      <w:r>
        <w:rPr>
          <w:rFonts w:ascii="Times New Roman" w:hAnsi="Times New Roman"/>
          <w:color w:val="000000"/>
          <w:sz w:val="20"/>
        </w:rPr>
        <w:t>. This ASU provides a practical expedient to assume that conditions as of the balance sheet date remain unchanged over the life of the asset when estimating expected credit losses for current accounts receivable and current contract assets arising from transactions accounted for under ASC 606. This guidance is effective for the Company beginning on January 1, 2026, and early adoption is permitted, although the Company does not plan to early adopt. The amendments in this ASU should be applied prospectively. The Company is currently evaluating the impact of the adoption of this standard.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does not believe that any other recently issued, not yet effective, accounting standards would have a material effect on the accompanying condensed consolidated financial statements, if adopted.</w:t>
      </w:r>
    </w:p>
    <w:p>
      <w:pPr>
        <w:pStyle w:val="TextBody"/>
        <w:bidi w:val="0"/>
        <w:jc w:val="both"/>
        <w:rPr/>
      </w:pPr>
      <w:r>
        <w:rPr/>
        <w:t> </w:t>
      </w:r>
    </w:p>
    <w:p>
      <w:pPr>
        <w:pStyle w:val="TextBody"/>
        <w:bidi w:val="0"/>
        <w:jc w:val="both"/>
        <w:rPr>
          <w:rFonts w:ascii="Times New Roman" w:hAnsi="Times New Roman"/>
          <w:b/>
          <w:color w:val="000000"/>
          <w:sz w:val="20"/>
          <w:shd w:fill="FFFFFF" w:val="clear"/>
        </w:rPr>
      </w:pPr>
      <w:r>
        <w:rPr>
          <w:rFonts w:ascii="Times New Roman" w:hAnsi="Times New Roman"/>
          <w:b/>
          <w:color w:val="000000"/>
          <w:sz w:val="20"/>
          <w:shd w:fill="FFFFFF" w:val="clear"/>
        </w:rPr>
        <w:t>Note 3. Merger and Reverse Recapitalization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discussed above, the Merger was consummated on January 13, 2025, which, for accounting purposes, was treated as the equivalent of Legacy Blaize issuing stock for the net assets of BurTech, accompanied by a recapitalization (see Note 1). Under this method of accounting, BurTech was treated as the acquired company for financial accounting and reporting purposes under U.S. GAAP.</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Upon the consummation of the Merger, each share of Legacy Blaize common stock issued and outstanding was canceled and converted into the right to receive approximately 0.78 shares (the “Exchange Ratio”) of common stock of BurTech.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Legacy Blaize Redeemable Convertible Preferred Stock, Convertible Promissory Notes and Warrants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Immediately prior to the closing of the Merger, all outstanding convertible notes, inclusive of accrued and unpaid interest, each of the issued and outstanding shares of redeemable convertible preferred stock, and all outstanding warrants, net exercised, were automatically converted into shares of common stock.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Upon the consummation of the Merger, (i) each outstanding stock option to purchase Legacy Blaize common stock was converted into a stock option of the Company, upon substantially the same terms and conditions as in effect with respect to the corresponding Legacy Blaize option, and the right to receive a number of earnout shares. Additionally, each Legacy Blaize RSU was converted into an RSU of the Company, upon substantially the same terms and conditions as in effect with respect to the corresponding Legacy Blaize RSU, and the right to receive a number of earnout shares.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Other Arrangements entered into at time of Merger or assumed upon the consummation of the Merger:</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Public and Private Placement Warrants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Upon the consummation of the Merger, BurTech’s 28,750,000 public warrants and 898,250 private warrants, both outstanding immediately prior to the consummation of the Merger, became warrants of the Company.</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PIPE Shares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From December 31, 2024 through January 13, 2025, BurTech and certain other subscribers (collectively, the “Subscribers”) entered into subscription agreements under which BurTech agreed to issue and sell to the Subscribers, immediately before the Closing Date, collectively, 1,529,500 shares of Class A Stock (the “PIPE Shares”) at a price per share equal to $10.00. Such shares that were outstanding immediately prior to the Merger became shares of common stock.</w:t>
      </w:r>
    </w:p>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BLAIZE HOLDINGS, INC.</w:t>
      </w:r>
    </w:p>
    <w:p>
      <w:pPr>
        <w:pStyle w:val="TextBody"/>
        <w:bidi w:val="0"/>
        <w:jc w:val="center"/>
        <w:rPr>
          <w:rFonts w:ascii="Times New Roman" w:hAnsi="Times New Roman"/>
          <w:sz w:val="20"/>
        </w:rPr>
      </w:pPr>
      <w:r>
        <w:rPr>
          <w:rFonts w:ascii="Times New Roman" w:hAnsi="Times New Roman"/>
          <w:b/>
          <w:color w:val="000000"/>
          <w:sz w:val="20"/>
        </w:rPr>
        <w:t xml:space="preserve">NOTES TO THE CONDENSED CONSOLIDATED FINANCIAL STATEMENTS </w:t>
      </w:r>
      <w:r>
        <w:rPr>
          <w:rFonts w:ascii="Times New Roman" w:hAnsi="Times New Roman"/>
          <w:color w:val="000000"/>
          <w:sz w:val="16"/>
        </w:rPr>
        <w:t>(</w:t>
      </w:r>
      <w:r>
        <w:rPr>
          <w:rFonts w:ascii="Times New Roman" w:hAnsi="Times New Roman"/>
          <w:i/>
          <w:color w:val="000000"/>
          <w:sz w:val="16"/>
        </w:rPr>
        <w:t>cont.</w:t>
      </w:r>
      <w:r>
        <w:rPr>
          <w:rFonts w:ascii="Times New Roman" w:hAnsi="Times New Roman"/>
          <w:color w:val="000000"/>
          <w:sz w:val="16"/>
        </w:rPr>
        <w:t>)</w:t>
      </w:r>
    </w:p>
    <w:p>
      <w:pPr>
        <w:pStyle w:val="TextBody"/>
        <w:bidi w:val="0"/>
        <w:jc w:val="center"/>
        <w:rPr>
          <w:rFonts w:ascii="Times New Roman" w:hAnsi="Times New Roman"/>
          <w:b/>
          <w:i/>
          <w:color w:val="000000"/>
          <w:sz w:val="16"/>
        </w:rPr>
      </w:pPr>
      <w:r>
        <w:rPr>
          <w:rFonts w:ascii="Times New Roman" w:hAnsi="Times New Roman"/>
          <w:b/>
          <w:i/>
          <w:color w:val="000000"/>
          <w:sz w:val="16"/>
        </w:rPr>
        <w:t>(Unaudited)</w:t>
      </w:r>
    </w:p>
    <w:p>
      <w:pPr>
        <w:pStyle w:val="TextBody"/>
        <w:bidi w:val="0"/>
        <w:jc w:val="center"/>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Shareholder Note Receivable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Immediately prior to the consummation of the Merger, BurTech LP, a related party, issued a secured promissory note and pledge agreement (the “Shareholder Note”) to BurTech in the principal amount of $8.8 million in exchange for 750,000 shares of common stock. The principal of the Shareholder Note will decrease when BurTech LP pays for transaction costs that the Company assumed from BurTech in the Merger. The Shareholder Note bears interest at 7.0%, compounded annually on December 31 of each year and is secured by 2,000,000 shares of the Company’s common stock owned by BurTech LP. During the three and nine months ended September 30, 2025, payments of zero and $0.2 million, respectively, were made under the Shareholder Note. As of September 30, 2025, the outstanding principal of the Shareholder Note was $8.6 million, included in additional paid-in capital on the condensed consolidated financial statements.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Non-Redemption Agreements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December 31, 2024 and through January 13, 2025, BurTech, BurTech LP and Legacy Blaize entered into Non-Redemption Agreements with several unaffiliated stockholders of BurTech (each, an “Investor”) who agreed not to redeem (or validly rescind any redemption requests on) their shares of common stock (“Non-Redeemed Shares”). These Non-Redeemed Shares were exchanged for shares of the Company’s common stock and are held in a separate escrow account. In exchange for the foregoing commitments not to redeem the Non-Redeemed Shares, the Company and BurTech LP agreed to guarantee that each Investor receives a return of $1.50 per Non-Redeemed Share above the initial $11.57 per share (for a total redemption value of $13.07 per Non-Redeemed Share) held in the related cash escrow account if the Investor sells the Non-Redeemed Shares in the open market. The funds in the related cash escrow account are sufficient to fulfill the Company’s redemption obligation under the Non-Redemption Agreement. Starting 90 days after the Closing Date through 180 days after the Closing Date, each Investor has the right to exercise a put option to receive $13.07 per Non-Redeemed Share. The Sponsor, and not the Company, is contractually obligated for the $1.50 per share above the $11.57 held in cash escrow as it relates to the put option. Accordingly, the Company did not recognize a non-redemption liability as of the Closing Date or September 30, 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reconciles the elements of the Merger to the condensed consolidated statement of cash flows and the condensed consolidated statement of stockholders’ equity (deficit) for the nine months ended September 30, 2025:</w:t>
      </w:r>
    </w:p>
    <w:p>
      <w:pPr>
        <w:pStyle w:val="TextBody"/>
        <w:bidi w:val="0"/>
        <w:jc w:val="both"/>
        <w:rPr/>
      </w:pPr>
      <w:r>
        <w:rPr/>
        <w:t> </w:t>
      </w:r>
    </w:p>
    <w:tbl>
      <w:tblPr>
        <w:tblW w:w="6323" w:type="dxa"/>
        <w:jc w:val="left"/>
        <w:tblInd w:w="0" w:type="dxa"/>
        <w:tblLayout w:type="fixed"/>
        <w:tblCellMar>
          <w:top w:w="28" w:type="dxa"/>
          <w:left w:w="28" w:type="dxa"/>
          <w:bottom w:w="28" w:type="dxa"/>
          <w:right w:w="28" w:type="dxa"/>
        </w:tblCellMar>
      </w:tblPr>
      <w:tblGrid>
        <w:gridCol w:w="4641"/>
        <w:gridCol w:w="258"/>
        <w:gridCol w:w="1033"/>
        <w:gridCol w:w="391"/>
      </w:tblGrid>
      <w:tr>
        <w:trPr/>
        <w:tc>
          <w:tcPr>
            <w:tcW w:w="464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(Amounts in thousands)</w:t>
            </w:r>
          </w:p>
        </w:tc>
        <w:tc>
          <w:tcPr>
            <w:tcW w:w="12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Recapitalization</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 BurTech trust and cash, net of redemptions</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37,259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Non-redemption escrow</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(33,061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 PIPE</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transaction costs and advisory paid by BurTech</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proceeds from Merger</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15,874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earnout shares</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(126,025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Non-cash net liabilities assumed from BurTech</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(16,013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Merger and PIPE financing</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(126,164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number of shares of common stock outstanding immediately following the consummation of the Merger:</w:t>
      </w:r>
    </w:p>
    <w:p>
      <w:pPr>
        <w:pStyle w:val="TextBody"/>
        <w:bidi w:val="0"/>
        <w:jc w:val="both"/>
        <w:rPr/>
      </w:pPr>
      <w:r>
        <w:rPr/>
        <w:t> </w:t>
      </w:r>
    </w:p>
    <w:tbl>
      <w:tblPr>
        <w:tblW w:w="8764" w:type="dxa"/>
        <w:jc w:val="left"/>
        <w:tblInd w:w="0" w:type="dxa"/>
        <w:tblLayout w:type="fixed"/>
        <w:tblCellMar>
          <w:top w:w="28" w:type="dxa"/>
          <w:left w:w="28" w:type="dxa"/>
          <w:bottom w:w="28" w:type="dxa"/>
          <w:right w:w="28" w:type="dxa"/>
        </w:tblCellMar>
      </w:tblPr>
      <w:tblGrid>
        <w:gridCol w:w="7271"/>
        <w:gridCol w:w="146"/>
        <w:gridCol w:w="1036"/>
        <w:gridCol w:w="311"/>
      </w:tblGrid>
      <w:tr>
        <w:trPr/>
        <w:tc>
          <w:tcPr>
            <w:tcW w:w="7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7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BurTech Class A common stock, outstanding prior to the Merger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10,816,995</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Sponsor forfeiture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(2,000,000</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72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BurTech Class A common stock subject to redemption, outstanding prior to the Merger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4,104,543</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Shareholder Note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750,000</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Redemption of BurTech Class A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(937,844</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72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BurTech Class A Shares in non-redemption escrow</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(2,854,242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A common stock of BurTech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9,879,452</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PIPE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1,529,500</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BurTech Class B common stock, outstanding prior to the Merger</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72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Merger and PIPE financing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11,408,957</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Legacy Blaize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87,314,968</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Issuance of common stock to advisors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94,949</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immediately after the Merger</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98,818,874</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BLAIZE HOLDINGS, INC.</w:t>
      </w:r>
    </w:p>
    <w:p>
      <w:pPr>
        <w:pStyle w:val="TextBody"/>
        <w:bidi w:val="0"/>
        <w:jc w:val="center"/>
        <w:rPr>
          <w:rFonts w:ascii="Times New Roman" w:hAnsi="Times New Roman"/>
          <w:sz w:val="20"/>
        </w:rPr>
      </w:pPr>
      <w:r>
        <w:rPr>
          <w:rFonts w:ascii="Times New Roman" w:hAnsi="Times New Roman"/>
          <w:b/>
          <w:color w:val="000000"/>
          <w:sz w:val="20"/>
        </w:rPr>
        <w:t xml:space="preserve">NOTES TO THE CONDENSED CONSOLIDATED FINANCIAL STATEMENTS </w:t>
      </w:r>
      <w:r>
        <w:rPr>
          <w:rFonts w:ascii="Times New Roman" w:hAnsi="Times New Roman"/>
          <w:color w:val="000000"/>
          <w:sz w:val="16"/>
        </w:rPr>
        <w:t>(</w:t>
      </w:r>
      <w:r>
        <w:rPr>
          <w:rFonts w:ascii="Times New Roman" w:hAnsi="Times New Roman"/>
          <w:i/>
          <w:color w:val="000000"/>
          <w:sz w:val="16"/>
        </w:rPr>
        <w:t>cont.</w:t>
      </w:r>
      <w:r>
        <w:rPr>
          <w:rFonts w:ascii="Times New Roman" w:hAnsi="Times New Roman"/>
          <w:color w:val="000000"/>
          <w:sz w:val="16"/>
        </w:rPr>
        <w:t>)</w:t>
      </w:r>
    </w:p>
    <w:p>
      <w:pPr>
        <w:pStyle w:val="TextBody"/>
        <w:bidi w:val="0"/>
        <w:jc w:val="center"/>
        <w:rPr>
          <w:rFonts w:ascii="Times New Roman" w:hAnsi="Times New Roman"/>
          <w:b/>
          <w:i/>
          <w:color w:val="000000"/>
          <w:sz w:val="16"/>
        </w:rPr>
      </w:pPr>
      <w:r>
        <w:rPr>
          <w:rFonts w:ascii="Times New Roman" w:hAnsi="Times New Roman"/>
          <w:b/>
          <w:i/>
          <w:color w:val="000000"/>
          <w:sz w:val="16"/>
        </w:rPr>
        <w:t>(Unaudited)</w:t>
      </w:r>
    </w:p>
    <w:p>
      <w:pPr>
        <w:pStyle w:val="TextBody"/>
        <w:bidi w:val="0"/>
        <w:jc w:val="center"/>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number of Legacy Blaize shares was determined as follows:</w:t>
      </w:r>
    </w:p>
    <w:p>
      <w:pPr>
        <w:pStyle w:val="TextBody"/>
        <w:bidi w:val="0"/>
        <w:jc w:val="both"/>
        <w:rPr/>
      </w:pPr>
      <w:r>
        <w:rPr/>
        <w:t> </w:t>
      </w:r>
    </w:p>
    <w:tbl>
      <w:tblPr>
        <w:tblW w:w="9929" w:type="dxa"/>
        <w:jc w:val="left"/>
        <w:tblInd w:w="0" w:type="dxa"/>
        <w:tblLayout w:type="fixed"/>
        <w:tblCellMar>
          <w:top w:w="28" w:type="dxa"/>
          <w:left w:w="28" w:type="dxa"/>
          <w:bottom w:w="28" w:type="dxa"/>
          <w:right w:w="28" w:type="dxa"/>
        </w:tblCellMar>
      </w:tblPr>
      <w:tblGrid>
        <w:gridCol w:w="4571"/>
        <w:gridCol w:w="185"/>
        <w:gridCol w:w="1450"/>
        <w:gridCol w:w="246"/>
        <w:gridCol w:w="246"/>
        <w:gridCol w:w="363"/>
        <w:gridCol w:w="2577"/>
        <w:gridCol w:w="291"/>
      </w:tblGrid>
      <w:tr>
        <w:trPr/>
        <w:tc>
          <w:tcPr>
            <w:tcW w:w="457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257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Legacy Blaize Shares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Legacy Blaize Shares After Conversion</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45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Common stock</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17,518,791</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13,663,527</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Conversion of redeemable convertible preferred stock</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44,506,781</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34,712,525</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Conversion of convertible notes</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40,302,382</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31,433,259</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exercise of legacy warrants</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9,623,432</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7,505,657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immediately after the Merger</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111,951,386</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87,314,968</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Earnout Share Arrangements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Legacy Blaize shareholders, Legacy Blaize employee equity award holders (including stock options and RSUs) and Burkhan are entitled to Earnout Shares in four tranches upon the occurrence of four separate Triggering Events (defined below), if they occur between January 13, 2025 and January 13, 2030 (the “Earnout Period”). The Triggering Events are driven by whether the Company’s closing share price on 20 trading days out of 30 consecutive trading days equals or exceeds defined per share thresholds in each tranche as follows: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If the price of the Company’s common stock is greater than or equal to $12.50 per share, 3,750,000 Earnout Shares to Legacy Blaize shareholders and Legacy Blaize employee equity award holders and 650,000 Earnout Shares to Burkhan will be issued; and</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If the price of the Company’s common stock is greater than or equal to $15.00 per share, an additional 3,750,000 Earnout Shares to Legacy Blaize shareholders and Legacy Blaize employee equity award holders and an additional 650,000 Earnout Shares to Burkhan will be issued; and</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If the price of the Company’s common stock is greater than or equal to $17.50 per share, an additional 3,750,000 Earnout Shares to Legacy Blaize shareholders and Legacy Blaize employee equity award holders and an additional 650,000 Earnout Shares to Burkhan will be issued;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If the price of the Company’s common stock is greater than or equal to $20.00 per share, an additional 3,750,000 Earnout Shares to Legacy Blaize shareholders and Legacy Blaize employee equity award holders and an additional 650,000 Earnout Shares to Burkhan will be issued (each a “Triggering Event” and collectively, the “Triggering Events”).</w:t>
      </w:r>
    </w:p>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Employee Earnout Shares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Company employees entitled to receive Employee Earnout Shares must provide service through the date the target is achieved and if an employee departs, the forfeited Employee Earnout Shares are reallocated to Legacy Blaize shareholders and the remaining pool equity award holders who received the right to the Earnout Shares on the Closing Date. The reallocated shares are considered a forfeiture of the original award and grant of a new award.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estimated fair value of the Employee Earnout Shares was $82.9 million, assuming the service conditions are met and assuming no forfeitures. Each Triggering Event, as defined, is considered a market condition. The requisite service condition is the period of time it takes to achieve all four market conditions. As this is not explicitly stated in the earnout arrangement, the service period is implied from the expected period over which the shares are expected to achieve the market condition. Under this guidance, the award is measured at fair value at the grant (or issue) date using the Monte Carlo simulation model and expense is recognized over the derived service period of 5 years.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three and nine months ended September 30, 2025, the Company recorded $3.8 million and $11.4 million, respectively, in stock-based compensation expense related to the Employee Earnout Shares. During the three and nine months ended September 30, 2025, 182,180 and 237,669 Employee Earnout Shares, respectively, were forfeited due to employee terminations. As of September 30, 2025, there was $68.6 million of total unrecognized compensation cost related to the Employee Earnout Shares.</w:t>
      </w:r>
    </w:p>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Other Earnout Shares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fair value of the derivative liability associated with the Other Earnout Shares is dependent upon, among other things, changes in the closing share price of the Company’s common stock and the probability of each Triggering Events being achieved. As certain inputs are not observable in the market, the Other Earnout Shares are classified as a Level 3 instrument within the fair value hierarchy (see Note 5). The Company adjusts the previous fair value of the Other Earnout Shares at each reporting period based on changes to the Company’s expected share price volatility, as well as other factors which impact the Company’s expectation of settlement timing and achieving the Triggering Events.</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BLAIZE HOLDINGS, INC.</w:t>
      </w:r>
    </w:p>
    <w:p>
      <w:pPr>
        <w:pStyle w:val="TextBody"/>
        <w:bidi w:val="0"/>
        <w:jc w:val="center"/>
        <w:rPr>
          <w:rFonts w:ascii="Times New Roman" w:hAnsi="Times New Roman"/>
          <w:sz w:val="20"/>
        </w:rPr>
      </w:pPr>
      <w:r>
        <w:rPr>
          <w:rFonts w:ascii="Times New Roman" w:hAnsi="Times New Roman"/>
          <w:b/>
          <w:color w:val="000000"/>
          <w:sz w:val="20"/>
        </w:rPr>
        <w:t xml:space="preserve">NOTES TO THE CONDENSED CONSOLIDATED FINANCIAL STATEMENTS </w:t>
      </w:r>
      <w:r>
        <w:rPr>
          <w:rFonts w:ascii="Times New Roman" w:hAnsi="Times New Roman"/>
          <w:color w:val="000000"/>
          <w:sz w:val="16"/>
        </w:rPr>
        <w:t>(</w:t>
      </w:r>
      <w:r>
        <w:rPr>
          <w:rFonts w:ascii="Times New Roman" w:hAnsi="Times New Roman"/>
          <w:i/>
          <w:color w:val="000000"/>
          <w:sz w:val="16"/>
        </w:rPr>
        <w:t>cont.</w:t>
      </w:r>
      <w:r>
        <w:rPr>
          <w:rFonts w:ascii="Times New Roman" w:hAnsi="Times New Roman"/>
          <w:color w:val="000000"/>
          <w:sz w:val="16"/>
        </w:rPr>
        <w:t>)</w:t>
      </w:r>
    </w:p>
    <w:p>
      <w:pPr>
        <w:pStyle w:val="TextBody"/>
        <w:bidi w:val="0"/>
        <w:jc w:val="center"/>
        <w:rPr>
          <w:rFonts w:ascii="Times New Roman" w:hAnsi="Times New Roman"/>
          <w:b/>
          <w:i/>
          <w:color w:val="000000"/>
          <w:sz w:val="16"/>
        </w:rPr>
      </w:pPr>
      <w:r>
        <w:rPr>
          <w:rFonts w:ascii="Times New Roman" w:hAnsi="Times New Roman"/>
          <w:b/>
          <w:i/>
          <w:color w:val="000000"/>
          <w:sz w:val="16"/>
        </w:rPr>
        <w:t>(Unaudited)</w:t>
      </w:r>
    </w:p>
    <w:p>
      <w:pPr>
        <w:pStyle w:val="TextBody"/>
        <w:bidi w:val="0"/>
        <w:jc w:val="center"/>
        <w:rPr/>
      </w:pPr>
      <w:r>
        <w:rPr/>
        <w:t> </w:t>
      </w:r>
    </w:p>
    <w:p>
      <w:pPr>
        <w:pStyle w:val="TextBody"/>
        <w:bidi w:val="0"/>
        <w:jc w:val="both"/>
        <w:rPr>
          <w:rFonts w:ascii="Times New Roman" w:hAnsi="Times New Roman"/>
          <w:b/>
          <w:color w:val="000000"/>
          <w:sz w:val="20"/>
          <w:shd w:fill="FFFFFF" w:val="clear"/>
        </w:rPr>
      </w:pPr>
      <w:r>
        <w:rPr>
          <w:rFonts w:ascii="Times New Roman" w:hAnsi="Times New Roman"/>
          <w:b/>
          <w:color w:val="000000"/>
          <w:sz w:val="20"/>
          <w:shd w:fill="FFFFFF" w:val="clear"/>
        </w:rPr>
        <w:t>Note 4. Revenue</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Disaggregation of Revenue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the Company’s revenue information by customer geographical region:</w:t>
      </w:r>
    </w:p>
    <w:p>
      <w:pPr>
        <w:pStyle w:val="TextBody"/>
        <w:bidi w:val="0"/>
        <w:jc w:val="both"/>
        <w:rPr/>
      </w:pPr>
      <w:r>
        <w:rPr/>
        <w:t> </w:t>
      </w:r>
    </w:p>
    <w:tbl>
      <w:tblPr>
        <w:tblW w:w="7875" w:type="dxa"/>
        <w:jc w:val="left"/>
        <w:tblInd w:w="0" w:type="dxa"/>
        <w:tblLayout w:type="fixed"/>
        <w:tblCellMar>
          <w:top w:w="28" w:type="dxa"/>
          <w:left w:w="28" w:type="dxa"/>
          <w:bottom w:w="28" w:type="dxa"/>
          <w:right w:w="28" w:type="dxa"/>
        </w:tblCellMar>
      </w:tblPr>
      <w:tblGrid>
        <w:gridCol w:w="1771"/>
        <w:gridCol w:w="146"/>
        <w:gridCol w:w="312"/>
        <w:gridCol w:w="1002"/>
        <w:gridCol w:w="216"/>
        <w:gridCol w:w="216"/>
        <w:gridCol w:w="312"/>
        <w:gridCol w:w="624"/>
        <w:gridCol w:w="146"/>
        <w:gridCol w:w="146"/>
        <w:gridCol w:w="279"/>
        <w:gridCol w:w="894"/>
        <w:gridCol w:w="193"/>
        <w:gridCol w:w="193"/>
        <w:gridCol w:w="279"/>
        <w:gridCol w:w="755"/>
        <w:gridCol w:w="391"/>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(Amounts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Asia Pacific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10,445</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11,411</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North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11,867</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14,856</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provides a disaggregation of revenue based on the method of revenue recognition:</w:t>
      </w:r>
    </w:p>
    <w:p>
      <w:pPr>
        <w:pStyle w:val="TextBody"/>
        <w:bidi w:val="0"/>
        <w:jc w:val="both"/>
        <w:rPr/>
      </w:pPr>
      <w:r>
        <w:rPr/>
        <w:t> </w:t>
      </w:r>
    </w:p>
    <w:tbl>
      <w:tblPr>
        <w:tblW w:w="9315" w:type="dxa"/>
        <w:jc w:val="left"/>
        <w:tblInd w:w="0" w:type="dxa"/>
        <w:tblLayout w:type="fixed"/>
        <w:tblCellMar>
          <w:top w:w="28" w:type="dxa"/>
          <w:left w:w="28" w:type="dxa"/>
          <w:bottom w:w="28" w:type="dxa"/>
          <w:right w:w="28" w:type="dxa"/>
        </w:tblCellMar>
      </w:tblPr>
      <w:tblGrid>
        <w:gridCol w:w="3311"/>
        <w:gridCol w:w="146"/>
        <w:gridCol w:w="312"/>
        <w:gridCol w:w="1002"/>
        <w:gridCol w:w="216"/>
        <w:gridCol w:w="216"/>
        <w:gridCol w:w="312"/>
        <w:gridCol w:w="624"/>
        <w:gridCol w:w="146"/>
        <w:gridCol w:w="146"/>
        <w:gridCol w:w="279"/>
        <w:gridCol w:w="894"/>
        <w:gridCol w:w="193"/>
        <w:gridCol w:w="193"/>
        <w:gridCol w:w="279"/>
        <w:gridCol w:w="755"/>
        <w:gridCol w:w="291"/>
      </w:tblGrid>
      <w:tr>
        <w:trPr/>
        <w:tc>
          <w:tcPr>
            <w:tcW w:w="3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(Amounts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Revenue recognized at a point in time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11,858</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14,847</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Revenue recognized over time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11,867</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14,856</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color w:val="000000"/>
          <w:sz w:val="20"/>
          <w:shd w:fill="FFFFFF" w:val="clear"/>
        </w:rPr>
      </w:pPr>
      <w:r>
        <w:rPr>
          <w:rFonts w:ascii="Times New Roman" w:hAnsi="Times New Roman"/>
          <w:b/>
          <w:color w:val="000000"/>
          <w:sz w:val="20"/>
          <w:shd w:fill="FFFFFF" w:val="clear"/>
        </w:rPr>
        <w:t>Note 5. Fair Value Measurements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The table below presents the Company’s financial assets and liabilities measured at fair value on a recurring basis aggregated by the level in the fair value hierarchy</w:t>
      </w:r>
      <w:r>
        <w:rPr>
          <w:rFonts w:ascii="Times New Roman" w:hAnsi="Times New Roman"/>
          <w:b/>
          <w:color w:val="000000"/>
          <w:sz w:val="20"/>
        </w:rPr>
        <w:t>:</w:t>
      </w:r>
    </w:p>
    <w:p>
      <w:pPr>
        <w:pStyle w:val="TextBody"/>
        <w:bidi w:val="0"/>
        <w:jc w:val="both"/>
        <w:rPr/>
      </w:pPr>
      <w:r>
        <w:rPr/>
        <w:t> </w:t>
      </w:r>
    </w:p>
    <w:tbl>
      <w:tblPr>
        <w:tblW w:w="7795" w:type="dxa"/>
        <w:jc w:val="left"/>
        <w:tblInd w:w="0" w:type="dxa"/>
        <w:tblLayout w:type="fixed"/>
        <w:tblCellMar>
          <w:top w:w="28" w:type="dxa"/>
          <w:left w:w="28" w:type="dxa"/>
          <w:bottom w:w="28" w:type="dxa"/>
          <w:right w:w="28" w:type="dxa"/>
        </w:tblCellMar>
      </w:tblPr>
      <w:tblGrid>
        <w:gridCol w:w="3296"/>
        <w:gridCol w:w="146"/>
        <w:gridCol w:w="211"/>
        <w:gridCol w:w="571"/>
        <w:gridCol w:w="146"/>
        <w:gridCol w:w="146"/>
        <w:gridCol w:w="239"/>
        <w:gridCol w:w="391"/>
        <w:gridCol w:w="146"/>
        <w:gridCol w:w="146"/>
        <w:gridCol w:w="211"/>
        <w:gridCol w:w="676"/>
        <w:gridCol w:w="146"/>
        <w:gridCol w:w="146"/>
        <w:gridCol w:w="211"/>
        <w:gridCol w:w="676"/>
        <w:gridCol w:w="291"/>
      </w:tblGrid>
      <w:tr>
        <w:trPr/>
        <w:tc>
          <w:tcPr>
            <w:tcW w:w="3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6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September 30,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(Amounts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Mutual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3,836</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Government 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Committed equity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4,002</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Unissued shares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earnout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20,561</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measured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20,716</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8110" w:type="dxa"/>
        <w:jc w:val="left"/>
        <w:tblInd w:w="0" w:type="dxa"/>
        <w:tblLayout w:type="fixed"/>
        <w:tblCellMar>
          <w:top w:w="28" w:type="dxa"/>
          <w:left w:w="28" w:type="dxa"/>
          <w:bottom w:w="28" w:type="dxa"/>
          <w:right w:w="28" w:type="dxa"/>
        </w:tblCellMar>
      </w:tblPr>
      <w:tblGrid>
        <w:gridCol w:w="3296"/>
        <w:gridCol w:w="146"/>
        <w:gridCol w:w="211"/>
        <w:gridCol w:w="676"/>
        <w:gridCol w:w="146"/>
        <w:gridCol w:w="146"/>
        <w:gridCol w:w="239"/>
        <w:gridCol w:w="391"/>
        <w:gridCol w:w="146"/>
        <w:gridCol w:w="146"/>
        <w:gridCol w:w="211"/>
        <w:gridCol w:w="781"/>
        <w:gridCol w:w="146"/>
        <w:gridCol w:w="146"/>
        <w:gridCol w:w="211"/>
        <w:gridCol w:w="781"/>
        <w:gridCol w:w="291"/>
      </w:tblGrid>
      <w:tr>
        <w:trPr/>
        <w:tc>
          <w:tcPr>
            <w:tcW w:w="3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7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(Amounts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Government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30,580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Government 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9,247</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Mutual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44,894</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2023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132,687</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Pay-to-Play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15,942</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Legacy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14,711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measured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163,340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BLAIZE HOLDINGS, INC.</w:t>
      </w:r>
    </w:p>
    <w:p>
      <w:pPr>
        <w:pStyle w:val="TextBody"/>
        <w:bidi w:val="0"/>
        <w:jc w:val="center"/>
        <w:rPr>
          <w:rFonts w:ascii="Times New Roman" w:hAnsi="Times New Roman"/>
          <w:sz w:val="20"/>
        </w:rPr>
      </w:pPr>
      <w:r>
        <w:rPr>
          <w:rFonts w:ascii="Times New Roman" w:hAnsi="Times New Roman"/>
          <w:b/>
          <w:color w:val="000000"/>
          <w:sz w:val="20"/>
        </w:rPr>
        <w:t xml:space="preserve">NOTES TO THE CONDENSED CONSOLIDATED FINANCIAL STATEMENTS </w:t>
      </w:r>
      <w:r>
        <w:rPr>
          <w:rFonts w:ascii="Times New Roman" w:hAnsi="Times New Roman"/>
          <w:color w:val="000000"/>
          <w:sz w:val="16"/>
        </w:rPr>
        <w:t>(</w:t>
      </w:r>
      <w:r>
        <w:rPr>
          <w:rFonts w:ascii="Times New Roman" w:hAnsi="Times New Roman"/>
          <w:i/>
          <w:color w:val="000000"/>
          <w:sz w:val="16"/>
        </w:rPr>
        <w:t>cont.</w:t>
      </w:r>
      <w:r>
        <w:rPr>
          <w:rFonts w:ascii="Times New Roman" w:hAnsi="Times New Roman"/>
          <w:color w:val="000000"/>
          <w:sz w:val="16"/>
        </w:rPr>
        <w:t>)</w:t>
      </w:r>
    </w:p>
    <w:p>
      <w:pPr>
        <w:pStyle w:val="TextBody"/>
        <w:bidi w:val="0"/>
        <w:jc w:val="center"/>
        <w:rPr>
          <w:rFonts w:ascii="Times New Roman" w:hAnsi="Times New Roman"/>
          <w:b/>
          <w:i/>
          <w:color w:val="000000"/>
          <w:sz w:val="16"/>
        </w:rPr>
      </w:pPr>
      <w:r>
        <w:rPr>
          <w:rFonts w:ascii="Times New Roman" w:hAnsi="Times New Roman"/>
          <w:b/>
          <w:i/>
          <w:color w:val="000000"/>
          <w:sz w:val="16"/>
        </w:rPr>
        <w:t>(Unaudited)</w:t>
      </w:r>
    </w:p>
    <w:p>
      <w:pPr>
        <w:pStyle w:val="TextBody"/>
        <w:bidi w:val="0"/>
        <w:jc w:val="center"/>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Level 1 instruments consisted of mutual funds, U.S. Government money market funds and U.S. Government treasury securities, because they were valued using quoted prices in active markets and can be redeemed on any business days with an intermediary. Additionally, the accrued liability associated with unissued shares of common stock due to advisors of the Company under service contracts is included as a Level 1 instrument in accrued expenses and other current liabilities on the condensed consolidated balance sheet as of September 30, 2025, as it uses the Company’s share price as of period end for remeasurement.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Level 3 instruments consist of the Other Earnout Shares (see Note 3), the day-one put right and subsequent-draw forward contracts associated with the Committed Equity Facility (see Notes 6 and 13) as well as the historical convertible notes and legacy warrants.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Changes in the fair value measurement of Level 3 instruments are related to unrealized gains (losses) resulting from the remeasurement of the historical convertible notes and legacy warrants (see Notes 9 and 10), the unissued shares of common stock, the Other Earnout Shares, and the Committed Equity Facility (see Notes 6 and 13). The respective changes for remeasurement are reflected in the change in fair value of convertible notes, change in fair value of warrants, change in fair value of the other earnout shares and change in fair value of committed equity facility in the condensed consolidated statements of operations.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change in the fair values of the Company’s Level 3 instruments during the three and nine months ended September 30, 2025 and 2024, were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048"/>
        <w:gridCol w:w="318"/>
        <w:gridCol w:w="711"/>
        <w:gridCol w:w="166"/>
        <w:gridCol w:w="146"/>
        <w:gridCol w:w="269"/>
        <w:gridCol w:w="909"/>
        <w:gridCol w:w="166"/>
        <w:gridCol w:w="146"/>
        <w:gridCol w:w="229"/>
        <w:gridCol w:w="880"/>
        <w:gridCol w:w="166"/>
        <w:gridCol w:w="146"/>
        <w:gridCol w:w="214"/>
        <w:gridCol w:w="723"/>
        <w:gridCol w:w="166"/>
        <w:gridCol w:w="146"/>
        <w:gridCol w:w="223"/>
        <w:gridCol w:w="857"/>
        <w:gridCol w:w="166"/>
        <w:gridCol w:w="146"/>
        <w:gridCol w:w="196"/>
        <w:gridCol w:w="751"/>
        <w:gridCol w:w="317"/>
      </w:tblGrid>
      <w:tr>
        <w:trPr/>
        <w:tc>
          <w:tcPr>
            <w:tcW w:w="204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20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(Amounts in thousands)</w:t>
            </w:r>
          </w:p>
        </w:tc>
        <w:tc>
          <w:tcPr>
            <w:tcW w:w="10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Committed equity facility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Pay-to-Play convertible notes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 convertible notes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Legacy warrants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Other earnout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Balance as of December 31, 2024</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132,687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163,340</w:t>
            </w:r>
          </w:p>
        </w:tc>
        <w:tc>
          <w:tcPr>
            <w:tcW w:w="31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Issuance of other earnout shares</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126,024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126,024</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4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Committed equity facility - day one put option</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w:t>
            </w:r>
          </w:p>
        </w:tc>
        <w:tc>
          <w:tcPr>
            <w:tcW w:w="31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Committed equity facility - drawdown forward contracts</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204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Change in estimated fair value</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138,471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60,345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(105,463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120,522</w:t>
            </w:r>
          </w:p>
        </w:tc>
        <w:tc>
          <w:tcPr>
            <w:tcW w:w="31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Conversion to common stock</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(43,174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(271,158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(389,388</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0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Balance as of September 30, 2025</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20,686</w:t>
            </w:r>
          </w:p>
        </w:tc>
        <w:tc>
          <w:tcPr>
            <w:tcW w:w="3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332"/>
        <w:gridCol w:w="342"/>
        <w:gridCol w:w="767"/>
        <w:gridCol w:w="166"/>
        <w:gridCol w:w="146"/>
        <w:gridCol w:w="449"/>
        <w:gridCol w:w="795"/>
        <w:gridCol w:w="146"/>
        <w:gridCol w:w="146"/>
        <w:gridCol w:w="382"/>
        <w:gridCol w:w="677"/>
        <w:gridCol w:w="146"/>
        <w:gridCol w:w="146"/>
        <w:gridCol w:w="302"/>
        <w:gridCol w:w="535"/>
        <w:gridCol w:w="146"/>
        <w:gridCol w:w="146"/>
        <w:gridCol w:w="253"/>
        <w:gridCol w:w="778"/>
        <w:gridCol w:w="146"/>
        <w:gridCol w:w="146"/>
        <w:gridCol w:w="196"/>
        <w:gridCol w:w="601"/>
        <w:gridCol w:w="316"/>
      </w:tblGrid>
      <w:tr>
        <w:trPr/>
        <w:tc>
          <w:tcPr>
            <w:tcW w:w="233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(Amounts in thousands)</w:t>
            </w:r>
          </w:p>
        </w:tc>
        <w:tc>
          <w:tcPr>
            <w:tcW w:w="11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Committed equity facility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Pay-to-Play convertible notes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 convertible notes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Legacy warrants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Other earnout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Balance as of June 30, 2025</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16,763</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Committed equity facility - day one put option</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3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Committed equity facility - drawdown forward contracts</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23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Change in estimated fair value</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3,735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Balance as of September 30, 2025</w:t>
            </w:r>
          </w:p>
        </w:tc>
        <w:tc>
          <w:tcPr>
            <w:tcW w:w="34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20,561</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20,686</w:t>
            </w:r>
          </w:p>
        </w:tc>
        <w:tc>
          <w:tcPr>
            <w:tcW w:w="31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267"/>
        <w:gridCol w:w="399"/>
        <w:gridCol w:w="709"/>
        <w:gridCol w:w="146"/>
        <w:gridCol w:w="146"/>
        <w:gridCol w:w="304"/>
        <w:gridCol w:w="938"/>
        <w:gridCol w:w="146"/>
        <w:gridCol w:w="146"/>
        <w:gridCol w:w="247"/>
        <w:gridCol w:w="873"/>
        <w:gridCol w:w="146"/>
        <w:gridCol w:w="146"/>
        <w:gridCol w:w="231"/>
        <w:gridCol w:w="676"/>
        <w:gridCol w:w="166"/>
        <w:gridCol w:w="146"/>
        <w:gridCol w:w="323"/>
        <w:gridCol w:w="574"/>
        <w:gridCol w:w="146"/>
        <w:gridCol w:w="146"/>
        <w:gridCol w:w="196"/>
        <w:gridCol w:w="691"/>
        <w:gridCol w:w="297"/>
      </w:tblGrid>
      <w:tr>
        <w:trPr/>
        <w:tc>
          <w:tcPr>
            <w:tcW w:w="226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2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(Amounts in thousands)</w:t>
            </w:r>
          </w:p>
        </w:tc>
        <w:tc>
          <w:tcPr>
            <w:tcW w:w="11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Committed equity facility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Pay-to-Play convertible notes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 convertible notes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Legacy warrants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Other earnout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Balance as of December 31, 2023</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36,435</w:t>
            </w:r>
          </w:p>
        </w:tc>
        <w:tc>
          <w:tcPr>
            <w:tcW w:w="29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6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Issuance of 2023 convertible notes and related warrants</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105,902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110,718</w:t>
            </w:r>
          </w:p>
        </w:tc>
        <w:tc>
          <w:tcPr>
            <w:tcW w:w="2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6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Issuance of common stock warrants</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464</w:t>
            </w:r>
          </w:p>
        </w:tc>
        <w:tc>
          <w:tcPr>
            <w:tcW w:w="29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6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Change in estimated fair value</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24,666</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Balance as of September 30, 2024</w:t>
            </w:r>
          </w:p>
        </w:tc>
        <w:tc>
          <w:tcPr>
            <w:tcW w:w="3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148,551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172,283</w:t>
            </w:r>
          </w:p>
        </w:tc>
        <w:tc>
          <w:tcPr>
            <w:tcW w:w="2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770"/>
        <w:gridCol w:w="445"/>
        <w:gridCol w:w="789"/>
        <w:gridCol w:w="146"/>
        <w:gridCol w:w="146"/>
        <w:gridCol w:w="341"/>
        <w:gridCol w:w="1052"/>
        <w:gridCol w:w="166"/>
        <w:gridCol w:w="146"/>
        <w:gridCol w:w="265"/>
        <w:gridCol w:w="937"/>
        <w:gridCol w:w="146"/>
        <w:gridCol w:w="146"/>
        <w:gridCol w:w="258"/>
        <w:gridCol w:w="673"/>
        <w:gridCol w:w="146"/>
        <w:gridCol w:w="146"/>
        <w:gridCol w:w="365"/>
        <w:gridCol w:w="647"/>
        <w:gridCol w:w="146"/>
        <w:gridCol w:w="146"/>
        <w:gridCol w:w="196"/>
        <w:gridCol w:w="691"/>
        <w:gridCol w:w="296"/>
      </w:tblGrid>
      <w:tr>
        <w:trPr/>
        <w:tc>
          <w:tcPr>
            <w:tcW w:w="177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17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(Amounts in thousands)</w:t>
            </w:r>
          </w:p>
        </w:tc>
        <w:tc>
          <w:tcPr>
            <w:tcW w:w="12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Committed equity facility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Pay-to-Play convertible notes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 convertible notes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Legacy warrants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Other earnout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Balance as of June 30, 2024</w:t>
            </w:r>
          </w:p>
        </w:tc>
        <w:tc>
          <w:tcPr>
            <w:tcW w:w="4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133,088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156,795</w:t>
            </w:r>
          </w:p>
        </w:tc>
        <w:tc>
          <w:tcPr>
            <w:tcW w:w="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Change in estimated fair value</w:t>
            </w:r>
          </w:p>
        </w:tc>
        <w:tc>
          <w:tcPr>
            <w:tcW w:w="4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15,488</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Balance as of September 30, 2024</w:t>
            </w:r>
          </w:p>
        </w:tc>
        <w:tc>
          <w:tcPr>
            <w:tcW w:w="4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148,551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172,283</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There were no transfers between Level 1, Level 2, or Level 3 of the fair value hierarchy during the three and nine months ended September 30, 2025 and 2024. </w:t>
      </w:r>
    </w:p>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BLAIZE HOLDINGS, INC.</w:t>
      </w:r>
    </w:p>
    <w:p>
      <w:pPr>
        <w:pStyle w:val="TextBody"/>
        <w:bidi w:val="0"/>
        <w:jc w:val="center"/>
        <w:rPr>
          <w:rFonts w:ascii="Times New Roman" w:hAnsi="Times New Roman"/>
          <w:sz w:val="20"/>
        </w:rPr>
      </w:pPr>
      <w:r>
        <w:rPr>
          <w:rFonts w:ascii="Times New Roman" w:hAnsi="Times New Roman"/>
          <w:b/>
          <w:color w:val="000000"/>
          <w:sz w:val="20"/>
        </w:rPr>
        <w:t xml:space="preserve">NOTES TO THE CONDENSED CONSOLIDATED FINANCIAL STATEMENTS </w:t>
      </w:r>
      <w:r>
        <w:rPr>
          <w:rFonts w:ascii="Times New Roman" w:hAnsi="Times New Roman"/>
          <w:color w:val="000000"/>
          <w:sz w:val="16"/>
        </w:rPr>
        <w:t>(</w:t>
      </w:r>
      <w:r>
        <w:rPr>
          <w:rFonts w:ascii="Times New Roman" w:hAnsi="Times New Roman"/>
          <w:i/>
          <w:color w:val="000000"/>
          <w:sz w:val="16"/>
        </w:rPr>
        <w:t>cont.</w:t>
      </w:r>
      <w:r>
        <w:rPr>
          <w:rFonts w:ascii="Times New Roman" w:hAnsi="Times New Roman"/>
          <w:color w:val="000000"/>
          <w:sz w:val="16"/>
        </w:rPr>
        <w:t>)</w:t>
      </w:r>
    </w:p>
    <w:p>
      <w:pPr>
        <w:pStyle w:val="TextBody"/>
        <w:bidi w:val="0"/>
        <w:jc w:val="center"/>
        <w:rPr>
          <w:rFonts w:ascii="Times New Roman" w:hAnsi="Times New Roman"/>
          <w:b/>
          <w:i/>
          <w:color w:val="000000"/>
          <w:sz w:val="16"/>
        </w:rPr>
      </w:pPr>
      <w:r>
        <w:rPr>
          <w:rFonts w:ascii="Times New Roman" w:hAnsi="Times New Roman"/>
          <w:b/>
          <w:i/>
          <w:color w:val="000000"/>
          <w:sz w:val="16"/>
        </w:rPr>
        <w:t>(Unaudited)</w:t>
      </w:r>
    </w:p>
    <w:p>
      <w:pPr>
        <w:pStyle w:val="TextBody"/>
        <w:bidi w:val="0"/>
        <w:jc w:val="center"/>
        <w:rPr/>
      </w:pPr>
      <w:r>
        <w:rPr/>
        <w:t> </w:t>
      </w:r>
    </w:p>
    <w:p>
      <w:pPr>
        <w:pStyle w:val="TextBody"/>
        <w:bidi w:val="0"/>
        <w:jc w:val="both"/>
        <w:rPr>
          <w:rFonts w:ascii="Times New Roman" w:hAnsi="Times New Roman"/>
          <w:b/>
          <w:color w:val="000000"/>
          <w:sz w:val="20"/>
          <w:shd w:fill="FFFFFF" w:val="clear"/>
        </w:rPr>
      </w:pPr>
      <w:r>
        <w:rPr>
          <w:rFonts w:ascii="Times New Roman" w:hAnsi="Times New Roman"/>
          <w:b/>
          <w:color w:val="000000"/>
          <w:sz w:val="20"/>
          <w:shd w:fill="FFFFFF" w:val="clear"/>
        </w:rPr>
        <w:t>Note 6. Derivatives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does not use derivatives to manage financial risks or as an economic hedge. The Company’s derivatives are comprised of the structured forward contract related to the Other Earnout Shares (see Notes 2, 3 and 5), the day-one put option and the subsequent forward contracts related to the Committed Equity Facility (see Notes 5 and 13).</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Other Earnout Shares, issued upon the consummation of the Merger, were determined to represent a freestanding structured forward contract as the Other Earnout Share were issued for nominal or no apparent consideration, and contain the essential characteristics inherent in a derivative instrument, including an underlying security, a notional amount, and a mechanism for net settlement, as the terms provide for the delivery of a variable number of shares of the Company’s common stock, or equivalent value, based on changes in the underlying market price.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Committed Equity Facility, upon execution on July 14, 2025, was considered a freestanding purchased put right, and each draw on the Committed Equity Facility is considered an embedded forward contract. The put right was issued for nominal or no apparent consideration, and has the essential characteristics inherent in a derivative instrument of a notional amount, an underlying security, and a mechanism for net settlement. The derivative asset related to the forward contracts embedded within the Committed Equity Facility is included within prepaid expenses and other current assets on the condensed consolidated balance sheets as of September 30, 2025.</w:t>
      </w:r>
    </w:p>
    <w:p>
      <w:pPr>
        <w:pStyle w:val="TextBody"/>
        <w:bidi w:val="0"/>
        <w:jc w:val="both"/>
        <w:rPr/>
      </w:pPr>
      <w:r>
        <w:rPr/>
        <w:t> </w:t>
      </w:r>
    </w:p>
    <w:p>
      <w:pPr>
        <w:pStyle w:val="TextBody"/>
        <w:bidi w:val="0"/>
        <w:jc w:val="both"/>
        <w:rPr>
          <w:rFonts w:ascii="Times New Roman" w:hAnsi="Times New Roman"/>
          <w:b/>
          <w:color w:val="000000"/>
          <w:sz w:val="20"/>
          <w:shd w:fill="FFFFFF" w:val="clear"/>
        </w:rPr>
      </w:pPr>
      <w:r>
        <w:rPr>
          <w:rFonts w:ascii="Times New Roman" w:hAnsi="Times New Roman"/>
          <w:b/>
          <w:color w:val="000000"/>
          <w:sz w:val="20"/>
          <w:shd w:fill="FFFFFF" w:val="clear"/>
        </w:rPr>
        <w:t>Note 7. Inventories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Inventories consist of the following:</w:t>
      </w:r>
    </w:p>
    <w:p>
      <w:pPr>
        <w:pStyle w:val="TextBody"/>
        <w:bidi w:val="0"/>
        <w:jc w:val="both"/>
        <w:rPr/>
      </w:pPr>
      <w:r>
        <w:rPr/>
        <w:t> </w:t>
      </w:r>
    </w:p>
    <w:tbl>
      <w:tblPr>
        <w:tblW w:w="5575" w:type="dxa"/>
        <w:jc w:val="left"/>
        <w:tblInd w:w="0" w:type="dxa"/>
        <w:tblLayout w:type="fixed"/>
        <w:tblCellMar>
          <w:top w:w="28" w:type="dxa"/>
          <w:left w:w="28" w:type="dxa"/>
          <w:bottom w:w="28" w:type="dxa"/>
          <w:right w:w="28" w:type="dxa"/>
        </w:tblCellMar>
      </w:tblPr>
      <w:tblGrid>
        <w:gridCol w:w="1771"/>
        <w:gridCol w:w="146"/>
        <w:gridCol w:w="421"/>
        <w:gridCol w:w="1139"/>
        <w:gridCol w:w="146"/>
        <w:gridCol w:w="146"/>
        <w:gridCol w:w="407"/>
        <w:gridCol w:w="1108"/>
        <w:gridCol w:w="291"/>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(Amounts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Work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8,561</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b/>
          <w:color w:val="000000"/>
          <w:sz w:val="20"/>
          <w:shd w:fill="FFFFFF" w:val="clear"/>
        </w:rPr>
      </w:pPr>
      <w:r>
        <w:rPr>
          <w:rFonts w:ascii="Times New Roman" w:hAnsi="Times New Roman"/>
          <w:b/>
          <w:color w:val="000000"/>
          <w:sz w:val="20"/>
          <w:shd w:fill="FFFFFF" w:val="clear"/>
        </w:rPr>
        <w:t>Note 8. Income Taxes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three and nine months ended September 30, 2025, the Company recorded provision for income taxes of less than $0.1 million and $0.2 million, respectively, which represented effective tax rates of (0.1)% and (0.1)%, respectively, while during the three and nine months ended September 30, 2024, the Company recorded a provision for income taxes of $0.1 million and $0.3 million respectively, which represented effective tax rates of (0.2)% and (0.6)%, respectively. The effective income tax rates for the three and nine months ended September 30, 2025 and 2024 are different from the U.S. federal statutory rate of 21.0% due to a full valuation allowance.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On July 4, 2025, the One Big Beautiful Bill Act (the “OBBBA”) was signed into law. The OBBBA makes permanent key elements of the Tax Cuts and Jobs Act, including 100% bonus depreciation, domestic research cost expensing, and the business interest expense limitation. ASC 740, </w:t>
      </w:r>
      <w:r>
        <w:rPr>
          <w:rFonts w:ascii="Times New Roman" w:hAnsi="Times New Roman"/>
          <w:i/>
          <w:color w:val="000000"/>
          <w:sz w:val="20"/>
        </w:rPr>
        <w:t>Income Taxes</w:t>
      </w:r>
      <w:r>
        <w:rPr>
          <w:rFonts w:ascii="Times New Roman" w:hAnsi="Times New Roman"/>
          <w:color w:val="000000"/>
          <w:sz w:val="20"/>
        </w:rPr>
        <w:t>, requires the effects of changes in tax rates and laws on deferred tax balances to be recognized in the period in which the legislation is enacted. The Company is in the process of evaluating the impact of OBBBA on its condensed consolidated financial statements. Any results of such evaluations will be reflected in the Company’s consolidated financial statements included in the Company’s Annual Report on Form 10-K for the year ended December 31, 2025.</w:t>
      </w:r>
    </w:p>
    <w:p>
      <w:pPr>
        <w:pStyle w:val="TextBody"/>
        <w:bidi w:val="0"/>
        <w:jc w:val="both"/>
        <w:rPr/>
      </w:pPr>
      <w:r>
        <w:rPr/>
        <w:t> </w:t>
      </w:r>
    </w:p>
    <w:p>
      <w:pPr>
        <w:pStyle w:val="TextBody"/>
        <w:bidi w:val="0"/>
        <w:jc w:val="both"/>
        <w:rPr>
          <w:rFonts w:ascii="Times New Roman" w:hAnsi="Times New Roman"/>
          <w:b/>
          <w:color w:val="000000"/>
          <w:sz w:val="20"/>
          <w:shd w:fill="FFFFFF" w:val="clear"/>
        </w:rPr>
      </w:pPr>
      <w:r>
        <w:rPr>
          <w:rFonts w:ascii="Times New Roman" w:hAnsi="Times New Roman"/>
          <w:b/>
          <w:color w:val="000000"/>
          <w:sz w:val="20"/>
          <w:shd w:fill="FFFFFF" w:val="clear"/>
        </w:rPr>
        <w:t>Note 9. Convertible Notes and Demand Notes</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Pay-to-Play Convertible Notes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December 2022, in connection with the Company’s 2022 Pay-to-Play (“P2P”) transaction (the “P2P Transaction”), the Company entered into a Note Purchase and Exchange Agreement (“2022 P2P NPA”) with a group of lenders (each, a “Lender” and collectively, the “Lenders”). In January and February of 2023, the Company received $9.3 million in proceeds from the issuance of P2P Notes. Amounts received in 2022 and 2023 are referred to collectively as the “P2P Notes” (see Note 16). Pursuant to the 2022 P2P NPA, each Lender will pay the Company an agreed upon amount (“Consideration”) in return for one or more promissory notes. The P2P Notes had an initial 24-month term from the date of the 2022 P2P NPA, which is December 9, 2024.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2022 P2P NPA provided that the P2P Notes would be converted upon the consummation of the Merger and that, at such time, all outstanding principal and unpaid accrued interest due on the P2P Notes shall be converted into common stock.</w:t>
      </w:r>
    </w:p>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BLAIZE HOLDINGS, INC.</w:t>
      </w:r>
    </w:p>
    <w:p>
      <w:pPr>
        <w:pStyle w:val="TextBody"/>
        <w:bidi w:val="0"/>
        <w:jc w:val="center"/>
        <w:rPr>
          <w:rFonts w:ascii="Times New Roman" w:hAnsi="Times New Roman"/>
          <w:sz w:val="20"/>
        </w:rPr>
      </w:pPr>
      <w:r>
        <w:rPr>
          <w:rFonts w:ascii="Times New Roman" w:hAnsi="Times New Roman"/>
          <w:b/>
          <w:color w:val="000000"/>
          <w:sz w:val="20"/>
        </w:rPr>
        <w:t xml:space="preserve">NOTES TO THE CONDENSED CONSOLIDATED FINANCIAL STATEMENTS </w:t>
      </w:r>
      <w:r>
        <w:rPr>
          <w:rFonts w:ascii="Times New Roman" w:hAnsi="Times New Roman"/>
          <w:color w:val="000000"/>
          <w:sz w:val="16"/>
        </w:rPr>
        <w:t>(</w:t>
      </w:r>
      <w:r>
        <w:rPr>
          <w:rFonts w:ascii="Times New Roman" w:hAnsi="Times New Roman"/>
          <w:i/>
          <w:color w:val="000000"/>
          <w:sz w:val="16"/>
        </w:rPr>
        <w:t>cont.</w:t>
      </w:r>
      <w:r>
        <w:rPr>
          <w:rFonts w:ascii="Times New Roman" w:hAnsi="Times New Roman"/>
          <w:color w:val="000000"/>
          <w:sz w:val="16"/>
        </w:rPr>
        <w:t>)</w:t>
      </w:r>
    </w:p>
    <w:p>
      <w:pPr>
        <w:pStyle w:val="TextBody"/>
        <w:bidi w:val="0"/>
        <w:jc w:val="center"/>
        <w:rPr>
          <w:rFonts w:ascii="Times New Roman" w:hAnsi="Times New Roman"/>
          <w:b/>
          <w:i/>
          <w:color w:val="000000"/>
          <w:sz w:val="16"/>
        </w:rPr>
      </w:pPr>
      <w:r>
        <w:rPr>
          <w:rFonts w:ascii="Times New Roman" w:hAnsi="Times New Roman"/>
          <w:b/>
          <w:i/>
          <w:color w:val="000000"/>
          <w:sz w:val="16"/>
        </w:rPr>
        <w:t>(Unaudited)</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elected to measure the P2P Notes in their entirety, for the respective period issued, at fair value with changes in fair value reported in a single line in the condensed consolidated statements of operations. The notes were fair valued using a scenario-based method, considering varying levels of participation and four future event scenarios: Next Equity Financing, Maturity Conversion, Corporate Transaction, and Default. The conversion payout was calculated for each assumed event scenario, with probabilities estimated by management. The payout of the P2P Notes under each event scenario were discounted back to the valuation date using a discount rate aligned with the Company’s credit rating and the weighted average present value of each scenario used for the fair value of the P2P Notes. Upfront costs and fees related to items for which the fair value option is elected must be recognized immediately. As such issuance costs (warrants) and fees associated with the convertible notes were recognized in current earnings.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Under the terms of the 2022 P2P NPA, any existing investor that purchased any P2P Note received the right to exchange the common stock held following the November 30, 2022 conversion event, for a number of shares of shadow preferred stock mirroring the respective classes of preferred stock held prior to the conversion (the “Pull-Through Exchange”), however, all Senior Series D shareholders received an automatic pull-through of their converted common stock into their respective Senior Series D Shadow preferred stock regardless of whether they invested in a P2P Note. The exchange was calculated using a defined “Exchange Formula” based on the existing investor’s amount of investment in the P2P Note in relation to the designated pro-rata share portion of the Insider Amount. To the extent that an eligible existing investor purchased P2P Notes representing less than its pro rata portion of the Insider Amount, such investor’s converted common stock remained as converted common stock for that portion equal to the shortfall in its pro-rata contribution. Additionally, investors in the P2P Notes also received warrants (the “P2P Warrants”) whose total exercise price is determined based on the timing of investment as well as the level of investor participation vis-à-vis each investor’s designated pro-rata portion.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November 2023, the Company entered into an Exchange Agreement with eligible common shareholders, as defined, whereby each participating eligible common shareholder received a P2P Note, subject to the same terms as existing P2P Notes with the exception that the P2P Notes issued to these common shareholders did not include the right to receive P2P Warrants. Proceeds received under the Exchange Agreement totaled $0.1 million.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Upon the consummation of the Merger, as provided by the terms of the P2P notes, the outstanding P2P Notes were converted, at the discretion of the holders, to shares of common stock (see Note 3).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2023 Convertible Notes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From July 2023 through November 2023, the Company raised $12.3 million in convertible notes (the “2023 Convertible Notes”) under the note purchase agreement dated July 3, 2023, as amended on August 1, 2023, to refine the valuation cap definition (the “2023 NPA”). The 2023 Convertible Notes accrued interest at 10.0% per annum.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During the year ended December 31, 2024, the Company received $110.7 million in additional proceeds from the issuance of 10.0% secured convertible notes under the 2023 NPA. The 2023 NPA was amended and restated on April 22, 2024 to accommodate a new group of lenders, the “Final Closing Lenders,” defined as any lender who purchases a related convertible note on or after April 22, 2024. The conversion price upon a SPAC Transaction for a Final Closing Lender is defined as a price per share that would entitle the Final Closing Lender to receive a number of BurTech Class A common stock equal to the outstanding principal and accrued interest divided by five. In addition, the per share exercise price of the related 2023 Convertible Note Warrants upon a SPAC Transaction was amended to $11.50.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of the April 22, 2024 amendment, the convertible notes were subject to automatic conversion upon the consummation of a SPAC Transaction. Investors in these secured convertible notes also received warrants to purchase equity shares of the Company.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Of the $110.7 million in proceeds received during the year ended December 31, 2024, $11.5 million was received from BurTech (see Note 1), $2.4 million from miscellaneous parties, and $96.8 million from a separate third-party group of investors (the “RT Parties”) in connection with an agreement to provide convertible note financing of up to $125.0 million (the “Blaize Note Financing Agreement”). Under this separate agreement, the RT Parties and their transferees or distributees were not required to execute any lock-up or similar agreement restricting transfer or disposition of all shares of the Company’s common stock issuable upon the conversion of the notes, all Company shares issuable upon the exercise of warrants issued to the RT Parties, and all securities of Blaize to be issued to the RT Parties upon the consummation of the Merger. </w:t>
      </w:r>
    </w:p>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BLAIZE HOLDINGS, INC.</w:t>
      </w:r>
    </w:p>
    <w:p>
      <w:pPr>
        <w:pStyle w:val="TextBody"/>
        <w:bidi w:val="0"/>
        <w:jc w:val="center"/>
        <w:rPr>
          <w:rFonts w:ascii="Times New Roman" w:hAnsi="Times New Roman"/>
          <w:sz w:val="20"/>
        </w:rPr>
      </w:pPr>
      <w:r>
        <w:rPr>
          <w:rFonts w:ascii="Times New Roman" w:hAnsi="Times New Roman"/>
          <w:b/>
          <w:color w:val="000000"/>
          <w:sz w:val="20"/>
        </w:rPr>
        <w:t xml:space="preserve">NOTES TO THE CONDENSED CONSOLIDATED FINANCIAL STATEMENTS </w:t>
      </w:r>
      <w:r>
        <w:rPr>
          <w:rFonts w:ascii="Times New Roman" w:hAnsi="Times New Roman"/>
          <w:color w:val="000000"/>
          <w:sz w:val="16"/>
        </w:rPr>
        <w:t>(</w:t>
      </w:r>
      <w:r>
        <w:rPr>
          <w:rFonts w:ascii="Times New Roman" w:hAnsi="Times New Roman"/>
          <w:i/>
          <w:color w:val="000000"/>
          <w:sz w:val="16"/>
        </w:rPr>
        <w:t>cont.</w:t>
      </w:r>
      <w:r>
        <w:rPr>
          <w:rFonts w:ascii="Times New Roman" w:hAnsi="Times New Roman"/>
          <w:color w:val="000000"/>
          <w:sz w:val="16"/>
        </w:rPr>
        <w:t>)</w:t>
      </w:r>
    </w:p>
    <w:p>
      <w:pPr>
        <w:pStyle w:val="TextBody"/>
        <w:bidi w:val="0"/>
        <w:jc w:val="center"/>
        <w:rPr>
          <w:rFonts w:ascii="Times New Roman" w:hAnsi="Times New Roman"/>
          <w:b/>
          <w:i/>
          <w:color w:val="000000"/>
          <w:sz w:val="16"/>
        </w:rPr>
      </w:pPr>
      <w:r>
        <w:rPr>
          <w:rFonts w:ascii="Times New Roman" w:hAnsi="Times New Roman"/>
          <w:b/>
          <w:i/>
          <w:color w:val="000000"/>
          <w:sz w:val="16"/>
        </w:rPr>
        <w:t>(Unaudited)</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elected to measure the 2023 Convertible Notes in their entirety at fair value with changes in fair value reported in a single line in the condensed consolidated statements of operations. The 2023 Convertible Notes were fair valued using a scenario-based method, considering five future event scenarios: Next Equity Financing, Maturity Conversion, SPAC Conversion, Corporate Transaction, and Default. The conversion payout was calculated for each assumed event scenario, with probabilities estimated by management. The payout of the 2023 Convertible Notes under each event scenario were discounted back to the valuation date using a discount rate aligned with the Company’s credit rating and the weighted average present value of each scenario used for the fair value of the 2023 Convertible Notes.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Upfront costs and fees related to items for which the fair value option is elected must be recognized immediately. As such, issuance costs (warrants) and fees associated with the convertible notes were recognized in earnings in the years that they were issued.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One investor who purchased a 2023 Convertible Note also received an RSU grant for a total of 6,000,000 RSUs (see Note 16), which vested in full in the year ended December 31, 2023.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Upon the consummation of the Merger, as provided by the terms of the 2023 Convertible Note Agreement, the outstanding 2023 Convertible Notes were converted, at the discretion of the holders, to shares of common stock (see Note 3). The warrants issued in conjunction with the 2023 Convertible Notes were not exercised.</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Working Capital Loan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February 1, 2023, BurTech issued an unsecured convertible promissory note to BurTech LP (the “Working Capital Loan”), pursuant to which it borrowed $1.5 million for general corporate purposes. Such loan may, at BurTech LP’s discretion, be converted into shares of common stock, the number of shares of which will be determined by dividing the sum of the outstanding principal amount by $10.00. The Working Capital Loan will not bear interest and will be repayable, if not converted or repaid on the effective date of the Merger. The maturity date of the Working Capital Loan may be accelerated upon the occurrence of an event of default (as defined under the Working Capital Loan). As of September 30, 2025 and December 31, 2024, the Company had outstanding Working Capital Loans of $1.5 million and zero, respectively.</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Advances from Related Party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January 13, 2025, BurTech LP provided working capital and extension deposits on behalf of BurTech. These amounts are reflected on the condensed consolidated balance sheets as advances from related party. These advances are non-interest bearing and payable on demand. As of September 30, 2025 and December 31, 2024, the Company had outstanding advances from the related party in the amount of $2.9 million and zero, respectively.</w:t>
      </w:r>
    </w:p>
    <w:p>
      <w:pPr>
        <w:pStyle w:val="TextBody"/>
        <w:bidi w:val="0"/>
        <w:jc w:val="left"/>
        <w:rPr/>
      </w:pPr>
      <w:r>
        <w:rPr/>
        <w:t> </w:t>
      </w:r>
    </w:p>
    <w:p>
      <w:pPr>
        <w:pStyle w:val="TextBody"/>
        <w:bidi w:val="0"/>
        <w:jc w:val="both"/>
        <w:rPr>
          <w:rFonts w:ascii="Times New Roman" w:hAnsi="Times New Roman"/>
          <w:b/>
          <w:color w:val="000000"/>
          <w:sz w:val="20"/>
          <w:shd w:fill="FFFFFF" w:val="clear"/>
        </w:rPr>
      </w:pPr>
      <w:r>
        <w:rPr>
          <w:rFonts w:ascii="Times New Roman" w:hAnsi="Times New Roman"/>
          <w:b/>
          <w:color w:val="000000"/>
          <w:sz w:val="20"/>
          <w:shd w:fill="FFFFFF" w:val="clear"/>
        </w:rPr>
        <w:t>Note 10. Warrants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Legacy Warrants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connection with the Company’s various historical debt and equity financing arrangements, the Company had previously issued convertible preferred stock warrants to purchase shares of its various series of convertible preferred stock.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convertible preferred stock warrants were classified as liabilities, with changes in fair value recorded through earnings, as the underlying convertible preferred shares could be redeemed by the holders of these shares upon the occurrence of certain events that were outside of the Company’s control. As of December 31, 2024, the Company had liabilities of $14.7 million related to outstanding warrants.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Immediately prior to the consummation of the Merger, each issued and outstanding convertible preferred stock warrant to purchase Legacy Blaize convertible preferred stock converted into a warrant to purchase shares of common stock (see Note 3), with each warrant subject to the same terms and conditions as were applicable to the original warrant and having an exercise price and number of shares of common stock purchasable based on the Exchange Ratio and other terms contained in the Merger Agreement (the “Private Warrants Conversion”).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After the Private Warrants Conversion, the Private Warrants became indexed to the shares of Company’s common stock, and therefore were reclassified from debt classified instruments to equity classified instruments.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Immediately prior to the closing of the Merger, all outstanding legacy warrants were exercised on a net basis, and were automatically converted into shares of common stock.</w:t>
      </w:r>
    </w:p>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BLAIZE HOLDINGS, INC.</w:t>
      </w:r>
    </w:p>
    <w:p>
      <w:pPr>
        <w:pStyle w:val="TextBody"/>
        <w:bidi w:val="0"/>
        <w:jc w:val="center"/>
        <w:rPr>
          <w:rFonts w:ascii="Times New Roman" w:hAnsi="Times New Roman"/>
          <w:sz w:val="20"/>
        </w:rPr>
      </w:pPr>
      <w:r>
        <w:rPr>
          <w:rFonts w:ascii="Times New Roman" w:hAnsi="Times New Roman"/>
          <w:b/>
          <w:color w:val="000000"/>
          <w:sz w:val="20"/>
        </w:rPr>
        <w:t xml:space="preserve">NOTES TO THE CONDENSED CONSOLIDATED FINANCIAL STATEMENTS </w:t>
      </w:r>
      <w:r>
        <w:rPr>
          <w:rFonts w:ascii="Times New Roman" w:hAnsi="Times New Roman"/>
          <w:color w:val="000000"/>
          <w:sz w:val="16"/>
        </w:rPr>
        <w:t>(</w:t>
      </w:r>
      <w:r>
        <w:rPr>
          <w:rFonts w:ascii="Times New Roman" w:hAnsi="Times New Roman"/>
          <w:i/>
          <w:color w:val="000000"/>
          <w:sz w:val="16"/>
        </w:rPr>
        <w:t>cont.</w:t>
      </w:r>
      <w:r>
        <w:rPr>
          <w:rFonts w:ascii="Times New Roman" w:hAnsi="Times New Roman"/>
          <w:color w:val="000000"/>
          <w:sz w:val="16"/>
        </w:rPr>
        <w:t>)</w:t>
      </w:r>
    </w:p>
    <w:p>
      <w:pPr>
        <w:pStyle w:val="TextBody"/>
        <w:bidi w:val="0"/>
        <w:jc w:val="center"/>
        <w:rPr>
          <w:rFonts w:ascii="Times New Roman" w:hAnsi="Times New Roman"/>
          <w:b/>
          <w:i/>
          <w:color w:val="000000"/>
          <w:sz w:val="16"/>
        </w:rPr>
      </w:pPr>
      <w:r>
        <w:rPr>
          <w:rFonts w:ascii="Times New Roman" w:hAnsi="Times New Roman"/>
          <w:b/>
          <w:i/>
          <w:color w:val="000000"/>
          <w:sz w:val="16"/>
        </w:rPr>
        <w:t>(Unaudited)</w:t>
      </w:r>
    </w:p>
    <w:p>
      <w:pPr>
        <w:pStyle w:val="TextBody"/>
        <w:bidi w:val="0"/>
        <w:jc w:val="center"/>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Public and Private Warrants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Upon the consummation of the Merger, BurTech’s 28,750,000 public warrants and 898,250 private warrants outstanding immediately prior to the Merger became warrants to purchase the Company’s common stock.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Each warrant entitles the holder to purchase one share of common stock at a price of $11.50 per share, subject to adjustments as described herein. The warrants expire at 5:00 p.m., New York City time on the warrant expiration date, which is five years after the completion of the Merger, or earlier upon redemption or liquidation.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may redeem the outstanding warrants: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whole and not in part;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at a price of $0.01 per warrant;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upon not less than 30 days’ prior written notice of redemption given after the warrants become exercisable to each warrant holder;</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if, and only if, the reported last sale price of the common stock equals or exceeds $18.00 per share (as adjusted for stock splits, stock dividends, reorganizations, recapitalizations and the like) for any 20 trading days within a 30-trading day period commencing once the warrants become exercisable and ending three business days before the Company sends the notice of redemption to the warrant holders;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If and only if, there is a current registration statement in effect with respect to the shares of common stock underlying such warrants.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the Company calls the warrants for redemption, as described above,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(i) the product of the number of shares of common stock underlying the warrants, multiplied by the difference between the exercise price of the warrants and the “fair market value”, as described below, by (ii) the fair market value. The “fair market value” shall mean the average reported last sale price of the shares of common stock for the five trading days ending on the third trading day prior to the date on which the notice of redemption is sent to the holders of warrants.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Private Warrants, as well as any warrants underlying additional units that the Company may issue to BurTech, officers, directors, initial stockholders or their affiliates in payment of working capital loans made to the Company, will be identical to the warrants underlying the units offered in the Merger, except they will not be transferable, assignable or saleable until 30 days after the consummation of the Merger.</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Common Stock Warrants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February 2025, the Company issued 50,000 Common Stock Warrants to advisors as compensation for services rendered. The warrants have a five-year term and a strike price of $11.50 per common stock share. The warrants were fair valued as of the date of issuance and recognized as an increase in additional paid-in-capital. The compensation expense recognized during the three and nine months ended September 30, 2025 was de minimis.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assumptions used in the Black-Scholes option pricing model to fair value the common stock warrants issued in February 2025 were as follows:</w:t>
      </w:r>
    </w:p>
    <w:p>
      <w:pPr>
        <w:pStyle w:val="TextBody"/>
        <w:bidi w:val="0"/>
        <w:jc w:val="both"/>
        <w:rPr/>
      </w:pPr>
      <w:r>
        <w:rPr/>
        <w:t> </w:t>
      </w:r>
    </w:p>
    <w:tbl>
      <w:tblPr>
        <w:tblW w:w="4980" w:type="dxa"/>
        <w:jc w:val="left"/>
        <w:tblInd w:w="0" w:type="dxa"/>
        <w:tblLayout w:type="fixed"/>
        <w:tblCellMar>
          <w:top w:w="28" w:type="dxa"/>
          <w:left w:w="28" w:type="dxa"/>
          <w:bottom w:w="28" w:type="dxa"/>
          <w:right w:w="28" w:type="dxa"/>
        </w:tblCellMar>
      </w:tblPr>
      <w:tblGrid>
        <w:gridCol w:w="3841"/>
        <w:gridCol w:w="146"/>
        <w:gridCol w:w="211"/>
        <w:gridCol w:w="466"/>
        <w:gridCol w:w="316"/>
      </w:tblGrid>
      <w:tr>
        <w:trPr/>
        <w:tc>
          <w:tcPr>
            <w:tcW w:w="3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fair value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color w:val="000000"/>
          <w:sz w:val="20"/>
          <w:shd w:fill="FFFFFF" w:val="clear"/>
        </w:rPr>
      </w:pPr>
      <w:r>
        <w:rPr>
          <w:rFonts w:ascii="Times New Roman" w:hAnsi="Times New Roman"/>
          <w:b/>
          <w:color w:val="000000"/>
          <w:sz w:val="20"/>
          <w:shd w:fill="FFFFFF" w:val="clear"/>
        </w:rPr>
        <w:t>Note 11. Leases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Company’s lease obligations primarily consist of operating leases for its headquarters complex, and domestic and international office facilities, with lease periods expiring between fiscal years 2026 and 2029, some of which include options to extend up to 12 months. The Company does not have any leases that include residual value guarantees.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Payments under the lease arrangements are primarily fixed, however, certain lease agreements contain variable payments, which are expensed as incurred and not included in the operating lease assets and liabilities. These amounts include variable payments for maintenance services, utilities, and other expenses.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BLAIZE HOLDINGS, INC.</w:t>
      </w:r>
    </w:p>
    <w:p>
      <w:pPr>
        <w:pStyle w:val="TextBody"/>
        <w:bidi w:val="0"/>
        <w:jc w:val="center"/>
        <w:rPr>
          <w:rFonts w:ascii="Times New Roman" w:hAnsi="Times New Roman"/>
          <w:sz w:val="20"/>
        </w:rPr>
      </w:pPr>
      <w:r>
        <w:rPr>
          <w:rFonts w:ascii="Times New Roman" w:hAnsi="Times New Roman"/>
          <w:b/>
          <w:color w:val="000000"/>
          <w:sz w:val="20"/>
        </w:rPr>
        <w:t xml:space="preserve">NOTES TO THE CONDENSED CONSOLIDATED FINANCIAL STATEMENTS </w:t>
      </w:r>
      <w:r>
        <w:rPr>
          <w:rFonts w:ascii="Times New Roman" w:hAnsi="Times New Roman"/>
          <w:color w:val="000000"/>
          <w:sz w:val="16"/>
        </w:rPr>
        <w:t>(</w:t>
      </w:r>
      <w:r>
        <w:rPr>
          <w:rFonts w:ascii="Times New Roman" w:hAnsi="Times New Roman"/>
          <w:i/>
          <w:color w:val="000000"/>
          <w:sz w:val="16"/>
        </w:rPr>
        <w:t>cont.</w:t>
      </w:r>
      <w:r>
        <w:rPr>
          <w:rFonts w:ascii="Times New Roman" w:hAnsi="Times New Roman"/>
          <w:color w:val="000000"/>
          <w:sz w:val="16"/>
        </w:rPr>
        <w:t>)</w:t>
      </w:r>
    </w:p>
    <w:p>
      <w:pPr>
        <w:pStyle w:val="TextBody"/>
        <w:bidi w:val="0"/>
        <w:jc w:val="center"/>
        <w:rPr>
          <w:rFonts w:ascii="Times New Roman" w:hAnsi="Times New Roman"/>
          <w:b/>
          <w:i/>
          <w:color w:val="000000"/>
          <w:sz w:val="16"/>
        </w:rPr>
      </w:pPr>
      <w:r>
        <w:rPr>
          <w:rFonts w:ascii="Times New Roman" w:hAnsi="Times New Roman"/>
          <w:b/>
          <w:i/>
          <w:color w:val="000000"/>
          <w:sz w:val="16"/>
        </w:rPr>
        <w:t>(Unaudited)</w:t>
      </w:r>
    </w:p>
    <w:p>
      <w:pPr>
        <w:pStyle w:val="TextBody"/>
        <w:bidi w:val="0"/>
        <w:jc w:val="center"/>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components of the net lease costs reflected in the Company’s condensed consolidated statements of operations were as follows:</w:t>
      </w:r>
    </w:p>
    <w:p>
      <w:pPr>
        <w:pStyle w:val="TextBody"/>
        <w:bidi w:val="0"/>
        <w:jc w:val="both"/>
        <w:rPr/>
      </w:pPr>
      <w:r>
        <w:rPr/>
        <w:t> </w:t>
      </w:r>
    </w:p>
    <w:tbl>
      <w:tblPr>
        <w:tblW w:w="7678" w:type="dxa"/>
        <w:jc w:val="left"/>
        <w:tblInd w:w="0" w:type="dxa"/>
        <w:tblLayout w:type="fixed"/>
        <w:tblCellMar>
          <w:top w:w="28" w:type="dxa"/>
          <w:left w:w="28" w:type="dxa"/>
          <w:bottom w:w="28" w:type="dxa"/>
          <w:right w:w="28" w:type="dxa"/>
        </w:tblCellMar>
      </w:tblPr>
      <w:tblGrid>
        <w:gridCol w:w="1771"/>
        <w:gridCol w:w="146"/>
        <w:gridCol w:w="364"/>
        <w:gridCol w:w="726"/>
        <w:gridCol w:w="252"/>
        <w:gridCol w:w="252"/>
        <w:gridCol w:w="364"/>
        <w:gridCol w:w="726"/>
        <w:gridCol w:w="146"/>
        <w:gridCol w:w="146"/>
        <w:gridCol w:w="352"/>
        <w:gridCol w:w="702"/>
        <w:gridCol w:w="243"/>
        <w:gridCol w:w="243"/>
        <w:gridCol w:w="352"/>
        <w:gridCol w:w="702"/>
        <w:gridCol w:w="191"/>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(Amounts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September 30, 2025, the Company’s operating leases had a weighted average remaining lease term of 2.5 years and a weighted average discount rate related to the Company’s right-of-use (“ROU”) assets and lease liabilities of 10.0%. As of December 31, 2024, the Company’s operating leases had a weighted average remaining lease term of 3.2 years and a weighted average discount rate related to the Company’s right-of-use assets and lease liabilities of 9.9%.</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Supplemental information related to operating leases was as follows:</w:t>
      </w:r>
    </w:p>
    <w:p>
      <w:pPr>
        <w:pStyle w:val="TextBody"/>
        <w:bidi w:val="0"/>
        <w:jc w:val="both"/>
        <w:rPr/>
      </w:pPr>
      <w:r>
        <w:rPr/>
        <w:t> </w:t>
      </w:r>
    </w:p>
    <w:tbl>
      <w:tblPr>
        <w:tblW w:w="9762" w:type="dxa"/>
        <w:jc w:val="left"/>
        <w:tblInd w:w="0" w:type="dxa"/>
        <w:tblLayout w:type="fixed"/>
        <w:tblCellMar>
          <w:top w:w="28" w:type="dxa"/>
          <w:left w:w="28" w:type="dxa"/>
          <w:bottom w:w="28" w:type="dxa"/>
          <w:right w:w="28" w:type="dxa"/>
        </w:tblCellMar>
      </w:tblPr>
      <w:tblGrid>
        <w:gridCol w:w="6731"/>
        <w:gridCol w:w="146"/>
        <w:gridCol w:w="352"/>
        <w:gridCol w:w="702"/>
        <w:gridCol w:w="243"/>
        <w:gridCol w:w="243"/>
        <w:gridCol w:w="352"/>
        <w:gridCol w:w="702"/>
        <w:gridCol w:w="291"/>
      </w:tblGrid>
      <w:tr>
        <w:trPr/>
        <w:tc>
          <w:tcPr>
            <w:tcW w:w="6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67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(Amounts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Supplementary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7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paid for amounts included in the measurement of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Right-of-use assets obtained in exchange for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Future minimum lease payments under the Company’s non-cancelable operating leases are as follows:</w:t>
      </w:r>
    </w:p>
    <w:p>
      <w:pPr>
        <w:pStyle w:val="TextBody"/>
        <w:bidi w:val="0"/>
        <w:jc w:val="both"/>
        <w:rPr/>
      </w:pPr>
      <w:r>
        <w:rPr/>
        <w:t> </w:t>
      </w:r>
    </w:p>
    <w:tbl>
      <w:tblPr>
        <w:tblW w:w="6738" w:type="dxa"/>
        <w:jc w:val="left"/>
        <w:tblInd w:w="0" w:type="dxa"/>
        <w:tblLayout w:type="fixed"/>
        <w:tblCellMar>
          <w:top w:w="28" w:type="dxa"/>
          <w:left w:w="28" w:type="dxa"/>
          <w:bottom w:w="28" w:type="dxa"/>
          <w:right w:w="28" w:type="dxa"/>
        </w:tblCellMar>
      </w:tblPr>
      <w:tblGrid>
        <w:gridCol w:w="4336"/>
        <w:gridCol w:w="146"/>
        <w:gridCol w:w="530"/>
        <w:gridCol w:w="1435"/>
        <w:gridCol w:w="291"/>
      </w:tblGrid>
      <w:tr>
        <w:trPr/>
        <w:tc>
          <w:tcPr>
            <w:tcW w:w="4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(Amounts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September 30,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future lease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1,843</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net future minimum lease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1,626</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Operating lease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b/>
          <w:color w:val="000000"/>
          <w:sz w:val="20"/>
          <w:shd w:fill="FFFFFF" w:val="clear"/>
        </w:rPr>
      </w:pPr>
      <w:r>
        <w:rPr>
          <w:rFonts w:ascii="Times New Roman" w:hAnsi="Times New Roman"/>
          <w:b/>
          <w:color w:val="000000"/>
          <w:sz w:val="20"/>
          <w:shd w:fill="FFFFFF" w:val="clear"/>
        </w:rPr>
        <w:t>Note 12. Redeemable Convertible Preferred Stock Prior to the Merger</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Under the terms of its December 12, 2022 Amended and Restated Certificate of Incorporation, the Company introduced “Shadow Preferred” classes of stock. A Shadow Preferred class of stock was created for each series of preferred stock outstanding prior to the conversion. Those shareholders who participated in the Company’s December 2022 P2P Transaction obtained the benefit of a pull-through exchange of their converted common stock which provided for participating shareholders to receive shares of the class(es) of Shadow Preferred Stock identical to the shares of preferred stock that they previously held. Investors who did not participate retained ownership only in converted common stock.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Upon the consummation of the Merger, the redeemable convertible preferred stock that was outstanding at the time of the Merger was converted into shares of common stock (see Note 3). </w:t>
      </w:r>
    </w:p>
    <w:p>
      <w:pPr>
        <w:pStyle w:val="TextBody"/>
        <w:bidi w:val="0"/>
        <w:jc w:val="both"/>
        <w:rPr/>
      </w:pPr>
      <w:r>
        <w:rPr/>
        <w:t> </w:t>
      </w:r>
    </w:p>
    <w:p>
      <w:pPr>
        <w:pStyle w:val="TextBody"/>
        <w:bidi w:val="0"/>
        <w:jc w:val="both"/>
        <w:rPr>
          <w:rFonts w:ascii="Times New Roman" w:hAnsi="Times New Roman"/>
          <w:b/>
          <w:color w:val="000000"/>
          <w:sz w:val="20"/>
          <w:shd w:fill="FFFFFF" w:val="clear"/>
        </w:rPr>
      </w:pPr>
      <w:r>
        <w:rPr>
          <w:rFonts w:ascii="Times New Roman" w:hAnsi="Times New Roman"/>
          <w:b/>
          <w:color w:val="000000"/>
          <w:sz w:val="20"/>
          <w:shd w:fill="FFFFFF" w:val="clear"/>
        </w:rPr>
        <w:t>Note 13. Common Stock</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Common Stock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of September 30, 2025 and December 31, 2024, there were 600,000,000 and 136,562,809 shares of common stock authorized, respectively, and 106,754,588 and 48,376,052 shares issued and outstanding, respectively.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Holders of common stock are entitled to receive dividends whenever funds are legally available and when declared by the Board of Directors. Holders of common stock are entitled to one vote for each share of common stock held at all meetings of stockholders.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BLAIZE HOLDINGS, INC.</w:t>
      </w:r>
    </w:p>
    <w:p>
      <w:pPr>
        <w:pStyle w:val="TextBody"/>
        <w:bidi w:val="0"/>
        <w:jc w:val="center"/>
        <w:rPr>
          <w:rFonts w:ascii="Times New Roman" w:hAnsi="Times New Roman"/>
          <w:sz w:val="20"/>
        </w:rPr>
      </w:pPr>
      <w:r>
        <w:rPr>
          <w:rFonts w:ascii="Times New Roman" w:hAnsi="Times New Roman"/>
          <w:b/>
          <w:color w:val="000000"/>
          <w:sz w:val="20"/>
        </w:rPr>
        <w:t xml:space="preserve">NOTES TO THE CONDENSED CONSOLIDATED FINANCIAL STATEMENTS </w:t>
      </w:r>
      <w:r>
        <w:rPr>
          <w:rFonts w:ascii="Times New Roman" w:hAnsi="Times New Roman"/>
          <w:color w:val="000000"/>
          <w:sz w:val="16"/>
        </w:rPr>
        <w:t>(</w:t>
      </w:r>
      <w:r>
        <w:rPr>
          <w:rFonts w:ascii="Times New Roman" w:hAnsi="Times New Roman"/>
          <w:i/>
          <w:color w:val="000000"/>
          <w:sz w:val="16"/>
        </w:rPr>
        <w:t>cont.</w:t>
      </w:r>
      <w:r>
        <w:rPr>
          <w:rFonts w:ascii="Times New Roman" w:hAnsi="Times New Roman"/>
          <w:color w:val="000000"/>
          <w:sz w:val="16"/>
        </w:rPr>
        <w:t>)</w:t>
      </w:r>
    </w:p>
    <w:p>
      <w:pPr>
        <w:pStyle w:val="TextBody"/>
        <w:bidi w:val="0"/>
        <w:jc w:val="center"/>
        <w:rPr>
          <w:rFonts w:ascii="Times New Roman" w:hAnsi="Times New Roman"/>
          <w:b/>
          <w:i/>
          <w:color w:val="000000"/>
          <w:sz w:val="16"/>
        </w:rPr>
      </w:pPr>
      <w:r>
        <w:rPr>
          <w:rFonts w:ascii="Times New Roman" w:hAnsi="Times New Roman"/>
          <w:b/>
          <w:i/>
          <w:color w:val="000000"/>
          <w:sz w:val="16"/>
        </w:rPr>
        <w:t>(Unaudited)</w:t>
      </w:r>
    </w:p>
    <w:p>
      <w:pPr>
        <w:pStyle w:val="TextBody"/>
        <w:bidi w:val="0"/>
        <w:jc w:val="center"/>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Shares of common stock reserved for issuance are as follows:</w:t>
      </w:r>
    </w:p>
    <w:p>
      <w:pPr>
        <w:pStyle w:val="TextBody"/>
        <w:bidi w:val="0"/>
        <w:jc w:val="both"/>
        <w:rPr/>
      </w:pPr>
      <w:r>
        <w:rPr/>
        <w:t> </w:t>
      </w:r>
    </w:p>
    <w:tbl>
      <w:tblPr>
        <w:tblW w:w="9395" w:type="dxa"/>
        <w:jc w:val="left"/>
        <w:tblInd w:w="0" w:type="dxa"/>
        <w:tblLayout w:type="fixed"/>
        <w:tblCellMar>
          <w:top w:w="28" w:type="dxa"/>
          <w:left w:w="28" w:type="dxa"/>
          <w:bottom w:w="28" w:type="dxa"/>
          <w:right w:w="28" w:type="dxa"/>
        </w:tblCellMar>
      </w:tblPr>
      <w:tblGrid>
        <w:gridCol w:w="5591"/>
        <w:gridCol w:w="146"/>
        <w:gridCol w:w="177"/>
        <w:gridCol w:w="1383"/>
        <w:gridCol w:w="146"/>
        <w:gridCol w:w="146"/>
        <w:gridCol w:w="187"/>
        <w:gridCol w:w="1328"/>
        <w:gridCol w:w="291"/>
      </w:tblGrid>
      <w:tr>
        <w:trPr/>
        <w:tc>
          <w:tcPr>
            <w:tcW w:w="5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5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29,318,783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28,360,635</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10,764,848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3,630,447</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Earnout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Common stock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Public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Private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Employee stock purchase plan shares available for future purchase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3,047,669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Equity awards available for future issuance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20,223,481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3,631,787</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Legacy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7,505,657</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common stock reserved for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110,653,031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43,128,526</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2"/>
        </w:rPr>
        <w:t xml:space="preserve">(1) </w:t>
      </w:r>
      <w:r>
        <w:rPr>
          <w:rFonts w:ascii="Times New Roman" w:hAnsi="Times New Roman"/>
          <w:color w:val="000000"/>
          <w:sz w:val="18"/>
        </w:rPr>
        <w:t>As of September 30, 2025, includes 32,000</w:t>
      </w:r>
      <w:r>
        <w:rPr>
          <w:rFonts w:ascii="Times New Roman" w:hAnsi="Times New Roman"/>
          <w:color w:val="000000"/>
          <w:sz w:val="20"/>
        </w:rPr>
        <w:t xml:space="preserve"> </w:t>
      </w:r>
      <w:r>
        <w:rPr>
          <w:rFonts w:ascii="Times New Roman" w:hAnsi="Times New Roman"/>
          <w:color w:val="000000"/>
          <w:sz w:val="18"/>
        </w:rPr>
        <w:t>shares of vested RSUs due to an advisor to satisfy an outstanding liability, which will be issued from the 2025 Equity Incentive Plan. Half of these awards were issued in exchange for shares of common stock due to the same advisor in prior periods.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periods prior to the Merger, the reported share and per share amounts have been retroactively converted by applying the exchange ratio.</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Committed Equity Facility</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July 14, 2025, the Company entered into the Committed Equity Facility and a Registration Rights Agreement with B. Riley (see Note 1).</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Pursuant to the Committed Equity Facility, the Company has the right, but not the obligation, to direct B. Riley to purchase newly issued common shares of common stock up to an aggregate value of $50.0 million over a defined 36-month period. The total aggregate shares issued to B. Riley under the Committed Equity Facility cannot exceed 20,326,316, representing 19.99% of the aggregate number of shares issued and outstanding immediately prior to the execution of the Committed Equity Facility, without prior stockholder approval. Provided that the closing price of the Company</w:t>
      </w:r>
      <w:r>
        <w:rPr>
          <w:rFonts w:ascii="Times New Roman" w:hAnsi="Times New Roman"/>
          <w:color w:val="0000FF"/>
          <w:sz w:val="20"/>
        </w:rPr>
        <w:t>’</w:t>
      </w:r>
      <w:r>
        <w:rPr>
          <w:rFonts w:ascii="Times New Roman" w:hAnsi="Times New Roman"/>
          <w:color w:val="000000"/>
          <w:sz w:val="20"/>
        </w:rPr>
        <w:t xml:space="preserve">s common stock on the trading day immediately prior to each purchase is greater than $1.00 per share and all prior purchases between the parties are finalized, the Company has the right to sell shares of its common stock to B. Riley in distinct individual transactions (each a “Purchase”). The total number of shares to be issued per Purchase may not exceed 1,000,000 shares and will be further limited by a calculated percentage, not to exceed 25%, of the total aggregate trading volume during a defined period of time applicable to each Purchase. The Committed Equity Facility establishes the purchase price per share as 0.97 of the volume-weighted average price (“VWAP”) of the common stock for the defined period applicable to each Purchase, with 0.03 of the VWAP as commission to B. Riley, and excluding specific transactions outlined in the Committed Equity Facility. All such calculations are subject to adjustment for any stock dividend, stock split, stock combination, recapitalization or other similar transactions.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Pursuant to the Registration Rights Agreement entered into with B. Riley, 20,326,158 shares of common stock have been registered to permit the subsequent resale of shares purchased under the Committed Equity Facility. The Company controls the timing and amount of any sales to B. Riley, which depends on a variety of factors including, among other things, market conditions, the trading price of the Company’s common stock, and determinations by the Company as to appropriate sources of funding for its business and operations. However, B. Riley’s obligation to purchase shares is subject to certain conditions. In all instances, the Company may not sell shares of its common stock under the Committed Equity Facility if it would result in B. Riley beneficially owning more than 4.99% of its common stock at any one point in time prior to the execution of the agreement without prior stockholder approval.</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Committed Equity Facility will automatically terminate on the earlier of (i) one day after the 36-month anniversary of the Commencement Date, (ii) the date on which B. Riley shall have purchased the shares of common stock for an aggregate purchase price of $50.0 million or (iii) various other dates associated with events as set forth in the agreement. Neither the Company nor B. Riley may assign or transfer any of their respective rights or obligations under the Committed Equity Facility or the Registration Rights Agreement. No provision of the Committed Equity Facility or the Registration Rights Agreement may be modified or waived by either party. </w:t>
      </w:r>
    </w:p>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BLAIZE HOLDINGS, INC.</w:t>
      </w:r>
    </w:p>
    <w:p>
      <w:pPr>
        <w:pStyle w:val="TextBody"/>
        <w:bidi w:val="0"/>
        <w:jc w:val="center"/>
        <w:rPr>
          <w:rFonts w:ascii="Times New Roman" w:hAnsi="Times New Roman"/>
          <w:sz w:val="20"/>
        </w:rPr>
      </w:pPr>
      <w:r>
        <w:rPr>
          <w:rFonts w:ascii="Times New Roman" w:hAnsi="Times New Roman"/>
          <w:b/>
          <w:color w:val="000000"/>
          <w:sz w:val="20"/>
        </w:rPr>
        <w:t xml:space="preserve">NOTES TO THE CONDENSED CONSOLIDATED FINANCIAL STATEMENTS </w:t>
      </w:r>
      <w:r>
        <w:rPr>
          <w:rFonts w:ascii="Times New Roman" w:hAnsi="Times New Roman"/>
          <w:color w:val="000000"/>
          <w:sz w:val="16"/>
        </w:rPr>
        <w:t>(</w:t>
      </w:r>
      <w:r>
        <w:rPr>
          <w:rFonts w:ascii="Times New Roman" w:hAnsi="Times New Roman"/>
          <w:i/>
          <w:color w:val="000000"/>
          <w:sz w:val="16"/>
        </w:rPr>
        <w:t>cont.</w:t>
      </w:r>
      <w:r>
        <w:rPr>
          <w:rFonts w:ascii="Times New Roman" w:hAnsi="Times New Roman"/>
          <w:color w:val="000000"/>
          <w:sz w:val="16"/>
        </w:rPr>
        <w:t>)</w:t>
      </w:r>
    </w:p>
    <w:p>
      <w:pPr>
        <w:pStyle w:val="TextBody"/>
        <w:bidi w:val="0"/>
        <w:jc w:val="center"/>
        <w:rPr>
          <w:rFonts w:ascii="Times New Roman" w:hAnsi="Times New Roman"/>
          <w:b/>
          <w:i/>
          <w:color w:val="000000"/>
          <w:sz w:val="16"/>
        </w:rPr>
      </w:pPr>
      <w:r>
        <w:rPr>
          <w:rFonts w:ascii="Times New Roman" w:hAnsi="Times New Roman"/>
          <w:b/>
          <w:i/>
          <w:color w:val="000000"/>
          <w:sz w:val="16"/>
        </w:rPr>
        <w:t>(Unaudited)</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At inception, the Company evaluated the Committed Equity Facility and determined that it was not indexed to the Company’s shares of common stock and, therefore, measures the derivative asset associated with the Committed Equity Facility at fair value based on the consideration transferred to B. Riley in exchange for its irrevocable commitment to purchase up to $50.0 million in shares of the Company’s common stock. The derivative asset is revalued at each reporting date with changes in the fair value reported as non-operating income or expense (see Notes 5 and 6).</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fair value associated with the Committed Equity Facility is dependent upon, among other things, changes in the closing share price of the Company’s common stock, the quantity and purchase price of shares sold under the agreement during the reporting period, the unused funding capacity and the cost of raising other forms of capital. As certain inputs are not observable in the market, the derivative asset is classified as a Level 3 instrument within the fair value hierarchy. The Company adjusts the previous fair value estimate of the Committed Equity Facility at each reporting period end based on changes in the weighted average purchase price of shares purchased by B. Riley during the period, the unused capacity available, expected share price volatility, and other macroeconomic factors which impact the cost of raising comparable forms of capital.</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incurred costs associated with the Committed Equity Facility totaling $0.4 million, of which $0.2 million was in cash, representing 0.5% of B. Riley’s $50.0 million total aggregate purchase commitment under the Committed Equity Facility, and $0.2 million in fair value related to the issuance of 83,353 shares of common stock. The total consideration paid to B. Riley of $0.4 million was recognized on day one as a derivative asset with subsequent change in fair value reflected in the condensed consolidated statement of operations.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three and nine months ended September 30, 2025, the Company settled a total of 5,673,734 shares of the Company’s common stock, sold to B. Riley under this agreement, for net proceeds of $20.0 million. The VWAP of shares purchased by B. Riley ranged from $3.14 to $4.07 per share during the three and nine months ended September 30, 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Based on the September 30, 2025 closing share price of our common stock of $3.45 and $30.0 million of unused capacity under the Committed Equity Facility as of September 30, 2025, the Company would expect to sell only an additional 8,409,939 of its total 14,652,582 remaining registered shares available for purchase under the Committed Equity Facility. Total commission expense of $0.6 million was recognized as a financing charge within “other, net” on the condensed consolidated statement of operations during the three and nine months ended September 30, 2025. The Company had no commission expense during the three and nine months ended September 30, 2024, as the Committed Equity Facility was entered into during 2025.</w:t>
      </w:r>
    </w:p>
    <w:p>
      <w:pPr>
        <w:pStyle w:val="TextBody"/>
        <w:bidi w:val="0"/>
        <w:jc w:val="both"/>
        <w:rPr/>
      </w:pPr>
      <w:r>
        <w:rPr/>
        <w:t> </w:t>
      </w:r>
    </w:p>
    <w:p>
      <w:pPr>
        <w:pStyle w:val="TextBody"/>
        <w:bidi w:val="0"/>
        <w:jc w:val="both"/>
        <w:rPr>
          <w:rFonts w:ascii="Times New Roman" w:hAnsi="Times New Roman"/>
          <w:b/>
          <w:color w:val="000000"/>
          <w:sz w:val="20"/>
          <w:shd w:fill="FFFFFF" w:val="clear"/>
        </w:rPr>
      </w:pPr>
      <w:r>
        <w:rPr>
          <w:rFonts w:ascii="Times New Roman" w:hAnsi="Times New Roman"/>
          <w:b/>
          <w:color w:val="000000"/>
          <w:sz w:val="20"/>
          <w:shd w:fill="FFFFFF" w:val="clear"/>
        </w:rPr>
        <w:t>Note 14. Stock-Based Compensation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recorded stock-based compensation expense for stock options and RSUs as follows:</w:t>
      </w:r>
    </w:p>
    <w:p>
      <w:pPr>
        <w:pStyle w:val="TextBody"/>
        <w:bidi w:val="0"/>
        <w:jc w:val="both"/>
        <w:rPr/>
      </w:pPr>
      <w:r>
        <w:rPr/>
        <w:t> </w:t>
      </w:r>
    </w:p>
    <w:tbl>
      <w:tblPr>
        <w:tblW w:w="8861" w:type="dxa"/>
        <w:jc w:val="left"/>
        <w:tblInd w:w="0" w:type="dxa"/>
        <w:tblLayout w:type="fixed"/>
        <w:tblCellMar>
          <w:top w:w="28" w:type="dxa"/>
          <w:left w:w="28" w:type="dxa"/>
          <w:bottom w:w="28" w:type="dxa"/>
          <w:right w:w="28" w:type="dxa"/>
        </w:tblCellMar>
      </w:tblPr>
      <w:tblGrid>
        <w:gridCol w:w="2956"/>
        <w:gridCol w:w="146"/>
        <w:gridCol w:w="332"/>
        <w:gridCol w:w="899"/>
        <w:gridCol w:w="229"/>
        <w:gridCol w:w="229"/>
        <w:gridCol w:w="332"/>
        <w:gridCol w:w="662"/>
        <w:gridCol w:w="146"/>
        <w:gridCol w:w="146"/>
        <w:gridCol w:w="279"/>
        <w:gridCol w:w="894"/>
        <w:gridCol w:w="193"/>
        <w:gridCol w:w="193"/>
        <w:gridCol w:w="279"/>
        <w:gridCol w:w="755"/>
        <w:gridCol w:w="19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(Amounts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3,700</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12,871</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5,786</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15,221</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9,486</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28,092</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Equity Award Plans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January 2025, the Board of Directors approved, and the Company adopted the 2025 Incentive Award Plan (the “2025 Incentive Plan”), replacing the historical 2011 Equity Incentive Plan (“2011 Amended Stock Plan”). The 2025 Incentive Plan provides for the grant of stock options (both incentive stock options and non-qualified stock options), stock appreciation rights, restricted stock, RSUs and other stock or cash-based awards to employees and consultants of the Company and its subsidiaries and members of the board of directors of the Company. As of September 30, 2025, the total number of authorized shares available under the 2025 Incentive Plan is 30,500,000.</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Under the 2025 Incentive Plan, stock options, including incentive stock options (“ISOs”), may be granted to employees at exercise prices not lower than the fair value of the stock as of the date of grant. For ISOs granted to a person who, at the time of the grant, owns stock representing more than 10% of the total combined voting power of all classes of the Company’s stock, the per share exercise price must be no less than 110% of the fair value on the date of the grant as determined by the Board of Directors.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recognizes compensation expense for service-based options on a straight-line basis over the requisite service period of all employees or non-employees, which is the award’s vesting term, generally over four years. The Company accounts for forfeitures when they occur.</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BLAIZE HOLDINGS, INC.</w:t>
      </w:r>
    </w:p>
    <w:p>
      <w:pPr>
        <w:pStyle w:val="TextBody"/>
        <w:bidi w:val="0"/>
        <w:jc w:val="center"/>
        <w:rPr>
          <w:rFonts w:ascii="Times New Roman" w:hAnsi="Times New Roman"/>
          <w:sz w:val="20"/>
        </w:rPr>
      </w:pPr>
      <w:r>
        <w:rPr>
          <w:rFonts w:ascii="Times New Roman" w:hAnsi="Times New Roman"/>
          <w:b/>
          <w:color w:val="000000"/>
          <w:sz w:val="20"/>
        </w:rPr>
        <w:t xml:space="preserve">NOTES TO THE CONDENSED CONSOLIDATED FINANCIAL STATEMENTS </w:t>
      </w:r>
      <w:r>
        <w:rPr>
          <w:rFonts w:ascii="Times New Roman" w:hAnsi="Times New Roman"/>
          <w:color w:val="000000"/>
          <w:sz w:val="16"/>
        </w:rPr>
        <w:t>(</w:t>
      </w:r>
      <w:r>
        <w:rPr>
          <w:rFonts w:ascii="Times New Roman" w:hAnsi="Times New Roman"/>
          <w:i/>
          <w:color w:val="000000"/>
          <w:sz w:val="16"/>
        </w:rPr>
        <w:t>cont.</w:t>
      </w:r>
      <w:r>
        <w:rPr>
          <w:rFonts w:ascii="Times New Roman" w:hAnsi="Times New Roman"/>
          <w:color w:val="000000"/>
          <w:sz w:val="16"/>
        </w:rPr>
        <w:t>)</w:t>
      </w:r>
    </w:p>
    <w:p>
      <w:pPr>
        <w:pStyle w:val="TextBody"/>
        <w:bidi w:val="0"/>
        <w:jc w:val="center"/>
        <w:rPr>
          <w:rFonts w:ascii="Times New Roman" w:hAnsi="Times New Roman"/>
          <w:b/>
          <w:i/>
          <w:color w:val="000000"/>
          <w:sz w:val="16"/>
        </w:rPr>
      </w:pPr>
      <w:r>
        <w:rPr>
          <w:rFonts w:ascii="Times New Roman" w:hAnsi="Times New Roman"/>
          <w:b/>
          <w:i/>
          <w:color w:val="000000"/>
          <w:sz w:val="16"/>
        </w:rPr>
        <w:t>(Unaudited)</w:t>
      </w:r>
    </w:p>
    <w:p>
      <w:pPr>
        <w:pStyle w:val="TextBody"/>
        <w:bidi w:val="0"/>
        <w:jc w:val="center"/>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Under the 2025 Incentive Plan, RSUs are unfunded, unsecured rights to receive, on the applicable settlement date, shares of common stock or an amount in cash, or a combination thereof, as determined by the Administrator, subject to vesting conditions, which may include continued employment or service, or the achievement of performance criteria established by the Administrator.</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nine months ending September 30, 2025, the Company commenced the granting of equity awards under the 2025 Incentive Plan. As of September 30, 2025, 20,223,481 shares of common stock were reserved for issuance under the 2025 Incentive Plan.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Following the effectiveness of the 2025 Incentive Plan, the Company ceased making grants under the 2011 Amended Plan and all remaining unissued shares were retired. However, the 2011 Amended Plan continues to govern the terms and conditions of the outstanding awards granted under it. Shares of common stock subject to the awards granted under the 2011 Plan that cease to be subject to such awards by forfeiture or otherwise after the termination of the 2011 Amended Plan will be retired and no longer be available for issuance.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Under the 2011 Amended Plan, the Company had previously issued RSUs, which vested upon the satisfaction of both the service-based condition and a liquidity event condition. The liquidity event condition for the RSUs was satisfied upon the occurrence of a qualifying event, defined specifically in the equity documents, and generally referred to the earlier of a specified period of time subsequent to an initial public offering or an acquisition, in all cases prior to the expiration date of the award (see Note 3). Additionally, for all terminated RSU grants, all RSUs which have satisfied a portion or all of the service-based condition of the termination date remain with the stockholder and do not return to the pool of shares available for issuance until the earlier of the satisfaction of the liquidity event (at which time those RSUs vested) or the expiration date of the award. The RSUs expired as defined by the individual RSU grant, generally the earlier of (i) the first anniversary or second anniversary of terminated service, for 2023 and prior grants, respectively, for any reason and (ii) expire date defined as the fifth anniversary of the date of grant. The fair value of RSUs was determined based on the estimated fair value of shares of common stock at the date of grant, as determined by the Board of Directors.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Stock Options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 summary of stock option activity is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633"/>
        <w:gridCol w:w="146"/>
        <w:gridCol w:w="160"/>
        <w:gridCol w:w="1144"/>
        <w:gridCol w:w="166"/>
        <w:gridCol w:w="146"/>
        <w:gridCol w:w="479"/>
        <w:gridCol w:w="1059"/>
        <w:gridCol w:w="146"/>
        <w:gridCol w:w="146"/>
        <w:gridCol w:w="584"/>
        <w:gridCol w:w="1449"/>
        <w:gridCol w:w="146"/>
        <w:gridCol w:w="146"/>
        <w:gridCol w:w="323"/>
        <w:gridCol w:w="1036"/>
        <w:gridCol w:w="296"/>
      </w:tblGrid>
      <w:tr>
        <w:trPr/>
        <w:tc>
          <w:tcPr>
            <w:tcW w:w="26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2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(Value in thousands, life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remaining contractual 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intrinsic value</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28,360,635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22,741</w:t>
            </w:r>
          </w:p>
        </w:tc>
        <w:tc>
          <w:tcPr>
            <w:tcW w:w="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3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1,347,536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63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63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(374,308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29,318,783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68,324</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as of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29,318,783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68,324</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as of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15,847,903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38,507</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September 30, 2025, there was $15.9 million of total unrecognized compensation cost related to unvested stock options, which is expected to be recognized over a weighted average period of 1.8 years.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uses the Black-Scholes option pricing model to determine the grant-date fair value of stock options. The determination of the fair value of stock options on the grant date is affected by the estimated closing share price of the Company’s common stock, as well as assumptions regarding a number of complex and subjective variables. These variables include expected share price volatility over the term of the awards, actual and projected employee stock option exercise behaviors, risk-free interest rates, and expected dividends. </w:t>
      </w:r>
    </w:p>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BLAIZE HOLDINGS, INC.</w:t>
      </w:r>
    </w:p>
    <w:p>
      <w:pPr>
        <w:pStyle w:val="TextBody"/>
        <w:bidi w:val="0"/>
        <w:jc w:val="center"/>
        <w:rPr>
          <w:rFonts w:ascii="Times New Roman" w:hAnsi="Times New Roman"/>
          <w:sz w:val="20"/>
        </w:rPr>
      </w:pPr>
      <w:r>
        <w:rPr>
          <w:rFonts w:ascii="Times New Roman" w:hAnsi="Times New Roman"/>
          <w:b/>
          <w:color w:val="000000"/>
          <w:sz w:val="20"/>
        </w:rPr>
        <w:t xml:space="preserve">NOTES TO THE CONDENSED CONSOLIDATED FINANCIAL STATEMENTS </w:t>
      </w:r>
      <w:r>
        <w:rPr>
          <w:rFonts w:ascii="Times New Roman" w:hAnsi="Times New Roman"/>
          <w:color w:val="000000"/>
          <w:sz w:val="16"/>
        </w:rPr>
        <w:t>(</w:t>
      </w:r>
      <w:r>
        <w:rPr>
          <w:rFonts w:ascii="Times New Roman" w:hAnsi="Times New Roman"/>
          <w:i/>
          <w:color w:val="000000"/>
          <w:sz w:val="16"/>
        </w:rPr>
        <w:t>cont.</w:t>
      </w:r>
      <w:r>
        <w:rPr>
          <w:rFonts w:ascii="Times New Roman" w:hAnsi="Times New Roman"/>
          <w:color w:val="000000"/>
          <w:sz w:val="16"/>
        </w:rPr>
        <w:t>)</w:t>
      </w:r>
    </w:p>
    <w:p>
      <w:pPr>
        <w:pStyle w:val="TextBody"/>
        <w:bidi w:val="0"/>
        <w:jc w:val="center"/>
        <w:rPr>
          <w:rFonts w:ascii="Times New Roman" w:hAnsi="Times New Roman"/>
          <w:b/>
          <w:i/>
          <w:color w:val="000000"/>
          <w:sz w:val="16"/>
        </w:rPr>
      </w:pPr>
      <w:r>
        <w:rPr>
          <w:rFonts w:ascii="Times New Roman" w:hAnsi="Times New Roman"/>
          <w:b/>
          <w:i/>
          <w:color w:val="000000"/>
          <w:sz w:val="16"/>
        </w:rPr>
        <w:t>(Unaudited)</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three and nine months ended September 30, 2025, the grant date fair value of the stock options granted was $2.05 per share. The fair value of the options issued was determined using the Black-Scholes option pricing model, using the following inputs:</w:t>
      </w:r>
    </w:p>
    <w:p>
      <w:pPr>
        <w:pStyle w:val="TextBody"/>
        <w:bidi w:val="0"/>
        <w:jc w:val="both"/>
        <w:rPr/>
      </w:pPr>
      <w:r>
        <w:rPr/>
        <w:t> </w:t>
      </w:r>
    </w:p>
    <w:tbl>
      <w:tblPr>
        <w:tblW w:w="7873" w:type="dxa"/>
        <w:jc w:val="left"/>
        <w:tblInd w:w="0" w:type="dxa"/>
        <w:tblLayout w:type="fixed"/>
        <w:tblCellMar>
          <w:top w:w="28" w:type="dxa"/>
          <w:left w:w="28" w:type="dxa"/>
          <w:bottom w:w="28" w:type="dxa"/>
          <w:right w:w="28" w:type="dxa"/>
        </w:tblCellMar>
      </w:tblPr>
      <w:tblGrid>
        <w:gridCol w:w="3631"/>
        <w:gridCol w:w="146"/>
        <w:gridCol w:w="1176"/>
        <w:gridCol w:w="2604"/>
        <w:gridCol w:w="316"/>
      </w:tblGrid>
      <w:tr>
        <w:trPr/>
        <w:tc>
          <w:tcPr>
            <w:tcW w:w="3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260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and Nine Months Ended September 30,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exercise price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three months ended September 30, 2025, the Company accelerated the vesting associated with 388,988 outstanding options resulting in $1.1 million of incremental stock based compensation expense.</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RSUs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 summary of the Company’s RSU activity is as follows:</w:t>
      </w:r>
    </w:p>
    <w:p>
      <w:pPr>
        <w:pStyle w:val="TextBody"/>
        <w:bidi w:val="0"/>
        <w:jc w:val="both"/>
        <w:rPr/>
      </w:pPr>
      <w:r>
        <w:rPr/>
        <w:t> </w:t>
      </w:r>
    </w:p>
    <w:tbl>
      <w:tblPr>
        <w:tblW w:w="8085" w:type="dxa"/>
        <w:jc w:val="left"/>
        <w:tblInd w:w="0" w:type="dxa"/>
        <w:tblLayout w:type="fixed"/>
        <w:tblCellMar>
          <w:top w:w="28" w:type="dxa"/>
          <w:left w:w="28" w:type="dxa"/>
          <w:bottom w:w="28" w:type="dxa"/>
          <w:right w:w="28" w:type="dxa"/>
        </w:tblCellMar>
      </w:tblPr>
      <w:tblGrid>
        <w:gridCol w:w="2866"/>
        <w:gridCol w:w="146"/>
        <w:gridCol w:w="183"/>
        <w:gridCol w:w="1302"/>
        <w:gridCol w:w="166"/>
        <w:gridCol w:w="146"/>
        <w:gridCol w:w="930"/>
        <w:gridCol w:w="2055"/>
        <w:gridCol w:w="291"/>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Number of RSUs </w:t>
            </w:r>
            <w:r>
              <w:rPr>
                <w:rFonts w:ascii="Times New Roman" w:hAnsi="Times New Roman"/>
                <w:b/>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grant date 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3,630,447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8,872,307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Issued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(1,331,257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(406,649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10,764,848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2"/>
        </w:rPr>
        <w:t>(1)</w:t>
      </w:r>
      <w:r>
        <w:rPr>
          <w:rFonts w:ascii="Times New Roman" w:hAnsi="Times New Roman"/>
          <w:color w:val="000000"/>
          <w:sz w:val="20"/>
        </w:rPr>
        <w:t xml:space="preserve"> </w:t>
      </w:r>
      <w:r>
        <w:rPr>
          <w:rFonts w:ascii="Times New Roman" w:hAnsi="Times New Roman"/>
          <w:color w:val="000000"/>
          <w:sz w:val="18"/>
        </w:rPr>
        <w:t>As of September 30, 2025, 1,973,365</w:t>
      </w:r>
      <w:r>
        <w:rPr>
          <w:rFonts w:ascii="Times New Roman" w:hAnsi="Times New Roman"/>
          <w:color w:val="000000"/>
          <w:sz w:val="20"/>
        </w:rPr>
        <w:t xml:space="preserve"> </w:t>
      </w:r>
      <w:r>
        <w:rPr>
          <w:rFonts w:ascii="Times New Roman" w:hAnsi="Times New Roman"/>
          <w:color w:val="000000"/>
          <w:sz w:val="18"/>
        </w:rPr>
        <w:t>of the RSUs have vested but have not yet been issued to the award holders. As no conditions remain in order for these shares of common stock to be issuable, these awards have been included in the weighted average shares outstanding calculation for purposes of earnings per share (see Note 18).</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Immediately prior to the consummation of the Merger, the RSUs had both a service-based condition and a liquidity event condition. The liquidity event condition was satisfied on the consummation of the liquidity event, and effective with the consummation of the Merger, the Company recognized $3.9 million in stock-based compensation expense associated with the vesting of the outstanding RSUs (see Note 3).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September 30, 2025, there was $20.7 million of total unrecognized compensation cost related to unvested RSUs, which is expected to be recognized over a weighted average period of 2.7 years.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January 2025, the Board of Directors adopted the 2025 Employee Stock Purchase Plan (the “2025 ESPP”) in order to enable eligible employees to purchase shares of common stock with accumulated payroll deductions. Under the 2025 ESPP, eligible employees will be able to purchase share of common stock at a discount over a series of offering periods, which may consist of one or more purchase periods. The purchase price for shares of common stock purchased under the 2025 ESPP will be 85% of the lesser of the fair market value of shares of common stock on (i) the first trading day of the applicable offering period or (ii) the last trading day of each purchase period in the applicable offering period.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of September 30, 2025, 3,047,669 shares of common stock were reserved for issuance pursuant to the 2025 ESPP, and no shares of stock had been purchased by employees as the Company had not commenced the 2025 ESPP. </w:t>
      </w:r>
    </w:p>
    <w:p>
      <w:pPr>
        <w:pStyle w:val="TextBody"/>
        <w:bidi w:val="0"/>
        <w:jc w:val="both"/>
        <w:rPr/>
      </w:pPr>
      <w:r>
        <w:rPr/>
        <w:t> </w:t>
      </w:r>
    </w:p>
    <w:p>
      <w:pPr>
        <w:pStyle w:val="TextBody"/>
        <w:bidi w:val="0"/>
        <w:jc w:val="both"/>
        <w:rPr>
          <w:rFonts w:ascii="Times New Roman" w:hAnsi="Times New Roman"/>
          <w:b/>
          <w:color w:val="000000"/>
          <w:sz w:val="20"/>
          <w:shd w:fill="FFFFFF" w:val="clear"/>
        </w:rPr>
      </w:pPr>
      <w:r>
        <w:rPr>
          <w:rFonts w:ascii="Times New Roman" w:hAnsi="Times New Roman"/>
          <w:b/>
          <w:color w:val="000000"/>
          <w:sz w:val="20"/>
          <w:shd w:fill="FFFFFF" w:val="clear"/>
        </w:rPr>
        <w:t>Note 15. Commitments and Contingencies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Purchase Commitments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September 30, 2025, the Company had outstanding purchase orders and contractual obligations totaling $0.5 million to procure inventory. The Company’s outstanding inventory purchase orders and preauthorized commitments to procure strategic components based on expected demand are placed with a server supplier, its primary third-party contract manufacturer, and a semiconductor supplier.</w:t>
      </w:r>
    </w:p>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BLAIZE HOLDINGS, INC.</w:t>
      </w:r>
    </w:p>
    <w:p>
      <w:pPr>
        <w:pStyle w:val="TextBody"/>
        <w:bidi w:val="0"/>
        <w:jc w:val="center"/>
        <w:rPr>
          <w:rFonts w:ascii="Times New Roman" w:hAnsi="Times New Roman"/>
          <w:sz w:val="20"/>
        </w:rPr>
      </w:pPr>
      <w:r>
        <w:rPr>
          <w:rFonts w:ascii="Times New Roman" w:hAnsi="Times New Roman"/>
          <w:b/>
          <w:color w:val="000000"/>
          <w:sz w:val="20"/>
        </w:rPr>
        <w:t xml:space="preserve">NOTES TO THE CONDENSED CONSOLIDATED FINANCIAL STATEMENTS </w:t>
      </w:r>
      <w:r>
        <w:rPr>
          <w:rFonts w:ascii="Times New Roman" w:hAnsi="Times New Roman"/>
          <w:color w:val="000000"/>
          <w:sz w:val="16"/>
        </w:rPr>
        <w:t>(</w:t>
      </w:r>
      <w:r>
        <w:rPr>
          <w:rFonts w:ascii="Times New Roman" w:hAnsi="Times New Roman"/>
          <w:i/>
          <w:color w:val="000000"/>
          <w:sz w:val="16"/>
        </w:rPr>
        <w:t>cont.</w:t>
      </w:r>
      <w:r>
        <w:rPr>
          <w:rFonts w:ascii="Times New Roman" w:hAnsi="Times New Roman"/>
          <w:color w:val="000000"/>
          <w:sz w:val="16"/>
        </w:rPr>
        <w:t>)</w:t>
      </w:r>
    </w:p>
    <w:p>
      <w:pPr>
        <w:pStyle w:val="TextBody"/>
        <w:bidi w:val="0"/>
        <w:jc w:val="center"/>
        <w:rPr>
          <w:rFonts w:ascii="Times New Roman" w:hAnsi="Times New Roman"/>
          <w:b/>
          <w:i/>
          <w:color w:val="000000"/>
          <w:sz w:val="16"/>
        </w:rPr>
      </w:pPr>
      <w:r>
        <w:rPr>
          <w:rFonts w:ascii="Times New Roman" w:hAnsi="Times New Roman"/>
          <w:b/>
          <w:i/>
          <w:color w:val="000000"/>
          <w:sz w:val="16"/>
        </w:rPr>
        <w:t>(Unaudited)</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has an obligation to purchase inventories that have been purchased by a contract manufacturer when components have not been consumed within a period defined in the terms of its agreement with the manufacturer. The Company purchased inventories due to this obligation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301"/>
        <w:gridCol w:w="146"/>
        <w:gridCol w:w="389"/>
        <w:gridCol w:w="583"/>
        <w:gridCol w:w="269"/>
        <w:gridCol w:w="269"/>
        <w:gridCol w:w="389"/>
        <w:gridCol w:w="778"/>
        <w:gridCol w:w="146"/>
        <w:gridCol w:w="146"/>
        <w:gridCol w:w="320"/>
        <w:gridCol w:w="639"/>
        <w:gridCol w:w="221"/>
        <w:gridCol w:w="221"/>
        <w:gridCol w:w="320"/>
        <w:gridCol w:w="867"/>
        <w:gridCol w:w="201"/>
      </w:tblGrid>
      <w:tr>
        <w:trPr/>
        <w:tc>
          <w:tcPr>
            <w:tcW w:w="4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4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(Amounts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Inventory purchases related to purchase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4,088</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While the Company expects such purchased components to be used in future production of its finished goods, these components are considered in its reserve estimate for excess and obsolete inventory. Furthermore, the Company accrues for losses on commitments for the future purchase on non-cancelable and non-returnable components from this contract manufacturer at the time that circumstances, such as changes in expected demand, indicate that the value of the components may not be recoverable, the loss is probable and management has the ability to reasonably estimate the amount of the loss. As of September 30, 2025 and December 31, 2024, the liability balance of the Company’s accrued losses on purchase commitments equaled $0.6 million on the condensed consolidated balance sheets.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Legal Proceedings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September 9, 2024, BurTech entered into an Advisory Services Engagement Letter with Jefferies to serve as its exclusive capital markets advisor in connection with the contemplated Merger involving Legacy Blaize (the “Jefferies Engagement Letter”), pursuant to which Jefferies would be eligible for a fee of $4.5 million contingent upon the closing of the Merger and for reimbursement of expenses up to $0.5 million.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April 7, 2025, Jefferies commenced a lawsuit against the Company, as successor to BurTech, in the Supreme Court of the State of New York, County of New York, asserting that, pursuant to the Jefferies Engagement Letter, it is entitled to payment of the amounts described above, along with pre- and post-judgment interest and legal costs and seeking summary judgment in lieu of complaint. On September 4, 2025, the court denied Jefferies’s motion for summary judgment, and on September 19, 2025, Jefferies filed a complaint. The Company has engaged counsel and intends to vigorously defend this matter.</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In accordance with ASC 450 - </w:t>
      </w:r>
      <w:r>
        <w:rPr>
          <w:rFonts w:ascii="Times New Roman" w:hAnsi="Times New Roman"/>
          <w:i/>
          <w:color w:val="000000"/>
          <w:sz w:val="20"/>
        </w:rPr>
        <w:t>Contingencies</w:t>
      </w:r>
      <w:r>
        <w:rPr>
          <w:rFonts w:ascii="Times New Roman" w:hAnsi="Times New Roman"/>
          <w:color w:val="000000"/>
          <w:sz w:val="20"/>
        </w:rPr>
        <w:t>, the Company has recorded estimated liabilities as a maximum potential of contingent exposure in this matter of $5.0 million as of September 30, 2025, of which $4.0 million is included in accounts payable and $1.0 million is included in accrued expenses and other current liabilities.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Advisor Agreements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October through December of 2024, the Company entered into various advisor agreements related to business development and strategy, and for new revenue contracts in new geographical markets. Compensation for services, pending approval by the Board of Directors, is in the form of restricted stock units following the filing of a registration statement subsequent to the Merger consummation to register such shares, and subject to the advisors continued service on the applicable grant date. During the three months ended September 30, 2025, the Company released the advisor restricted stock units which had vested under the terms of the agreements (see Note 14).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December 2024, the Company entered into an agreement for capital market services which included advisory services and a finder’s fee, for which payment was due upon the close of the Merger (see Note 3). Under the terms of the agreement, at the Company’s discretion, the advisory fee of $0.8 million is to be paid in the form of (i) cash and (ii) cash or a combination of cash and shares of common stock of common stock at a price of $10.00 per share at various dates in 2025. The finder’s fee, equal to a specified percentage of the trust value of the Company’s shares held by investors introduced by the advisor, is to be paid fifty percent in cash and fifty percent in shares of common stock at a price of $10.00 per share, concurrent with the close of the Merger. The Company recognized $0.6 million associated with the contract as deferred offering costs and accrued liabilities for the year ended December 31, 2024. On the earlier of the date that is six months from the date of the Merger and the date that a Registration Statement filed with the SEC registering the resale of the closing shares is declared effective (the “Reset Date”), if the five day volume weighted average price of common stock for the five trading days immediately preceding the Reset Date (such price, the “Reset Price”) is less than $10.00 per share (subject to a $1.00 per share floor), within two days the Company shall issue an additional number of common shares equal to the number obtained by dividing (i) the product of the number of shares held as of the Reset Date and $10.00 by (ii) the Reset Price, less the number of sharing shares held, provided that the additional shares shall not exceed 300,000 shares.</w:t>
      </w:r>
    </w:p>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BLAIZE HOLDINGS, INC.</w:t>
      </w:r>
    </w:p>
    <w:p>
      <w:pPr>
        <w:pStyle w:val="TextBody"/>
        <w:bidi w:val="0"/>
        <w:jc w:val="center"/>
        <w:rPr>
          <w:rFonts w:ascii="Times New Roman" w:hAnsi="Times New Roman"/>
          <w:sz w:val="20"/>
        </w:rPr>
      </w:pPr>
      <w:r>
        <w:rPr>
          <w:rFonts w:ascii="Times New Roman" w:hAnsi="Times New Roman"/>
          <w:b/>
          <w:color w:val="000000"/>
          <w:sz w:val="20"/>
        </w:rPr>
        <w:t xml:space="preserve">NOTES TO THE CONDENSED CONSOLIDATED FINANCIAL STATEMENTS </w:t>
      </w:r>
      <w:r>
        <w:rPr>
          <w:rFonts w:ascii="Times New Roman" w:hAnsi="Times New Roman"/>
          <w:color w:val="000000"/>
          <w:sz w:val="16"/>
        </w:rPr>
        <w:t>(</w:t>
      </w:r>
      <w:r>
        <w:rPr>
          <w:rFonts w:ascii="Times New Roman" w:hAnsi="Times New Roman"/>
          <w:i/>
          <w:color w:val="000000"/>
          <w:sz w:val="16"/>
        </w:rPr>
        <w:t>cont.</w:t>
      </w:r>
      <w:r>
        <w:rPr>
          <w:rFonts w:ascii="Times New Roman" w:hAnsi="Times New Roman"/>
          <w:color w:val="000000"/>
          <w:sz w:val="16"/>
        </w:rPr>
        <w:t>)</w:t>
      </w:r>
    </w:p>
    <w:p>
      <w:pPr>
        <w:pStyle w:val="TextBody"/>
        <w:bidi w:val="0"/>
        <w:jc w:val="center"/>
        <w:rPr>
          <w:rFonts w:ascii="Times New Roman" w:hAnsi="Times New Roman"/>
          <w:b/>
          <w:i/>
          <w:color w:val="000000"/>
          <w:sz w:val="16"/>
        </w:rPr>
      </w:pPr>
      <w:r>
        <w:rPr>
          <w:rFonts w:ascii="Times New Roman" w:hAnsi="Times New Roman"/>
          <w:b/>
          <w:i/>
          <w:color w:val="000000"/>
          <w:sz w:val="16"/>
        </w:rPr>
        <w:t>(Unaudited)</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April 2024, the Company entered into an advisory agreement for future services. The terms of the agreement require a non-refundable advisory fee of $2.0 million paid upon execution of the contract in the form of 769,231 shares of common stock (the “Fee Shares”). In July 2025, the Company released the 769,231 shares of common stock due under the advisory agreement. The Fee Shares are subject to a one-year lock-up provision (the “Lock-Up Period”) which expires the earlier of one year from the date of the agreement or the date of a change of control as defined in the agreement. Prior to the expiration of the Lock-Up Period, the advisor may sell the common stock shares back to the Company or an affiliate as defined in Rule 405 under the Securities Act. The Fee Shares subject to the lock-up provision are subject to adjustment if the dollar volume-weighted average price for the Company’s common stock (“VWAP”) 20 out of any 30 trading Days is at least $7.00 per share, then the Lock-Up Period shall be terminated with respect to fifty percent of the shares to be issued for the fee. Furthermore, if the VWAP of the common stock for 20 out of any 30 Trading Days is at least $10.00 per share, then the Lock-Up Period shall be terminated with respect to the other fifty percent of the Fee Shares, rounded up.</w:t>
      </w:r>
    </w:p>
    <w:p>
      <w:pPr>
        <w:pStyle w:val="TextBody"/>
        <w:bidi w:val="0"/>
        <w:jc w:val="both"/>
        <w:rPr/>
      </w:pPr>
      <w:r>
        <w:rPr/>
        <w:t> </w:t>
      </w:r>
    </w:p>
    <w:p>
      <w:pPr>
        <w:pStyle w:val="TextBody"/>
        <w:bidi w:val="0"/>
        <w:jc w:val="both"/>
        <w:rPr>
          <w:rFonts w:ascii="Times New Roman" w:hAnsi="Times New Roman"/>
          <w:b/>
          <w:color w:val="000000"/>
          <w:sz w:val="20"/>
          <w:shd w:fill="FFFFFF" w:val="clear"/>
        </w:rPr>
      </w:pPr>
      <w:r>
        <w:rPr>
          <w:rFonts w:ascii="Times New Roman" w:hAnsi="Times New Roman"/>
          <w:b/>
          <w:color w:val="000000"/>
          <w:sz w:val="20"/>
          <w:shd w:fill="FFFFFF" w:val="clear"/>
        </w:rPr>
        <w:t>Note 16. Related Party Transactions and Balances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Sales Partner Referral Agreement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June 30, 2025, the Company entered into a Sales Partner Referral Agreement (the “Referral Agreement”) with Burkhan LLC (the “Sales Partner”), an affiliated party. Pursuant to the Referral Agreement, the Sales Partner will, on a non-exclusive basis, promote certain of the Company’s products and refer potential customers to the Company. The Company may approve or reject any customer opportunity presented by the Sales Partner in its sole discretion. Sales commissions payable to the Sales Partner are negotiable, as further discussed, below. The Referral Agreement has a term of three years and is terminable by either party for convenience on 30 days’ written notice or on five days’ written notice in the event of a material breach by the other party. The Referral Agreement also contains certain confidentiality and indemnification provisions.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Referral Agreement has an initial approved customer of BurTech Systems Tech LLC (“BST”), an affiliate of Burkhan. Under the agreement, BST will purchase up to $56.5 million of the Company’s products on behalf of an unaffiliated end user, beginning in the second quarter of 2025 through 2026. The Sales Partner will receive a commission, payable by the Company, of up to 10%, depending on its gross margins under the purchase order, payable in cash or partially, at the Company’s discretion, in shares of the Company’s common stock.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During the three and nine months ended September 30, 2025, pursuant to the Referral Agreement, the Company recognized $1.3 million and $3.0 million, respectively, in revenue from sales to an affiliate of Burkhan, inclusive of sales commissions to Burkhan of $0.1 million and $0.3 million, respectively, which was reported as a reduction of revenue. The sales commission payable was included in the accrued expense and other current liabilities - related party balance as of September 30, 2025.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of September 30, 2025, there was $3.4 million in accounts receivable that was due from an affiliate of Burkhan, while as of December 31, 2024 there were no amounts due from this customer. </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Other Related Party Transactions and Balances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three months ended September 30, 2024, the Company recognized revenue of $0.8 million, approximately 97% of total revenue, from sales to a minority stockholder, while during the nine months ended September 30, 2024, the Company recognized revenue of $1.5 million, approximately 98% of total revenue, from sales to two minority stockholders.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2023, the Company issued a convertible note in the amount of $5.0 million or 41% of the total 2023 Convertible Note proceeds raised in 2023 to a related party investor holding more than a 10% ownership the Company’s outstanding stock. This related party investor also has a representative serving on the Company’s Board of Directors. In accordance with the terms of the 2023 Convertible Note NPA, the investor also received 2023 Convertible Note Warrants for no additional consideration resulting in the allocation of proceeds between the 2023 Convertible Note and the 2023 Convertible Note Warrants (see Note 10). The 2023 Convertible Note and 2023 Convertible Note Warrants held by this investor were subject to the adjustments in fair value. As of December 31, 2024, the related party 2023 Convertible Note and 2023 Convertible Note Warrants approximated $6.9 million and $8.0 million, respectively. Upon consummation of the Merger, this related party’s 2023 Convertible Note and 2023 Convertible Warrants were converted into shares of common stock (see Note 3). During the three and nine months ended September 30, 2025, the change in fair value for the respective 2023 Convertible Note was zero and $6.0 million, respectively (see Note 5). During the three and nine months ended September 30, 2024, the changes in fair value for the respective 2023 Convertible Note and 2023 Convertible Note Warrants equaled $0.3 million and $0.6 million, respectively, and immaterial and $(0.4) million, respectively (see Note 5).</w:t>
      </w:r>
    </w:p>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BLAIZE HOLDINGS, INC.</w:t>
      </w:r>
    </w:p>
    <w:p>
      <w:pPr>
        <w:pStyle w:val="TextBody"/>
        <w:bidi w:val="0"/>
        <w:jc w:val="center"/>
        <w:rPr>
          <w:rFonts w:ascii="Times New Roman" w:hAnsi="Times New Roman"/>
          <w:sz w:val="20"/>
        </w:rPr>
      </w:pPr>
      <w:r>
        <w:rPr>
          <w:rFonts w:ascii="Times New Roman" w:hAnsi="Times New Roman"/>
          <w:b/>
          <w:color w:val="000000"/>
          <w:sz w:val="20"/>
        </w:rPr>
        <w:t xml:space="preserve">NOTES TO THE CONDENSED CONSOLIDATED FINANCIAL STATEMENTS </w:t>
      </w:r>
      <w:r>
        <w:rPr>
          <w:rFonts w:ascii="Times New Roman" w:hAnsi="Times New Roman"/>
          <w:color w:val="000000"/>
          <w:sz w:val="16"/>
        </w:rPr>
        <w:t>(</w:t>
      </w:r>
      <w:r>
        <w:rPr>
          <w:rFonts w:ascii="Times New Roman" w:hAnsi="Times New Roman"/>
          <w:i/>
          <w:color w:val="000000"/>
          <w:sz w:val="16"/>
        </w:rPr>
        <w:t>cont.</w:t>
      </w:r>
      <w:r>
        <w:rPr>
          <w:rFonts w:ascii="Times New Roman" w:hAnsi="Times New Roman"/>
          <w:color w:val="000000"/>
          <w:sz w:val="16"/>
        </w:rPr>
        <w:t>)</w:t>
      </w:r>
    </w:p>
    <w:p>
      <w:pPr>
        <w:pStyle w:val="TextBody"/>
        <w:bidi w:val="0"/>
        <w:jc w:val="center"/>
        <w:rPr>
          <w:rFonts w:ascii="Times New Roman" w:hAnsi="Times New Roman"/>
          <w:b/>
          <w:i/>
          <w:color w:val="000000"/>
          <w:sz w:val="16"/>
        </w:rPr>
      </w:pPr>
      <w:r>
        <w:rPr>
          <w:rFonts w:ascii="Times New Roman" w:hAnsi="Times New Roman"/>
          <w:b/>
          <w:i/>
          <w:color w:val="000000"/>
          <w:sz w:val="16"/>
        </w:rPr>
        <w:t>(Unaudited)</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January 2023, one of the minority investors with which the Company had a prior revenue arrangement, representing zero and approximately 21% of total revenues for the three and nine months ended September 30, 2024, also invested in a P2P Note in the amount of $3.3 million, or 35% of the total P2P proceeds raised in 2023 (see Note 9). In accordance with the terms of the 2022 P2P NPA, the minority investor also received P2P Warrants for no additional consideration resulting in the allocation of proceeds between the P2P Note and the P2P Warrants (see Note 9). The P2P Note and P2P Warrants held by the minority investor were subject to the adjustments in fair value. As of December 31, 2024, the related party P2P Note and P2P Warrants approximated $4.2 million. Effective January 13, 2025, this related party’s respective P2P Note and P2P Warrants were converted into common stock in connection with the Merger (see Note 3). During the three and nine months ended September 30, 2025, the change in fair value for the respective P2P Note was zero and $7.2 million, respectively (see Note 5). During the three and nine months ended September 30, 2024, the change in fair value for the respective P2P Note and P2P Warrants was immaterial and $0.4 million, respectively, and immaterial and ($0.4) million, respectively (see Note 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December 2022, one of the minority stockholders with which the Company had a prior revenue arrangement, representing approximately 97% and 77% of total revenues for the three and nine months ended September 30, 2024, respectively, and 98% of accounts receivable as of December 31, 2024, also invested in a P2P Note in the amount of $0.4 million, or 13% of the total P2P proceeds raised in 2022 (see Note 9). In accordance with the terms of the 2022 P2P NPA, the minority investor also received P2P Warrants for no additional consideration resulting in the allocation of proceeds between the P2P Note and the P2P Warrants (see Note 9). The P2P Note and P2P Warrants held by the minority investor were subject to the adjustments in fair value. As of December 31, 2024, the fair value of the related party P2P Note and P2P Warrants approximated $0.5 million and zero, respectively. Effective January 13, 2025, this related party’s respective 2022 P2P Note and P2P Warrants were converted into common stock in connection with the Merger (see Note 3). During the three and nine months ended September 30, 2025, the changes in fair value for this set of P2P Notes were zero and $0.8 million, respectively (see Note 5). During the three and nine months ended September 30, 2024, the changes in fair value for this set of P2P Note and P2P Note Warrants were immaterial and $0.4 million, respectively and immaterial (see Note 5).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January 2025, in connection with the consummation of the Merger, the Company signed the Shareholder Note (see Note 3).</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three and nine months ended September 30, 2025, the Company incurred zero and $0.5 million, respectively, of marketing expenses paid to a company owned by a direct family member of one of its minority stockholders and board of directors. During the three and nine months ended September 30, 2024, the Company incurred no such marketing expenses.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of September 30, 2025, the Company had amounts due to related parties for a working capital loan and other advances (see Note 9). </w:t>
      </w:r>
    </w:p>
    <w:p>
      <w:pPr>
        <w:pStyle w:val="TextBody"/>
        <w:bidi w:val="0"/>
        <w:jc w:val="both"/>
        <w:rPr/>
      </w:pPr>
      <w:r>
        <w:rPr/>
        <w:t> </w:t>
      </w:r>
    </w:p>
    <w:p>
      <w:pPr>
        <w:pStyle w:val="TextBody"/>
        <w:bidi w:val="0"/>
        <w:jc w:val="both"/>
        <w:rPr>
          <w:rFonts w:ascii="Times New Roman" w:hAnsi="Times New Roman"/>
          <w:b/>
          <w:color w:val="000000"/>
          <w:sz w:val="20"/>
          <w:shd w:fill="FFFFFF" w:val="clear"/>
        </w:rPr>
      </w:pPr>
      <w:r>
        <w:rPr>
          <w:rFonts w:ascii="Times New Roman" w:hAnsi="Times New Roman"/>
          <w:b/>
          <w:color w:val="000000"/>
          <w:sz w:val="20"/>
          <w:shd w:fill="FFFFFF" w:val="clear"/>
        </w:rPr>
        <w:t>Note 17. Segment Reporting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operates as a single reportable segment, and manages the business and evaluates financial performance on a consolidated basis. The CODM regularly receives and reviews consolidated financial results focusing primarily on revenue, key costs and expenses, net loss, and earnings before interest, tax, depreciation and amortization (“EBITDA”) and as further adjusted (“Adjusted EBITDA”), to make decisions regarding the allocation of resources and assessment of performance. The Company defines Adjusted EBITDA as net loss before interest, taxes, depreciation and amortization, certain non-cash items and other adjustments that it does not consider in its evaluation of ongoing operating performance from period to period.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Net loss is as follows:</w:t>
      </w:r>
    </w:p>
    <w:p>
      <w:pPr>
        <w:pStyle w:val="TextBody"/>
        <w:bidi w:val="0"/>
        <w:jc w:val="both"/>
        <w:rPr/>
      </w:pPr>
      <w:r>
        <w:rPr/>
        <w:t> </w:t>
      </w:r>
    </w:p>
    <w:tbl>
      <w:tblPr>
        <w:tblW w:w="9612" w:type="dxa"/>
        <w:jc w:val="left"/>
        <w:tblInd w:w="0" w:type="dxa"/>
        <w:tblLayout w:type="fixed"/>
        <w:tblCellMar>
          <w:top w:w="28" w:type="dxa"/>
          <w:left w:w="28" w:type="dxa"/>
          <w:bottom w:w="28" w:type="dxa"/>
          <w:right w:w="28" w:type="dxa"/>
        </w:tblCellMar>
      </w:tblPr>
      <w:tblGrid>
        <w:gridCol w:w="3566"/>
        <w:gridCol w:w="146"/>
        <w:gridCol w:w="256"/>
        <w:gridCol w:w="896"/>
        <w:gridCol w:w="202"/>
        <w:gridCol w:w="177"/>
        <w:gridCol w:w="256"/>
        <w:gridCol w:w="896"/>
        <w:gridCol w:w="166"/>
        <w:gridCol w:w="146"/>
        <w:gridCol w:w="237"/>
        <w:gridCol w:w="944"/>
        <w:gridCol w:w="186"/>
        <w:gridCol w:w="164"/>
        <w:gridCol w:w="237"/>
        <w:gridCol w:w="826"/>
        <w:gridCol w:w="311"/>
      </w:tblGrid>
      <w:tr>
        <w:trPr/>
        <w:tc>
          <w:tcPr>
            <w:tcW w:w="3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(Amounts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5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11,867</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14,856</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(10,091</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(11,222</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Employee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(17,175</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(51,498</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(21,392</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Technology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(5,192</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Fair value changes and financing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(4,424</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(121,511</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(25,130</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Other items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(5,265</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(29,436</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(26,258</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(203,608</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(54,503</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2"/>
        </w:rPr>
        <w:t>(1)</w:t>
      </w:r>
      <w:r>
        <w:rPr>
          <w:rFonts w:ascii="Times New Roman" w:hAnsi="Times New Roman"/>
          <w:color w:val="000000"/>
          <w:sz w:val="20"/>
        </w:rPr>
        <w:t xml:space="preserve"> “</w:t>
      </w:r>
      <w:r>
        <w:rPr>
          <w:rFonts w:ascii="Times New Roman" w:hAnsi="Times New Roman"/>
          <w:color w:val="000000"/>
          <w:sz w:val="18"/>
        </w:rPr>
        <w:t>Other items” includes marketing expense, professional fees, income tax expense, facilities costs, transaction costs, foreign exchange gains and losses, credit loss expense, and other overhead expenses.</w:t>
      </w:r>
    </w:p>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BLAIZE HOLDINGS, INC.</w:t>
      </w:r>
    </w:p>
    <w:p>
      <w:pPr>
        <w:pStyle w:val="TextBody"/>
        <w:bidi w:val="0"/>
        <w:jc w:val="center"/>
        <w:rPr>
          <w:rFonts w:ascii="Times New Roman" w:hAnsi="Times New Roman"/>
          <w:sz w:val="20"/>
        </w:rPr>
      </w:pPr>
      <w:r>
        <w:rPr>
          <w:rFonts w:ascii="Times New Roman" w:hAnsi="Times New Roman"/>
          <w:b/>
          <w:color w:val="000000"/>
          <w:sz w:val="20"/>
        </w:rPr>
        <w:t xml:space="preserve">NOTES TO THE CONDENSED CONSOLIDATED FINANCIAL STATEMENTS </w:t>
      </w:r>
      <w:r>
        <w:rPr>
          <w:rFonts w:ascii="Times New Roman" w:hAnsi="Times New Roman"/>
          <w:color w:val="000000"/>
          <w:sz w:val="16"/>
        </w:rPr>
        <w:t>(</w:t>
      </w:r>
      <w:r>
        <w:rPr>
          <w:rFonts w:ascii="Times New Roman" w:hAnsi="Times New Roman"/>
          <w:i/>
          <w:color w:val="000000"/>
          <w:sz w:val="16"/>
        </w:rPr>
        <w:t>cont.</w:t>
      </w:r>
      <w:r>
        <w:rPr>
          <w:rFonts w:ascii="Times New Roman" w:hAnsi="Times New Roman"/>
          <w:color w:val="000000"/>
          <w:sz w:val="16"/>
        </w:rPr>
        <w:t>)</w:t>
      </w:r>
    </w:p>
    <w:p>
      <w:pPr>
        <w:pStyle w:val="TextBody"/>
        <w:bidi w:val="0"/>
        <w:jc w:val="center"/>
        <w:rPr>
          <w:rFonts w:ascii="Times New Roman" w:hAnsi="Times New Roman"/>
          <w:b/>
          <w:i/>
          <w:color w:val="000000"/>
          <w:sz w:val="16"/>
        </w:rPr>
      </w:pPr>
      <w:r>
        <w:rPr>
          <w:rFonts w:ascii="Times New Roman" w:hAnsi="Times New Roman"/>
          <w:b/>
          <w:i/>
          <w:color w:val="000000"/>
          <w:sz w:val="16"/>
        </w:rPr>
        <w:t>(Unaudited)</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reflects the Company’s EBITDA and Adjusted EBITDA:</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176"/>
        <w:gridCol w:w="146"/>
        <w:gridCol w:w="254"/>
        <w:gridCol w:w="892"/>
        <w:gridCol w:w="201"/>
        <w:gridCol w:w="176"/>
        <w:gridCol w:w="254"/>
        <w:gridCol w:w="892"/>
        <w:gridCol w:w="166"/>
        <w:gridCol w:w="146"/>
        <w:gridCol w:w="236"/>
        <w:gridCol w:w="941"/>
        <w:gridCol w:w="185"/>
        <w:gridCol w:w="163"/>
        <w:gridCol w:w="236"/>
        <w:gridCol w:w="823"/>
        <w:gridCol w:w="318"/>
      </w:tblGrid>
      <w:tr>
        <w:trPr/>
        <w:tc>
          <w:tcPr>
            <w:tcW w:w="4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4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(Amounts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(26,258</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(203,608</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(54,503</w:t>
            </w:r>
          </w:p>
        </w:tc>
        <w:tc>
          <w:tcPr>
            <w:tcW w:w="3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1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3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(26,566</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(203,781</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(55,144</w:t>
            </w:r>
          </w:p>
        </w:tc>
        <w:tc>
          <w:tcPr>
            <w:tcW w:w="3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1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9,486</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28,092</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Fair value changes and financing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4,424</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121,511</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25,130</w:t>
            </w:r>
          </w:p>
        </w:tc>
        <w:tc>
          <w:tcPr>
            <w:tcW w:w="3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Transaction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12,043</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Non-cash inventory cost realignment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3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Other adjustments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3,419</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(11,066</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(39,372</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(28,564</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2"/>
        </w:rPr>
        <w:t>(1)</w:t>
      </w:r>
      <w:r>
        <w:rPr>
          <w:rFonts w:ascii="Times New Roman" w:hAnsi="Times New Roman"/>
          <w:color w:val="000000"/>
          <w:sz w:val="20"/>
        </w:rPr>
        <w:t xml:space="preserve"> “</w:t>
      </w:r>
      <w:r>
        <w:rPr>
          <w:rFonts w:ascii="Times New Roman" w:hAnsi="Times New Roman"/>
          <w:color w:val="000000"/>
          <w:sz w:val="18"/>
        </w:rPr>
        <w:t>Other adjustments” includes, but is not limited to, other non-cash expenses, including foreign exchange gains and losses, and unusual or non-recurring expenses, including litigation expenses, financing advisory fees, and fines and penalties. The Company believes that these expenses are not reflective of its ongoing operating performance and excluding these costs provides a more meaningful comparison of its results of operations over comparative periods.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measure of segment assets is reported on the condensed consolidated balance sheet as total consolidated assets. Long-lived and ROU assets were located as follows:</w:t>
      </w:r>
    </w:p>
    <w:p>
      <w:pPr>
        <w:pStyle w:val="TextBody"/>
        <w:bidi w:val="0"/>
        <w:jc w:val="both"/>
        <w:rPr/>
      </w:pPr>
      <w:r>
        <w:rPr/>
        <w:t> </w:t>
      </w:r>
    </w:p>
    <w:tbl>
      <w:tblPr>
        <w:tblW w:w="7010" w:type="dxa"/>
        <w:jc w:val="left"/>
        <w:tblInd w:w="0" w:type="dxa"/>
        <w:tblLayout w:type="fixed"/>
        <w:tblCellMar>
          <w:top w:w="28" w:type="dxa"/>
          <w:left w:w="28" w:type="dxa"/>
          <w:bottom w:w="28" w:type="dxa"/>
          <w:right w:w="28" w:type="dxa"/>
        </w:tblCellMar>
      </w:tblPr>
      <w:tblGrid>
        <w:gridCol w:w="1771"/>
        <w:gridCol w:w="146"/>
        <w:gridCol w:w="267"/>
        <w:gridCol w:w="723"/>
        <w:gridCol w:w="154"/>
        <w:gridCol w:w="154"/>
        <w:gridCol w:w="259"/>
        <w:gridCol w:w="701"/>
        <w:gridCol w:w="146"/>
        <w:gridCol w:w="146"/>
        <w:gridCol w:w="267"/>
        <w:gridCol w:w="723"/>
        <w:gridCol w:w="151"/>
        <w:gridCol w:w="151"/>
        <w:gridCol w:w="259"/>
        <w:gridCol w:w="701"/>
        <w:gridCol w:w="291"/>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(Amounts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Fixed Assets</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ROU 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Fixed Assets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ROU Assets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North America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Asia Pacific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United Kingdom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pPr>
      <w:r>
        <w:rPr/>
        <w:t> </w:t>
      </w:r>
    </w:p>
    <w:p>
      <w:pPr>
        <w:pStyle w:val="TextBody"/>
        <w:bidi w:val="0"/>
        <w:jc w:val="both"/>
        <w:rPr>
          <w:rFonts w:ascii="Times New Roman" w:hAnsi="Times New Roman"/>
          <w:b/>
          <w:color w:val="000000"/>
          <w:sz w:val="20"/>
          <w:shd w:fill="FFFFFF" w:val="clear"/>
        </w:rPr>
      </w:pPr>
      <w:r>
        <w:rPr>
          <w:rFonts w:ascii="Times New Roman" w:hAnsi="Times New Roman"/>
          <w:b/>
          <w:color w:val="000000"/>
          <w:sz w:val="20"/>
          <w:shd w:fill="FFFFFF" w:val="clear"/>
        </w:rPr>
        <w:t>Note 18. Net Loss Per Share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sets forth the computation of basic and dilutive net loss per share:</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634"/>
        <w:gridCol w:w="146"/>
        <w:gridCol w:w="211"/>
        <w:gridCol w:w="1141"/>
        <w:gridCol w:w="166"/>
        <w:gridCol w:w="146"/>
        <w:gridCol w:w="211"/>
        <w:gridCol w:w="1036"/>
        <w:gridCol w:w="166"/>
        <w:gridCol w:w="146"/>
        <w:gridCol w:w="211"/>
        <w:gridCol w:w="1141"/>
        <w:gridCol w:w="166"/>
        <w:gridCol w:w="146"/>
        <w:gridCol w:w="211"/>
        <w:gridCol w:w="1036"/>
        <w:gridCol w:w="291"/>
      </w:tblGrid>
      <w:tr>
        <w:trPr/>
        <w:tc>
          <w:tcPr>
            <w:tcW w:w="36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6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(Amounts in thousands, except share and per share amounts)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63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(203,608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(54,503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63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Weighted average shares outstanding, basic and diluted</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103,585,681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17,478,371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100,130,737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17,466,606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rFonts w:ascii="Times New Roman" w:hAnsi="Times New Roman"/>
          <w:sz w:val="20"/>
        </w:rPr>
      </w:pPr>
      <w:r>
        <w:rPr>
          <w:rFonts w:ascii="Times New Roman" w:hAnsi="Times New Roman"/>
          <w:color w:val="000000"/>
          <w:sz w:val="12"/>
        </w:rPr>
        <w:br/>
        <w:t>(1)</w:t>
      </w:r>
      <w:r>
        <w:rPr>
          <w:rFonts w:ascii="Times New Roman" w:hAnsi="Times New Roman"/>
          <w:color w:val="000000"/>
          <w:sz w:val="20"/>
        </w:rPr>
        <w:t xml:space="preserve"> </w:t>
      </w:r>
      <w:r>
        <w:rPr>
          <w:rFonts w:ascii="Times New Roman" w:hAnsi="Times New Roman"/>
          <w:color w:val="000000"/>
          <w:sz w:val="18"/>
        </w:rPr>
        <w:t>Three and nine months ended September 30, 2025 include 1,944,865</w:t>
      </w:r>
      <w:r>
        <w:rPr>
          <w:rFonts w:ascii="Times New Roman" w:hAnsi="Times New Roman"/>
          <w:color w:val="000000"/>
          <w:sz w:val="20"/>
        </w:rPr>
        <w:t xml:space="preserve"> </w:t>
      </w:r>
      <w:r>
        <w:rPr>
          <w:rFonts w:ascii="Times New Roman" w:hAnsi="Times New Roman"/>
          <w:color w:val="000000"/>
          <w:sz w:val="18"/>
        </w:rPr>
        <w:t>vested but unissued shares underlying awards of RSUs to employees and 28,500</w:t>
      </w:r>
      <w:r>
        <w:rPr>
          <w:rFonts w:ascii="Times New Roman" w:hAnsi="Times New Roman"/>
          <w:color w:val="000000"/>
          <w:sz w:val="20"/>
        </w:rPr>
        <w:t xml:space="preserve"> </w:t>
      </w:r>
      <w:r>
        <w:rPr>
          <w:rFonts w:ascii="Times New Roman" w:hAnsi="Times New Roman"/>
          <w:color w:val="000000"/>
          <w:sz w:val="18"/>
        </w:rPr>
        <w:t>vested RSUs but unissued shares underlying awards of RSUs to advisors. The Company is contractually obligated to issue shares of common stock for all vested but unissued RSUs.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Net loss per share calculations and potentially dilutive security amounts for all periods prior to the closing of the Merger have been retrospectively adjusted to the equivalent number of shares outstanding immediately after the Merger to effect the reverse recapitalization. Historically reported weighted average shares outstanding have been multiplied by the Exchange Ratio of approximately 0.78. </w:t>
      </w:r>
    </w:p>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BLAIZE HOLDINGS, INC.</w:t>
      </w:r>
    </w:p>
    <w:p>
      <w:pPr>
        <w:pStyle w:val="TextBody"/>
        <w:bidi w:val="0"/>
        <w:jc w:val="center"/>
        <w:rPr>
          <w:rFonts w:ascii="Times New Roman" w:hAnsi="Times New Roman"/>
          <w:sz w:val="20"/>
        </w:rPr>
      </w:pPr>
      <w:r>
        <w:rPr>
          <w:rFonts w:ascii="Times New Roman" w:hAnsi="Times New Roman"/>
          <w:b/>
          <w:color w:val="000000"/>
          <w:sz w:val="20"/>
        </w:rPr>
        <w:t xml:space="preserve">NOTES TO THE CONDENSED CONSOLIDATED FINANCIAL STATEMENTS </w:t>
      </w:r>
      <w:r>
        <w:rPr>
          <w:rFonts w:ascii="Times New Roman" w:hAnsi="Times New Roman"/>
          <w:color w:val="000000"/>
          <w:sz w:val="16"/>
        </w:rPr>
        <w:t>(</w:t>
      </w:r>
      <w:r>
        <w:rPr>
          <w:rFonts w:ascii="Times New Roman" w:hAnsi="Times New Roman"/>
          <w:i/>
          <w:color w:val="000000"/>
          <w:sz w:val="16"/>
        </w:rPr>
        <w:t>cont.</w:t>
      </w:r>
      <w:r>
        <w:rPr>
          <w:rFonts w:ascii="Times New Roman" w:hAnsi="Times New Roman"/>
          <w:color w:val="000000"/>
          <w:sz w:val="16"/>
        </w:rPr>
        <w:t>)</w:t>
      </w:r>
    </w:p>
    <w:p>
      <w:pPr>
        <w:pStyle w:val="TextBody"/>
        <w:bidi w:val="0"/>
        <w:jc w:val="center"/>
        <w:rPr>
          <w:rFonts w:ascii="Times New Roman" w:hAnsi="Times New Roman"/>
          <w:b/>
          <w:i/>
          <w:color w:val="000000"/>
          <w:sz w:val="16"/>
        </w:rPr>
      </w:pPr>
      <w:r>
        <w:rPr>
          <w:rFonts w:ascii="Times New Roman" w:hAnsi="Times New Roman"/>
          <w:b/>
          <w:i/>
          <w:color w:val="000000"/>
          <w:sz w:val="16"/>
        </w:rPr>
        <w:t>(Unaudited)</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potentially dilutive securities were excluded from the calculation of diluted net loss per share attributable to common shareholders for the periods presented because the impact of including them would have been anti-dilutive or out-of-the-money:</w:t>
      </w:r>
    </w:p>
    <w:p>
      <w:pPr>
        <w:pStyle w:val="TextBody"/>
        <w:bidi w:val="0"/>
        <w:jc w:val="both"/>
        <w:rPr/>
      </w:pPr>
      <w:r>
        <w:rPr/>
        <w:t> </w:t>
      </w:r>
    </w:p>
    <w:tbl>
      <w:tblPr>
        <w:tblW w:w="9513" w:type="dxa"/>
        <w:jc w:val="left"/>
        <w:tblInd w:w="0" w:type="dxa"/>
        <w:tblLayout w:type="fixed"/>
        <w:tblCellMar>
          <w:top w:w="28" w:type="dxa"/>
          <w:left w:w="28" w:type="dxa"/>
          <w:bottom w:w="28" w:type="dxa"/>
          <w:right w:w="28" w:type="dxa"/>
        </w:tblCellMar>
      </w:tblPr>
      <w:tblGrid>
        <w:gridCol w:w="3446"/>
        <w:gridCol w:w="146"/>
        <w:gridCol w:w="147"/>
        <w:gridCol w:w="1047"/>
        <w:gridCol w:w="147"/>
        <w:gridCol w:w="147"/>
        <w:gridCol w:w="147"/>
        <w:gridCol w:w="1047"/>
        <w:gridCol w:w="146"/>
        <w:gridCol w:w="146"/>
        <w:gridCol w:w="146"/>
        <w:gridCol w:w="1036"/>
        <w:gridCol w:w="146"/>
        <w:gridCol w:w="146"/>
        <w:gridCol w:w="146"/>
        <w:gridCol w:w="1036"/>
        <w:gridCol w:w="291"/>
      </w:tblGrid>
      <w:tr>
        <w:trPr/>
        <w:tc>
          <w:tcPr>
            <w:tcW w:w="3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29,318,783</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12,736,621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29,318,783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12,736,621</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8,791,483</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3,743,578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8,791,483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3,743,578</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Earnout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17,600,000</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Common stock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Public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28,750,000</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Private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898,250</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Redeemable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34,702,999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34,702,999</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Legacy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4,695,604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4,695,604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potentially dilutive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85,408,516</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55,878,802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85,408,516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55,878,802</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b/>
          <w:color w:val="000000"/>
          <w:sz w:val="20"/>
          <w:shd w:fill="FFFFFF" w:val="clear"/>
        </w:rPr>
      </w:pPr>
      <w:r>
        <w:rPr>
          <w:rFonts w:ascii="Times New Roman" w:hAnsi="Times New Roman"/>
          <w:b/>
          <w:color w:val="000000"/>
          <w:sz w:val="20"/>
          <w:shd w:fill="FFFFFF" w:val="clear"/>
        </w:rPr>
        <w:t>Note 19. Subsequent Events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has evaluated subsequent events through the date of issuance of these condensed consolidated financial statements and determined that the following subsequent events, other than those disclosed elsewhere in the condensed consolidated financial statements, are reportable:</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Subsequent Sales of Securities Under the Committed Equity Facility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From October 1, 2025 through October 17, 2025, the Company settled an additional 2,736,587 shares of newly-issued common stock, sold to B. Riley under the Committed Equity Facility, for net proceeds of $13.4 million. As of the date of issuance of these condensed consolidated financial statements, the Company had settled a total of 8,410,321 shares of common stock, sold to B. Riley under the Committed Equity Facility, for net proceeds of $33.4 million.</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November 10, 2025 Private Placement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November 10, 2025, the Company and affiliates of Polar Asset Management Partners Inc. (“Polar”) entered into a Securities Purchase Agreement (the “Polar Private Placement”). Pursuant to the Polar Private Placement, the Company agreed to the direct sale of 9,375,000 shares of the Company’s common stock at a purchase price of $3.20 per share and the issuance of 9,375,000 warrants to purchase additional shares of the Company’s common stock, resulting in aggregate gross proceeds of approximately $30.0 million, before deducting offering expenses. The warrants have a term of five years and are immediately exercisable, with an exercise price of $5.00 per share. The Company intends to use the net proceeds from the Polar Private Placement for general corporate and working capital purposes.</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both"/>
        <w:rPr>
          <w:rFonts w:ascii="Times New Roman" w:hAnsi="Times New Roman"/>
          <w:sz w:val="20"/>
        </w:rPr>
      </w:pPr>
      <w:bookmarkStart w:id="9" w:name="item2"/>
      <w:bookmarkEnd w:id="9"/>
      <w:r>
        <w:rPr>
          <w:rFonts w:ascii="Times New Roman" w:hAnsi="Times New Roman"/>
          <w:b/>
          <w:color w:val="000000"/>
          <w:sz w:val="20"/>
        </w:rPr>
        <w:t>Item 2.</w:t>
      </w:r>
      <w:r>
        <w:rPr>
          <w:rFonts w:ascii="Times New Roman" w:hAnsi="Times New Roman"/>
          <w:color w:val="000000"/>
          <w:sz w:val="20"/>
        </w:rPr>
        <w:t xml:space="preserve"> </w:t>
      </w:r>
      <w:r>
        <w:rPr>
          <w:rFonts w:ascii="Times New Roman" w:hAnsi="Times New Roman"/>
          <w:b/>
          <w:color w:val="000000"/>
          <w:sz w:val="20"/>
        </w:rPr>
        <w:t>Management’s Discussion and Analysis of Financial Condition and Results of Operations.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Unless otherwise indicated, references to “we”, “us”, “our”, “Blaize” or the “Company” in this Management’s Discussion and Analysis of Financial Condition and Results of Operations are to Blaize Holdings, Inc. The following discussion and analysis of our financial condition and results of operations should be read in conjunction with our condensed consolidated financial statements and related notes thereto, included in Part 1. Item 1. of this Quarterly Report, risk factors, included in Part 2. Item 1A. of this Quarterly Report, and the information included in our Current Report on Form 8-K/A, as filed with the U.S. Securities and Exchange Commission (“SEC”) on April 15, 2025, and the previous Quarterly Reports on Form 10-Q as filed with the SEC on May 14, 2025 and August 14, 2025, respectively.</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Overview</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provide purpose-built, transformative artificial intelligence (“AI”)-enabled edge computing solutions comprised of hardware and software intended to optimize AI from the edge to the core, with a full-stack programmable processor architecture suite and low-code/no-code software platform that enables AI processing solutions for high-performance computing at both the network’s edge and at data centers. Our solutions are intended to deliver real-time insights and decision-making capabilities at low power consumption, high efficiency, minimal size, and low cost.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portfolio includes highly efficient programmable AI processors in a broad range of form factors, deployable across several verticals, including smart city, defense, retail and enterprise markets. Our accelerated AI computing platforms enable applications such as computer vision, advanced video analytics, and AI inference, and our software tools allow non-expert practitioners to deploy existing and novel AI applications on our hardware without the need to learn or use source code.</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Trends and Recent Developments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Overall Macroeconomic Environment and its Effect on Blaize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the first quarter of 2025, the United States (“U.S.”) government announced the forthcoming imposition of a series of new tariff policies affecting imports from many countries, including China. At the same time, many countries, including China, threatened retaliatory tariff regimes. Subsequently, China announced tighter export controls on certain rare earth metals, which are critical for high-tech manufacturing, and the U.S. government announced additional tariffs. Further, the regulations restricting the export of certain products and technology from the U.S. to China continue to be fluid, which could affect our business in China. These export controls, regulations, and tariffs are currently subject to ongoing negotiation.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While the legality and ultimate implications of the tariffs imposed by the U.S. government remain unclear, tariffs could materially increase our import costs and potentially lead to higher prices that may reduce consumer demand, and add an overall element of uncertainty to the U.S. economy. We are proactively evaluating strategies to mitigate the impact of tariffs on our supply chain and costs. These strategies include exploring alternative sourcing outside of China, working with our suppliers to manage cost increases, and implementing price increases. These actions may not fully offset the impact of tariffs and, as a result, our revenues, cost of materials, and overall financial performance may be materially affected.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Adding to overall economic uncertainty, the U.S. government has ceased all operations but those deemed essential (the “government shutdown”). During a government shutdown, import and export processes can slow, especially if agencies involved reduce staff levels. Further, the SEC does not review registration statements during a government shutdown, which could limit our access to public capital markets until the government resumes normal operations.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On July 4, 2025, the “One Big Beautiful Bill Act” (the “OBBBA”) was signed into law. The OBBBA makes permanent key elements of the Tax Cuts and Jobs Act, including 100% bonus depreciation, domestic research cost expensing, and the business interest expense limitation. In accordance with ASC 740, </w:t>
      </w:r>
      <w:r>
        <w:rPr>
          <w:rFonts w:ascii="Times New Roman" w:hAnsi="Times New Roman"/>
          <w:i/>
          <w:color w:val="000000"/>
          <w:sz w:val="20"/>
        </w:rPr>
        <w:t>Income Taxes</w:t>
      </w:r>
      <w:r>
        <w:rPr>
          <w:rFonts w:ascii="Times New Roman" w:hAnsi="Times New Roman"/>
          <w:color w:val="000000"/>
          <w:sz w:val="20"/>
        </w:rPr>
        <w:t>, the effects of the new tax law will be recognized in the period of enactment. We are in the process of evaluating the impact of OBBBA on our condensed consolidated financial statements. Any results of such evaluations will be reflected on our consolidated financial statements included in our Annual Report on Form 10-K for the year ended December 31, 2025.</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Recent Developments in Our Business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July 14, 2025, we entered into a $50.0 million common stock purchase agreement (“Committed Equity Facility”) with B. Riley Principal Capital II, LLC (“B. Riley”). We expect to use the proceeds from this facility to accelerate commercialization of our South Asia smart infrastructure contract and investment in our next-generation chip, as well as for working capital and general corporate purposes.</w:t>
      </w:r>
    </w:p>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November 10, 2025, Blaize and affiliates of Polar Asset Management Partners Inc. (“Polar”) entered into a Securities Purchase Agreement (the “Polar Private Placement”). Pursuant to the Polar Private Placement, we agreed to the direct sale of 9,375,000 shares of our common stock at a purchase price of $3.20 per share and the issuance of 9,375,000 warrants to purchase additional shares of our common stock, resulting in aggregate gross proceeds of approximately $30.0 million, before deducting offering expenses. The warrants have a term of five years and are immediately exercisable, with an exercise price of $5.00 per share. We intend to use the net proceeds from the Polar Private Placement for general corporate and working capital purposes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Key Business Metrics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Pipeline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have identified potential future business opportunities that could significantly accelerate growth through near-term customer implementations. Although we have no contractual arrangement(s) with respect to such pipeline and there is no assurance of any future contractual arrangement(s), the pipeline contains target accounts and opportunities that have been identified as potential customers for our products and services. We classify certain key metrics related to our pipeline into the following categories: proof of concept stage, partners, and design wins.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Proof of Concept Stage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 proof-of-concept stage (“POC”) represents that a proposal for a proof of concept has either been initiated or is in progress with a potential customer or partner. We utilize POCs to demonstrate our technology’s value proposition along with its tailored use scenarios and satisfaction of customer and/or partner requirements. As of September 30, 2025, a total of 53 POCs were initiated or in progress with a potential customer.</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Partners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 partner (“Partner”) consists of either an independent software vendor or independent hardware vendor with whom we are working to integrate our products and services into the vendor’s offerings for their customers. Such vendors may include original equipment manufacturers (“OEMs”), original design manufacturers, system integrators, or hardware resellers or distributors, among others. As of September 30, 2025, we had a total of 42 Partners.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Design Wins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 design win (“Design Win”) represents that a Partner or a customer has selected our products and/or services to be incorporated into a product that it intends to produce or consume, as applicable, and has confirmed that our offerings integrate into such product accordingly. As of September 30, 2025, a total of 26 Design Wins have been confirmed with a Partner or customer.</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Revenue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currently derive revenue through a combination of:</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Hardware revenue — encompasses the sale of our semiconductor products through various supply agreements.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Software revenue — encompasses the sale of our applications and other software products through various licensing agreements.</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Engineering services revenue — providing customized design services to our customers, tailored to their specific requirements.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sets forth our revenue for the three and nine months ended September 30, 2025 and 2024:</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061"/>
        <w:gridCol w:w="233"/>
        <w:gridCol w:w="716"/>
        <w:gridCol w:w="173"/>
        <w:gridCol w:w="173"/>
        <w:gridCol w:w="233"/>
        <w:gridCol w:w="448"/>
        <w:gridCol w:w="146"/>
        <w:gridCol w:w="196"/>
        <w:gridCol w:w="601"/>
        <w:gridCol w:w="146"/>
        <w:gridCol w:w="146"/>
        <w:gridCol w:w="146"/>
        <w:gridCol w:w="511"/>
        <w:gridCol w:w="241"/>
        <w:gridCol w:w="216"/>
        <w:gridCol w:w="665"/>
        <w:gridCol w:w="161"/>
        <w:gridCol w:w="161"/>
        <w:gridCol w:w="216"/>
        <w:gridCol w:w="566"/>
        <w:gridCol w:w="146"/>
        <w:gridCol w:w="196"/>
        <w:gridCol w:w="601"/>
        <w:gridCol w:w="146"/>
        <w:gridCol w:w="146"/>
        <w:gridCol w:w="146"/>
        <w:gridCol w:w="376"/>
        <w:gridCol w:w="293"/>
      </w:tblGrid>
      <w:tr>
        <w:trPr/>
        <w:tc>
          <w:tcPr>
            <w:tcW w:w="206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2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Change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Change</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3"/>
              </w:rPr>
            </w:pPr>
            <w:r>
              <w:rPr>
                <w:rFonts w:ascii="Times New Roman" w:hAnsi="Times New Roman"/>
                <w:i/>
                <w:color w:val="000000"/>
                <w:sz w:val="13"/>
              </w:rPr>
              <w:t>(Amounts in thousands, except for percentages)</w:t>
            </w:r>
          </w:p>
        </w:tc>
        <w:tc>
          <w:tcPr>
            <w:tcW w:w="9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2025</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2025</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revenue</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11,867</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11,086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1,419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14,856</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13,303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857</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three months ended September 30, 2025, revenue increased 1,419% to $11.9 million, compared to $0.8 million for the three months ended September 30, 2024. This increase in revenue was primarily due to hardware sold to a new customer which included $10.4 million of revenue for the three months ended September 30, 2025, with the remainder of this increase due to hardware sold to a related party, while revenue from the comparable period in 2024 was derived primarily from engineering services provided to a related party. Engineering services revenue with the related party is no longer expected, as the development contract with this party has been completed.</w:t>
      </w:r>
    </w:p>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nine months ended September 30, 2025, revenue increased 857% to $14.9 million compared to $1.6 million for the nine months ended September 30, 2024. The increase was primarily due to hardware sales to a new customer in the third quarter of 2025 of $10.4 million, while revenue from the comparable period in 2024 was derived primarily from engineering services provided to a related party. Engineering services revenue with the related party is no longer expected, as the development contract with this party has been completed.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sets forth our revenue by the geographical location of our customers for the three and nine months ended September 30, 2025 and 2024:</w:t>
      </w:r>
    </w:p>
    <w:p>
      <w:pPr>
        <w:pStyle w:val="TextBody"/>
        <w:bidi w:val="0"/>
        <w:jc w:val="both"/>
        <w:rPr/>
      </w:pPr>
      <w:r>
        <w:rPr/>
        <w:t> </w:t>
      </w:r>
    </w:p>
    <w:tbl>
      <w:tblPr>
        <w:tblW w:w="9912" w:type="dxa"/>
        <w:jc w:val="left"/>
        <w:tblInd w:w="0" w:type="dxa"/>
        <w:tblLayout w:type="fixed"/>
        <w:tblCellMar>
          <w:top w:w="28" w:type="dxa"/>
          <w:left w:w="28" w:type="dxa"/>
          <w:bottom w:w="28" w:type="dxa"/>
          <w:right w:w="28" w:type="dxa"/>
        </w:tblCellMar>
      </w:tblPr>
      <w:tblGrid>
        <w:gridCol w:w="2866"/>
        <w:gridCol w:w="196"/>
        <w:gridCol w:w="601"/>
        <w:gridCol w:w="146"/>
        <w:gridCol w:w="146"/>
        <w:gridCol w:w="376"/>
        <w:gridCol w:w="241"/>
        <w:gridCol w:w="146"/>
        <w:gridCol w:w="196"/>
        <w:gridCol w:w="376"/>
        <w:gridCol w:w="146"/>
        <w:gridCol w:w="146"/>
        <w:gridCol w:w="376"/>
        <w:gridCol w:w="241"/>
        <w:gridCol w:w="196"/>
        <w:gridCol w:w="601"/>
        <w:gridCol w:w="146"/>
        <w:gridCol w:w="146"/>
        <w:gridCol w:w="376"/>
        <w:gridCol w:w="241"/>
        <w:gridCol w:w="146"/>
        <w:gridCol w:w="196"/>
        <w:gridCol w:w="511"/>
        <w:gridCol w:w="146"/>
        <w:gridCol w:w="146"/>
        <w:gridCol w:w="376"/>
        <w:gridCol w:w="486"/>
      </w:tblGrid>
      <w:tr>
        <w:trPr/>
        <w:tc>
          <w:tcPr>
            <w:tcW w:w="28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2"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Three Months Ended 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27"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Nine Months Ended September 30,</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2024</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3"/>
              </w:rPr>
            </w:pPr>
            <w:r>
              <w:rPr>
                <w:rFonts w:ascii="Times New Roman" w:hAnsi="Times New Roman"/>
                <w:i/>
                <w:color w:val="000000"/>
                <w:sz w:val="13"/>
              </w:rPr>
              <w:t>(Amounts in thousands, except for percentages)</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Asia Pacific</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10,445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11,411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w:t>
            </w:r>
          </w:p>
        </w:tc>
        <w:tc>
          <w:tcPr>
            <w:tcW w:w="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North America</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78</w:t>
            </w:r>
          </w:p>
        </w:tc>
        <w:tc>
          <w:tcPr>
            <w:tcW w:w="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Other</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revenue</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11,867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14,856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100</w:t>
            </w:r>
          </w:p>
        </w:tc>
        <w:tc>
          <w:tcPr>
            <w:tcW w:w="4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Thus far in 2025, our revenue was derived from two significant customers, one significant customer located in the Asia Pacific region, who is not a related party, and one significant customer located in North America, who is a related party. In 2024, our revenue was derived from two different customers, located in both North America and Asia Pacific, and both of whom were related parties.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expect our growth to continue in both Asia Pacific and North America. Since our revenue is concentrated among a small number of customers, revenue from any one significant customer may change the geographical mix of our revenue.</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Costs and Expenses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Cost of Revenue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Cost of revenue is primarily comprised of the cost of semiconductors purchased from contract manufacturers, including wafer fabrication, assembly, testing and packaging, board, and device costs as well as indirect costs such as inventory carrying costs and inventory valuation reserves. In addition, cost of revenue also includes direct labor costs associated with the servicing of our engineering services revenue contracts. Engineering services revenue with the related party is no longer expected, as the development contract with this party has been completed. There is no depreciation and amortization allocable to cost of revenue; however, if such depreciation and amortization expense were to be incurred, it would be allocated to cost of revenue.</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Research and Development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Research and development (“R&amp;D”) expense primarily consists of personnel costs for our research and development activities. R&amp;D expense includes costs associated with the design and development of our application-specific integrated circuit and intellectual property (“IP”) solutions, such as third-party foundry costs, third party computer-aided tools and software licenses, third party IP licenses, and reference design development.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Selling, General and Administrative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Selling, general and administrative (“SG&amp;A”) expense primarily consists of personnel-related expenses for our sales and marketing teams, finance, human resources, information technology, and legal organizations. These expenses also include non-personnel costs, such as legal, audit, accounting services, advertising expenses, other professional fees as well as certain tax, corporate software licenses, and insurance-related expenses.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Depreciation and Amortization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Depreciation and amortization consists of ordinary depreciation and amortization on long-lived assets such as computer equipment, furniture and fixtures, leasehold improvements, and office equipment and is generally not material to us.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Transaction Costs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Transaction costs consisted of direct incremental legal, consulting, and banking fees related to the consummation of the transactions (the “Merger”) contemplated by the Agreement and Plan of Merger (the “Merger Agreement”), dated as of December 22, 2023 (as amended on April 22, 2024, October 24, 2024 and November 21, 2024), which was completed in the first quarter of 2025. No additional costs relating to the Merger are expected to be incurred.</w:t>
      </w:r>
    </w:p>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Detail of Costs and Expenses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table sets forth our costs and expenses, as described above, for the three and nine months ended September 30, 2025 and 2024: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905"/>
        <w:gridCol w:w="203"/>
        <w:gridCol w:w="625"/>
        <w:gridCol w:w="151"/>
        <w:gridCol w:w="151"/>
        <w:gridCol w:w="203"/>
        <w:gridCol w:w="625"/>
        <w:gridCol w:w="146"/>
        <w:gridCol w:w="196"/>
        <w:gridCol w:w="601"/>
        <w:gridCol w:w="166"/>
        <w:gridCol w:w="146"/>
        <w:gridCol w:w="146"/>
        <w:gridCol w:w="511"/>
        <w:gridCol w:w="241"/>
        <w:gridCol w:w="201"/>
        <w:gridCol w:w="619"/>
        <w:gridCol w:w="150"/>
        <w:gridCol w:w="150"/>
        <w:gridCol w:w="201"/>
        <w:gridCol w:w="619"/>
        <w:gridCol w:w="146"/>
        <w:gridCol w:w="196"/>
        <w:gridCol w:w="601"/>
        <w:gridCol w:w="146"/>
        <w:gridCol w:w="146"/>
        <w:gridCol w:w="146"/>
        <w:gridCol w:w="376"/>
        <w:gridCol w:w="492"/>
      </w:tblGrid>
      <w:tr>
        <w:trPr/>
        <w:tc>
          <w:tcPr>
            <w:tcW w:w="190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19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Change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Change</w:t>
            </w:r>
          </w:p>
        </w:tc>
        <w:tc>
          <w:tcPr>
            <w:tcW w:w="4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3"/>
              </w:rPr>
            </w:pPr>
            <w:r>
              <w:rPr>
                <w:rFonts w:ascii="Times New Roman" w:hAnsi="Times New Roman"/>
                <w:i/>
                <w:color w:val="000000"/>
                <w:sz w:val="13"/>
              </w:rPr>
              <w:t>(Amounts in thousands, except for percentages)</w:t>
            </w:r>
          </w:p>
        </w:tc>
        <w:tc>
          <w:tcPr>
            <w:tcW w:w="8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2025</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w:t>
            </w:r>
          </w:p>
        </w:tc>
        <w:tc>
          <w:tcPr>
            <w:tcW w:w="4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90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Cost of revenue</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10,091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9,615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2,020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11,222</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10,183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980</w:t>
            </w:r>
          </w:p>
        </w:tc>
        <w:tc>
          <w:tcPr>
            <w:tcW w:w="4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190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Operating expenses:</w:t>
            </w:r>
          </w:p>
        </w:tc>
        <w:tc>
          <w:tcPr>
            <w:tcW w:w="8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90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Research and development</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9,676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5,799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32,407</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15,765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16,642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106</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190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Selling, general and administrative</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14,321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8,775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40,207</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14,538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25,669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177</w:t>
            </w:r>
          </w:p>
        </w:tc>
        <w:tc>
          <w:tcPr>
            <w:tcW w:w="4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190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Selling, general and administrative - related party</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455</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90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Depreciation and amortization</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1,011</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4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90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Transaction costs</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12,043</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11,880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operating expenses</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24,361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11,673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12,688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86,123</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31,154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54,969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8"/>
        </w:rPr>
        <w:t>*</w:t>
      </w:r>
      <w:r>
        <w:rPr>
          <w:rFonts w:ascii="Times New Roman" w:hAnsi="Times New Roman"/>
          <w:color w:val="000000"/>
          <w:sz w:val="20"/>
        </w:rPr>
        <w:t xml:space="preserve"> </w:t>
      </w:r>
      <w:r>
        <w:rPr>
          <w:rFonts w:ascii="Times New Roman" w:hAnsi="Times New Roman"/>
          <w:color w:val="000000"/>
          <w:sz w:val="18"/>
        </w:rPr>
        <w:t>Not material</w:t>
      </w:r>
    </w:p>
    <w:p>
      <w:pPr>
        <w:pStyle w:val="TextBody"/>
        <w:bidi w:val="0"/>
        <w:jc w:val="both"/>
        <w:rPr>
          <w:rFonts w:ascii="Times New Roman" w:hAnsi="Times New Roman"/>
          <w:color w:val="000000"/>
          <w:sz w:val="18"/>
        </w:rPr>
      </w:pPr>
      <w:r>
        <w:rPr>
          <w:rFonts w:ascii="Times New Roman" w:hAnsi="Times New Roman"/>
          <w:color w:val="000000"/>
          <w:sz w:val="18"/>
        </w:rPr>
        <w:t>** Not meaningful</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Cost of Revenue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For the three months ended September 30, 2025, cost of revenue increased by $9.6 million, or 2,020%, to $10.1 million, compared to $0.5 million for the three months ended September 30, 2024. The increase was primarily driven by higher hardware costs required to fulfil sales contracts during the current period.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nine months ended September 30, 2025, cost of revenue increased by $10.2 million, or 980%, to $11.2 million, compared to $1.0 million for the nine months ended September 30, 2024. The increase was primarily driven by higher hardware costs required to fulfil sales contracts during the current period.</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R&amp;D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three months ended September 30, 2025, R&amp;D expense increased by $3.9 million, or 67%, to $9.7 million, compared to $5.8 million for the three months ended September 30, 2024. The increase was primarily due to higher stock-based compensation expenses allocated to R&amp;D and the acquisition of third-party intellectual property for new chip development.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nine months ended September 30, 2025, R&amp;D expense increased by $16.6 million, or 106%, to $32.4 million, compared to $15.8 million for the nine months ended September 30, 2024. The increase was primarily due to higher stock-based compensation expenses allocated to R&amp;D and the acquisition of third-party intellectual property for new chip development.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increases in R&amp;D expenses described above are expected to continue as we support the development of our next generation of products.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SG&amp;A</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three months ended September 30, 2025, SG&amp;A expense increased by $8.8 million, or 158%, to $14.3 million compared to $5.5 million for the three months ended September 30, 2024. This increase was primarily due to stock-based compensation expense, which is the largest component of payroll expense, which is, in turn, the largest component of SG&amp;A.</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nine months ended September 30, 2025, SG&amp;A expense increased by $25.7 million, or 177%, reaching $40.2 million, up from $14.5 million for the nine months ended September 30, 2024. This increase was primarily due to stock-based compensation expense, which is the largest component of payroll expense, which is, in turn, the largest component of SG&amp;A.</w:t>
      </w:r>
    </w:p>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Other Expense, net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table sets forth the details of our total other expense, net, for the three and nine months ended September 30, 2025 and 2024: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472"/>
        <w:gridCol w:w="204"/>
        <w:gridCol w:w="596"/>
        <w:gridCol w:w="173"/>
        <w:gridCol w:w="152"/>
        <w:gridCol w:w="204"/>
        <w:gridCol w:w="690"/>
        <w:gridCol w:w="166"/>
        <w:gridCol w:w="196"/>
        <w:gridCol w:w="601"/>
        <w:gridCol w:w="166"/>
        <w:gridCol w:w="146"/>
        <w:gridCol w:w="146"/>
        <w:gridCol w:w="436"/>
        <w:gridCol w:w="247"/>
        <w:gridCol w:w="201"/>
        <w:gridCol w:w="770"/>
        <w:gridCol w:w="170"/>
        <w:gridCol w:w="149"/>
        <w:gridCol w:w="201"/>
        <w:gridCol w:w="678"/>
        <w:gridCol w:w="166"/>
        <w:gridCol w:w="196"/>
        <w:gridCol w:w="751"/>
        <w:gridCol w:w="166"/>
        <w:gridCol w:w="146"/>
        <w:gridCol w:w="146"/>
        <w:gridCol w:w="376"/>
        <w:gridCol w:w="494"/>
      </w:tblGrid>
      <w:tr>
        <w:trPr/>
        <w:tc>
          <w:tcPr>
            <w:tcW w:w="147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14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(Amounts in thousands, except for percentages)</w:t>
            </w:r>
          </w:p>
        </w:tc>
        <w:tc>
          <w:tcPr>
            <w:tcW w:w="8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14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Debt financing charge on convertible notes</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4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Gain (loss) on foreign exchange</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(88</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(384</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(154</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148</w:t>
            </w:r>
          </w:p>
        </w:tc>
        <w:tc>
          <w:tcPr>
            <w:tcW w:w="4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14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Change in fair value of convertible notes</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(15,398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15,398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(165,703</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(25,921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(139,782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539</w:t>
            </w:r>
          </w:p>
        </w:tc>
        <w:tc>
          <w:tcPr>
            <w:tcW w:w="4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14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Change in fair value of warrants</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(60,345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(61,600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4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4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Change in fair value of other earnout shares</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(3,798</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105,463</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105,463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4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Change in fair value of unissued shares of common stock</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(244</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4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4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Change in fair value of committed equity facility</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4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Other, net</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241</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(81</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149</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(91</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4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other expense, net</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(3,652</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(14,184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10,532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(120,897</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(23,515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(97,382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 Not meaningful</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“other expense, net” for the three and nine months ended September 20, 2025 compared to the three and nine months ended September 30, 2024 was driven by the fair value changes in the different financial instruments in place during each period. In the first quarter of 2025, as a result of the Merger, the convertible notes, convertible preferred stock, and warrants were all converted into shares of our common stock. These instruments were, therefore, only outstanding fully during the comparative period for 2024.</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After the Merger, the earnout awards issued to Burkhan that were classified as a derivative liability, and the derivative asset (fair value of the initial put option) and liability (forward contracts at each date of purchase of common stock by B. Riley) associated with the Committed Equity Facility were recorded, and subsequently marked to market at the end of each quarterly period. “Other, net” includes fines and penalties as well as the Committed Equity Facility transaction fees.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Non-GAAP Measures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conjunction with net loss calculated in accordance with accounting principles generally accepted in the U.S. (“GAAP”), we also use EBITDA and Adjusted EBITDA to evaluate our ongoing operations and for internal planning and forecasting purposes. Non-GAAP financial information is presented for supplemental informational purposes only, should not be considered in isolation or as a substitute for financial information presented in accordance with GAAP, and may be different from similarly-titled non-GAAP measures used by other companies. We believe that along with our GAAP financial information, our non-GAAP financial information when taken collectively and evaluated appropriately, is helpful to investors in assessing our operating performance.</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EBITDA and Adjusted EBITDA</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EBITDA is defined as “Earnings before interest, income taxes, depreciation, and amortization”. Adjusted EBITDA is defined as EBITDA adjusted for certain unusual and other significant items and removes the volatility associated with non-cash items such as stock-based compensation, changes in fair value, and operational income and expenses that are not expected to be ongoing, as discussed below in the footnote to “other adjustments”.</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sets forth a reconciliation of net loss to EBITDA and Adjusted EBITDA for the three and nine months ended September 30, 2025 and 2024:</w:t>
      </w:r>
    </w:p>
    <w:p>
      <w:pPr>
        <w:pStyle w:val="TextBody"/>
        <w:bidi w:val="0"/>
        <w:jc w:val="both"/>
        <w:rPr/>
      </w:pPr>
      <w:r>
        <w:rPr/>
        <w:t> </w:t>
      </w:r>
    </w:p>
    <w:tbl>
      <w:tblPr>
        <w:tblW w:w="10284" w:type="dxa"/>
        <w:jc w:val="left"/>
        <w:tblInd w:w="0" w:type="dxa"/>
        <w:tblLayout w:type="fixed"/>
        <w:tblCellMar>
          <w:top w:w="28" w:type="dxa"/>
          <w:left w:w="28" w:type="dxa"/>
          <w:bottom w:w="28" w:type="dxa"/>
          <w:right w:w="28" w:type="dxa"/>
        </w:tblCellMar>
      </w:tblPr>
      <w:tblGrid>
        <w:gridCol w:w="1281"/>
        <w:gridCol w:w="196"/>
        <w:gridCol w:w="661"/>
        <w:gridCol w:w="166"/>
        <w:gridCol w:w="146"/>
        <w:gridCol w:w="196"/>
        <w:gridCol w:w="661"/>
        <w:gridCol w:w="166"/>
        <w:gridCol w:w="196"/>
        <w:gridCol w:w="661"/>
        <w:gridCol w:w="166"/>
        <w:gridCol w:w="146"/>
        <w:gridCol w:w="146"/>
        <w:gridCol w:w="571"/>
        <w:gridCol w:w="241"/>
        <w:gridCol w:w="196"/>
        <w:gridCol w:w="751"/>
        <w:gridCol w:w="166"/>
        <w:gridCol w:w="146"/>
        <w:gridCol w:w="196"/>
        <w:gridCol w:w="661"/>
        <w:gridCol w:w="166"/>
        <w:gridCol w:w="196"/>
        <w:gridCol w:w="751"/>
        <w:gridCol w:w="166"/>
        <w:gridCol w:w="146"/>
        <w:gridCol w:w="146"/>
        <w:gridCol w:w="511"/>
        <w:gridCol w:w="486"/>
      </w:tblGrid>
      <w:tr>
        <w:trPr/>
        <w:tc>
          <w:tcPr>
            <w:tcW w:w="12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Change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Nine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Change</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3"/>
              </w:rPr>
            </w:pPr>
            <w:r>
              <w:rPr>
                <w:rFonts w:ascii="Times New Roman" w:hAnsi="Times New Roman"/>
                <w:i/>
                <w:color w:val="000000"/>
                <w:sz w:val="13"/>
              </w:rPr>
              <w:t>(Amounts in thousands)</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loss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(26,258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(25,607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(203,608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(54,503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(149,105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274</w:t>
            </w:r>
          </w:p>
        </w:tc>
        <w:tc>
          <w:tcPr>
            <w:tcW w:w="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Depreciation and amortization</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w:t>
            </w:r>
          </w:p>
        </w:tc>
        <w:tc>
          <w:tcPr>
            <w:tcW w:w="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Provision for income taxes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w:t>
            </w:r>
          </w:p>
        </w:tc>
        <w:tc>
          <w:tcPr>
            <w:tcW w:w="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Interest income, net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EBITDA</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(26,566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(26,574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(203,781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(55,144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(148,637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270</w:t>
            </w:r>
          </w:p>
        </w:tc>
        <w:tc>
          <w:tcPr>
            <w:tcW w:w="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Stock-based compensation</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9,486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2,542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28,092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27,050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2,596</w:t>
            </w:r>
          </w:p>
        </w:tc>
        <w:tc>
          <w:tcPr>
            <w:tcW w:w="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Fair value changes and financing charges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15,488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(11,064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121,511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25,130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96,381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384</w:t>
            </w:r>
          </w:p>
        </w:tc>
        <w:tc>
          <w:tcPr>
            <w:tcW w:w="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Transaction costs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12,043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11,880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7,288</w:t>
            </w:r>
          </w:p>
        </w:tc>
        <w:tc>
          <w:tcPr>
            <w:tcW w:w="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Non-cash inventory cost realignment adjustments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(466</w:t>
            </w:r>
          </w:p>
        </w:tc>
        <w:tc>
          <w:tcPr>
            <w:tcW w:w="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7"/>
              </w:rPr>
            </w:pPr>
            <w:r>
              <w:rPr>
                <w:rFonts w:ascii="Times New Roman" w:hAnsi="Times New Roman"/>
                <w:color w:val="000000"/>
                <w:sz w:val="17"/>
              </w:rPr>
              <w:t>Other adjustments</w:t>
            </w:r>
            <w:r>
              <w:rPr>
                <w:rFonts w:ascii="Times New Roman" w:hAnsi="Times New Roman"/>
                <w:color w:val="000000"/>
                <w:sz w:val="11"/>
              </w:rPr>
              <w:t>(1)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(5,419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5,080</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Adjusted EBITDA</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(11,066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(10,478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(39,372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(28,564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(10,808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2"/>
        </w:rPr>
        <w:t xml:space="preserve">(1) </w:t>
      </w:r>
      <w:r>
        <w:rPr>
          <w:rFonts w:ascii="Times New Roman" w:hAnsi="Times New Roman"/>
          <w:color w:val="000000"/>
          <w:sz w:val="20"/>
        </w:rPr>
        <w:t>“</w:t>
      </w:r>
      <w:r>
        <w:rPr>
          <w:rFonts w:ascii="Times New Roman" w:hAnsi="Times New Roman"/>
          <w:color w:val="000000"/>
          <w:sz w:val="18"/>
        </w:rPr>
        <w:t>Other adjustments” includes, but is not limited to, other non-cash expenses, including foreign exchange gains and losses, and unusual or non-recurring expenses, including litigation expenses, financing advisory fees, and fines and penalties. We believe that these expenses are not reflective of our ongoing operating performance and excluding these costs provides a more meaningful comparison of our results of operations over comparative periods.</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Our primary sources of cash flows have historically been from financing activities. We expect our primary sources of liquidity to continue to be cash flows from financing activities, as our expenses continue to exceed our revenues, and therefore, we cannot satisfy our cash needs through operations. We intend to raise such capital through issuances of additional equity and/or debt. As discussed below, our liquidity condition raises substantial doubt about our ability to continue as a going concern through a year from the issuance date of our unaudited condensed consolidated financial statements, as we cannot expect that the sources of financing currently available to us will be sufficient to fund our ongoing cash requirements for at least the next twelve months and/or into the foreseeable future.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Going Concern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condensed consolidated financial statements accompanying this Quarterly Report on Form 10-Q have been prepared on a “going concern” basis, which assumes that we will be able to meet our obligations and continue our operations for the foreseeable future. Our condensed consolidated financial statements do not include any adjustments to reflect the possible future effects on the recoverability and classification of assets or the amounts and classifications of liabilities that may result should we be unable to continue as a going concern.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ability to continue to meet our obligations, to achieve our business objectives and continue as a going concern is dependent upon several factors, including our revenue growth rate, the timing and extent of spending to support further sales and marketing initiatives, as well as our research and development efforts. In order to continue to finance our operations, we will need to raise additional financing.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a result of the above considerations, we have determined that our liquidity condition raises substantial doubt about our ability to continue as a going concern through a year from the date of issuance of our unaudited condensed consolidated financial statements.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Commitments to Issue Shares of Our Common Stock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September 30, 2025, we have commitments to issue 29,318,739 shares of common stock to employees and others under stock option awards, and an additional 10,764,848 shares of our common stock under employee and other RSU awards. We have further reserved 3,047,669 shares of our common stock under an employee stock purchase plan, which has not yet commenced.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Additionally, we have commitments in respect of the Earnout Shares to issue up to 15,000,000 shares of our common stock, primarily to Legacy Blaize shareholders and also to then-outstanding Legacy Blaize employee equity award holders and 2,600,000 shares of our common stock to Burkhan, subject to our share price achieving certain thresholds over a period of time. These Earnout Shares are dependent upon, among other things, changes in the closing share price of our common stock, the expected timing of settlement, and the probability of achieving certain triggering events.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Further, we have a total of 29,698,250 warrants to purchase shares of our common stock outstanding, exercisable at $11.50 per share, expiring at various dates within the first quarter of 2030.</w:t>
      </w:r>
    </w:p>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have a Sales Partner Referral Agreement with an affiliate that allows for shares of our common stock to be issued to that affiliate in respect of a sales commission. Cash or shares of stock for commission payments are to be released upon our receipt of cash on the sales made under the Sales Partner Referral Agreement. To date, sales have been made to another related party, an affiliate of the sales partner, but no payments have been made on amounts due to us, and therefore, no cash or shares of stock relating to the sales commission have been released.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also have commitments to issue shares of our common stock under the Committed Equity Facility and Polar Private Placement, as further described below.</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Currently Available Financing Facilities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July 14, 2025, we entered into a Committed Equity Facility with B. Riley. Pursuant to the Committed Equity Facility, we have the right, but not the obligation, to sell to B. Riley up to an aggregate of $50.0 million of newly issued shares of our common stock, subject to certain conditions and limitations. As of September 30, 2025, we had settled 5,673,734 shares of our common stock, sold to B. Riley for net proceeds of $20.0 million.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Subsequent to September 30, 2025, we settled additional shares of newly-issued common stock, sold to B. Riley under this agreement, and as of October 17, 2025, the most recent date of such a sale, we had settled a total of 8,410,321 shares of our common stock, sold to B. Riley under the Committed Equity Facility, for net proceeds of $33.4 million.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November 10, 2025, Blaize and Polar entered into the Polar Private Placement. Pursuant to the Polar Private Placement, we agreed to the direct sale of 9,375,000 shares of our common stock at a purchase price of $3.20 per share and the issuance of 9,375,000 warrants to purchase additional shares of our common stock, resulting in aggregate gross proceeds of approximately $30.0 million, before deducting offering expenses. The warrants have a term of five years and are immediately exercisable, with an exercise price of $5.00 per share. We intend to use the net proceeds from the Polar Private Placement for general corporate and working capital purposes.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Previously Utilized Financing Facilities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Prior to the Merger, and for the year ended December 31, 2024, certain agreements were in place which provided us with funding. Upon the consummation of the Merger, these agreements all converted to equity (shares of our common stock or warrants to purchase our common stock).</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Cash Flows for the Nine Months Ended September 30, 2025 and 2024</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summarizes our cash flows from operating, investing, and financing activities:</w:t>
      </w:r>
    </w:p>
    <w:p>
      <w:pPr>
        <w:pStyle w:val="TextBody"/>
        <w:bidi w:val="0"/>
        <w:jc w:val="both"/>
        <w:rPr/>
      </w:pPr>
      <w:r>
        <w:rPr/>
        <w:t> </w:t>
      </w:r>
    </w:p>
    <w:tbl>
      <w:tblPr>
        <w:tblW w:w="7501" w:type="dxa"/>
        <w:jc w:val="left"/>
        <w:tblInd w:w="0" w:type="dxa"/>
        <w:tblLayout w:type="fixed"/>
        <w:tblCellMar>
          <w:top w:w="28" w:type="dxa"/>
          <w:left w:w="28" w:type="dxa"/>
          <w:bottom w:w="28" w:type="dxa"/>
          <w:right w:w="28" w:type="dxa"/>
        </w:tblCellMar>
      </w:tblPr>
      <w:tblGrid>
        <w:gridCol w:w="4351"/>
        <w:gridCol w:w="146"/>
        <w:gridCol w:w="243"/>
        <w:gridCol w:w="848"/>
        <w:gridCol w:w="191"/>
        <w:gridCol w:w="168"/>
        <w:gridCol w:w="243"/>
        <w:gridCol w:w="900"/>
        <w:gridCol w:w="411"/>
      </w:tblGrid>
      <w:tr>
        <w:trPr/>
        <w:tc>
          <w:tcPr>
            <w:tcW w:w="4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(Amounts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(57,290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(35,788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31,773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102,380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(26,224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65,427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Cash Flows used in Operating Activities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Net cash used in operating activities was $57.3 million for the nine months ended September 30, 2025, compared to $35.8 million for the nine months ended September 30, 2024. The increase in cash used in operating activities was primarily due to an increase of $149.1 million in net loss, partially offset by an increase in adjustments to reconcile net loss to net cash used in operating expenses of $122.0 million and an increase in changes in operating assets and liabilities of $5.6 million.</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Cash Flows used in Investing Activities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nine months ended September 30, 2025 and 2024, we used $0.7 million and $1.2 million, respectively, of cash to purchase property and equipment.</w:t>
      </w:r>
    </w:p>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Cash Flows provided by Financing Activities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nine months ended September 30, 2025, net cash provided by financing activities was $31.8 million, which primarily consisted of $20.0 million of proceeds from the Committed Equity Facility and $15.9 million of proceeds from the Merger and PIPE financing, partially offset by the $4.3 million payment of deferred offering costs. Net cash provided by financing activities for the nine months ended September 30, 2024 of $102.4 million primarily consisted of $110.7 million in proceeds from the issuance of secured convertible notes under the 2023 Note Purchase Agreement, partially offset by the payment of demand notes of $4.8 million and deferred offering costs of $3.7 million.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Material Cash Requirements and Cash Availability</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Material cash requirements generally include the near-term general corporate expenses of the business, such as employee payroll and consulting fees. Additionally, as of September 30, 2025 and December 31, 2024, we had outstanding purchase orders and contractual obligations totaling $0.5 million and $0.2 million, respectively, to procure inventory.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September 30, 2025, we had cash and cash equivalents on hand of $24.0 million, and we had $30.0 million remaining available to draw on the Committed Equity Facility.</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Emerging Growth Company and Smaller Reporting Company Status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are an emerging growth company (“EGC”) as defined in the JOBS Act. The JOBS Act permits companies with EGC status to take advantage of an extended transition period to comply with new or revised accounting standards, delaying the adoption of these accounting standards until they apply to private companies. We have elected to use this extended transition period to enable us to comply with new or revised accounting standards that have different effective dates for public and private companies until the earlier of the date we are (i) is no longer an emerging growth company or (ii) affirmatively and irrevocably opts out of the extended transition period provided in the JOBS Act. As a result, our consolidated financial statements may not be comparable to companies that comply with the new or revised accounting standards as of public company effective dates.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addition, we intend to rely on the other exemptions and reduced reporting requirements provided by the JOBS Act. Subject to certain conditions set forth in the JOBS Act, if, as an EGC, we intend to rely on such exemptions, it is not required to, among other things: (i) provide an auditor’s attestation report on our system of internal controls over financial reporting pursuant to Section 404(b) of the Sarbanes-Oxley Act; (ii) provide all of the compensation disclosure that may be required of non-emerging growth public companies under the Dodd-Frank Wall Street Reform and Consumer Protection Act; (iii) comply with any requirement that may be adopted by the Public Company Accounting Oversight Board regarding mandatory audit firm rotation or a supplement to the auditor’s report providing additional information about the audit and the consolidated financial statements (auditor discussion and analysis); and (iv) disclose certain executive compensation-related items such as the correlation between executive compensation and performance and comparisons of the Chief Executive Officer’s compensation to median employee compensation.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will remain an EGC under the JOBS Act until the earliest of (i) December 31, 2026, which is the last day of our first fiscal year following the fifth anniversary of the closing of BurTech’s initial public offering, (ii) the last date of our fiscal year in which we have total annual gross revenue of at least $1.235 billion, (iii) the date on which we are deemed to be a “large accelerated filer” under the rules of the SEC with at least $700.0 million of outstanding securities held by non-affiliates or (iv) the date on which we have issued more than $1.0 billion in non-convertible debt securities during the previous three years.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have also elected to avail ourselves of smaller reporting company (“SRC”) status, which is currently available to us as our annual revenues are less than $100.0 million, while at the same time, our public float is less than $700.0 million. Should our annual revenues exceed $100.0 million, then we may continue to elect SRC status if our public float is less than $250.0 million. Annual revenues are determined with reference to our full year revenues as reported on Form 10-K each year, and public float is determined annually at a measurement date of June 30 of each year by multiplying the number of shares of common stock held by non-affiliates by the closing share price of our common stock on June 30 of that year. SRC status allows us, but does not require us, to provide scaled disclosures in our annual reports on Form 10-K and our quarterly reports on Form 10-Q.</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public float and revenue calculations described above also determine our status as an accelerated or non-accelerated filer. Currently, as our revenues are less than $100.0 million, we are a non-accelerated filer, and as long as we are a non-accelerated filer (as determined each year on June 30 as described above) we are not required to provide an auditor’s attestation report on our system of internal controls over financial reporting pursuant to Section 404(b) of the Sarbanes-Oxley Act. Should our revenues exceed $100.0 million and should our public float continue to be in excess of $75.0 million, we would then become an accelerated filer, commencing with our next Annual Report on Form 10-K.</w:t>
      </w:r>
    </w:p>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Critical Accounting Estimates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preparation of financial statements in conformity with GAAP requires us to make estimates and assumptions that affect the reported amounts of assets and liabilities at the date of the condensed consolidated financial statements and the reported amounts of revenues and expenses during the reported periods. Actual results could differ from those estimates. We expect quarter-to-quarter GAAP earnings volatility from our business activities.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critical accounting estimates include estimates related to accounting for the Merger and reverse recapitalization, income taxes, revenue, the net realizable value of inventories, the liability or equity classification and/or valuation of financial instruments, which may be complex financial instruments. Our financial instruments subject to valuation other than a Level 1 valuation technique currently include the Committed Equity Facility, earnout shares, and the valuation of stock-based compensation awards subject to market conditions, and historically included the pre-Merger convertible notes, pre-Merger warrants, and pre-Merger stock-based compensation awards. These estimates and assumptions are based on historical experience and on various other factors which we believe to be reasonable under the circumstances. We engage third-party valuation specialists to assist with estimates related to the valuation of derivative assets or liabilities arising from complex financial instruments.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Management discusses the ongoing development and selection of these critical accounting policies and estimates with the Audit Committee of our Board of Directors.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Refer to Note 2 of the Notes to the Condensed Consolidated Financial Statements in Part I, Item 1 of this Quarterly Report on Form 10-Q for a summary of significant accounting policies.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Merger and Reverse Recapitalization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consolidated financial statements reflect the consummation of the Merger and other transactions contemplated by the Merger Agreement (altogether with the Merger, the “Business Combination”), which was accounted for as a reverse recapitalization in accordance with U.S. GAAP. The accounting for the Business Combination required management to make significant estimates and judgments, particularly in identifying the accounting acquirer, determining the fair value of instruments issued, and evaluating the classification of certain financial instruments.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Under the guidance in ASC 805, </w:t>
      </w:r>
      <w:r>
        <w:rPr>
          <w:rFonts w:ascii="Times New Roman" w:hAnsi="Times New Roman"/>
          <w:i/>
          <w:color w:val="000000"/>
          <w:sz w:val="20"/>
        </w:rPr>
        <w:t>Business Combinations</w:t>
      </w:r>
      <w:r>
        <w:rPr>
          <w:rFonts w:ascii="Times New Roman" w:hAnsi="Times New Roman"/>
          <w:color w:val="000000"/>
          <w:sz w:val="20"/>
        </w:rPr>
        <w:t>, the determination of the accounting acquirer required management to consider a variety of factors, including the relative voting rights of the pre-combination shareholders, the composition of the board of directors and senior management of the combined entity, and the intended purpose and substance of the transaction. After considering this guidance, the merger was accounted for as a reverse recapitalization, with no goodwill or intangible assets recognized. The net assets of the combined entity are stated at historical cost, and the shares and per-share information presented in the consolidated financial statements were retroactively adjusted to reflect the exchange ratio established in the merger agreement.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In addition, management evaluated the appropriate classification of certain financial instruments such as contingent earnout liabilities under ASC 480, </w:t>
      </w:r>
      <w:r>
        <w:rPr>
          <w:rFonts w:ascii="Times New Roman" w:hAnsi="Times New Roman"/>
          <w:i/>
          <w:color w:val="000000"/>
          <w:sz w:val="20"/>
        </w:rPr>
        <w:t>Distinguishing Liabilities from Equity</w:t>
      </w:r>
      <w:r>
        <w:rPr>
          <w:rFonts w:ascii="Times New Roman" w:hAnsi="Times New Roman"/>
          <w:color w:val="000000"/>
          <w:sz w:val="20"/>
        </w:rPr>
        <w:t xml:space="preserve">, and ASC 815, </w:t>
      </w:r>
      <w:r>
        <w:rPr>
          <w:rFonts w:ascii="Times New Roman" w:hAnsi="Times New Roman"/>
          <w:i/>
          <w:color w:val="000000"/>
          <w:sz w:val="20"/>
        </w:rPr>
        <w:t>Derivatives and Hedging</w:t>
      </w:r>
      <w:r>
        <w:rPr>
          <w:rFonts w:ascii="Times New Roman" w:hAnsi="Times New Roman"/>
          <w:color w:val="000000"/>
          <w:sz w:val="20"/>
        </w:rPr>
        <w:t>. This assessment required complex analysis of contractual terms and applicable accounting guidance to determine whether instruments should be recorded as equity or liability-classified. Liability-classified instruments are subsequently remeasured at fair value each reporting period end, with changes recognized in earnings, which may result in significant volatility in our results of operations.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Because the accounting for the merger and reverse recapitalization involved estimates that relied on management’s assumptions regarding market conditions, valuation methodologies, and the interpretation of complex contractual terms, it represents a critical accounting estimate.</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Income Taxes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deferred tax asset balance is currently subject to a full valuation allowance. In evaluating the need for a valuation allowance, management considers both positive and negative evidence, including historical operating results, forecasts of future taxable income, the reversal of existing temporary differences, tax planning strategies, and the length of carryforward periods. The weight given to each piece of evidence depends on the extent to which it can be objectively verified. The most significant factor in this assessment is management’s projection of future taxable income, which inherently involves estimates and assumptions regarding future business performance, market conditions, and other factors that may affect profitability. Should actual results differ materially from our estimates of future taxable income, or should there be a change in the weighting of available evidence, our conclusion regarding the need for, or amount of, a valuation allowance could change significantly in future periods.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While accounting for income taxes involves several areas of judgment, the valuation allowance represents the most significant estimate subject to material variability in future periods. Management reviews the realizability of deferred tax assets at each reporting date and adjusts the valuation allowance as appropriate based on updated information and revised forecasts.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Revenue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We must make significant estimates and assumptions as we follow the revenue accounting model of ASC 606, </w:t>
      </w:r>
      <w:r>
        <w:rPr>
          <w:rFonts w:ascii="Times New Roman" w:hAnsi="Times New Roman"/>
          <w:i/>
          <w:color w:val="000000"/>
          <w:sz w:val="20"/>
        </w:rPr>
        <w:t>Revenue from Contracts with Customers</w:t>
      </w:r>
      <w:r>
        <w:rPr>
          <w:rFonts w:ascii="Times New Roman" w:hAnsi="Times New Roman"/>
          <w:color w:val="000000"/>
          <w:sz w:val="20"/>
        </w:rPr>
        <w:t>, to (i) identify the contract(s) with a customer; (ii) identify the performance obligations in the contract; (iii) determine the transaction price; (iv) allocate the transaction price to the performance obligations in the contract; and (v) recognize revenue when (or as) we satisfy a performance obligation.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contracts may contain more than one performance obligation. Judgment is required in determining whether each performance obligation within a customer contract is distinct. Most of the products and services function on a standalone basis and do not require a significant amount of integration or interdependency. Therefore, multiple performance obligations contained within a customer contract are considered distinct and are not combined for revenue recognition purposes. We allocate the total transaction price to each distinct performance obligation in an arrangement with multiple performance obligations on a relative standalone selling price basis. In certain cases, we can establish standalone selling price based on directly observable prices of products or services sold separately in comparable circumstances to similar customers. If standalone selling price is not directly observable, such as when we do not sell a product or service separately, we determine standalone selling price based on market data and other observable inputs.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Net Realizable Value of Inventories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determination of the net realizable value (“NRV”) of inventory is a critical accounting estimate that requires management judgment. Inventories are stated at the lower of cost or NRV. Cost is determined using the first-in, first out method. NRV represents the estimated selling price in the ordinary course of business, less reasonably predictable costs of completion, disposal, and transportation.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Management regularly reviews inventory quantities on hand and compares these amounts to forecasted demand, historical usage, and market conditions to identify excess, slow-moving, obsolete, or otherwise impaired items. When indicators are present that the cost of the inventory exceeds its NRV, we record a write-down. These estimates inherently involve significant judgment, particularly in assessing future demand and technological changes.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Changes in assumptions or market conditions could materially affect the carrying value of our inventory. Once recorded, write-downs to NRV establish a new cost basis and are not subsequently reversed.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Management believes the assumptions and methodologies used in estimating NRV are reasonable and consistent with industry practice; however, actual results may differ materially from these estimates, which could have a significant impact on our results of operations and financial condition.</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Classification of Complex Financial Instruments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Our financial statements include various instruments with characteristics of both debt and equity, currently including the Committed Equity Facility, earnout shares, and warrants trading under the ticker symbol “BZAIW”, and historically have included convertible notes, redeemable preferred stock, and legacy warrants. The determination of whether these instruments should be classified as liabilities or equity requires significant judgment and the application of complex accounting guidance under ASC 480, </w:t>
      </w:r>
      <w:r>
        <w:rPr>
          <w:rFonts w:ascii="Times New Roman" w:hAnsi="Times New Roman"/>
          <w:i/>
          <w:color w:val="000000"/>
          <w:sz w:val="20"/>
        </w:rPr>
        <w:t>Distinguishing Liabilities from Equity</w:t>
      </w:r>
      <w:r>
        <w:rPr>
          <w:rFonts w:ascii="Times New Roman" w:hAnsi="Times New Roman"/>
          <w:color w:val="000000"/>
          <w:sz w:val="20"/>
        </w:rPr>
        <w:t xml:space="preserve">, and ASC 815, </w:t>
      </w:r>
      <w:r>
        <w:rPr>
          <w:rFonts w:ascii="Times New Roman" w:hAnsi="Times New Roman"/>
          <w:i/>
          <w:color w:val="000000"/>
          <w:sz w:val="20"/>
        </w:rPr>
        <w:t>Derivatives and Hedging</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Management evaluates the specific terms and features of each instrument, including redemption provisions, conversion features, participation rights, and contingencies that could require cash settlement. Instruments that contain certain cash settlement features are generally classified as liabilities and recorded at fair value, with changes in fair value recognized through earnings. Instruments that are not mandatorily redeemable for cash and that meet the criteria for equity classification are recorded in equity.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Determining the appropriate classification requires assessing the likelihood and timing of redemption or conversion events, evaluating embedded derivative features where an instrument embedded in a contract is issued for nominal or no apparent consideration, along with the essential characteristics inherent in a derivative instrument of a notional amount, an underlying security, and a mechanism for net settlement, and estimating fair values where bifurcation is required. These assessments rely on market-based assumptions, volatility estimates, discount rates, and, in certain cases, management’s expectations regarding future financing and settlement outcomes. Because these judgments involve estimates that are inherently uncertain, subsequent changes in facts or circumstances could materially impact the classification and measurement of these instruments.</w:t>
      </w:r>
    </w:p>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Valuation of Financial Instruments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Valuation of any financial instrument depends on the underlying characteristics of the instrument, which generally dictate the valuation model to be used. Currently outstanding instruments subject to valuation include the Committed Equity Facility, the earnout shares, and stock options. Previously outstanding instruments subject to valuation have included convertible notes and previously outstanding warrants.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fair value of the put option embedded in the Committed Equity Facility at its inception was determined using a Monte Carlo simulation model. This methodology captures the probabilistic nature of mechanisms for our future exercise of the instrument, share price volatility, and contractual constraints, providing a reasonable estimate of the put option’s expected economic benefit over its remaining term. Monte Carlo simulation is a numerical method used to estimate the value of uncertain outcomes by repeatedly generating random variables to mimic the behavior of a stochastic (i.e., random) process. Over time, the fair value of this put option will revert to zero, as the Committed Equity Facility is either fully utilized or expired.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fair value of the forward contract embedded in the Committed Equity Facility at each point of issuance of our common stock to B. Riley is the difference between a volume-weighted average purchase price and the settlement date closing share price of our common stock. The embedded derivative of the forward contract does not involve a complex valuation model.</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earnout shares have been valued using a Monte Carlo simulation model, as described above.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fair value of stock options granted is determined using the Black-Scholes-Merton (“Black-Scholes”) option pricing model using various inputs, including management’s estimates of expected share price volatility, term, risk-free rate and future dividends. We have elected the simplified method to determine the expected term of the option grants.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previous issue of legacy warrants was recorded at estimated fair value calculated using the Black-Scholes option pricing model as described above; wherein, depending on the terms of the legacy warrants, certain parameters within the Black-Scholes option pricing model were required to be determined using a Monte Carlo simulation model, as described above.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previous issue of convertible notes was valued at an assumed market price, and did not involve a complex valuation model.</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value of our pre-Merger stock-based compensation awards was determined based on the estimated fair value of shares of common stock at the date of grant, as determined by the Board of Directors, and did not involve a complex valuation model.</w:t>
      </w:r>
    </w:p>
    <w:p>
      <w:pPr>
        <w:pStyle w:val="TextBody"/>
        <w:bidi w:val="0"/>
        <w:jc w:val="left"/>
        <w:rPr/>
      </w:pPr>
      <w:r>
        <w:rPr/>
        <w:t> </w:t>
      </w:r>
    </w:p>
    <w:p>
      <w:pPr>
        <w:pStyle w:val="TextBody"/>
        <w:bidi w:val="0"/>
        <w:jc w:val="both"/>
        <w:rPr>
          <w:rFonts w:ascii="Times New Roman" w:hAnsi="Times New Roman"/>
          <w:b/>
          <w:color w:val="000000"/>
          <w:sz w:val="20"/>
        </w:rPr>
      </w:pPr>
      <w:bookmarkStart w:id="10" w:name="item3"/>
      <w:bookmarkEnd w:id="10"/>
      <w:r>
        <w:rPr>
          <w:rFonts w:ascii="Times New Roman" w:hAnsi="Times New Roman"/>
          <w:b/>
          <w:color w:val="000000"/>
          <w:sz w:val="20"/>
        </w:rPr>
        <w:t>Item 3. Quantitative and Qualitative Disclosures About Market Risk.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a smaller reporting company, we are not required to provide this information.</w:t>
      </w:r>
    </w:p>
    <w:p>
      <w:pPr>
        <w:pStyle w:val="TextBody"/>
        <w:bidi w:val="0"/>
        <w:jc w:val="both"/>
        <w:rPr/>
      </w:pPr>
      <w:r>
        <w:rPr/>
        <w:t> </w:t>
      </w:r>
    </w:p>
    <w:p>
      <w:pPr>
        <w:pStyle w:val="TextBody"/>
        <w:bidi w:val="0"/>
        <w:jc w:val="both"/>
        <w:rPr>
          <w:rFonts w:ascii="Times New Roman" w:hAnsi="Times New Roman"/>
          <w:sz w:val="20"/>
        </w:rPr>
      </w:pPr>
      <w:bookmarkStart w:id="11" w:name="item4"/>
      <w:bookmarkEnd w:id="11"/>
      <w:r>
        <w:rPr>
          <w:rFonts w:ascii="Times New Roman" w:hAnsi="Times New Roman"/>
          <w:b/>
          <w:color w:val="000000"/>
          <w:sz w:val="20"/>
        </w:rPr>
        <w:t>Item 4.</w:t>
      </w:r>
      <w:r>
        <w:rPr>
          <w:rFonts w:ascii="Times New Roman" w:hAnsi="Times New Roman"/>
          <w:color w:val="000000"/>
          <w:sz w:val="20"/>
        </w:rPr>
        <w:t xml:space="preserve"> </w:t>
      </w:r>
      <w:r>
        <w:rPr>
          <w:rFonts w:ascii="Times New Roman" w:hAnsi="Times New Roman"/>
          <w:b/>
          <w:color w:val="000000"/>
          <w:sz w:val="20"/>
        </w:rPr>
        <w:t>Controls and Procedures.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maintain disclosure controls and procedures (as defined in Rules 13a-15(e) and 15d-15(e) under the Securities Exchange Act of 1934, as amended (the “Exchange Act”), which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Principal Executive Officer (our Chief Executive Officer) and Principal Financial and Accounting Officer (our Chief Financial Officer), or persons performing similar functions, as appropriate to allow timely decisions regarding required or necessary disclosures. If we are unable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accordance with Exchange Act Rules 13a-15 and 15d-15, an evaluation was completed under the supervision and with the participation of our management, including our Chief Executive Officer and Chief Financial Officer, of the effectiveness of the design and operation of our disclosure controls and procedures as of the end of the period covered by this Quarterly Report. Prior to the Merger, when preparing the financial statements for the years ended December 31, 2024, BurTech Acquisition Corp. (“BurTech”) identified a material weakness, as discussed below, in internal control over financial reporting. As of December 31, 2024, Blaize, Inc. (“Legacy Blaize”) did not identify any material weaknesses in internal control over financial reporting. As of September 30, 2025, the material weaknesses of the combined entity were remediated by the Company. As such, our management, including our Chief Executive Officer and Chief Financial Officer, concluded that our disclosure controls and procedures were effective in providing reasonable assurance that the information required to be disclosed in our reports filed or submitted under the Exchange Act was recorded, processed, summarized, and reported within the time periods specified in the SEC’s rules and forms as of September 30, 2025.</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connection with our ongoing remediation efforts and the continued monitoring and maintenance of our control procedures as part of the implementation of Section 404 of the Sarbanes-Oxley Act of 2002, we continue to review, test, and improve the operation of our internal controls. Other than our remediation of the prior material weakness of the combined company, as referred to above, there have not been any changes in our internal control over financial reporting (as such term is defined in Rules 13a-15(f) and 15d-15(f) under the Exchange Act) that occurred during the nine months ended September 30, 2025, that have materially affected, or are reasonably likely to materially affect, our internal control over financial reporting.</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PART II. OTHER INFORMATION</w:t>
      </w:r>
    </w:p>
    <w:p>
      <w:pPr>
        <w:pStyle w:val="TextBody"/>
        <w:bidi w:val="0"/>
        <w:jc w:val="center"/>
        <w:rPr/>
      </w:pPr>
      <w:r>
        <w:rPr/>
        <w:t> </w:t>
      </w:r>
    </w:p>
    <w:p>
      <w:pPr>
        <w:pStyle w:val="TextBody"/>
        <w:bidi w:val="0"/>
        <w:jc w:val="center"/>
        <w:rPr/>
      </w:pPr>
      <w:r>
        <w:rPr/>
        <w:t> </w:t>
      </w:r>
    </w:p>
    <w:p>
      <w:pPr>
        <w:pStyle w:val="TextBody"/>
        <w:bidi w:val="0"/>
        <w:jc w:val="both"/>
        <w:rPr>
          <w:rFonts w:ascii="Times New Roman" w:hAnsi="Times New Roman"/>
          <w:sz w:val="20"/>
        </w:rPr>
      </w:pPr>
      <w:bookmarkStart w:id="12" w:name="p2item1"/>
      <w:bookmarkEnd w:id="12"/>
      <w:r>
        <w:rPr>
          <w:rFonts w:ascii="Times New Roman" w:hAnsi="Times New Roman"/>
          <w:b/>
          <w:color w:val="000000"/>
          <w:sz w:val="20"/>
        </w:rPr>
        <w:t>Item 1.</w:t>
      </w:r>
      <w:r>
        <w:rPr>
          <w:rFonts w:ascii="Times New Roman" w:hAnsi="Times New Roman"/>
          <w:color w:val="000000"/>
          <w:sz w:val="20"/>
        </w:rPr>
        <w:t xml:space="preserve"> </w:t>
      </w:r>
      <w:r>
        <w:rPr>
          <w:rFonts w:ascii="Times New Roman" w:hAnsi="Times New Roman"/>
          <w:b/>
          <w:color w:val="000000"/>
          <w:sz w:val="20"/>
        </w:rPr>
        <w:t>Legal Proceedings.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From time to time, we may become involved in litigation or other legal proceedings. See Note 15 of the Notes to the Condensed Consolidated Financial Statements in Item 1. Financial Statements (unaudited) of Part I of this Quarterly Report, which is incorporated by reference in this Item 1, for additional information regarding </w:t>
      </w:r>
      <w:r>
        <w:rPr>
          <w:rFonts w:ascii="Times New Roman" w:hAnsi="Times New Roman"/>
          <w:i/>
          <w:color w:val="000000"/>
          <w:sz w:val="20"/>
        </w:rPr>
        <w:t>Jefferies LLC vs. Blaize Holdings, Inc</w:t>
      </w:r>
      <w:r>
        <w:rPr>
          <w:rFonts w:ascii="Times New Roman" w:hAnsi="Times New Roman"/>
          <w:color w:val="000000"/>
          <w:sz w:val="20"/>
        </w:rPr>
        <w:t>. Except as described by the foregoing, we are not currently a party to any litigation or legal proceedings that, in the opinion of our management, may have a material adverse effect on our business. Regardless of outcome, litigation can have an adverse impact on us because of defense and settlement costs, diversion of management resources and other factors.</w:t>
      </w:r>
    </w:p>
    <w:p>
      <w:pPr>
        <w:pStyle w:val="TextBody"/>
        <w:bidi w:val="0"/>
        <w:jc w:val="both"/>
        <w:rPr/>
      </w:pPr>
      <w:r>
        <w:rPr/>
        <w:t> </w:t>
      </w:r>
    </w:p>
    <w:p>
      <w:pPr>
        <w:pStyle w:val="TextBody"/>
        <w:bidi w:val="0"/>
        <w:jc w:val="both"/>
        <w:rPr>
          <w:rFonts w:ascii="Times New Roman" w:hAnsi="Times New Roman"/>
          <w:b/>
          <w:color w:val="000000"/>
          <w:sz w:val="20"/>
        </w:rPr>
      </w:pPr>
      <w:bookmarkStart w:id="13" w:name="p2item2"/>
      <w:bookmarkStart w:id="14" w:name="p2item1a"/>
      <w:bookmarkEnd w:id="13"/>
      <w:bookmarkEnd w:id="14"/>
      <w:r>
        <w:rPr>
          <w:rFonts w:ascii="Times New Roman" w:hAnsi="Times New Roman"/>
          <w:b/>
          <w:color w:val="000000"/>
          <w:sz w:val="20"/>
        </w:rPr>
        <w:t>Item 1A. Risk Factors.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Other than the risk factors listed below, there have been no material changes from the risk factors previously described under Part 1, Item 1A of our Annual Report on Form 10-K for the year ended December 31, 2024, filed with the SEC on April 15, 2025.</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Risks Related to our Business and Industry</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We rely on external partners for critical processes in manufacturing our products.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rely on certain external partners for critical manufacturing steps for our semiconductor and/or System-on-a-Chip (“SoC”) products, including our wafer fabrication, assembly, and testing processes which exposes us to significant risks. These processes are highly sensitive, and even minor contamination or technical glitches during wafer fabrication can render a substantial portion of the component unusable. Identifying such problems early in the production cycle and resolving them in a timely manner is often difficult, expensive, and time consuming.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reliance on these third-party manufacturers also subjects us to risks that include, but are not limited to:</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interruptions in procuring inventory resulting from modifications to or discontinuation of a manufacturer’s operations;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delays in product shipments resulting from uncorrected defects, reliability issues or a manufacturer’s variation in a component;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 lack of long-term supply arrangements with our manufacturers;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 delay in delivery due to its suppliers’ prioritizing other customer orders over ours;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damage to our reputation caused by defective products produced by our suppliers;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fluctuation in delivery by our suppliers due to changes in demand from our or their other customers;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interruptions, shortages, delivery delays, and potential discontinuation of supply as a result of reasons outside of our control;</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political, legal, and economic changes, crises or instability and civil unrest in the jurisdictions where our manufacturers’ plants are located;</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currency conversion risks and exchange rate fluctuations;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compliance requirements of U.S. customs and international trade regulations.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Any of these events could lead to production delays, increased costs, or a compromise in the quality and performance of our products, which could materially adversely affect our business and financial results.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In the event of a disruption in our supply chain, any efforts to develop alternative supply sources may not be successful or may take longer to take effect than anticipated.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have a design, manufacturing, and sales agreement with a third party that provides us with design expertise, support and assistance, and certain deliverables, prototypes, products, and services. We cannot be certain that this third party will remain in business, or that it will not be purchased by one of our competitors or another company that is not interested in continuing to produce these products for our intended purpose or supply us with services. </w:t>
      </w:r>
    </w:p>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Although our semiconductor or SoC products could be produced by other manufacturers, any attempt to transition our supply arrangement to one or more other manufacturers could entail significant coordination and expense and could lead to delays in production. If we are unable to arrange for sufficient production capacity among our contract manufacturers or if our contract manufacturers encounter production, quality, financial, or other difficulties, we may encounter difficulty in meeting customer demands as we seek alternative sources of supply, or our manufacturers may have to make financial accommodations to other contract manufacturers or otherwise take steps to mitigate supply disruption. Any alternative manufacturers may be unable or unwilling to meet our and our customers’ specifications. Any disruption in supply from any supplier or manufacturing location could lead to supply delays or interruptions that could damage our business or financial condition. If any of the risks discussed above materialize, costs could significantly increase, and our ability to meet demand for our products could be affected.</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Our supply chain and production process may be affected by tariffs on equipment or materials that we may rely on or use for our products, which could also cause our costs to increase.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cannot predict what actions, if any, may be taken with respect to tariffs or trade relations between the United States and China, what products may be subject to the imposition of tariffs by the United States, or what actions may be taken by China in retaliation. The adoption and expansion of trade restrictions, the occurrence of a trade war, or other governmental action related to tariffs, trade agreements or related policies have the potential to adversely impact our supply chain and access to equipment, and our costs. Tariffs imposed on components or equipment that we source from China will increase our costs and could have an adverse impact on our operating results and financial conditions in future periods. Our supply chain and product assembly is global in nature. While most of the goods movement, including imports and exports, required to manufacture and test our products is restricted to Asian countries, there are certain components that must enter or exit the United States. Those components are at the highest risk of being affected by the aforementioned changes, and in turn disrupting the supply chain and our product pipeline.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We depend on a small number of customers, including related parties, for a significant portion of our revenue, and our accounts receivable balances are similarly concentrated</w:t>
      </w:r>
      <w:r>
        <w:rPr>
          <w:rFonts w:ascii="Times New Roman" w:hAnsi="Times New Roman"/>
          <w:b/>
          <w:color w:val="000000"/>
          <w:sz w:val="20"/>
        </w:rPr>
        <w: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 relatively small number of customers account, and have accounted, for a significant portion of our revenue and accounts receivable balance. In the current year, during the three and nine months ended September 30, 2025, two customers, one a related party and one a third party customer, account for approximately 99% and approximately 90%, respectively, of our revenue, of which approximately 11% and approximately 20%, respectively, is from the related party. As of September 30, 2025, two customers, one a related party and one a third party customer, comprised approximately 90% of our accounts receivable balance, of which approximately 25% is from the related party. In the prior year during the three months ended September 30, 2024, one customer, a related party, accounted for approximately 97% of our revenue and during the nine months ended September 30, 2024, two customers, both related parties, accounted for approximately 98% of our revenue. As of December 31, 2024, one customer, a third party customer, accounted for approximately 98% of our accounts receivable balance. This customer concentration exposes us to a material adverse effect if any of these significant customers, for any reason, were to significantly reduce purchases, or favor competitors or new market participants. We can provide no assurance that any of these significant customers, or any of our other customers, will continue to utilize our products or services at current levels. Our customer concentration may also subject us to perceived or actual bargaining leverage that our significant customers may have, given their importance to us. If our significant customers seek to renegotiate their agreements on terms that are less favorable to us, and we accept such unfavorable terms, such unfavorable terms may have a material adverse effect on our business, results of operations and financial condition. Furthermore, industry consolidation and company failures could decrease the number of potential customers for our products and services. A decrease in the number of potential customers will increase our reliance on our current significant customers and, due to their relative importance to us, may further negatively impact our bargaining position with them, and thus our profitability. If we were to lose one or more of our significant customers, or have one or more of our significant customers cancel key programs or otherwise significantly reduce their volumes of business with us, or if one or more of our significant customer were to fail to pay us in full for the goods and services purchased from us, our sales and profitability would be materially reduced and our business and financial condition would be seriously harmed.</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It is not possible to predict the actual number of shares we will sell to B. Riley under the Committed Equity Facility, or the actual gross proceeds resulting from those sales. Further, we may not have access to the full amount available under the Committed Equity Facility.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July 14, 2025, we entered into a common stock purchase agreement (the “Committed Equity Facility”) with B. Riley Principal Capital, LLC (“B. Riley”), pursuant to which B. Riley has committed to purchase up to $50.0 million of our common stock, subject to certain limitations and conditions set forth in the Committed Equity Facility. The shares of our common stock that may be issued under the Committed Equity Facility may be sold by us to B. Riley at our discretion from time to time over an approximately 36-month period. During the three months ending September 30, 2025, we sold 5,673,734 shares of our common stock for net proceeds of $20.0 million pursuant to the Committed Equity Facility. Subsequent to September 30, 2025, we sold additional shares of newly-issued common stock under this agreement, and as of October 17, 2025, the most recent date of such a sale, we had sold a total of 8,410,321 shares of our common stock to B. Riley for net proceeds of $33.4 million.</w:t>
      </w:r>
    </w:p>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generally have the right to control the timing and amount of any sales of our shares of common stock to B. Riley under the Committed Equity Facility. Sales of our common stock, if any, to B. Riley under the Committed Equity Facility depend upon market conditions and other factors to be determined by us. We may ultimately decide to sell to B. Riley all or only a portion of the shares of our common stock that may be available for us to sell to B. Riley pursuant to the Committed Equity Facility. Depending on market liquidity at the time, resales of those shares by B. Riley may cause the public trading price of our common stock to decrease.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Because the purchase price per share to be paid by B. Riley for the shares of common stock that we may elect to sell to B. Riley under the Committed Equity Facility will fluctuate based on the market prices of our common stock during the applicable purchase valuation period for each purchase made pursuant to the Committed Equity Facility, it is not possible for us to predict, as of the date of this filing and prior to any such sales, the number of shares of common stock that we will ultimately sell to B. Riley under the Committed Equity Facility, the purchase price per share that B. Riley will pay for shares purchased from us under the Committed Equity Facility, or the aggregate gross proceeds that we will receive from those purchases by B. Riley under the Committed Equity Facility.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Moreover, although the Committed Equity Facility provides that we may, in our discretion, from time to time during the term of the Committed Equity Facility direct B. Riley to purchase shares of our common stock from us, for a maximum aggregate purchase price of up to $50.0 million, only 20,326,159 shares of common stock of which 83,353 represent the commitment shares we issued to B. Riley upon our execution of the Committed Equity Facility on July 14, 2025 were registered for resale under a registration statement on Form S-1. Accordingly, only 20,242,806 of such shares represent shares that we may elect, in our sole discretion, to issue and sell to B. Riley, from time to time under the Committed Equity Facility. As of September 30, 2025, there were 14,569,072 registered shares available for purchase under the Committed Equity Facility. Assuming all of the registered shares available and offered for resale by B. Riley were sold by us to B. Riley for $3.45 per share of common stock (which represents the official closing share price of our common stock on Nasdaq on September 30, 2025), less a 3.0% discount (the same fixed percentage discount that will be used to calculate the applicable per share purchase price for shares of common stock that we may elect to sell to B. Riley under the Committed Equity Facility), we would only receive aggregate gross proceeds of $29.3 million. Therefore, because the market price of our common stock fluctuates, the actual purchase prices to be paid by B. Riley for shares of our common stock that we direct it to purchase under the Committed Equity Facility also fluctuate because they will be based on the current market price of our common stock at the time of each purchase. In order to receive aggregate gross proceeds equal to B. Riley’s $50.0 million total aggregate purchase commitment under the Committed Equity Facility, we would have to register additional shares of common stock.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addition, under the applicable Nasdaq rules, we may not issue to B. Riley more than 20,326,158 shares of common stock without stockholder approval, which number of shares is equal to 19.99% of the shares of the common stock outstanding immediately prior to the execution of the Committed Equity Facility. As a result, if it becomes necessary for us to issue and sell to B. Riley an aggregate number of shares that would exceed that limit (excluding certain issuances), then before we could issue any shares of common stock in excess of the share issuance limit under the Committed Equity Facility, we would also need to obtain the requisite stockholder approval.</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Any issuance and sale by us under the Committed Equity Facility of a substantial amount of shares of common stock could cause additional substantial dilution to our stockholders, which may not be in your best interest as a stockholder.</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inability to access a portion or the full amount available under the Committed Equity Facility, in the absence of any other financing sources, could have a material adverse effect on our business.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General Risk Factors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If we fail to retain our key personnel or if we fail to attract additional qualified personnel, we may not be able to achieve our anticipated level of growth and our business could suffer.</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success depends to a significant extent on our ability to attract and retain talent, specifically in senior management and skilled technical, engineering, project management, and other key roles. Macroeconomic conditions, specifically labor shortages, increased competition for employees, and wage inflation could have a material impact on our ability to attract and retain talent, our turnover rate, and the cost of operating our business. If we are unable to attract and retain sufficient talent, minimize employee turnover, or manage wage inflation, it could have a material adverse effect on our business, financial condition, results of operations, or prospects.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Adverse macroeconomic conditions could materially adversely affect our business, financial condition, results of operations, and prospects.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Macroeconomic conditions, such as persistent high inflation, changes to monetary policy, high interest rates, volatile currency exchange rates, credit and debt concerns, decreasing consumer confidence and spending, concerns about the stability and liquidity of certain financial institutions, the introduction of or changes in tariffs or trade barriers, pandemics and other health crises, and global recessions can adversely impact demand for our products, which could negatively impact our business, financial condition, results of operations, and prospects.</w:t>
      </w:r>
    </w:p>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Item 2. Unregistered Sales of Equity and Use of Proceeds.</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w:t>
      </w:r>
    </w:p>
    <w:p>
      <w:pPr>
        <w:pStyle w:val="TextBody"/>
        <w:bidi w:val="0"/>
        <w:jc w:val="both"/>
        <w:rPr>
          <w:rFonts w:ascii="Times New Roman" w:hAnsi="Times New Roman"/>
          <w:b/>
          <w:color w:val="000000"/>
          <w:sz w:val="20"/>
        </w:rPr>
      </w:pPr>
      <w:r>
        <w:rPr>
          <w:rFonts w:ascii="Times New Roman" w:hAnsi="Times New Roman"/>
          <w:b/>
          <w:color w:val="000000"/>
          <w:sz w:val="20"/>
        </w:rPr>
        <w:t>Recent Sales of Unregistered Securities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Private Placements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July 15, 2025, the Company issued an aggregate of 769,231 shares of common stock to Cantor Fitzgerald &amp; Co. (“Cantor”) in a private placement under the Securities Act in connection with that certain Engagement Letter, dated April 11, 2025, by and between the Company and Cantor.</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three months ended September 30, 2025, the Company settled 5,673,734 newly-issued shares of our common stock for total net proceeds of $20.0 million, sold to B. Riley Principal Capital II, LLC under the Common Stock Purchase Agreement (the “Committed Equity Facility”), dated July 14, 2025.</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(b)</w:t>
      </w:r>
    </w:p>
    <w:p>
      <w:pPr>
        <w:pStyle w:val="TextBody"/>
        <w:bidi w:val="0"/>
        <w:jc w:val="both"/>
        <w:rPr>
          <w:rFonts w:ascii="Times New Roman" w:hAnsi="Times New Roman"/>
          <w:b/>
          <w:color w:val="000000"/>
          <w:sz w:val="20"/>
        </w:rPr>
      </w:pPr>
      <w:r>
        <w:rPr>
          <w:rFonts w:ascii="Times New Roman" w:hAnsi="Times New Roman"/>
          <w:b/>
          <w:color w:val="000000"/>
          <w:sz w:val="20"/>
        </w:rPr>
        <w:t>Use of Proceeds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None.</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(c)</w:t>
      </w:r>
    </w:p>
    <w:p>
      <w:pPr>
        <w:pStyle w:val="TextBody"/>
        <w:bidi w:val="0"/>
        <w:jc w:val="both"/>
        <w:rPr>
          <w:rFonts w:ascii="Times New Roman" w:hAnsi="Times New Roman"/>
          <w:b/>
          <w:color w:val="000000"/>
          <w:sz w:val="20"/>
        </w:rPr>
      </w:pPr>
      <w:r>
        <w:rPr>
          <w:rFonts w:ascii="Times New Roman" w:hAnsi="Times New Roman"/>
          <w:b/>
          <w:color w:val="000000"/>
          <w:sz w:val="20"/>
        </w:rPr>
        <w:t>Issuer Repurchases of Equity Securities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None.</w:t>
      </w:r>
    </w:p>
    <w:p>
      <w:pPr>
        <w:pStyle w:val="TextBody"/>
        <w:bidi w:val="0"/>
        <w:jc w:val="both"/>
        <w:rPr/>
      </w:pPr>
      <w:r>
        <w:rPr/>
        <w:t> </w:t>
      </w:r>
    </w:p>
    <w:p>
      <w:pPr>
        <w:pStyle w:val="TextBody"/>
        <w:bidi w:val="0"/>
        <w:jc w:val="both"/>
        <w:rPr>
          <w:rFonts w:ascii="Times New Roman" w:hAnsi="Times New Roman"/>
          <w:sz w:val="20"/>
        </w:rPr>
      </w:pPr>
      <w:bookmarkStart w:id="15" w:name="p2item3"/>
      <w:bookmarkEnd w:id="15"/>
      <w:r>
        <w:rPr>
          <w:rFonts w:ascii="Times New Roman" w:hAnsi="Times New Roman"/>
          <w:b/>
          <w:color w:val="000000"/>
          <w:sz w:val="20"/>
        </w:rPr>
        <w:t>Item 3.</w:t>
      </w:r>
      <w:r>
        <w:rPr>
          <w:rFonts w:ascii="Times New Roman" w:hAnsi="Times New Roman"/>
          <w:color w:val="000000"/>
          <w:sz w:val="20"/>
        </w:rPr>
        <w:t xml:space="preserve"> </w:t>
      </w:r>
      <w:r>
        <w:rPr>
          <w:rFonts w:ascii="Times New Roman" w:hAnsi="Times New Roman"/>
          <w:b/>
          <w:color w:val="000000"/>
          <w:sz w:val="20"/>
        </w:rPr>
        <w:t>Defaults Upon Senior Securities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None.</w:t>
      </w:r>
    </w:p>
    <w:p>
      <w:pPr>
        <w:pStyle w:val="TextBody"/>
        <w:bidi w:val="0"/>
        <w:jc w:val="both"/>
        <w:rPr/>
      </w:pPr>
      <w:r>
        <w:rPr/>
        <w:t> </w:t>
      </w:r>
    </w:p>
    <w:p>
      <w:pPr>
        <w:pStyle w:val="TextBody"/>
        <w:bidi w:val="0"/>
        <w:jc w:val="both"/>
        <w:rPr>
          <w:rFonts w:ascii="Times New Roman" w:hAnsi="Times New Roman"/>
          <w:b/>
          <w:color w:val="000000"/>
          <w:sz w:val="20"/>
        </w:rPr>
      </w:pPr>
      <w:bookmarkStart w:id="16" w:name="p2item4"/>
      <w:bookmarkEnd w:id="16"/>
      <w:r>
        <w:rPr>
          <w:rFonts w:ascii="Times New Roman" w:hAnsi="Times New Roman"/>
          <w:b/>
          <w:color w:val="000000"/>
          <w:sz w:val="20"/>
        </w:rPr>
        <w:t>Item 4. Mine Safety Disclosures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Not applicable.</w:t>
      </w:r>
    </w:p>
    <w:p>
      <w:pPr>
        <w:pStyle w:val="TextBody"/>
        <w:bidi w:val="0"/>
        <w:jc w:val="both"/>
        <w:rPr/>
      </w:pPr>
      <w:r>
        <w:rPr/>
        <w:t> </w:t>
      </w:r>
    </w:p>
    <w:p>
      <w:pPr>
        <w:pStyle w:val="TextBody"/>
        <w:bidi w:val="0"/>
        <w:jc w:val="both"/>
        <w:rPr>
          <w:rFonts w:ascii="Times New Roman" w:hAnsi="Times New Roman"/>
          <w:sz w:val="20"/>
        </w:rPr>
      </w:pPr>
      <w:bookmarkStart w:id="17" w:name="p2item5"/>
      <w:bookmarkEnd w:id="17"/>
      <w:r>
        <w:rPr>
          <w:rFonts w:ascii="Times New Roman" w:hAnsi="Times New Roman"/>
          <w:b/>
          <w:color w:val="000000"/>
          <w:sz w:val="20"/>
        </w:rPr>
        <w:t>Item 5.</w:t>
      </w:r>
      <w:r>
        <w:rPr>
          <w:rFonts w:ascii="Times New Roman" w:hAnsi="Times New Roman"/>
          <w:color w:val="000000"/>
          <w:sz w:val="20"/>
        </w:rPr>
        <w:t xml:space="preserve"> </w:t>
      </w:r>
      <w:r>
        <w:rPr>
          <w:rFonts w:ascii="Times New Roman" w:hAnsi="Times New Roman"/>
          <w:b/>
          <w:color w:val="000000"/>
          <w:sz w:val="20"/>
        </w:rPr>
        <w:t>Other Information</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Rule 10b5-1 trading arrangements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None of our directors or officers adopted or terminated a trading arrangement for the purchase of Company securities for the three months ended September 30, 2025 that is either (i) a contract, instruction, or written plan intended to satisfy the affirmative defense conditions of Rule 10b5-1(c), or a “Rule 10b5-1 trading arrangement” or (ii) a “non-Rule 10b5-1 trading arrangement” (as defined in Item 408(c) of Regulation S-K).</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Polaris Private Placement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November 10, 2025, Blaize Holdings, Inc. (the “Company”) entered into a securities purchase agreement (the “Purchase Agreement”) with affiliates of Polar Asset Management Partners Inc. (“Polar” or the “Purchaser”), for the private placement (the “Polar Private Placement”) of (i) 9,375,000 shares (the “Shares”) of the Company’s common stock (the “Common Stock”), at a purchase price of $3.20 per Share and (ii) 9,375,000 warrants to purchase additional shares of Common Stock (the “Warrants”). The Warrants have a term of five years and an exercise price of $5.00 per share. The aggregate gross proceeds for the Polar Private Placement are $30.0 million, before deducting offering expenses. The Company intends to use the net proceeds from the financing for general corporate and working capital purposes.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Pursuant to the Purchase Agreement, the Company agreed that until the date that is 60 days from the effective date (the “Effective Date”) of the registration statement (the “Registration Statement”) filed by the Company with the Securities and Exchange Commission (the “SEC”) for purposes of registering the resale of the Shares, neither the Company nor any subsidiary will issue, enter into any agreement to issue or announce the issuance of Common Stock or any securities convertible into or exercisable or exchangeable for Common Stock, or file a registration statement other than the Registration Statement, subject to certain exceptions, including the Company’s existing committed equity financing facility. The Company has further agreed not to enter into an agreement involving a Variable Rate Transaction (as defined in the Purchase Agreement) until 180 days from the Effective Date, subject to exceptions. In addition, pursuant to lock-up agreements, the Company’s executive officers and directors agreed that until the date that they will not sell or transfer any Common Stock or any securities convertible into or exercisable or exchangeable for Common Stock, subject to certain exceptions, for a time period defined in those certain lock-up agreements.</w:t>
      </w:r>
    </w:p>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Purchase Agreement contains customary representations, warranties and agreements by the Company, indemnification obligations of the Company and the Purchaser, including for liabilities under the Securities Act of 1933, as amended (the “Securities Act”), and other obligations of the parties. The representations, warranties and covenants contained in the Purchase Agreement were made only for purposes of such Purchase Agreement and are made as of specific dates; are solely for the benefit of the parties (except as specifically set forth therein); may be subject to qualifications and limitations agreed upon by the parties in connection with negotiating the terms of the Purchase Agreement, instead of establishing matters as facts; and may be subject to standards of materiality and knowledge applicable to the contracting parties that differ from those applicable to the investors generally. Investors should not rely on the representations, warranties and covenants or any description thereof as characterizations of the actual state of facts or condition of the Company.</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Terms of the Warrants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Warrants have an exercise price of $5.00 per share of Common Stock and will be exercisable commencing on the Initial Exercise Date and will expire on the fifth anniversary of the issuance dates of the Warrants.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at any time after six month anniversary of the grant date, a registration statement registering the issuance of the Common Warrant Shares under the Securities Act is not effective or available, the holder may, in its sole discretion, elect to exercise the Warrants through a cashless exercise, in which case the holder would receive upon such exercise the net number of shares of Common Stock determined according to the formula set forth in the Warrants.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exercise price of the Warrants, and the number of Warrant Shares, will be subject to adjustment in the event of any stock dividend or split, reverse stock split, recapitalization, reorganization or similar transaction, as described in the Warrants.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 holder will not have the right to exercise any portion of the Warrants if the holder (together with its affiliates) would beneficially own in excess of 4.99% of the number of shares of Common Stock outstanding immediately after giving effect to the exercise, as such percentage ownership is determined in accordance with the terms of the warrants. However, any holder may increase or decrease such percentage up to 9.99%.</w:t>
      </w:r>
    </w:p>
    <w:p>
      <w:pPr>
        <w:pStyle w:val="TextBody"/>
        <w:bidi w:val="0"/>
        <w:jc w:val="both"/>
        <w:rPr>
          <w:rFonts w:ascii="Times New Roman" w:hAnsi="Times New Roman"/>
          <w:color w:val="000000"/>
          <w:sz w:val="20"/>
        </w:rPr>
      </w:pPr>
      <w:r>
        <w:rPr>
          <w:rFonts w:ascii="Times New Roman" w:hAnsi="Times New Roman"/>
          <w:color w:val="000000"/>
          <w:sz w:val="20"/>
        </w:rPr>
        <w:t>In the event of a Fundamental Transaction (as such term is defined in the Warrants), the successor entity will succeed to, and be substituted for the Company, and may exercise every right and power that the Company may exercise and will assume all of its obligations under the Warrants with the same effect as if the successor entity had been named in the warrant itself. If holders of Common Stock are given a choice as to the securities, cash or property to be received in a Fundamental Transaction, then the holder will be given the same choice as to the consideration it receives upon any exercise of the Warrants following the Fundamental Transaction. In addition, the successor entity, at the request of holders of Warrants, will be obligated to purchase any unexercised portion of the Warrants in accordance with their terms. Notwithstanding the foregoing, in the event of a Fundamental Transaction, the holders of the Warrants have the right to require the Company or a successor entity to redeem the Warrants for cash in the amount of the Black Scholes Value (as defined in the Warrants) of the unexercised portion of the Warrants concurrently with or within thirty (30) days following the consummation of a Fundamental Transaction. However, in the event of a Fundamental Transaction that is not in the Company’s control, including a Fundamental Transaction not approved by the Company’s board of directors, the holders of the Warrants will only be entitled to receive from the Company or its successor entity the same type or form of consideration (and in the same proportion), at the Black Scholes Value of the unexercised portion of the Warrant that is being offered and paid to the holders of Common Stock in connection with the Fundamental Transaction, whether that consideration is in the form of cash, stock or any combination of cash and stock, or whether the holders of Common Stock are given the choice to receive alternative forms of consideration in connection with the Fundamental Transaction.</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Registration Rights Agreement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addition, on November 10, 2025, the Company and the Purchaser entered into a registration rights agreement (the “Registration Rights Agreement”), pursuant to which the Company agreed to file a Registration Statement with the SEC on or before November 30, 2025 for purposes of registering the resale of the Shares and Warrant Shares, to use its reasonable best efforts to have such Registration Statement declared effective no later than 30 days after filing (or 60 days after filing in the event of SEC review), and to keep the Registration Statement effective until the date that all registrable securities covered by the Registration Statement (i) have been sold, thereunder or pursuant to Rule 144, or (ii) may be sold without volume or manner-of-sale restrictions pursuant to Rule 144 and without the requirement for the Company to be in compliance with the current public information requirement under Rule 144.</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Polar Private Placement is exempt from the registration requirements of the Securities Act pursuant to the exemption for transactions by an issuer not involving any public offering under Section 4(a)(2) of the Securities Act and Rule 506 of Regulation D of the Securities Act and in reliance on similar exemptions under applicable state laws. The Purchaser represented that it was an accredited investor within the meaning of Rule 501(a) of Regulation D and were acquiring the Shares as principal for their own accounts and not with a view to or for distributing or reselling the Shares. The shares of the Company’s common stock were offered without any general solicitation by the Company or its representatives. The shares of the Company’s common stock sold and issued in the Polar Private Placement will not be registered under the Securities Act or any state securities laws and may not be offered or sold in the United States absent registration with the SEC or an applicable exemption from the registration requirements.</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foregoing descriptions of the Purchase Agreement, the Warrant and the Registration Rights Agreement do not purport to be complete and are qualified in their entirety by reference to the Purchase Agreement, form of Warrant and the Registration Rights Agreement filed as Exhibits 10.4, 10.5 and 10.6, respectively, to this Quarterly Report on Form 10-Q.</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both"/>
        <w:rPr>
          <w:rFonts w:ascii="Times New Roman" w:hAnsi="Times New Roman"/>
          <w:b/>
          <w:color w:val="000000"/>
          <w:sz w:val="20"/>
        </w:rPr>
      </w:pPr>
      <w:bookmarkStart w:id="18" w:name="p2item6"/>
      <w:bookmarkEnd w:id="18"/>
      <w:r>
        <w:rPr>
          <w:rFonts w:ascii="Times New Roman" w:hAnsi="Times New Roman"/>
          <w:b/>
          <w:color w:val="000000"/>
          <w:sz w:val="20"/>
        </w:rPr>
        <w:t>Item 6. Exhibits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831"/>
        <w:gridCol w:w="6434"/>
        <w:gridCol w:w="233"/>
        <w:gridCol w:w="781"/>
        <w:gridCol w:w="233"/>
        <w:gridCol w:w="744"/>
        <w:gridCol w:w="233"/>
        <w:gridCol w:w="716"/>
      </w:tblGrid>
      <w:tr>
        <w:trPr/>
        <w:tc>
          <w:tcPr>
            <w:tcW w:w="831" w:type="dxa"/>
            <w:tcBorders/>
            <w:vAlign w:val="center"/>
          </w:tcPr>
          <w:p>
            <w:pPr>
              <w:pStyle w:val="TableContents"/>
              <w:bidi w:val="0"/>
              <w:spacing w:before="0" w:after="283"/>
              <w:jc w:val="left"/>
              <w:rPr>
                <w:sz w:val="4"/>
                <w:szCs w:val="4"/>
              </w:rPr>
            </w:pPr>
            <w:r>
              <w:rPr>
                <w:sz w:val="4"/>
                <w:szCs w:val="4"/>
              </w:rPr>
            </w:r>
          </w:p>
        </w:tc>
        <w:tc>
          <w:tcPr>
            <w:tcW w:w="643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831" w:type="dxa"/>
            <w:tcBorders/>
            <w:tcMar>
              <w:top w:w="0" w:type="dxa"/>
              <w:left w:w="0" w:type="dxa"/>
              <w:bottom w:w="0" w:type="dxa"/>
              <w:right w:w="0" w:type="dxa"/>
            </w:tcMar>
            <w:vAlign w:val="center"/>
          </w:tcPr>
          <w:p>
            <w:pPr>
              <w:pStyle w:val="TableContents"/>
              <w:bidi w:val="0"/>
              <w:spacing w:before="0" w:after="283"/>
              <w:ind w:left="0" w:right="0" w:firstLine="87"/>
              <w:jc w:val="center"/>
              <w:rPr/>
            </w:pPr>
            <w:r>
              <w:rPr/>
              <w:t> </w:t>
            </w:r>
          </w:p>
        </w:tc>
        <w:tc>
          <w:tcPr>
            <w:tcW w:w="6434" w:type="dxa"/>
            <w:tcBorders/>
            <w:tcMar>
              <w:top w:w="0" w:type="dxa"/>
              <w:left w:w="0" w:type="dxa"/>
              <w:bottom w:w="0" w:type="dxa"/>
              <w:right w:w="0" w:type="dxa"/>
            </w:tcMar>
            <w:vAlign w:val="center"/>
          </w:tcPr>
          <w:p>
            <w:pPr>
              <w:pStyle w:val="TableContents"/>
              <w:bidi w:val="0"/>
              <w:spacing w:before="0" w:after="283"/>
              <w:ind w:left="0" w:right="0" w:firstLine="87"/>
              <w:jc w:val="left"/>
              <w:rPr/>
            </w:pPr>
            <w:r>
              <w:rPr/>
              <w:t> </w:t>
            </w:r>
          </w:p>
        </w:tc>
        <w:tc>
          <w:tcPr>
            <w:tcW w:w="233" w:type="dxa"/>
            <w:tcBorders/>
            <w:tcMar>
              <w:top w:w="0" w:type="dxa"/>
              <w:left w:w="0" w:type="dxa"/>
              <w:bottom w:w="0" w:type="dxa"/>
              <w:right w:w="0" w:type="dxa"/>
            </w:tcMar>
            <w:vAlign w:val="center"/>
          </w:tcPr>
          <w:p>
            <w:pPr>
              <w:pStyle w:val="TableContents"/>
              <w:bidi w:val="0"/>
              <w:spacing w:before="0" w:after="283"/>
              <w:ind w:left="0" w:right="0" w:firstLine="87"/>
              <w:jc w:val="left"/>
              <w:rPr/>
            </w:pPr>
            <w:r>
              <w:rPr/>
              <w:t> </w:t>
            </w:r>
          </w:p>
        </w:tc>
        <w:tc>
          <w:tcPr>
            <w:tcW w:w="2707" w:type="dxa"/>
            <w:gridSpan w:val="5"/>
            <w:tcBorders>
              <w:bottom w:val="single" w:sz="4" w:space="0" w:color="000000"/>
            </w:tcBorders>
            <w:tcMar>
              <w:top w:w="0" w:type="dxa"/>
              <w:left w:w="0" w:type="dxa"/>
              <w:right w:w="0" w:type="dxa"/>
            </w:tcMar>
            <w:vAlign w:val="center"/>
          </w:tcPr>
          <w:p>
            <w:pPr>
              <w:pStyle w:val="TableContents"/>
              <w:bidi w:val="0"/>
              <w:spacing w:before="0" w:after="283"/>
              <w:ind w:left="0" w:right="0" w:firstLine="87"/>
              <w:jc w:val="center"/>
              <w:rPr>
                <w:rFonts w:ascii="Times New Roman" w:hAnsi="Times New Roman"/>
                <w:b/>
                <w:color w:val="000000"/>
                <w:sz w:val="16"/>
              </w:rPr>
            </w:pPr>
            <w:r>
              <w:rPr>
                <w:rFonts w:ascii="Times New Roman" w:hAnsi="Times New Roman"/>
                <w:b/>
                <w:color w:val="000000"/>
                <w:sz w:val="16"/>
              </w:rPr>
              <w:t>Incorporated by Reference</w:t>
            </w:r>
          </w:p>
        </w:tc>
      </w:tr>
      <w:tr>
        <w:trPr/>
        <w:tc>
          <w:tcPr>
            <w:tcW w:w="831" w:type="dxa"/>
            <w:tcBorders>
              <w:bottom w:val="single" w:sz="8" w:space="0" w:color="000000"/>
            </w:tcBorders>
            <w:tcMar>
              <w:top w:w="0" w:type="dxa"/>
              <w:left w:w="0" w:type="dxa"/>
              <w:right w:w="0" w:type="dxa"/>
            </w:tcMar>
            <w:vAlign w:val="center"/>
          </w:tcPr>
          <w:p>
            <w:pPr>
              <w:pStyle w:val="TableContents"/>
              <w:bidi w:val="0"/>
              <w:spacing w:before="0" w:after="283"/>
              <w:ind w:left="0" w:right="0" w:firstLine="87"/>
              <w:jc w:val="left"/>
              <w:rPr>
                <w:rFonts w:ascii="Times New Roman" w:hAnsi="Times New Roman"/>
                <w:b/>
                <w:color w:val="000000"/>
                <w:sz w:val="16"/>
              </w:rPr>
            </w:pPr>
            <w:r>
              <w:rPr>
                <w:rFonts w:ascii="Times New Roman" w:hAnsi="Times New Roman"/>
                <w:b/>
                <w:color w:val="000000"/>
                <w:sz w:val="16"/>
              </w:rPr>
              <w:t>Exhibit No.</w:t>
            </w:r>
          </w:p>
        </w:tc>
        <w:tc>
          <w:tcPr>
            <w:tcW w:w="6434" w:type="dxa"/>
            <w:tcBorders>
              <w:bottom w:val="single" w:sz="8" w:space="0" w:color="000000"/>
            </w:tcBorders>
            <w:tcMar>
              <w:top w:w="0" w:type="dxa"/>
              <w:left w:w="0" w:type="dxa"/>
              <w:right w:w="0" w:type="dxa"/>
            </w:tcMar>
            <w:vAlign w:val="center"/>
          </w:tcPr>
          <w:p>
            <w:pPr>
              <w:pStyle w:val="TableContents"/>
              <w:bidi w:val="0"/>
              <w:spacing w:before="0" w:after="283"/>
              <w:ind w:left="0" w:right="0" w:firstLine="87"/>
              <w:jc w:val="center"/>
              <w:rPr>
                <w:rFonts w:ascii="Times New Roman" w:hAnsi="Times New Roman"/>
                <w:b/>
                <w:color w:val="000000"/>
                <w:sz w:val="16"/>
              </w:rPr>
            </w:pPr>
            <w:r>
              <w:rPr>
                <w:rFonts w:ascii="Times New Roman" w:hAnsi="Times New Roman"/>
                <w:b/>
                <w:color w:val="000000"/>
                <w:sz w:val="16"/>
              </w:rPr>
              <w:t>Description</w:t>
            </w:r>
          </w:p>
        </w:tc>
        <w:tc>
          <w:tcPr>
            <w:tcW w:w="233" w:type="dxa"/>
            <w:tcBorders>
              <w:bottom w:val="single" w:sz="8" w:space="0" w:color="000000"/>
            </w:tcBorders>
            <w:tcMar>
              <w:top w:w="0" w:type="dxa"/>
              <w:left w:w="0" w:type="dxa"/>
              <w:right w:w="0" w:type="dxa"/>
            </w:tcMar>
            <w:vAlign w:val="center"/>
          </w:tcPr>
          <w:p>
            <w:pPr>
              <w:pStyle w:val="TableContents"/>
              <w:bidi w:val="0"/>
              <w:spacing w:before="0" w:after="283"/>
              <w:ind w:left="0" w:right="0" w:firstLine="87"/>
              <w:jc w:val="left"/>
              <w:rPr/>
            </w:pPr>
            <w:r>
              <w:rPr/>
              <w:t> </w:t>
            </w:r>
          </w:p>
        </w:tc>
        <w:tc>
          <w:tcPr>
            <w:tcW w:w="78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Schedule/</w:t>
              <w:br/>
              <w:t>Form</w:t>
            </w:r>
          </w:p>
        </w:tc>
        <w:tc>
          <w:tcPr>
            <w:tcW w:w="233"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744"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Ref.</w:t>
            </w:r>
          </w:p>
        </w:tc>
        <w:tc>
          <w:tcPr>
            <w:tcW w:w="233"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71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r>
      <w:tr>
        <w:trPr/>
        <w:tc>
          <w:tcPr>
            <w:tcW w:w="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6434" w:type="dxa"/>
            <w:tcBorders/>
            <w:shd w:fill="CFF0FC" w:val="clear"/>
            <w:tcMar>
              <w:top w:w="0" w:type="dxa"/>
              <w:left w:w="0" w:type="dxa"/>
              <w:bottom w:w="0" w:type="dxa"/>
              <w:right w:w="0" w:type="dxa"/>
            </w:tcMar>
            <w:vAlign w:val="center"/>
          </w:tcPr>
          <w:p>
            <w:pPr>
              <w:pStyle w:val="TableContents"/>
              <w:bidi w:val="0"/>
              <w:spacing w:before="0" w:after="60"/>
              <w:ind w:left="0" w:right="0" w:firstLine="87"/>
              <w:jc w:val="left"/>
              <w:rPr/>
            </w:pPr>
            <w:hyperlink r:id="rId2">
              <w:r>
                <w:rPr>
                  <w:rStyle w:val="InternetLink"/>
                  <w:rFonts w:ascii="Times New Roman" w:hAnsi="Times New Roman"/>
                  <w:color w:val="0000FF"/>
                  <w:sz w:val="20"/>
                  <w:u w:val="single"/>
                </w:rPr>
                <w:t>Third Amended and Restated Certificate of Incorporation of Blaize Holdings, Inc.</w:t>
              </w:r>
            </w:hyperlink>
          </w:p>
        </w:tc>
        <w:tc>
          <w:tcPr>
            <w:tcW w:w="233" w:type="dxa"/>
            <w:tcBorders/>
            <w:shd w:fill="CFF0FC" w:val="clear"/>
            <w:tcMar>
              <w:top w:w="0" w:type="dxa"/>
              <w:left w:w="0" w:type="dxa"/>
              <w:bottom w:w="0" w:type="dxa"/>
              <w:right w:w="0" w:type="dxa"/>
            </w:tcMar>
            <w:vAlign w:val="center"/>
          </w:tcPr>
          <w:p>
            <w:pPr>
              <w:pStyle w:val="TableContents"/>
              <w:bidi w:val="0"/>
              <w:spacing w:before="0" w:after="283"/>
              <w:ind w:left="0" w:right="0" w:firstLine="87"/>
              <w:jc w:val="center"/>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1/17/2025</w:t>
            </w:r>
          </w:p>
        </w:tc>
      </w:tr>
      <w:tr>
        <w:trPr/>
        <w:tc>
          <w:tcPr>
            <w:tcW w:w="8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6434" w:type="dxa"/>
            <w:tcBorders/>
            <w:tcMar>
              <w:top w:w="0" w:type="dxa"/>
              <w:left w:w="0" w:type="dxa"/>
              <w:bottom w:w="0" w:type="dxa"/>
              <w:right w:w="0" w:type="dxa"/>
            </w:tcMar>
            <w:vAlign w:val="center"/>
          </w:tcPr>
          <w:p>
            <w:pPr>
              <w:pStyle w:val="TableContents"/>
              <w:bidi w:val="0"/>
              <w:spacing w:before="0" w:after="60"/>
              <w:ind w:left="0" w:right="0" w:firstLine="87"/>
              <w:jc w:val="left"/>
              <w:rPr/>
            </w:pPr>
            <w:hyperlink r:id="rId3">
              <w:r>
                <w:rPr>
                  <w:rStyle w:val="InternetLink"/>
                  <w:rFonts w:ascii="Times New Roman" w:hAnsi="Times New Roman"/>
                  <w:color w:val="0000FF"/>
                  <w:sz w:val="20"/>
                  <w:u w:val="single"/>
                </w:rPr>
                <w:t>Amended and Restated Bylaws of Blaize Holdings, Inc.</w:t>
              </w:r>
            </w:hyperlink>
          </w:p>
        </w:tc>
        <w:tc>
          <w:tcPr>
            <w:tcW w:w="233" w:type="dxa"/>
            <w:tcBorders/>
            <w:tcMar>
              <w:top w:w="0" w:type="dxa"/>
              <w:left w:w="0" w:type="dxa"/>
              <w:bottom w:w="0" w:type="dxa"/>
              <w:right w:w="0" w:type="dxa"/>
            </w:tcMar>
            <w:vAlign w:val="center"/>
          </w:tcPr>
          <w:p>
            <w:pPr>
              <w:pStyle w:val="TableContents"/>
              <w:bidi w:val="0"/>
              <w:spacing w:before="0" w:after="283"/>
              <w:ind w:left="0" w:right="0" w:firstLine="87"/>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233"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233"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1/17/2025</w:t>
            </w:r>
          </w:p>
        </w:tc>
      </w:tr>
      <w:tr>
        <w:trPr/>
        <w:tc>
          <w:tcPr>
            <w:tcW w:w="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 +</w:t>
            </w:r>
          </w:p>
        </w:tc>
        <w:tc>
          <w:tcPr>
            <w:tcW w:w="6434" w:type="dxa"/>
            <w:tcBorders/>
            <w:shd w:fill="CFF0FC" w:val="clear"/>
            <w:tcMar>
              <w:top w:w="0" w:type="dxa"/>
              <w:left w:w="0" w:type="dxa"/>
              <w:bottom w:w="0" w:type="dxa"/>
              <w:right w:w="0" w:type="dxa"/>
            </w:tcMar>
            <w:vAlign w:val="center"/>
          </w:tcPr>
          <w:p>
            <w:pPr>
              <w:pStyle w:val="TableContents"/>
              <w:bidi w:val="0"/>
              <w:spacing w:before="0" w:after="60"/>
              <w:ind w:left="0" w:right="0" w:firstLine="87"/>
              <w:jc w:val="left"/>
              <w:rPr/>
            </w:pPr>
            <w:hyperlink r:id="rId4">
              <w:r>
                <w:rPr>
                  <w:rStyle w:val="InternetLink"/>
                  <w:rFonts w:ascii="Times New Roman" w:hAnsi="Times New Roman"/>
                  <w:color w:val="0000FF"/>
                  <w:sz w:val="20"/>
                  <w:u w:val="single"/>
                </w:rPr>
                <w:t>Blaize Holdings, Inc. Form of Stock Option Agreement under the Blaize Holdings, Inc. 2025 Incentive Award Plan</w:t>
              </w:r>
            </w:hyperlink>
          </w:p>
        </w:tc>
        <w:tc>
          <w:tcPr>
            <w:tcW w:w="233" w:type="dxa"/>
            <w:tcBorders/>
            <w:shd w:fill="CFF0FC" w:val="clear"/>
            <w:tcMar>
              <w:top w:w="0" w:type="dxa"/>
              <w:left w:w="0" w:type="dxa"/>
              <w:bottom w:w="0" w:type="dxa"/>
              <w:right w:w="0" w:type="dxa"/>
            </w:tcMar>
            <w:vAlign w:val="center"/>
          </w:tcPr>
          <w:p>
            <w:pPr>
              <w:pStyle w:val="TableContents"/>
              <w:bidi w:val="0"/>
              <w:spacing w:before="0" w:after="283"/>
              <w:ind w:left="0" w:right="0" w:firstLine="87"/>
              <w:jc w:val="center"/>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9/2/2025</w:t>
            </w:r>
          </w:p>
        </w:tc>
      </w:tr>
      <w:tr>
        <w:trPr/>
        <w:tc>
          <w:tcPr>
            <w:tcW w:w="8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6434" w:type="dxa"/>
            <w:tcBorders/>
            <w:tcMar>
              <w:top w:w="0" w:type="dxa"/>
              <w:left w:w="0" w:type="dxa"/>
              <w:bottom w:w="0" w:type="dxa"/>
              <w:right w:w="0" w:type="dxa"/>
            </w:tcMar>
            <w:vAlign w:val="center"/>
          </w:tcPr>
          <w:p>
            <w:pPr>
              <w:pStyle w:val="TableContents"/>
              <w:bidi w:val="0"/>
              <w:spacing w:before="0" w:after="60"/>
              <w:ind w:left="0" w:right="0" w:firstLine="87"/>
              <w:jc w:val="left"/>
              <w:rPr/>
            </w:pPr>
            <w:hyperlink r:id="rId5">
              <w:r>
                <w:rPr>
                  <w:rStyle w:val="InternetLink"/>
                  <w:rFonts w:ascii="Times New Roman" w:hAnsi="Times New Roman"/>
                  <w:color w:val="0000FF"/>
                  <w:sz w:val="20"/>
                  <w:u w:val="single"/>
                </w:rPr>
                <w:t>Common Stock Purchase Agreement, dated as of July 14, 2025, by and between the Company and B. Riley Principal Capital II, LLC.</w:t>
              </w:r>
            </w:hyperlink>
          </w:p>
        </w:tc>
        <w:tc>
          <w:tcPr>
            <w:tcW w:w="233" w:type="dxa"/>
            <w:tcBorders/>
            <w:tcMar>
              <w:top w:w="0" w:type="dxa"/>
              <w:left w:w="0" w:type="dxa"/>
              <w:bottom w:w="0" w:type="dxa"/>
              <w:right w:w="0" w:type="dxa"/>
            </w:tcMar>
            <w:vAlign w:val="center"/>
          </w:tcPr>
          <w:p>
            <w:pPr>
              <w:pStyle w:val="TableContents"/>
              <w:bidi w:val="0"/>
              <w:spacing w:before="0" w:after="283"/>
              <w:ind w:left="0" w:right="0" w:firstLine="87"/>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233"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233"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7/15/2025</w:t>
            </w:r>
          </w:p>
        </w:tc>
      </w:tr>
      <w:tr>
        <w:trPr/>
        <w:tc>
          <w:tcPr>
            <w:tcW w:w="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6434" w:type="dxa"/>
            <w:tcBorders/>
            <w:shd w:fill="CFF0FC" w:val="clear"/>
            <w:tcMar>
              <w:top w:w="0" w:type="dxa"/>
              <w:left w:w="0" w:type="dxa"/>
              <w:bottom w:w="0" w:type="dxa"/>
              <w:right w:w="0" w:type="dxa"/>
            </w:tcMar>
            <w:vAlign w:val="center"/>
          </w:tcPr>
          <w:p>
            <w:pPr>
              <w:pStyle w:val="TableContents"/>
              <w:bidi w:val="0"/>
              <w:spacing w:before="0" w:after="60"/>
              <w:ind w:left="0" w:right="0" w:firstLine="87"/>
              <w:jc w:val="left"/>
              <w:rPr/>
            </w:pPr>
            <w:hyperlink r:id="rId6">
              <w:r>
                <w:rPr>
                  <w:rStyle w:val="InternetLink"/>
                  <w:rFonts w:ascii="Times New Roman" w:hAnsi="Times New Roman"/>
                  <w:color w:val="0000FF"/>
                  <w:sz w:val="20"/>
                  <w:u w:val="single"/>
                </w:rPr>
                <w:t>Registration Rights Agreement, dated as of July 14, 2025, by and between the Company and B. Riley Principal Capital II, LLC.</w:t>
              </w:r>
            </w:hyperlink>
          </w:p>
        </w:tc>
        <w:tc>
          <w:tcPr>
            <w:tcW w:w="233" w:type="dxa"/>
            <w:tcBorders/>
            <w:shd w:fill="CFF0FC" w:val="clear"/>
            <w:tcMar>
              <w:top w:w="0" w:type="dxa"/>
              <w:left w:w="0" w:type="dxa"/>
              <w:bottom w:w="0" w:type="dxa"/>
              <w:right w:w="0" w:type="dxa"/>
            </w:tcMar>
            <w:vAlign w:val="center"/>
          </w:tcPr>
          <w:p>
            <w:pPr>
              <w:pStyle w:val="TableContents"/>
              <w:bidi w:val="0"/>
              <w:spacing w:before="0" w:after="283"/>
              <w:ind w:left="0" w:right="0" w:firstLine="87"/>
              <w:jc w:val="center"/>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7/15/2025</w:t>
            </w:r>
          </w:p>
        </w:tc>
      </w:tr>
      <w:tr>
        <w:trPr/>
        <w:tc>
          <w:tcPr>
            <w:tcW w:w="83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10.4 *</w:t>
            </w:r>
          </w:p>
          <w:p>
            <w:pPr>
              <w:pStyle w:val="TableContents"/>
              <w:bidi w:val="0"/>
              <w:spacing w:before="0" w:after="283"/>
              <w:jc w:val="left"/>
              <w:rPr/>
            </w:pPr>
            <w:r>
              <w:rPr/>
              <w:t> </w:t>
            </w:r>
          </w:p>
        </w:tc>
        <w:tc>
          <w:tcPr>
            <w:tcW w:w="6434" w:type="dxa"/>
            <w:tcBorders/>
            <w:tcMar>
              <w:top w:w="0" w:type="dxa"/>
              <w:left w:w="0" w:type="dxa"/>
              <w:bottom w:w="0" w:type="dxa"/>
              <w:right w:w="0" w:type="dxa"/>
            </w:tcMar>
            <w:vAlign w:val="center"/>
          </w:tcPr>
          <w:p>
            <w:pPr>
              <w:pStyle w:val="TableContents"/>
              <w:bidi w:val="0"/>
              <w:spacing w:before="0" w:after="60"/>
              <w:ind w:left="0" w:right="0" w:firstLine="87"/>
              <w:jc w:val="left"/>
              <w:rPr/>
            </w:pPr>
            <w:hyperlink w:anchor="bzai-ex10_4.htm">
              <w:r>
                <w:rPr>
                  <w:rStyle w:val="InternetLink"/>
                  <w:rFonts w:ascii="Times New Roman" w:hAnsi="Times New Roman"/>
                  <w:color w:val="0000FF"/>
                  <w:sz w:val="20"/>
                  <w:u w:val="single"/>
                </w:rPr>
                <w:t>Securities Purchase Agreement, dated as of November 10, 2025, by and among the Company, Polar Long/Short Master Fund and Polar Multi-Strategy Master Fund</w:t>
              </w:r>
            </w:hyperlink>
          </w:p>
        </w:tc>
        <w:tc>
          <w:tcPr>
            <w:tcW w:w="233" w:type="dxa"/>
            <w:tcBorders/>
            <w:tcMar>
              <w:top w:w="0" w:type="dxa"/>
              <w:left w:w="0" w:type="dxa"/>
              <w:bottom w:w="0" w:type="dxa"/>
              <w:right w:w="0" w:type="dxa"/>
            </w:tcMar>
            <w:vAlign w:val="center"/>
          </w:tcPr>
          <w:p>
            <w:pPr>
              <w:pStyle w:val="TableContents"/>
              <w:bidi w:val="0"/>
              <w:spacing w:before="0" w:after="283"/>
              <w:ind w:left="0" w:right="0" w:firstLine="87"/>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ind w:left="0" w:right="0" w:firstLine="87"/>
              <w:jc w:val="center"/>
              <w:rPr/>
            </w:pPr>
            <w:r>
              <w:rPr/>
              <w:t> </w:t>
            </w:r>
          </w:p>
        </w:tc>
        <w:tc>
          <w:tcPr>
            <w:tcW w:w="233" w:type="dxa"/>
            <w:tcBorders/>
            <w:tcMar>
              <w:top w:w="0" w:type="dxa"/>
              <w:left w:w="0" w:type="dxa"/>
              <w:bottom w:w="0" w:type="dxa"/>
              <w:right w:w="0" w:type="dxa"/>
            </w:tcMar>
            <w:vAlign w:val="center"/>
          </w:tcPr>
          <w:p>
            <w:pPr>
              <w:pStyle w:val="TableContents"/>
              <w:bidi w:val="0"/>
              <w:spacing w:before="0" w:after="283"/>
              <w:ind w:left="0" w:right="0" w:firstLine="87"/>
              <w:jc w:val="center"/>
              <w:rPr/>
            </w:pPr>
            <w:r>
              <w:rPr/>
              <w:t> </w:t>
            </w:r>
          </w:p>
        </w:tc>
        <w:tc>
          <w:tcPr>
            <w:tcW w:w="744" w:type="dxa"/>
            <w:tcBorders/>
            <w:tcMar>
              <w:top w:w="0" w:type="dxa"/>
              <w:left w:w="0" w:type="dxa"/>
              <w:bottom w:w="0" w:type="dxa"/>
              <w:right w:w="0" w:type="dxa"/>
            </w:tcMar>
            <w:vAlign w:val="center"/>
          </w:tcPr>
          <w:p>
            <w:pPr>
              <w:pStyle w:val="TableContents"/>
              <w:bidi w:val="0"/>
              <w:spacing w:before="0" w:after="283"/>
              <w:ind w:left="0" w:right="0" w:firstLine="87"/>
              <w:jc w:val="center"/>
              <w:rPr/>
            </w:pPr>
            <w:r>
              <w:rPr/>
              <w:t> </w:t>
            </w:r>
          </w:p>
        </w:tc>
        <w:tc>
          <w:tcPr>
            <w:tcW w:w="233" w:type="dxa"/>
            <w:tcBorders/>
            <w:tcMar>
              <w:top w:w="0" w:type="dxa"/>
              <w:left w:w="0" w:type="dxa"/>
              <w:bottom w:w="0" w:type="dxa"/>
              <w:right w:w="0" w:type="dxa"/>
            </w:tcMar>
            <w:vAlign w:val="center"/>
          </w:tcPr>
          <w:p>
            <w:pPr>
              <w:pStyle w:val="TableContents"/>
              <w:bidi w:val="0"/>
              <w:spacing w:before="0" w:after="283"/>
              <w:ind w:left="0" w:right="0" w:firstLine="87"/>
              <w:jc w:val="center"/>
              <w:rPr/>
            </w:pPr>
            <w:r>
              <w:rPr/>
              <w:t> </w:t>
            </w:r>
          </w:p>
        </w:tc>
        <w:tc>
          <w:tcPr>
            <w:tcW w:w="716" w:type="dxa"/>
            <w:tcBorders/>
            <w:tcMar>
              <w:top w:w="0" w:type="dxa"/>
              <w:left w:w="0" w:type="dxa"/>
              <w:bottom w:w="0" w:type="dxa"/>
              <w:right w:w="0" w:type="dxa"/>
            </w:tcMar>
            <w:vAlign w:val="center"/>
          </w:tcPr>
          <w:p>
            <w:pPr>
              <w:pStyle w:val="TableContents"/>
              <w:bidi w:val="0"/>
              <w:spacing w:before="0" w:after="283"/>
              <w:ind w:left="0" w:right="0" w:firstLine="87"/>
              <w:jc w:val="center"/>
              <w:rPr/>
            </w:pPr>
            <w:r>
              <w:rPr/>
              <w:t> </w:t>
            </w:r>
          </w:p>
        </w:tc>
      </w:tr>
      <w:tr>
        <w:trPr/>
        <w:tc>
          <w:tcPr>
            <w:tcW w:w="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 *</w:t>
            </w:r>
          </w:p>
        </w:tc>
        <w:tc>
          <w:tcPr>
            <w:tcW w:w="6434" w:type="dxa"/>
            <w:tcBorders/>
            <w:shd w:fill="CFF0FC" w:val="clear"/>
            <w:tcMar>
              <w:top w:w="0" w:type="dxa"/>
              <w:left w:w="0" w:type="dxa"/>
              <w:bottom w:w="0" w:type="dxa"/>
              <w:right w:w="0" w:type="dxa"/>
            </w:tcMar>
            <w:vAlign w:val="center"/>
          </w:tcPr>
          <w:p>
            <w:pPr>
              <w:pStyle w:val="TableContents"/>
              <w:bidi w:val="0"/>
              <w:spacing w:before="0" w:after="60"/>
              <w:ind w:left="0" w:right="0" w:firstLine="87"/>
              <w:jc w:val="left"/>
              <w:rPr/>
            </w:pPr>
            <w:hyperlink w:anchor="bzai-ex10_5.htm">
              <w:r>
                <w:rPr>
                  <w:rStyle w:val="InternetLink"/>
                  <w:rFonts w:ascii="Times New Roman" w:hAnsi="Times New Roman"/>
                  <w:color w:val="0000FF"/>
                  <w:sz w:val="20"/>
                  <w:u w:val="single"/>
                </w:rPr>
                <w:t>Form of Warrant</w:t>
              </w:r>
            </w:hyperlink>
          </w:p>
        </w:tc>
        <w:tc>
          <w:tcPr>
            <w:tcW w:w="233" w:type="dxa"/>
            <w:tcBorders/>
            <w:shd w:fill="CFF0FC" w:val="clear"/>
            <w:tcMar>
              <w:top w:w="0" w:type="dxa"/>
              <w:left w:w="0" w:type="dxa"/>
              <w:bottom w:w="0" w:type="dxa"/>
              <w:right w:w="0" w:type="dxa"/>
            </w:tcMar>
            <w:vAlign w:val="center"/>
          </w:tcPr>
          <w:p>
            <w:pPr>
              <w:pStyle w:val="TableContents"/>
              <w:bidi w:val="0"/>
              <w:spacing w:before="0" w:after="283"/>
              <w:ind w:left="0" w:right="0" w:firstLine="87"/>
              <w:jc w:val="center"/>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ind w:left="0" w:right="0" w:firstLine="87"/>
              <w:jc w:val="center"/>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ind w:left="0" w:right="0" w:firstLine="87"/>
              <w:jc w:val="center"/>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ind w:left="0" w:right="0" w:firstLine="87"/>
              <w:jc w:val="center"/>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ind w:left="0" w:right="0" w:firstLine="87"/>
              <w:jc w:val="center"/>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87"/>
              <w:jc w:val="center"/>
              <w:rPr/>
            </w:pPr>
            <w:r>
              <w:rPr/>
              <w:t> </w:t>
            </w:r>
          </w:p>
        </w:tc>
      </w:tr>
      <w:tr>
        <w:trPr/>
        <w:tc>
          <w:tcPr>
            <w:tcW w:w="8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 *</w:t>
            </w:r>
          </w:p>
        </w:tc>
        <w:tc>
          <w:tcPr>
            <w:tcW w:w="6434" w:type="dxa"/>
            <w:tcBorders/>
            <w:tcMar>
              <w:top w:w="0" w:type="dxa"/>
              <w:left w:w="0" w:type="dxa"/>
              <w:bottom w:w="0" w:type="dxa"/>
              <w:right w:w="0" w:type="dxa"/>
            </w:tcMar>
            <w:vAlign w:val="center"/>
          </w:tcPr>
          <w:p>
            <w:pPr>
              <w:pStyle w:val="TableContents"/>
              <w:bidi w:val="0"/>
              <w:spacing w:before="0" w:after="60"/>
              <w:ind w:left="0" w:right="0" w:firstLine="87"/>
              <w:jc w:val="left"/>
              <w:rPr/>
            </w:pPr>
            <w:hyperlink w:anchor="bzai-ex10_6.htm">
              <w:r>
                <w:rPr>
                  <w:rStyle w:val="InternetLink"/>
                  <w:rFonts w:ascii="Times New Roman" w:hAnsi="Times New Roman"/>
                  <w:color w:val="0000FF"/>
                  <w:sz w:val="20"/>
                  <w:u w:val="single"/>
                </w:rPr>
                <w:t>Registration Rights Agreement, dated as of November 10, 2025, by and among the Company, Polar Long/Short Master Fund and Polar Multi-Strategy Master Fund</w:t>
              </w:r>
            </w:hyperlink>
          </w:p>
        </w:tc>
        <w:tc>
          <w:tcPr>
            <w:tcW w:w="233" w:type="dxa"/>
            <w:tcBorders/>
            <w:tcMar>
              <w:top w:w="0" w:type="dxa"/>
              <w:left w:w="0" w:type="dxa"/>
              <w:bottom w:w="0" w:type="dxa"/>
              <w:right w:w="0" w:type="dxa"/>
            </w:tcMar>
            <w:vAlign w:val="center"/>
          </w:tcPr>
          <w:p>
            <w:pPr>
              <w:pStyle w:val="TableContents"/>
              <w:bidi w:val="0"/>
              <w:spacing w:before="0" w:after="283"/>
              <w:ind w:left="0" w:right="0" w:firstLine="87"/>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ind w:left="0" w:right="0" w:firstLine="87"/>
              <w:jc w:val="center"/>
              <w:rPr/>
            </w:pPr>
            <w:r>
              <w:rPr/>
              <w:t> </w:t>
            </w:r>
          </w:p>
        </w:tc>
        <w:tc>
          <w:tcPr>
            <w:tcW w:w="233" w:type="dxa"/>
            <w:tcBorders/>
            <w:tcMar>
              <w:top w:w="0" w:type="dxa"/>
              <w:left w:w="0" w:type="dxa"/>
              <w:bottom w:w="0" w:type="dxa"/>
              <w:right w:w="0" w:type="dxa"/>
            </w:tcMar>
            <w:vAlign w:val="center"/>
          </w:tcPr>
          <w:p>
            <w:pPr>
              <w:pStyle w:val="TableContents"/>
              <w:bidi w:val="0"/>
              <w:spacing w:before="0" w:after="283"/>
              <w:ind w:left="0" w:right="0" w:firstLine="87"/>
              <w:jc w:val="center"/>
              <w:rPr/>
            </w:pPr>
            <w:r>
              <w:rPr/>
              <w:t> </w:t>
            </w:r>
          </w:p>
        </w:tc>
        <w:tc>
          <w:tcPr>
            <w:tcW w:w="744" w:type="dxa"/>
            <w:tcBorders/>
            <w:tcMar>
              <w:top w:w="0" w:type="dxa"/>
              <w:left w:w="0" w:type="dxa"/>
              <w:bottom w:w="0" w:type="dxa"/>
              <w:right w:w="0" w:type="dxa"/>
            </w:tcMar>
            <w:vAlign w:val="center"/>
          </w:tcPr>
          <w:p>
            <w:pPr>
              <w:pStyle w:val="TableContents"/>
              <w:bidi w:val="0"/>
              <w:spacing w:before="0" w:after="283"/>
              <w:ind w:left="0" w:right="0" w:firstLine="87"/>
              <w:jc w:val="center"/>
              <w:rPr/>
            </w:pPr>
            <w:r>
              <w:rPr/>
              <w:t> </w:t>
            </w:r>
          </w:p>
        </w:tc>
        <w:tc>
          <w:tcPr>
            <w:tcW w:w="233" w:type="dxa"/>
            <w:tcBorders/>
            <w:tcMar>
              <w:top w:w="0" w:type="dxa"/>
              <w:left w:w="0" w:type="dxa"/>
              <w:bottom w:w="0" w:type="dxa"/>
              <w:right w:w="0" w:type="dxa"/>
            </w:tcMar>
            <w:vAlign w:val="center"/>
          </w:tcPr>
          <w:p>
            <w:pPr>
              <w:pStyle w:val="TableContents"/>
              <w:bidi w:val="0"/>
              <w:spacing w:before="0" w:after="283"/>
              <w:ind w:left="0" w:right="0" w:firstLine="87"/>
              <w:jc w:val="center"/>
              <w:rPr/>
            </w:pPr>
            <w:r>
              <w:rPr/>
              <w:t> </w:t>
            </w:r>
          </w:p>
        </w:tc>
        <w:tc>
          <w:tcPr>
            <w:tcW w:w="716" w:type="dxa"/>
            <w:tcBorders/>
            <w:tcMar>
              <w:top w:w="0" w:type="dxa"/>
              <w:left w:w="0" w:type="dxa"/>
              <w:bottom w:w="0" w:type="dxa"/>
              <w:right w:w="0" w:type="dxa"/>
            </w:tcMar>
            <w:vAlign w:val="center"/>
          </w:tcPr>
          <w:p>
            <w:pPr>
              <w:pStyle w:val="TableContents"/>
              <w:bidi w:val="0"/>
              <w:spacing w:before="0" w:after="283"/>
              <w:ind w:left="0" w:right="0" w:firstLine="87"/>
              <w:jc w:val="center"/>
              <w:rPr/>
            </w:pPr>
            <w:r>
              <w:rPr/>
              <w:t> </w:t>
            </w:r>
          </w:p>
        </w:tc>
      </w:tr>
      <w:tr>
        <w:trPr/>
        <w:tc>
          <w:tcPr>
            <w:tcW w:w="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 *</w:t>
            </w:r>
          </w:p>
        </w:tc>
        <w:tc>
          <w:tcPr>
            <w:tcW w:w="6434" w:type="dxa"/>
            <w:tcBorders/>
            <w:shd w:fill="CFF0FC" w:val="clear"/>
            <w:tcMar>
              <w:top w:w="0" w:type="dxa"/>
              <w:left w:w="0" w:type="dxa"/>
              <w:bottom w:w="0" w:type="dxa"/>
              <w:right w:w="0" w:type="dxa"/>
            </w:tcMar>
            <w:vAlign w:val="center"/>
          </w:tcPr>
          <w:p>
            <w:pPr>
              <w:pStyle w:val="TableContents"/>
              <w:bidi w:val="0"/>
              <w:spacing w:before="0" w:after="60"/>
              <w:ind w:left="0" w:right="0" w:firstLine="87"/>
              <w:jc w:val="left"/>
              <w:rPr/>
            </w:pPr>
            <w:hyperlink w:anchor="bzai-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233" w:type="dxa"/>
            <w:tcBorders/>
            <w:shd w:fill="CFF0FC" w:val="clear"/>
            <w:tcMar>
              <w:top w:w="0" w:type="dxa"/>
              <w:left w:w="0" w:type="dxa"/>
              <w:bottom w:w="0" w:type="dxa"/>
              <w:right w:w="0" w:type="dxa"/>
            </w:tcMar>
            <w:vAlign w:val="center"/>
          </w:tcPr>
          <w:p>
            <w:pPr>
              <w:pStyle w:val="TableContents"/>
              <w:bidi w:val="0"/>
              <w:spacing w:before="0" w:after="283"/>
              <w:ind w:left="0" w:right="0" w:firstLine="87"/>
              <w:jc w:val="center"/>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ind w:left="0" w:right="0" w:firstLine="87"/>
              <w:jc w:val="center"/>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ind w:left="0" w:right="0" w:firstLine="87"/>
              <w:jc w:val="center"/>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ind w:left="0" w:right="0" w:firstLine="87"/>
              <w:jc w:val="center"/>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ind w:left="0" w:right="0" w:firstLine="87"/>
              <w:jc w:val="center"/>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87"/>
              <w:jc w:val="center"/>
              <w:rPr/>
            </w:pPr>
            <w:r>
              <w:rPr/>
              <w:t> </w:t>
            </w:r>
          </w:p>
        </w:tc>
      </w:tr>
      <w:tr>
        <w:trPr/>
        <w:tc>
          <w:tcPr>
            <w:tcW w:w="8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 *</w:t>
            </w:r>
          </w:p>
        </w:tc>
        <w:tc>
          <w:tcPr>
            <w:tcW w:w="6434" w:type="dxa"/>
            <w:tcBorders/>
            <w:tcMar>
              <w:top w:w="0" w:type="dxa"/>
              <w:left w:w="0" w:type="dxa"/>
              <w:bottom w:w="0" w:type="dxa"/>
              <w:right w:w="0" w:type="dxa"/>
            </w:tcMar>
            <w:vAlign w:val="center"/>
          </w:tcPr>
          <w:p>
            <w:pPr>
              <w:pStyle w:val="TableContents"/>
              <w:bidi w:val="0"/>
              <w:spacing w:before="0" w:after="60"/>
              <w:ind w:left="0" w:right="0" w:firstLine="87"/>
              <w:jc w:val="left"/>
              <w:rPr/>
            </w:pPr>
            <w:hyperlink w:anchor="bzai-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233" w:type="dxa"/>
            <w:tcBorders/>
            <w:tcMar>
              <w:top w:w="0" w:type="dxa"/>
              <w:left w:w="0" w:type="dxa"/>
              <w:bottom w:w="0" w:type="dxa"/>
              <w:right w:w="0" w:type="dxa"/>
            </w:tcMar>
            <w:vAlign w:val="center"/>
          </w:tcPr>
          <w:p>
            <w:pPr>
              <w:pStyle w:val="TableContents"/>
              <w:bidi w:val="0"/>
              <w:spacing w:before="0" w:after="283"/>
              <w:ind w:left="0" w:right="0" w:firstLine="87"/>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ind w:left="0" w:right="0" w:firstLine="87"/>
              <w:jc w:val="center"/>
              <w:rPr/>
            </w:pPr>
            <w:r>
              <w:rPr/>
              <w:t> </w:t>
            </w:r>
          </w:p>
        </w:tc>
        <w:tc>
          <w:tcPr>
            <w:tcW w:w="233" w:type="dxa"/>
            <w:tcBorders/>
            <w:tcMar>
              <w:top w:w="0" w:type="dxa"/>
              <w:left w:w="0" w:type="dxa"/>
              <w:bottom w:w="0" w:type="dxa"/>
              <w:right w:w="0" w:type="dxa"/>
            </w:tcMar>
            <w:vAlign w:val="center"/>
          </w:tcPr>
          <w:p>
            <w:pPr>
              <w:pStyle w:val="TableContents"/>
              <w:bidi w:val="0"/>
              <w:spacing w:before="0" w:after="283"/>
              <w:ind w:left="0" w:right="0" w:firstLine="87"/>
              <w:jc w:val="center"/>
              <w:rPr/>
            </w:pPr>
            <w:r>
              <w:rPr/>
              <w:t> </w:t>
            </w:r>
          </w:p>
        </w:tc>
        <w:tc>
          <w:tcPr>
            <w:tcW w:w="744" w:type="dxa"/>
            <w:tcBorders/>
            <w:tcMar>
              <w:top w:w="0" w:type="dxa"/>
              <w:left w:w="0" w:type="dxa"/>
              <w:bottom w:w="0" w:type="dxa"/>
              <w:right w:w="0" w:type="dxa"/>
            </w:tcMar>
            <w:vAlign w:val="center"/>
          </w:tcPr>
          <w:p>
            <w:pPr>
              <w:pStyle w:val="TableContents"/>
              <w:bidi w:val="0"/>
              <w:spacing w:before="0" w:after="283"/>
              <w:ind w:left="0" w:right="0" w:firstLine="87"/>
              <w:jc w:val="center"/>
              <w:rPr/>
            </w:pPr>
            <w:r>
              <w:rPr/>
              <w:t> </w:t>
            </w:r>
          </w:p>
        </w:tc>
        <w:tc>
          <w:tcPr>
            <w:tcW w:w="233" w:type="dxa"/>
            <w:tcBorders/>
            <w:tcMar>
              <w:top w:w="0" w:type="dxa"/>
              <w:left w:w="0" w:type="dxa"/>
              <w:bottom w:w="0" w:type="dxa"/>
              <w:right w:w="0" w:type="dxa"/>
            </w:tcMar>
            <w:vAlign w:val="center"/>
          </w:tcPr>
          <w:p>
            <w:pPr>
              <w:pStyle w:val="TableContents"/>
              <w:bidi w:val="0"/>
              <w:spacing w:before="0" w:after="283"/>
              <w:ind w:left="0" w:right="0" w:firstLine="87"/>
              <w:jc w:val="center"/>
              <w:rPr/>
            </w:pPr>
            <w:r>
              <w:rPr/>
              <w:t> </w:t>
            </w:r>
          </w:p>
        </w:tc>
        <w:tc>
          <w:tcPr>
            <w:tcW w:w="716" w:type="dxa"/>
            <w:tcBorders/>
            <w:tcMar>
              <w:top w:w="0" w:type="dxa"/>
              <w:left w:w="0" w:type="dxa"/>
              <w:bottom w:w="0" w:type="dxa"/>
              <w:right w:w="0" w:type="dxa"/>
            </w:tcMar>
            <w:vAlign w:val="center"/>
          </w:tcPr>
          <w:p>
            <w:pPr>
              <w:pStyle w:val="TableContents"/>
              <w:bidi w:val="0"/>
              <w:spacing w:before="0" w:after="283"/>
              <w:ind w:left="0" w:right="0" w:firstLine="87"/>
              <w:jc w:val="center"/>
              <w:rPr/>
            </w:pPr>
            <w:r>
              <w:rPr/>
              <w:t> </w:t>
            </w:r>
          </w:p>
        </w:tc>
      </w:tr>
      <w:tr>
        <w:trPr/>
        <w:tc>
          <w:tcPr>
            <w:tcW w:w="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 **</w:t>
            </w:r>
          </w:p>
        </w:tc>
        <w:tc>
          <w:tcPr>
            <w:tcW w:w="6434" w:type="dxa"/>
            <w:tcBorders/>
            <w:shd w:fill="CFF0FC" w:val="clear"/>
            <w:tcMar>
              <w:top w:w="0" w:type="dxa"/>
              <w:left w:w="0" w:type="dxa"/>
              <w:bottom w:w="0" w:type="dxa"/>
              <w:right w:w="0" w:type="dxa"/>
            </w:tcMar>
            <w:vAlign w:val="center"/>
          </w:tcPr>
          <w:p>
            <w:pPr>
              <w:pStyle w:val="TableContents"/>
              <w:bidi w:val="0"/>
              <w:spacing w:before="0" w:after="60"/>
              <w:ind w:left="0" w:right="0" w:firstLine="87"/>
              <w:jc w:val="left"/>
              <w:rPr/>
            </w:pPr>
            <w:hyperlink w:anchor="bzai-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c>
          <w:tcPr>
            <w:tcW w:w="233" w:type="dxa"/>
            <w:tcBorders/>
            <w:shd w:fill="CFF0FC" w:val="clear"/>
            <w:tcMar>
              <w:top w:w="0" w:type="dxa"/>
              <w:left w:w="0" w:type="dxa"/>
              <w:bottom w:w="0" w:type="dxa"/>
              <w:right w:w="0" w:type="dxa"/>
            </w:tcMar>
            <w:vAlign w:val="center"/>
          </w:tcPr>
          <w:p>
            <w:pPr>
              <w:pStyle w:val="TableContents"/>
              <w:bidi w:val="0"/>
              <w:spacing w:before="0" w:after="283"/>
              <w:ind w:left="0" w:right="0" w:firstLine="87"/>
              <w:jc w:val="center"/>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ind w:left="0" w:right="0" w:firstLine="87"/>
              <w:jc w:val="center"/>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ind w:left="0" w:right="0" w:firstLine="87"/>
              <w:jc w:val="center"/>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ind w:left="0" w:right="0" w:firstLine="87"/>
              <w:jc w:val="center"/>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ind w:left="0" w:right="0" w:firstLine="87"/>
              <w:jc w:val="center"/>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87"/>
              <w:jc w:val="center"/>
              <w:rPr/>
            </w:pPr>
            <w:r>
              <w:rPr/>
              <w:t> </w:t>
            </w:r>
          </w:p>
        </w:tc>
      </w:tr>
      <w:tr>
        <w:trPr/>
        <w:tc>
          <w:tcPr>
            <w:tcW w:w="8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 **</w:t>
            </w:r>
          </w:p>
        </w:tc>
        <w:tc>
          <w:tcPr>
            <w:tcW w:w="6434" w:type="dxa"/>
            <w:tcBorders/>
            <w:tcMar>
              <w:top w:w="0" w:type="dxa"/>
              <w:left w:w="0" w:type="dxa"/>
              <w:bottom w:w="0" w:type="dxa"/>
              <w:right w:w="0" w:type="dxa"/>
            </w:tcMar>
            <w:vAlign w:val="center"/>
          </w:tcPr>
          <w:p>
            <w:pPr>
              <w:pStyle w:val="TableContents"/>
              <w:bidi w:val="0"/>
              <w:spacing w:before="0" w:after="60"/>
              <w:ind w:left="0" w:right="0" w:firstLine="87"/>
              <w:jc w:val="left"/>
              <w:rPr/>
            </w:pPr>
            <w:hyperlink w:anchor="bzai-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c>
          <w:tcPr>
            <w:tcW w:w="233" w:type="dxa"/>
            <w:tcBorders/>
            <w:tcMar>
              <w:top w:w="0" w:type="dxa"/>
              <w:left w:w="0" w:type="dxa"/>
              <w:bottom w:w="0" w:type="dxa"/>
              <w:right w:w="0" w:type="dxa"/>
            </w:tcMar>
            <w:vAlign w:val="center"/>
          </w:tcPr>
          <w:p>
            <w:pPr>
              <w:pStyle w:val="TableContents"/>
              <w:bidi w:val="0"/>
              <w:spacing w:before="0" w:after="283"/>
              <w:ind w:left="0" w:right="0" w:firstLine="87"/>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ind w:left="0" w:right="0" w:firstLine="87"/>
              <w:jc w:val="center"/>
              <w:rPr/>
            </w:pPr>
            <w:r>
              <w:rPr/>
              <w:t> </w:t>
            </w:r>
          </w:p>
        </w:tc>
        <w:tc>
          <w:tcPr>
            <w:tcW w:w="233" w:type="dxa"/>
            <w:tcBorders/>
            <w:tcMar>
              <w:top w:w="0" w:type="dxa"/>
              <w:left w:w="0" w:type="dxa"/>
              <w:bottom w:w="0" w:type="dxa"/>
              <w:right w:w="0" w:type="dxa"/>
            </w:tcMar>
            <w:vAlign w:val="center"/>
          </w:tcPr>
          <w:p>
            <w:pPr>
              <w:pStyle w:val="TableContents"/>
              <w:bidi w:val="0"/>
              <w:spacing w:before="0" w:after="283"/>
              <w:ind w:left="0" w:right="0" w:firstLine="87"/>
              <w:jc w:val="center"/>
              <w:rPr/>
            </w:pPr>
            <w:r>
              <w:rPr/>
              <w:t> </w:t>
            </w:r>
          </w:p>
        </w:tc>
        <w:tc>
          <w:tcPr>
            <w:tcW w:w="744" w:type="dxa"/>
            <w:tcBorders/>
            <w:tcMar>
              <w:top w:w="0" w:type="dxa"/>
              <w:left w:w="0" w:type="dxa"/>
              <w:bottom w:w="0" w:type="dxa"/>
              <w:right w:w="0" w:type="dxa"/>
            </w:tcMar>
            <w:vAlign w:val="center"/>
          </w:tcPr>
          <w:p>
            <w:pPr>
              <w:pStyle w:val="TableContents"/>
              <w:bidi w:val="0"/>
              <w:spacing w:before="0" w:after="283"/>
              <w:ind w:left="0" w:right="0" w:firstLine="87"/>
              <w:jc w:val="center"/>
              <w:rPr/>
            </w:pPr>
            <w:r>
              <w:rPr/>
              <w:t> </w:t>
            </w:r>
          </w:p>
        </w:tc>
        <w:tc>
          <w:tcPr>
            <w:tcW w:w="233" w:type="dxa"/>
            <w:tcBorders/>
            <w:tcMar>
              <w:top w:w="0" w:type="dxa"/>
              <w:left w:w="0" w:type="dxa"/>
              <w:bottom w:w="0" w:type="dxa"/>
              <w:right w:w="0" w:type="dxa"/>
            </w:tcMar>
            <w:vAlign w:val="center"/>
          </w:tcPr>
          <w:p>
            <w:pPr>
              <w:pStyle w:val="TableContents"/>
              <w:bidi w:val="0"/>
              <w:spacing w:before="0" w:after="283"/>
              <w:ind w:left="0" w:right="0" w:firstLine="87"/>
              <w:jc w:val="center"/>
              <w:rPr/>
            </w:pPr>
            <w:r>
              <w:rPr/>
              <w:t> </w:t>
            </w:r>
          </w:p>
        </w:tc>
        <w:tc>
          <w:tcPr>
            <w:tcW w:w="716" w:type="dxa"/>
            <w:tcBorders/>
            <w:tcMar>
              <w:top w:w="0" w:type="dxa"/>
              <w:left w:w="0" w:type="dxa"/>
              <w:bottom w:w="0" w:type="dxa"/>
              <w:right w:w="0" w:type="dxa"/>
            </w:tcMar>
            <w:vAlign w:val="center"/>
          </w:tcPr>
          <w:p>
            <w:pPr>
              <w:pStyle w:val="TableContents"/>
              <w:bidi w:val="0"/>
              <w:spacing w:before="0" w:after="283"/>
              <w:ind w:left="0" w:right="0" w:firstLine="87"/>
              <w:jc w:val="center"/>
              <w:rPr/>
            </w:pPr>
            <w:r>
              <w:rPr/>
              <w:t> </w:t>
            </w:r>
          </w:p>
        </w:tc>
      </w:tr>
      <w:tr>
        <w:trPr/>
        <w:tc>
          <w:tcPr>
            <w:tcW w:w="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6434" w:type="dxa"/>
            <w:tcBorders/>
            <w:shd w:fill="CFF0FC" w:val="clear"/>
            <w:tcMar>
              <w:top w:w="0" w:type="dxa"/>
              <w:left w:w="0" w:type="dxa"/>
              <w:bottom w:w="0" w:type="dxa"/>
              <w:right w:w="0" w:type="dxa"/>
            </w:tcMar>
            <w:vAlign w:val="center"/>
          </w:tcPr>
          <w:p>
            <w:pPr>
              <w:pStyle w:val="TableContents"/>
              <w:bidi w:val="0"/>
              <w:spacing w:before="0" w:after="60"/>
              <w:ind w:left="0" w:right="0" w:firstLine="87"/>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c>
          <w:tcPr>
            <w:tcW w:w="233" w:type="dxa"/>
            <w:tcBorders/>
            <w:shd w:fill="CFF0FC" w:val="clear"/>
            <w:tcMar>
              <w:top w:w="0" w:type="dxa"/>
              <w:left w:w="0" w:type="dxa"/>
              <w:bottom w:w="0" w:type="dxa"/>
              <w:right w:w="0" w:type="dxa"/>
            </w:tcMar>
            <w:vAlign w:val="center"/>
          </w:tcPr>
          <w:p>
            <w:pPr>
              <w:pStyle w:val="TableContents"/>
              <w:bidi w:val="0"/>
              <w:spacing w:before="0" w:after="283"/>
              <w:ind w:left="0" w:right="0" w:firstLine="87"/>
              <w:jc w:val="center"/>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ind w:left="0" w:right="0" w:firstLine="87"/>
              <w:jc w:val="center"/>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ind w:left="0" w:right="0" w:firstLine="87"/>
              <w:jc w:val="center"/>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ind w:left="0" w:right="0" w:firstLine="87"/>
              <w:jc w:val="center"/>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ind w:left="0" w:right="0" w:firstLine="87"/>
              <w:jc w:val="center"/>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87"/>
              <w:jc w:val="center"/>
              <w:rPr/>
            </w:pPr>
            <w:r>
              <w:rPr/>
              <w:t> </w:t>
            </w:r>
          </w:p>
        </w:tc>
      </w:tr>
      <w:tr>
        <w:trPr/>
        <w:tc>
          <w:tcPr>
            <w:tcW w:w="8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6434" w:type="dxa"/>
            <w:tcBorders/>
            <w:tcMar>
              <w:top w:w="0" w:type="dxa"/>
              <w:left w:w="0" w:type="dxa"/>
              <w:bottom w:w="0" w:type="dxa"/>
              <w:right w:w="0" w:type="dxa"/>
            </w:tcMar>
            <w:vAlign w:val="center"/>
          </w:tcPr>
          <w:p>
            <w:pPr>
              <w:pStyle w:val="TableContents"/>
              <w:bidi w:val="0"/>
              <w:spacing w:before="0" w:after="60"/>
              <w:ind w:left="0" w:right="0" w:firstLine="87"/>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233" w:type="dxa"/>
            <w:tcBorders/>
            <w:tcMar>
              <w:top w:w="0" w:type="dxa"/>
              <w:left w:w="0" w:type="dxa"/>
              <w:bottom w:w="0" w:type="dxa"/>
              <w:right w:w="0" w:type="dxa"/>
            </w:tcMar>
            <w:vAlign w:val="center"/>
          </w:tcPr>
          <w:p>
            <w:pPr>
              <w:pStyle w:val="TableContents"/>
              <w:bidi w:val="0"/>
              <w:spacing w:before="0" w:after="283"/>
              <w:ind w:left="0" w:right="0" w:firstLine="87"/>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ind w:left="0" w:right="0" w:firstLine="87"/>
              <w:jc w:val="center"/>
              <w:rPr/>
            </w:pPr>
            <w:r>
              <w:rPr/>
              <w:t> </w:t>
            </w:r>
          </w:p>
        </w:tc>
        <w:tc>
          <w:tcPr>
            <w:tcW w:w="233" w:type="dxa"/>
            <w:tcBorders/>
            <w:tcMar>
              <w:top w:w="0" w:type="dxa"/>
              <w:left w:w="0" w:type="dxa"/>
              <w:bottom w:w="0" w:type="dxa"/>
              <w:right w:w="0" w:type="dxa"/>
            </w:tcMar>
            <w:vAlign w:val="center"/>
          </w:tcPr>
          <w:p>
            <w:pPr>
              <w:pStyle w:val="TableContents"/>
              <w:bidi w:val="0"/>
              <w:spacing w:before="0" w:after="283"/>
              <w:ind w:left="0" w:right="0" w:firstLine="87"/>
              <w:jc w:val="center"/>
              <w:rPr/>
            </w:pPr>
            <w:r>
              <w:rPr/>
              <w:t> </w:t>
            </w:r>
          </w:p>
        </w:tc>
        <w:tc>
          <w:tcPr>
            <w:tcW w:w="744" w:type="dxa"/>
            <w:tcBorders/>
            <w:tcMar>
              <w:top w:w="0" w:type="dxa"/>
              <w:left w:w="0" w:type="dxa"/>
              <w:bottom w:w="0" w:type="dxa"/>
              <w:right w:w="0" w:type="dxa"/>
            </w:tcMar>
            <w:vAlign w:val="center"/>
          </w:tcPr>
          <w:p>
            <w:pPr>
              <w:pStyle w:val="TableContents"/>
              <w:bidi w:val="0"/>
              <w:spacing w:before="0" w:after="283"/>
              <w:ind w:left="0" w:right="0" w:firstLine="87"/>
              <w:jc w:val="center"/>
              <w:rPr/>
            </w:pPr>
            <w:r>
              <w:rPr/>
              <w:t> </w:t>
            </w:r>
          </w:p>
        </w:tc>
        <w:tc>
          <w:tcPr>
            <w:tcW w:w="233" w:type="dxa"/>
            <w:tcBorders/>
            <w:tcMar>
              <w:top w:w="0" w:type="dxa"/>
              <w:left w:w="0" w:type="dxa"/>
              <w:bottom w:w="0" w:type="dxa"/>
              <w:right w:w="0" w:type="dxa"/>
            </w:tcMar>
            <w:vAlign w:val="center"/>
          </w:tcPr>
          <w:p>
            <w:pPr>
              <w:pStyle w:val="TableContents"/>
              <w:bidi w:val="0"/>
              <w:spacing w:before="0" w:after="283"/>
              <w:ind w:left="0" w:right="0" w:firstLine="87"/>
              <w:jc w:val="center"/>
              <w:rPr/>
            </w:pPr>
            <w:r>
              <w:rPr/>
              <w:t> </w:t>
            </w:r>
          </w:p>
        </w:tc>
        <w:tc>
          <w:tcPr>
            <w:tcW w:w="716" w:type="dxa"/>
            <w:tcBorders/>
            <w:tcMar>
              <w:top w:w="0" w:type="dxa"/>
              <w:left w:w="0" w:type="dxa"/>
              <w:bottom w:w="0" w:type="dxa"/>
              <w:right w:w="0" w:type="dxa"/>
            </w:tcMar>
            <w:vAlign w:val="center"/>
          </w:tcPr>
          <w:p>
            <w:pPr>
              <w:pStyle w:val="TableContents"/>
              <w:bidi w:val="0"/>
              <w:spacing w:before="0" w:after="283"/>
              <w:ind w:left="0" w:right="0" w:firstLine="87"/>
              <w:jc w:val="center"/>
              <w:rPr/>
            </w:pPr>
            <w:r>
              <w:rPr/>
              <w:t> </w:t>
            </w:r>
          </w:p>
        </w:tc>
      </w:tr>
      <w:tr>
        <w:trPr/>
        <w:tc>
          <w:tcPr>
            <w:tcW w:w="831" w:type="dxa"/>
            <w:tcBorders/>
            <w:shd w:fill="CFF0FC" w:val="clear"/>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104</w:t>
            </w:r>
          </w:p>
        </w:tc>
        <w:tc>
          <w:tcPr>
            <w:tcW w:w="6434" w:type="dxa"/>
            <w:tcBorders/>
            <w:shd w:fill="CFF0FC" w:val="clear"/>
            <w:tcMar>
              <w:top w:w="0" w:type="dxa"/>
              <w:left w:w="0" w:type="dxa"/>
              <w:bottom w:w="0" w:type="dxa"/>
              <w:right w:w="0" w:type="dxa"/>
            </w:tcMar>
            <w:vAlign w:val="center"/>
          </w:tcPr>
          <w:p>
            <w:pPr>
              <w:pStyle w:val="TableContents"/>
              <w:bidi w:val="0"/>
              <w:spacing w:before="0" w:after="283"/>
              <w:ind w:left="0" w:right="0" w:firstLine="87"/>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233" w:type="dxa"/>
            <w:tcBorders/>
            <w:shd w:fill="CFF0FC" w:val="clear"/>
            <w:tcMar>
              <w:top w:w="0" w:type="dxa"/>
              <w:left w:w="0" w:type="dxa"/>
              <w:bottom w:w="0" w:type="dxa"/>
              <w:right w:w="0" w:type="dxa"/>
            </w:tcMar>
            <w:vAlign w:val="center"/>
          </w:tcPr>
          <w:p>
            <w:pPr>
              <w:pStyle w:val="TableContents"/>
              <w:bidi w:val="0"/>
              <w:spacing w:before="0" w:after="283"/>
              <w:ind w:left="0" w:right="0" w:firstLine="87"/>
              <w:jc w:val="center"/>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ind w:left="0" w:right="0" w:firstLine="87"/>
              <w:jc w:val="center"/>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ind w:left="0" w:right="0" w:firstLine="87"/>
              <w:jc w:val="center"/>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ind w:left="0" w:right="0" w:firstLine="87"/>
              <w:jc w:val="center"/>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ind w:left="0" w:right="0" w:firstLine="87"/>
              <w:jc w:val="center"/>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87"/>
              <w:jc w:val="center"/>
              <w:rPr/>
            </w:pPr>
            <w:r>
              <w:rPr/>
              <w:t> </w:t>
            </w:r>
          </w:p>
        </w:tc>
      </w:tr>
    </w:tbl>
    <w:p>
      <w:pPr>
        <w:pStyle w:val="TextBody"/>
        <w:bidi w:val="0"/>
        <w:spacing w:before="60" w:after="60"/>
        <w:jc w:val="both"/>
        <w:rPr/>
      </w:pPr>
      <w:r>
        <w:rPr/>
        <w:t> </w:t>
      </w:r>
    </w:p>
    <w:p>
      <w:pPr>
        <w:pStyle w:val="TextBody"/>
        <w:bidi w:val="0"/>
        <w:spacing w:before="0" w:after="60"/>
        <w:jc w:val="both"/>
        <w:rPr>
          <w:rFonts w:ascii="Times New Roman" w:hAnsi="Times New Roman"/>
          <w:color w:val="000000"/>
          <w:sz w:val="20"/>
        </w:rPr>
      </w:pPr>
      <w:r>
        <w:rPr>
          <w:rFonts w:ascii="Times New Roman" w:hAnsi="Times New Roman"/>
          <w:color w:val="000000"/>
          <w:sz w:val="20"/>
        </w:rPr>
        <w:t>* Filed herewith</w:t>
      </w:r>
    </w:p>
    <w:p>
      <w:pPr>
        <w:pStyle w:val="TextBody"/>
        <w:bidi w:val="0"/>
        <w:spacing w:before="0" w:after="60"/>
        <w:jc w:val="both"/>
        <w:rPr>
          <w:rFonts w:ascii="Times New Roman" w:hAnsi="Times New Roman"/>
          <w:color w:val="000000"/>
          <w:sz w:val="20"/>
        </w:rPr>
      </w:pPr>
      <w:r>
        <w:rPr>
          <w:rFonts w:ascii="Times New Roman" w:hAnsi="Times New Roman"/>
          <w:color w:val="000000"/>
          <w:sz w:val="20"/>
        </w:rPr>
        <w:t>** Exhibit is being furnished and shall not be deemed to be “filed” for purposes of Section 18 of the Securities Exchange Act of 1934, as amended, or otherwise subject to the liabilities of that section, nor shall it be deemed incorporated by reference into any filing under the Securities Act of 1933, as amended, or the Securities Exchange Act of 1934, as amended</w:t>
      </w:r>
    </w:p>
    <w:p>
      <w:pPr>
        <w:pStyle w:val="TextBody"/>
        <w:bidi w:val="0"/>
        <w:spacing w:before="0" w:after="60"/>
        <w:jc w:val="both"/>
        <w:rPr>
          <w:rFonts w:ascii="Times New Roman" w:hAnsi="Times New Roman"/>
          <w:color w:val="000000"/>
          <w:sz w:val="20"/>
        </w:rPr>
      </w:pPr>
      <w:r>
        <w:rPr>
          <w:rFonts w:ascii="Times New Roman" w:hAnsi="Times New Roman"/>
          <w:color w:val="000000"/>
          <w:sz w:val="20"/>
        </w:rPr>
        <w:t>+ Management contract or compensatory plan or arrangement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2"/>
        </w:rPr>
      </w:pPr>
      <w:bookmarkStart w:id="19" w:name="signatures"/>
      <w:bookmarkEnd w:id="19"/>
      <w:r>
        <w:rPr>
          <w:rFonts w:ascii="Times New Roman" w:hAnsi="Times New Roman"/>
          <w:b/>
          <w:color w:val="000000"/>
          <w:sz w:val="22"/>
        </w:rPr>
        <w:t>SIGNATURES</w:t>
      </w:r>
    </w:p>
    <w:p>
      <w:pPr>
        <w:pStyle w:val="TextBody"/>
        <w:bidi w:val="0"/>
        <w:jc w:val="center"/>
        <w:rPr/>
      </w:pPr>
      <w:r>
        <w:rPr/>
        <w:t> </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both"/>
        <w:rPr/>
      </w:pPr>
      <w:r>
        <w:rPr/>
        <w:t> </w:t>
      </w:r>
    </w:p>
    <w:tbl>
      <w:tblPr>
        <w:tblW w:w="6378" w:type="dxa"/>
        <w:jc w:val="left"/>
        <w:tblInd w:w="0" w:type="dxa"/>
        <w:tblLayout w:type="fixed"/>
        <w:tblCellMar>
          <w:top w:w="28" w:type="dxa"/>
          <w:left w:w="28" w:type="dxa"/>
          <w:bottom w:w="28" w:type="dxa"/>
          <w:right w:w="28" w:type="dxa"/>
        </w:tblCellMar>
      </w:tblPr>
      <w:tblGrid>
        <w:gridCol w:w="2206"/>
        <w:gridCol w:w="406"/>
        <w:gridCol w:w="3766"/>
      </w:tblGrid>
      <w:tr>
        <w:trPr/>
        <w:tc>
          <w:tcPr>
            <w:tcW w:w="22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BLAIZE HOLDINGS, INC.</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 November 13, 2025</w:t>
            </w:r>
          </w:p>
        </w:tc>
        <w:tc>
          <w:tcPr>
            <w:tcW w:w="406"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120" w:after="283"/>
              <w:jc w:val="left"/>
              <w:rPr>
                <w:rFonts w:ascii="Times New Roman" w:hAnsi="Times New Roman"/>
                <w:i/>
                <w:color w:val="000000"/>
                <w:sz w:val="20"/>
              </w:rPr>
            </w:pPr>
            <w:r>
              <w:rPr>
                <w:rFonts w:ascii="Times New Roman" w:hAnsi="Times New Roman"/>
                <w:i/>
                <w:color w:val="000000"/>
                <w:sz w:val="20"/>
              </w:rPr>
              <w:t>/s/ Dinakar Munagala</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Dinakar Munagala</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Chief Executive Officer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 November 13, 2025</w:t>
            </w:r>
          </w:p>
        </w:tc>
        <w:tc>
          <w:tcPr>
            <w:tcW w:w="406"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4" w:space="0" w:color="000000"/>
            </w:tcBorders>
            <w:shd w:fill="FFFFFF" w:val="clear"/>
            <w:tcMar>
              <w:top w:w="0" w:type="dxa"/>
              <w:left w:w="0" w:type="dxa"/>
              <w:right w:w="0" w:type="dxa"/>
            </w:tcMar>
            <w:vAlign w:val="center"/>
          </w:tcPr>
          <w:p>
            <w:pPr>
              <w:pStyle w:val="TableContents"/>
              <w:bidi w:val="0"/>
              <w:spacing w:before="120" w:after="283"/>
              <w:jc w:val="left"/>
              <w:rPr>
                <w:rFonts w:ascii="Times New Roman" w:hAnsi="Times New Roman"/>
                <w:i/>
                <w:color w:val="000000"/>
                <w:sz w:val="20"/>
              </w:rPr>
            </w:pPr>
            <w:r>
              <w:rPr>
                <w:rFonts w:ascii="Times New Roman" w:hAnsi="Times New Roman"/>
                <w:i/>
                <w:color w:val="000000"/>
                <w:sz w:val="20"/>
              </w:rPr>
              <w:t>/s/ Harminder Sehmi</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Harminder Sehmi</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20" w:name="bzai-ex10_4.htm"/>
      <w:bookmarkStart w:id="21" w:name="ksbzaiex10_4"/>
      <w:bookmarkEnd w:id="20"/>
      <w:bookmarkEnd w:id="21"/>
      <w:r>
        <w:rPr>
          <w:rFonts w:ascii="Times New Roman" w:hAnsi="Times New Roman"/>
          <w:b/>
          <w:color w:val="000000"/>
          <w:sz w:val="22"/>
        </w:rPr>
        <w:t>Exhibit 10.4</w:t>
      </w:r>
      <w:r>
        <w:br w:type="page"/>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SECURITIES PURCHASE AGREEMENT</w:t>
      </w:r>
    </w:p>
    <w:p>
      <w:pPr>
        <w:pStyle w:val="TextBody"/>
        <w:bidi w:val="0"/>
        <w:spacing w:before="0" w:after="240"/>
        <w:jc w:val="both"/>
        <w:rPr>
          <w:rFonts w:ascii="Times New Roman" w:hAnsi="Times New Roman"/>
          <w:sz w:val="20"/>
        </w:rPr>
      </w:pPr>
      <w:r>
        <w:rPr>
          <w:rFonts w:ascii="Times New Roman" w:hAnsi="Times New Roman"/>
          <w:color w:val="000000"/>
          <w:sz w:val="24"/>
        </w:rPr>
        <w:t>This Securities Purchase Agreement (this “</w:t>
      </w:r>
      <w:r>
        <w:rPr>
          <w:rFonts w:ascii="Times New Roman" w:hAnsi="Times New Roman"/>
          <w:color w:val="000000"/>
          <w:sz w:val="24"/>
          <w:u w:val="single"/>
        </w:rPr>
        <w:t>Agreement</w:t>
      </w:r>
      <w:r>
        <w:rPr>
          <w:rFonts w:ascii="Times New Roman" w:hAnsi="Times New Roman"/>
          <w:color w:val="000000"/>
          <w:sz w:val="20"/>
        </w:rPr>
        <w:t>”</w:t>
      </w:r>
      <w:r>
        <w:rPr>
          <w:rFonts w:ascii="Times New Roman" w:hAnsi="Times New Roman"/>
          <w:color w:val="000000"/>
          <w:sz w:val="24"/>
        </w:rPr>
        <w:t>) is dated as of November 10, 2025, between Blaize Holdings, Inc., a Delaware corporation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and each purchaser identified on the signature pages hereto (each, including its successors and assigns, a “</w:t>
      </w:r>
      <w:r>
        <w:rPr>
          <w:rFonts w:ascii="Times New Roman" w:hAnsi="Times New Roman"/>
          <w:color w:val="000000"/>
          <w:sz w:val="24"/>
          <w:u w:val="single"/>
        </w:rPr>
        <w:t>Purchaser</w:t>
      </w:r>
      <w:r>
        <w:rPr>
          <w:rFonts w:ascii="Times New Roman" w:hAnsi="Times New Roman"/>
          <w:color w:val="000000"/>
          <w:sz w:val="20"/>
        </w:rPr>
        <w:t xml:space="preserve">” </w:t>
      </w:r>
      <w:r>
        <w:rPr>
          <w:rFonts w:ascii="Times New Roman" w:hAnsi="Times New Roman"/>
          <w:color w:val="000000"/>
          <w:sz w:val="24"/>
        </w:rPr>
        <w:t>and collectively, the “</w:t>
      </w:r>
      <w:r>
        <w:rPr>
          <w:rFonts w:ascii="Times New Roman" w:hAnsi="Times New Roman"/>
          <w:color w:val="000000"/>
          <w:sz w:val="24"/>
          <w:u w:val="single"/>
        </w:rPr>
        <w:t>Purchasers</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subject to the terms and conditions set forth in this Agreement and pursuant to Section 4(a)(2) of the Securities Act (as defined below), and Rule 506 promulgated thereunder, the Company desires to issue and sell to each Purchaser, and each Purchaser, severally and not jointly, desires to purchase from the Company, securities of the Company as more fully described in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NOW, THEREFORE, IN CONSIDERATION of the mutual covenants contained in this Agreement, and for other good and valuable consideration, the receipt and adequacy of which are hereby acknowledged, the Company and each Purchaser agrees as follows:</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ARTICLE I.</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br/>
        <w:t>DEFINITIONS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w:t>
      </w:r>
    </w:p>
    <w:p>
      <w:pPr>
        <w:pStyle w:val="TextBody"/>
        <w:bidi w:val="0"/>
        <w:spacing w:before="0" w:after="240"/>
        <w:jc w:val="both"/>
        <w:rPr/>
      </w:pPr>
      <w:r>
        <w:rPr>
          <w:rFonts w:ascii="Times New Roman" w:hAnsi="Times New Roman"/>
          <w:color w:val="000000"/>
          <w:sz w:val="24"/>
          <w:u w:val="single"/>
        </w:rPr>
        <w:t>Definitions</w:t>
      </w:r>
      <w:r>
        <w:rPr>
          <w:rFonts w:ascii="Times New Roman" w:hAnsi="Times New Roman"/>
          <w:color w:val="000000"/>
          <w:sz w:val="24"/>
        </w:rPr>
        <w:t>. In addition to the terms defined elsewhere in this Agreement, for all purposes of this Agreement, the following terms have the meanings set forth in this Section 1.1:</w:t>
      </w:r>
    </w:p>
    <w:p>
      <w:pPr>
        <w:pStyle w:val="Heading2"/>
        <w:bidi w:val="0"/>
        <w:spacing w:before="0" w:after="240"/>
        <w:jc w:val="both"/>
        <w:rPr/>
      </w:pPr>
      <w:r>
        <w:rPr>
          <w:color w:val="000000"/>
        </w:rPr>
        <w:t>“</w:t>
      </w:r>
      <w:r>
        <w:rPr>
          <w:rFonts w:ascii="Times New Roman" w:hAnsi="Times New Roman"/>
          <w:b w:val="false"/>
          <w:color w:val="000000"/>
          <w:sz w:val="24"/>
          <w:u w:val="single"/>
        </w:rPr>
        <w:t>Acquiring Person</w:t>
      </w:r>
      <w:r>
        <w:rPr>
          <w:rFonts w:ascii="Times New Roman" w:hAnsi="Times New Roman"/>
          <w:color w:val="000000"/>
          <w:sz w:val="20"/>
        </w:rPr>
        <w:t xml:space="preserve">” </w:t>
      </w:r>
      <w:r>
        <w:rPr>
          <w:rFonts w:ascii="Times New Roman" w:hAnsi="Times New Roman"/>
          <w:b w:val="false"/>
          <w:color w:val="000000"/>
          <w:sz w:val="24"/>
        </w:rPr>
        <w:t>shall have the meaning ascribed to such term in Section 4.5.</w:t>
      </w:r>
    </w:p>
    <w:p>
      <w:pPr>
        <w:pStyle w:val="TextBody"/>
        <w:bidi w:val="0"/>
        <w:spacing w:before="0" w:after="240"/>
        <w:jc w:val="both"/>
        <w:rPr/>
      </w:pPr>
      <w:r>
        <w:rPr>
          <w:color w:val="000000"/>
        </w:rPr>
        <w:t>“</w:t>
      </w:r>
      <w:r>
        <w:rPr>
          <w:rFonts w:ascii="Times New Roman" w:hAnsi="Times New Roman"/>
          <w:color w:val="000000"/>
          <w:sz w:val="24"/>
          <w:u w:val="single"/>
        </w:rPr>
        <w:t>Action</w:t>
      </w:r>
      <w:r>
        <w:rPr>
          <w:rFonts w:ascii="Times New Roman" w:hAnsi="Times New Roman"/>
          <w:color w:val="000000"/>
          <w:sz w:val="20"/>
        </w:rPr>
        <w:t xml:space="preserve">” </w:t>
      </w:r>
      <w:r>
        <w:rPr>
          <w:rFonts w:ascii="Times New Roman" w:hAnsi="Times New Roman"/>
          <w:color w:val="000000"/>
          <w:sz w:val="24"/>
        </w:rPr>
        <w:t>shall have the meaning ascribed to such term in Section 3.1(j).</w:t>
      </w:r>
    </w:p>
    <w:p>
      <w:pPr>
        <w:pStyle w:val="TextBody"/>
        <w:bidi w:val="0"/>
        <w:spacing w:before="0" w:after="240"/>
        <w:jc w:val="both"/>
        <w:rPr/>
      </w:pPr>
      <w:r>
        <w:rPr>
          <w:color w:val="000000"/>
        </w:rPr>
        <w:t>“</w:t>
      </w:r>
      <w:r>
        <w:rPr>
          <w:rFonts w:ascii="Times New Roman" w:hAnsi="Times New Roman"/>
          <w:color w:val="000000"/>
          <w:sz w:val="24"/>
          <w:u w:val="single"/>
        </w:rPr>
        <w:t>Affiliate</w:t>
      </w:r>
      <w:r>
        <w:rPr>
          <w:rFonts w:ascii="Times New Roman" w:hAnsi="Times New Roman"/>
          <w:color w:val="000000"/>
          <w:sz w:val="20"/>
        </w:rPr>
        <w:t xml:space="preserve">” </w:t>
      </w:r>
      <w:r>
        <w:rPr>
          <w:rFonts w:ascii="Times New Roman" w:hAnsi="Times New Roman"/>
          <w:color w:val="000000"/>
          <w:sz w:val="24"/>
        </w:rPr>
        <w:t>means any Person that, directly or indirectly through one or more intermediaries, controls or is controlled by or is under common control with a Person, as such terms are used in and construed under Rule 405 under the Securities Act.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BHCA</w:t>
      </w:r>
      <w:r>
        <w:rPr>
          <w:rFonts w:ascii="Times New Roman" w:hAnsi="Times New Roman"/>
          <w:color w:val="000000"/>
          <w:sz w:val="20"/>
        </w:rPr>
        <w:t xml:space="preserve">” </w:t>
      </w:r>
      <w:r>
        <w:rPr>
          <w:rFonts w:ascii="Times New Roman" w:hAnsi="Times New Roman"/>
          <w:color w:val="000000"/>
          <w:sz w:val="24"/>
        </w:rPr>
        <w:t>shall have the meaning ascribed to such term in Section 3.1(rr).</w:t>
      </w:r>
    </w:p>
    <w:p>
      <w:pPr>
        <w:pStyle w:val="TextBody"/>
        <w:bidi w:val="0"/>
        <w:spacing w:before="0" w:after="240"/>
        <w:jc w:val="both"/>
        <w:rPr/>
      </w:pPr>
      <w:r>
        <w:rPr>
          <w:color w:val="000000"/>
        </w:rPr>
        <w:t>“</w:t>
      </w:r>
      <w:r>
        <w:rPr>
          <w:rFonts w:ascii="Times New Roman" w:hAnsi="Times New Roman"/>
          <w:color w:val="000000"/>
          <w:sz w:val="24"/>
          <w:u w:val="single"/>
        </w:rPr>
        <w:t>Board of Directors</w:t>
      </w:r>
      <w:r>
        <w:rPr>
          <w:rFonts w:ascii="Times New Roman" w:hAnsi="Times New Roman"/>
          <w:color w:val="000000"/>
          <w:sz w:val="20"/>
        </w:rPr>
        <w:t xml:space="preserve">” </w:t>
      </w:r>
      <w:r>
        <w:rPr>
          <w:rFonts w:ascii="Times New Roman" w:hAnsi="Times New Roman"/>
          <w:color w:val="000000"/>
          <w:sz w:val="24"/>
        </w:rPr>
        <w:t>means the board of directors of the Company.</w:t>
      </w:r>
    </w:p>
    <w:p>
      <w:pPr>
        <w:pStyle w:val="TextBody"/>
        <w:bidi w:val="0"/>
        <w:spacing w:before="0" w:after="240"/>
        <w:jc w:val="both"/>
        <w:rPr/>
      </w:pPr>
      <w:r>
        <w:rPr>
          <w:color w:val="000000"/>
        </w:rPr>
        <w:t>“</w:t>
      </w:r>
      <w:r>
        <w:rPr>
          <w:rFonts w:ascii="Times New Roman" w:hAnsi="Times New Roman"/>
          <w:color w:val="000000"/>
          <w:sz w:val="24"/>
          <w:u w:val="single"/>
        </w:rPr>
        <w:t>Business Day</w:t>
      </w:r>
      <w:r>
        <w:rPr>
          <w:rFonts w:ascii="Times New Roman" w:hAnsi="Times New Roman"/>
          <w:color w:val="000000"/>
          <w:sz w:val="20"/>
        </w:rPr>
        <w:t xml:space="preserve">” </w:t>
      </w:r>
      <w:r>
        <w:rPr>
          <w:rFonts w:ascii="Times New Roman" w:hAnsi="Times New Roman"/>
          <w:color w:val="000000"/>
          <w:sz w:val="24"/>
        </w:rPr>
        <w:t xml:space="preserve">means any day other than Saturday, Sunday or other day on which commercial banks in The City of New York are authorized or required by law to remain closed;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w:t>
      </w:r>
    </w:p>
    <w:p>
      <w:pPr>
        <w:pStyle w:val="TextBody"/>
        <w:bidi w:val="0"/>
        <w:spacing w:before="0" w:after="240"/>
        <w:jc w:val="both"/>
        <w:rPr/>
      </w:pPr>
      <w:r>
        <w:rPr>
          <w:color w:val="000000"/>
        </w:rPr>
        <w:t>“</w:t>
      </w:r>
      <w:r>
        <w:rPr>
          <w:rFonts w:ascii="Times New Roman" w:hAnsi="Times New Roman"/>
          <w:color w:val="000000"/>
          <w:sz w:val="24"/>
          <w:u w:val="single"/>
        </w:rPr>
        <w:t>Buy-In Price</w:t>
      </w:r>
      <w:r>
        <w:rPr>
          <w:rFonts w:ascii="Times New Roman" w:hAnsi="Times New Roman"/>
          <w:color w:val="000000"/>
          <w:sz w:val="20"/>
        </w:rPr>
        <w:t xml:space="preserve">” </w:t>
      </w:r>
      <w:r>
        <w:rPr>
          <w:rFonts w:ascii="Times New Roman" w:hAnsi="Times New Roman"/>
          <w:color w:val="000000"/>
          <w:sz w:val="24"/>
        </w:rPr>
        <w:t>shall have the meaning ascribed to such term in Section 4.1(d).</w:t>
      </w:r>
    </w:p>
    <w:p>
      <w:pPr>
        <w:pStyle w:val="TextBody"/>
        <w:bidi w:val="0"/>
        <w:spacing w:before="0" w:after="240"/>
        <w:jc w:val="both"/>
        <w:rPr/>
      </w:pPr>
      <w:r>
        <w:rPr>
          <w:color w:val="000000"/>
        </w:rPr>
        <w:t>“</w:t>
      </w:r>
      <w:r>
        <w:rPr>
          <w:rFonts w:ascii="Times New Roman" w:hAnsi="Times New Roman"/>
          <w:color w:val="000000"/>
          <w:sz w:val="24"/>
          <w:u w:val="single"/>
        </w:rPr>
        <w:t>Closing</w:t>
      </w:r>
      <w:r>
        <w:rPr>
          <w:rFonts w:ascii="Times New Roman" w:hAnsi="Times New Roman"/>
          <w:color w:val="000000"/>
          <w:sz w:val="20"/>
        </w:rPr>
        <w:t xml:space="preserve">” </w:t>
      </w:r>
      <w:r>
        <w:rPr>
          <w:rFonts w:ascii="Times New Roman" w:hAnsi="Times New Roman"/>
          <w:color w:val="000000"/>
          <w:sz w:val="24"/>
        </w:rPr>
        <w:t>means the closing of the purchase and sale of the Securities pursuant to Section 2.1.</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Closing Date</w:t>
      </w:r>
      <w:r>
        <w:rPr>
          <w:rFonts w:ascii="Times New Roman" w:hAnsi="Times New Roman"/>
          <w:color w:val="000000"/>
          <w:sz w:val="20"/>
        </w:rPr>
        <w:t xml:space="preserve">” </w:t>
      </w:r>
      <w:r>
        <w:rPr>
          <w:rFonts w:ascii="Times New Roman" w:hAnsi="Times New Roman"/>
          <w:color w:val="000000"/>
          <w:sz w:val="24"/>
        </w:rPr>
        <w:t>means the Trading Day on which all of the Transaction Documents have been executed and delivered by the applicable parties thereto, and all conditions precedent to (a) the Purchasers’ obligations to pay the Subscription Amount and (b) the Company’s obligations to deliver Securities, in each case, have been satisfied or waived.</w:t>
      </w:r>
    </w:p>
    <w:p>
      <w:pPr>
        <w:pStyle w:val="TextBody"/>
        <w:bidi w:val="0"/>
        <w:spacing w:before="0" w:after="240"/>
        <w:jc w:val="both"/>
        <w:rPr/>
      </w:pPr>
      <w:r>
        <w:rPr>
          <w:color w:val="000000"/>
        </w:rPr>
        <w:t>“</w:t>
      </w:r>
      <w:r>
        <w:rPr>
          <w:rFonts w:ascii="Times New Roman" w:hAnsi="Times New Roman"/>
          <w:color w:val="000000"/>
          <w:sz w:val="24"/>
          <w:u w:val="single"/>
        </w:rPr>
        <w:t>Commission</w:t>
      </w:r>
      <w:r>
        <w:rPr>
          <w:rFonts w:ascii="Times New Roman" w:hAnsi="Times New Roman"/>
          <w:color w:val="000000"/>
          <w:sz w:val="20"/>
        </w:rPr>
        <w:t xml:space="preserve">” </w:t>
      </w:r>
      <w:r>
        <w:rPr>
          <w:rFonts w:ascii="Times New Roman" w:hAnsi="Times New Roman"/>
          <w:color w:val="000000"/>
          <w:sz w:val="24"/>
        </w:rPr>
        <w:t>means the United States Securities and Exchange Commission.</w:t>
      </w:r>
    </w:p>
    <w:p>
      <w:pPr>
        <w:pStyle w:val="TextBody"/>
        <w:bidi w:val="0"/>
        <w:spacing w:before="0" w:after="240"/>
        <w:jc w:val="both"/>
        <w:rPr/>
      </w:pPr>
      <w:r>
        <w:rPr>
          <w:color w:val="000000"/>
        </w:rPr>
        <w:t>“</w:t>
      </w:r>
      <w:r>
        <w:rPr>
          <w:rFonts w:ascii="Times New Roman" w:hAnsi="Times New Roman"/>
          <w:color w:val="000000"/>
          <w:sz w:val="24"/>
          <w:u w:val="single"/>
        </w:rPr>
        <w:t>Common Stock</w:t>
      </w:r>
      <w:r>
        <w:rPr>
          <w:rFonts w:ascii="Times New Roman" w:hAnsi="Times New Roman"/>
          <w:color w:val="000000"/>
          <w:sz w:val="20"/>
        </w:rPr>
        <w:t xml:space="preserve">” </w:t>
      </w:r>
      <w:r>
        <w:rPr>
          <w:rFonts w:ascii="Times New Roman" w:hAnsi="Times New Roman"/>
          <w:color w:val="000000"/>
          <w:sz w:val="24"/>
        </w:rPr>
        <w:t>means the common stock of the Company, par value $0.0001 per share, and any other class of securities into which such securities may hereafter be reclassified or changed.</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Common Stock Equivalents</w:t>
      </w:r>
      <w:r>
        <w:rPr>
          <w:rFonts w:ascii="Times New Roman" w:hAnsi="Times New Roman"/>
          <w:color w:val="000000"/>
          <w:sz w:val="20"/>
        </w:rPr>
        <w:t xml:space="preserve">” </w:t>
      </w:r>
      <w:r>
        <w:rPr>
          <w:rFonts w:ascii="Times New Roman" w:hAnsi="Times New Roman"/>
          <w:color w:val="000000"/>
          <w:sz w:val="24"/>
        </w:rPr>
        <w:t>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pStyle w:val="TextBody"/>
        <w:bidi w:val="0"/>
        <w:spacing w:before="0" w:after="240"/>
        <w:jc w:val="both"/>
        <w:rPr/>
      </w:pPr>
      <w:r>
        <w:rPr>
          <w:color w:val="000000"/>
        </w:rPr>
        <w:t>“</w:t>
      </w:r>
      <w:r>
        <w:rPr>
          <w:rFonts w:ascii="Times New Roman" w:hAnsi="Times New Roman"/>
          <w:color w:val="000000"/>
          <w:sz w:val="24"/>
          <w:u w:val="single"/>
        </w:rPr>
        <w:t>Company Counsel</w:t>
      </w:r>
      <w:r>
        <w:rPr>
          <w:rFonts w:ascii="Times New Roman" w:hAnsi="Times New Roman"/>
          <w:color w:val="000000"/>
          <w:sz w:val="20"/>
        </w:rPr>
        <w:t xml:space="preserve">” </w:t>
      </w:r>
      <w:r>
        <w:rPr>
          <w:rFonts w:ascii="Times New Roman" w:hAnsi="Times New Roman"/>
          <w:color w:val="000000"/>
          <w:sz w:val="24"/>
        </w:rPr>
        <w:t>means Faegre Drinker Biddle &amp; Reath LLP, with offices located at 2200 Wells Fargo Center 90 S. 7</w:t>
      </w:r>
      <w:r>
        <w:rPr>
          <w:rFonts w:ascii="Times New Roman" w:hAnsi="Times New Roman"/>
          <w:color w:val="000000"/>
          <w:sz w:val="16"/>
        </w:rPr>
        <w:t>th</w:t>
      </w:r>
      <w:r>
        <w:rPr>
          <w:rFonts w:ascii="Times New Roman" w:hAnsi="Times New Roman"/>
          <w:color w:val="000000"/>
          <w:sz w:val="20"/>
        </w:rPr>
        <w:t xml:space="preserve"> </w:t>
      </w:r>
      <w:r>
        <w:rPr>
          <w:rFonts w:ascii="Times New Roman" w:hAnsi="Times New Roman"/>
          <w:color w:val="000000"/>
          <w:sz w:val="24"/>
        </w:rPr>
        <w:t>Street, Minneapolis, Minnesota 55402.</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Disclosure Schedules</w:t>
      </w:r>
      <w:r>
        <w:rPr>
          <w:rFonts w:ascii="Times New Roman" w:hAnsi="Times New Roman"/>
          <w:color w:val="000000"/>
          <w:sz w:val="20"/>
        </w:rPr>
        <w:t xml:space="preserve">” </w:t>
      </w:r>
      <w:r>
        <w:rPr>
          <w:rFonts w:ascii="Times New Roman" w:hAnsi="Times New Roman"/>
          <w:color w:val="000000"/>
          <w:sz w:val="24"/>
        </w:rPr>
        <w:t>means the Disclosure Schedules of the Company delivered concurrently herewith.</w:t>
      </w:r>
    </w:p>
    <w:p>
      <w:pPr>
        <w:pStyle w:val="TextBody"/>
        <w:bidi w:val="0"/>
        <w:spacing w:before="0" w:after="240"/>
        <w:jc w:val="both"/>
        <w:rPr/>
      </w:pPr>
      <w:r>
        <w:rPr>
          <w:color w:val="000000"/>
        </w:rPr>
        <w:t>“</w:t>
      </w:r>
      <w:r>
        <w:rPr>
          <w:rFonts w:ascii="Times New Roman" w:hAnsi="Times New Roman"/>
          <w:color w:val="000000"/>
          <w:sz w:val="24"/>
          <w:u w:val="single"/>
        </w:rPr>
        <w:t>Disclosure Time</w:t>
      </w:r>
      <w:r>
        <w:rPr>
          <w:rFonts w:ascii="Times New Roman" w:hAnsi="Times New Roman"/>
          <w:color w:val="000000"/>
          <w:sz w:val="20"/>
        </w:rPr>
        <w:t xml:space="preserve">” </w:t>
      </w:r>
      <w:r>
        <w:rPr>
          <w:rFonts w:ascii="Times New Roman" w:hAnsi="Times New Roman"/>
          <w:color w:val="000000"/>
          <w:sz w:val="24"/>
        </w:rPr>
        <w:t>means, (a) if this Agreement is signed on a day that is not a Trading Day or after 9:00 a.m. (New York City time) and before midnight (New York City time) on any Trading Day, 9:01 a.m. (New York City time) on the Trading Day immediately following the date hereof, unless otherwise instructed as to an earlier time by the Placement Agent, and (b) if this Agreement is signed between midnight (New York City time) and 9:00 a.m. (New York City time) on any Trading Day, no later than 9:01 a.m. (New York City time) on the date hereof, unless otherwise instructed as to an earlier time by the Placement Agent.</w:t>
      </w:r>
    </w:p>
    <w:p>
      <w:pPr>
        <w:pStyle w:val="TextBody"/>
        <w:bidi w:val="0"/>
        <w:spacing w:before="0" w:after="240"/>
        <w:jc w:val="both"/>
        <w:rPr/>
      </w:pPr>
      <w:r>
        <w:rPr>
          <w:color w:val="000000"/>
        </w:rPr>
        <w:t>“</w:t>
      </w:r>
      <w:r>
        <w:rPr>
          <w:rFonts w:ascii="Times New Roman" w:hAnsi="Times New Roman"/>
          <w:color w:val="000000"/>
          <w:sz w:val="24"/>
          <w:u w:val="single"/>
        </w:rPr>
        <w:t>Disqualification Event</w:t>
      </w:r>
      <w:r>
        <w:rPr>
          <w:rFonts w:ascii="Times New Roman" w:hAnsi="Times New Roman"/>
          <w:color w:val="000000"/>
          <w:sz w:val="20"/>
        </w:rPr>
        <w:t xml:space="preserve">” </w:t>
      </w:r>
      <w:r>
        <w:rPr>
          <w:rFonts w:ascii="Times New Roman" w:hAnsi="Times New Roman"/>
          <w:color w:val="000000"/>
          <w:sz w:val="24"/>
        </w:rPr>
        <w:t>shall have the meaning ascribed to such term in Section 3.1(tt).</w:t>
      </w:r>
    </w:p>
    <w:p>
      <w:pPr>
        <w:pStyle w:val="TextBody"/>
        <w:bidi w:val="0"/>
        <w:spacing w:before="0" w:after="240"/>
        <w:jc w:val="both"/>
        <w:rPr/>
      </w:pPr>
      <w:r>
        <w:rPr>
          <w:color w:val="000000"/>
        </w:rPr>
        <w:t>“</w:t>
      </w:r>
      <w:r>
        <w:rPr>
          <w:rFonts w:ascii="Times New Roman" w:hAnsi="Times New Roman"/>
          <w:color w:val="000000"/>
          <w:sz w:val="24"/>
          <w:u w:val="single"/>
        </w:rPr>
        <w:t>Effective Date</w:t>
      </w:r>
      <w:r>
        <w:rPr>
          <w:rFonts w:ascii="Times New Roman" w:hAnsi="Times New Roman"/>
          <w:color w:val="000000"/>
          <w:sz w:val="20"/>
        </w:rPr>
        <w:t xml:space="preserve">” </w:t>
      </w:r>
      <w:r>
        <w:rPr>
          <w:rFonts w:ascii="Times New Roman" w:hAnsi="Times New Roman"/>
          <w:color w:val="000000"/>
          <w:sz w:val="24"/>
        </w:rPr>
        <w:t>means the earliest of the date that (a) the initial Registration Statement has been declared effective by the Commission, (b) all of the Shares and Warrant Shares have been sold pursuant to Rule 144 or may be sold pursuant to Rule 144 without the requirement for the Company to be in compliance with the current public information required under Rule 144 and without volume or manner-of-sale restrictions, (c) following the one year anniversary of the Closing Date provided that a holder of Shares or Warrant Shares is not an Affiliate of the Company, or (d) all of the Shares and Warrant Shares may be sold pursuant to an exemption from registration under Section 4(a)(1) of the Securities Act without volume or manner-of-sale restrictions and Company Counsel has delivered to such holders a standing written unqualified opinion that resales may then be made by such holders of the Shares and Warrant Shares pursuant to such exemption which opinion shall be in form and substance reasonably acceptable to such holders.</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EGS</w:t>
      </w:r>
      <w:r>
        <w:rPr>
          <w:rFonts w:ascii="Times New Roman" w:hAnsi="Times New Roman"/>
          <w:color w:val="000000"/>
          <w:sz w:val="20"/>
        </w:rPr>
        <w:t xml:space="preserve">” </w:t>
      </w:r>
      <w:r>
        <w:rPr>
          <w:rFonts w:ascii="Times New Roman" w:hAnsi="Times New Roman"/>
          <w:color w:val="000000"/>
          <w:sz w:val="24"/>
        </w:rPr>
        <w:t>means Ellenoff Grossman &amp; Schole LLP, with offices located at 1345 Avenue of the Americas, New York, New York 10105-0302.</w:t>
      </w:r>
    </w:p>
    <w:p>
      <w:pPr>
        <w:pStyle w:val="TextBody"/>
        <w:bidi w:val="0"/>
        <w:spacing w:before="0" w:after="240"/>
        <w:jc w:val="both"/>
        <w:rPr/>
      </w:pPr>
      <w:r>
        <w:rPr>
          <w:color w:val="000000"/>
        </w:rPr>
        <w:t>“</w:t>
      </w:r>
      <w:r>
        <w:rPr>
          <w:rFonts w:ascii="Times New Roman" w:hAnsi="Times New Roman"/>
          <w:color w:val="000000"/>
          <w:sz w:val="24"/>
          <w:u w:val="single"/>
        </w:rPr>
        <w:t>Equity Line</w:t>
      </w:r>
      <w:r>
        <w:rPr>
          <w:rFonts w:ascii="Times New Roman" w:hAnsi="Times New Roman"/>
          <w:color w:val="000000"/>
          <w:sz w:val="20"/>
        </w:rPr>
        <w:t xml:space="preserve">” </w:t>
      </w:r>
      <w:r>
        <w:rPr>
          <w:rFonts w:ascii="Times New Roman" w:hAnsi="Times New Roman"/>
          <w:color w:val="000000"/>
          <w:sz w:val="24"/>
        </w:rPr>
        <w:t>means that certain purchase agreement, dated as of July 14, 2025, by and between the Company and B. Riley Principal Capital II, as may be amended, supplemented or replaced from time to time.</w:t>
      </w:r>
    </w:p>
    <w:p>
      <w:pPr>
        <w:pStyle w:val="TextBody"/>
        <w:bidi w:val="0"/>
        <w:spacing w:before="0" w:after="240"/>
        <w:jc w:val="both"/>
        <w:rPr/>
      </w:pPr>
      <w:r>
        <w:rPr>
          <w:color w:val="000000"/>
        </w:rPr>
        <w:t>“</w:t>
      </w:r>
      <w:r>
        <w:rPr>
          <w:rFonts w:ascii="Times New Roman" w:hAnsi="Times New Roman"/>
          <w:color w:val="000000"/>
          <w:sz w:val="24"/>
          <w:u w:val="single"/>
        </w:rPr>
        <w:t>Escrow Agent</w:t>
      </w:r>
      <w:r>
        <w:rPr>
          <w:rFonts w:ascii="Times New Roman" w:hAnsi="Times New Roman"/>
          <w:color w:val="000000"/>
          <w:sz w:val="20"/>
        </w:rPr>
        <w:t xml:space="preserve">” </w:t>
      </w:r>
      <w:r>
        <w:rPr>
          <w:rFonts w:ascii="Times New Roman" w:hAnsi="Times New Roman"/>
          <w:color w:val="000000"/>
          <w:sz w:val="24"/>
        </w:rPr>
        <w:t>means Continental Stock Transfer &amp; Trust Company, with offices at 1 State Street, 30th Floor, New York, NY 10004.</w:t>
      </w:r>
    </w:p>
    <w:p>
      <w:pPr>
        <w:pStyle w:val="TextBody"/>
        <w:bidi w:val="0"/>
        <w:spacing w:before="0" w:after="240"/>
        <w:jc w:val="both"/>
        <w:rPr/>
      </w:pPr>
      <w:r>
        <w:rPr>
          <w:color w:val="000000"/>
        </w:rPr>
        <w:t>“</w:t>
      </w:r>
      <w:r>
        <w:rPr>
          <w:rFonts w:ascii="Times New Roman" w:hAnsi="Times New Roman"/>
          <w:color w:val="000000"/>
          <w:sz w:val="24"/>
          <w:u w:val="single"/>
        </w:rPr>
        <w:t>Escrow Agreement</w:t>
      </w:r>
      <w:r>
        <w:rPr>
          <w:rFonts w:ascii="Times New Roman" w:hAnsi="Times New Roman"/>
          <w:color w:val="000000"/>
          <w:sz w:val="20"/>
        </w:rPr>
        <w:t xml:space="preserve">” </w:t>
      </w:r>
      <w:r>
        <w:rPr>
          <w:rFonts w:ascii="Times New Roman" w:hAnsi="Times New Roman"/>
          <w:color w:val="000000"/>
          <w:sz w:val="24"/>
        </w:rPr>
        <w:t>means the escrow agreement entered into prior to the date hereof, by and among the Company, the Escrow Agent and the Placement Agent pursuant to which the Purchasers shall deposit Subscription Amounts with the Escrow Agent to be applied to the transactions contemplated hereunder.</w:t>
      </w:r>
    </w:p>
    <w:p>
      <w:pPr>
        <w:pStyle w:val="TextBody"/>
        <w:bidi w:val="0"/>
        <w:spacing w:before="0" w:after="240"/>
        <w:jc w:val="both"/>
        <w:rPr/>
      </w:pPr>
      <w:r>
        <w:rPr>
          <w:color w:val="000000"/>
        </w:rPr>
        <w:t>“</w:t>
      </w:r>
      <w:r>
        <w:rPr>
          <w:rFonts w:ascii="Times New Roman" w:hAnsi="Times New Roman"/>
          <w:color w:val="000000"/>
          <w:sz w:val="24"/>
          <w:u w:val="single"/>
        </w:rPr>
        <w:t>Evaluation Date</w:t>
      </w:r>
      <w:r>
        <w:rPr>
          <w:rFonts w:ascii="Times New Roman" w:hAnsi="Times New Roman"/>
          <w:color w:val="000000"/>
          <w:sz w:val="20"/>
        </w:rPr>
        <w:t xml:space="preserve">” </w:t>
      </w:r>
      <w:r>
        <w:rPr>
          <w:rFonts w:ascii="Times New Roman" w:hAnsi="Times New Roman"/>
          <w:color w:val="000000"/>
          <w:sz w:val="24"/>
        </w:rPr>
        <w:t>shall have the meaning ascribed to such term in Section 3.1(s).</w:t>
      </w:r>
      <w:r>
        <w:rPr>
          <w:rFonts w:ascii="Times New Roman" w:hAnsi="Times New Roman"/>
          <w:color w:val="000000"/>
          <w:sz w:val="20"/>
        </w:rPr>
        <w:t xml:space="preserve"> </w:t>
      </w:r>
    </w:p>
    <w:p>
      <w:pPr>
        <w:pStyle w:val="TextBody"/>
        <w:bidi w:val="0"/>
        <w:jc w:val="both"/>
        <w:rPr/>
      </w:pPr>
      <w:r>
        <w:rPr>
          <w:color w:val="000000"/>
        </w:rPr>
        <w:t>“</w:t>
      </w:r>
      <w:r>
        <w:rPr>
          <w:rFonts w:ascii="Times New Roman" w:hAnsi="Times New Roman"/>
          <w:color w:val="000000"/>
          <w:sz w:val="24"/>
          <w:u w:val="single"/>
        </w:rPr>
        <w:t>Exchange Act</w:t>
      </w:r>
      <w:r>
        <w:rPr>
          <w:rFonts w:ascii="Times New Roman" w:hAnsi="Times New Roman"/>
          <w:color w:val="000000"/>
          <w:sz w:val="20"/>
        </w:rPr>
        <w:t xml:space="preserve">” </w:t>
      </w:r>
      <w:r>
        <w:rPr>
          <w:rFonts w:ascii="Times New Roman" w:hAnsi="Times New Roman"/>
          <w:color w:val="000000"/>
          <w:sz w:val="24"/>
        </w:rPr>
        <w:t>means the Securities Exchange Act of 1934, as amended, and the rules and regulations promulgated thereunder.</w:t>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color w:val="000000"/>
          <w:sz w:val="24"/>
          <w:u w:val="single"/>
        </w:rPr>
        <w:t>Exempt Issuance</w:t>
      </w:r>
      <w:r>
        <w:rPr>
          <w:rFonts w:ascii="Times New Roman" w:hAnsi="Times New Roman"/>
          <w:color w:val="000000"/>
          <w:sz w:val="20"/>
        </w:rPr>
        <w:t xml:space="preserve">” </w:t>
      </w:r>
      <w:r>
        <w:rPr>
          <w:rFonts w:ascii="Times New Roman" w:hAnsi="Times New Roman"/>
          <w:color w:val="000000"/>
          <w:sz w:val="24"/>
        </w:rPr>
        <w:t>means the issuance of (a) shares of Common Stock or Common Stock Equivalents to employees, consultants, contractors, advisors, officers or directors of the Company pursuant to any equity incentive or option plan duly adopted for such purpose, by a majority of the non-employee members of the Board of Directors or a majority of the members of a committee of non-employee directors established for such purpose for services rendered to the Company, provided that any issuances of shares of Common Stock or Common Stock Equivalents to consultants, contractors, or advisors will not exceed more than one percent (1%) of the Company’s issued and outstanding shares of Common Stock as of the date hereof, and provided that any shares of Common Stock or Common Stock Equivalents issued to consultants, contractors or advisors will be subject to restrictions substantially similar (and of the same duration) as those in the Lock-Up Agreements, (b) securities upon the exercise or exchange of or conversion of any Securities issued hereunder and/or other securities exercisable or exchangeable for or convertible into shares of Common Stock issued and outstanding on the date of this Agreement, provided that such securities have not been amended since the date of this Agreement to increase the number of such securities or to decrease the exercise price, exchange price or conversion price of such securities (other than in connection with stock splits or combinations) or to extend the term of such securities, (c) securities issued pursuant to acquisitions, divestitures, licenses, partnerships, collaborations or strategic transactions approved by a majority of the disinterested directors of the Company which acquisitions, divestitures, licenses, partnerships, collaborations or strategic transactions can have a Variable Rate Transaction component, provided that such securities are issued as “restricted securities” (as defined in Rule 144) and carry no registration rights that require or permit the filing of any registration statement in connection therewith during the prohibition period in Section 4.11(a) herein, and provided that any such issuance shall only be to a Person (or to the equityholders of a Person) which is, itself or through its subsidiaries, an operating company or an owner of an asset in a business synergistic with the business of the Company and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shall provide to the Company additional benefits in addition to the investment of funds, but shall not include a transaction in which the Company is issuing securities primarily for the purpose of raising capital or to an entity whose primary business is investing in securities, (d) shares of Common Stock issuable to services providers for services rendered under existing agreements in an amount not to exceed one percent (1%) of the Company’s issued and outstanding shares of Common Stock as of the date hereof (“</w:t>
      </w:r>
      <w:r>
        <w:rPr>
          <w:rFonts w:ascii="Times New Roman" w:hAnsi="Times New Roman"/>
          <w:color w:val="000000"/>
          <w:sz w:val="24"/>
          <w:u w:val="single"/>
        </w:rPr>
        <w:t>Advisor Shares</w:t>
      </w:r>
      <w:r>
        <w:rPr>
          <w:rFonts w:ascii="Times New Roman" w:hAnsi="Times New Roman"/>
          <w:color w:val="000000"/>
          <w:sz w:val="20"/>
        </w:rPr>
        <w:t>”</w:t>
      </w:r>
      <w:r>
        <w:rPr>
          <w:rFonts w:ascii="Times New Roman" w:hAnsi="Times New Roman"/>
          <w:color w:val="000000"/>
          <w:sz w:val="24"/>
        </w:rPr>
        <w:t>), and provided that any Advisor Shares will be subject to restrictions substantially similar (and of the same duration) as those in the Lock-Up Agreements, and (e) the Equity Line.</w:t>
      </w:r>
      <w:r>
        <w:rPr>
          <w:rFonts w:ascii="Times New Roman" w:hAnsi="Times New Roman"/>
          <w:color w:val="000000"/>
          <w:sz w:val="20"/>
        </w:rPr>
        <w:t xml:space="preserve"> </w:t>
      </w:r>
    </w:p>
    <w:p>
      <w:pPr>
        <w:pStyle w:val="TextBody"/>
        <w:bidi w:val="0"/>
        <w:jc w:val="both"/>
        <w:rPr/>
      </w:pPr>
      <w:r>
        <w:rPr>
          <w:color w:val="000000"/>
        </w:rPr>
        <w:t>“</w:t>
      </w:r>
      <w:r>
        <w:rPr>
          <w:rFonts w:ascii="Times New Roman" w:hAnsi="Times New Roman"/>
          <w:color w:val="000000"/>
          <w:sz w:val="24"/>
          <w:u w:val="single"/>
        </w:rPr>
        <w:t>FCPA</w:t>
      </w:r>
      <w:r>
        <w:rPr>
          <w:rFonts w:ascii="Times New Roman" w:hAnsi="Times New Roman"/>
          <w:color w:val="000000"/>
          <w:sz w:val="20"/>
        </w:rPr>
        <w:t xml:space="preserve">” </w:t>
      </w:r>
      <w:r>
        <w:rPr>
          <w:rFonts w:ascii="Times New Roman" w:hAnsi="Times New Roman"/>
          <w:color w:val="000000"/>
          <w:sz w:val="24"/>
        </w:rPr>
        <w:t>means the Foreign Corrupt Practices Act of 1977, as amended.</w:t>
      </w:r>
    </w:p>
    <w:p>
      <w:pPr>
        <w:pStyle w:val="TextBody"/>
        <w:bidi w:val="0"/>
        <w:jc w:val="both"/>
        <w:rPr>
          <w:rFonts w:ascii="Times New Roman" w:hAnsi="Times New Roman"/>
          <w:sz w:val="20"/>
        </w:rPr>
      </w:pPr>
      <w:r>
        <w:rPr>
          <w:rFonts w:ascii="Times New Roman" w:hAnsi="Times New Roman"/>
          <w:color w:val="000000"/>
          <w:sz w:val="24"/>
        </w:rPr>
        <w:br/>
        <w:t>“</w:t>
      </w:r>
      <w:r>
        <w:rPr>
          <w:rFonts w:ascii="Times New Roman" w:hAnsi="Times New Roman"/>
          <w:color w:val="000000"/>
          <w:sz w:val="24"/>
          <w:u w:val="single"/>
        </w:rPr>
        <w:t>Federal Reserve</w:t>
      </w:r>
      <w:r>
        <w:rPr>
          <w:rFonts w:ascii="Times New Roman" w:hAnsi="Times New Roman"/>
          <w:color w:val="000000"/>
          <w:sz w:val="20"/>
        </w:rPr>
        <w:t xml:space="preserve">” </w:t>
      </w:r>
      <w:r>
        <w:rPr>
          <w:rFonts w:ascii="Times New Roman" w:hAnsi="Times New Roman"/>
          <w:color w:val="000000"/>
          <w:sz w:val="24"/>
        </w:rPr>
        <w:t>shall have the meaning ascribed to such term in Section 3.1(rr).</w:t>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color w:val="000000"/>
          <w:sz w:val="24"/>
          <w:u w:val="single"/>
        </w:rPr>
        <w:t>GAAP</w:t>
      </w:r>
      <w:r>
        <w:rPr>
          <w:rFonts w:ascii="Times New Roman" w:hAnsi="Times New Roman"/>
          <w:color w:val="000000"/>
          <w:sz w:val="20"/>
        </w:rPr>
        <w:t xml:space="preserve">” </w:t>
      </w:r>
      <w:r>
        <w:rPr>
          <w:rFonts w:ascii="Times New Roman" w:hAnsi="Times New Roman"/>
          <w:color w:val="000000"/>
          <w:sz w:val="24"/>
        </w:rPr>
        <w:t>shall have the meaning ascribed to such term in Section 3.1(h).</w:t>
      </w:r>
    </w:p>
    <w:p>
      <w:pPr>
        <w:pStyle w:val="TextBody"/>
        <w:bidi w:val="0"/>
        <w:spacing w:before="0" w:after="240"/>
        <w:jc w:val="both"/>
        <w:rPr/>
      </w:pPr>
      <w:r>
        <w:rPr>
          <w:color w:val="000000"/>
        </w:rPr>
        <w:t>“</w:t>
      </w:r>
      <w:r>
        <w:rPr>
          <w:rFonts w:ascii="Times New Roman" w:hAnsi="Times New Roman"/>
          <w:color w:val="000000"/>
          <w:sz w:val="24"/>
          <w:u w:val="single"/>
        </w:rPr>
        <w:t>Hazardous Materials</w:t>
      </w:r>
      <w:r>
        <w:rPr>
          <w:rFonts w:ascii="Times New Roman" w:hAnsi="Times New Roman"/>
          <w:color w:val="000000"/>
          <w:sz w:val="20"/>
        </w:rPr>
        <w:t xml:space="preserve">” </w:t>
      </w:r>
      <w:r>
        <w:rPr>
          <w:rFonts w:ascii="Times New Roman" w:hAnsi="Times New Roman"/>
          <w:color w:val="000000"/>
          <w:sz w:val="24"/>
        </w:rPr>
        <w:t>shall have the meaning ascribed to such term in Section 3.1(m).</w:t>
      </w:r>
    </w:p>
    <w:p>
      <w:pPr>
        <w:pStyle w:val="TextBody"/>
        <w:bidi w:val="0"/>
        <w:spacing w:before="0" w:after="240"/>
        <w:jc w:val="both"/>
        <w:rPr/>
      </w:pPr>
      <w:r>
        <w:rPr>
          <w:color w:val="000000"/>
        </w:rPr>
        <w:t>“</w:t>
      </w:r>
      <w:r>
        <w:rPr>
          <w:rFonts w:ascii="Times New Roman" w:hAnsi="Times New Roman"/>
          <w:color w:val="000000"/>
          <w:sz w:val="24"/>
          <w:u w:val="single"/>
        </w:rPr>
        <w:t>Indebtedness</w:t>
      </w:r>
      <w:r>
        <w:rPr>
          <w:rFonts w:ascii="Times New Roman" w:hAnsi="Times New Roman"/>
          <w:color w:val="000000"/>
          <w:sz w:val="20"/>
        </w:rPr>
        <w:t xml:space="preserve">” </w:t>
      </w:r>
      <w:r>
        <w:rPr>
          <w:rFonts w:ascii="Times New Roman" w:hAnsi="Times New Roman"/>
          <w:color w:val="000000"/>
          <w:sz w:val="24"/>
        </w:rPr>
        <w:t>shall have the meaning ascribed to such term in Section 3.1(bb).</w:t>
      </w:r>
    </w:p>
    <w:p>
      <w:pPr>
        <w:pStyle w:val="TextBody"/>
        <w:bidi w:val="0"/>
        <w:spacing w:before="0" w:after="240"/>
        <w:jc w:val="both"/>
        <w:rPr/>
      </w:pPr>
      <w:r>
        <w:rPr>
          <w:color w:val="000000"/>
        </w:rPr>
        <w:t>“</w:t>
      </w:r>
      <w:r>
        <w:rPr>
          <w:rFonts w:ascii="Times New Roman" w:hAnsi="Times New Roman"/>
          <w:color w:val="000000"/>
          <w:sz w:val="24"/>
          <w:u w:val="single"/>
        </w:rPr>
        <w:t>Intellectual Property Rights</w:t>
      </w:r>
      <w:r>
        <w:rPr>
          <w:rFonts w:ascii="Times New Roman" w:hAnsi="Times New Roman"/>
          <w:color w:val="000000"/>
          <w:sz w:val="20"/>
        </w:rPr>
        <w:t xml:space="preserve">” </w:t>
      </w:r>
      <w:r>
        <w:rPr>
          <w:rFonts w:ascii="Times New Roman" w:hAnsi="Times New Roman"/>
          <w:color w:val="000000"/>
          <w:sz w:val="24"/>
        </w:rPr>
        <w:t>shall have the meaning ascribed to such term in Section 3.1(p).</w:t>
      </w:r>
    </w:p>
    <w:p>
      <w:pPr>
        <w:pStyle w:val="TextBody"/>
        <w:bidi w:val="0"/>
        <w:spacing w:before="0" w:after="240"/>
        <w:jc w:val="both"/>
        <w:rPr/>
      </w:pPr>
      <w:r>
        <w:rPr>
          <w:color w:val="000000"/>
        </w:rPr>
        <w:t>“</w:t>
      </w:r>
      <w:r>
        <w:rPr>
          <w:rFonts w:ascii="Times New Roman" w:hAnsi="Times New Roman"/>
          <w:color w:val="000000"/>
          <w:sz w:val="24"/>
          <w:u w:val="single"/>
        </w:rPr>
        <w:t>Issuer Covered Person(s)</w:t>
      </w:r>
      <w:r>
        <w:rPr>
          <w:rFonts w:ascii="Times New Roman" w:hAnsi="Times New Roman"/>
          <w:color w:val="000000"/>
          <w:sz w:val="20"/>
        </w:rPr>
        <w:t xml:space="preserve">” </w:t>
      </w:r>
      <w:r>
        <w:rPr>
          <w:rFonts w:ascii="Times New Roman" w:hAnsi="Times New Roman"/>
          <w:color w:val="000000"/>
          <w:sz w:val="24"/>
        </w:rPr>
        <w:t>shall have the meaning ascribed to such term in Section 3.1(tt).</w:t>
      </w:r>
    </w:p>
    <w:p>
      <w:pPr>
        <w:pStyle w:val="TextBody"/>
        <w:bidi w:val="0"/>
        <w:spacing w:before="0" w:after="240"/>
        <w:jc w:val="both"/>
        <w:rPr/>
      </w:pPr>
      <w:r>
        <w:rPr>
          <w:color w:val="000000"/>
        </w:rPr>
        <w:t>“</w:t>
      </w:r>
      <w:r>
        <w:rPr>
          <w:rFonts w:ascii="Times New Roman" w:hAnsi="Times New Roman"/>
          <w:color w:val="000000"/>
          <w:sz w:val="24"/>
          <w:u w:val="single"/>
        </w:rPr>
        <w:t>IT Systems and Data</w:t>
      </w:r>
      <w:r>
        <w:rPr>
          <w:rFonts w:ascii="Times New Roman" w:hAnsi="Times New Roman"/>
          <w:color w:val="000000"/>
          <w:sz w:val="20"/>
        </w:rPr>
        <w:t xml:space="preserve">” </w:t>
      </w:r>
      <w:r>
        <w:rPr>
          <w:rFonts w:ascii="Times New Roman" w:hAnsi="Times New Roman"/>
          <w:color w:val="000000"/>
          <w:sz w:val="24"/>
        </w:rPr>
        <w:t>shall have the meaning ascribed to such term in Section 3.1(nn)</w:t>
      </w:r>
    </w:p>
    <w:p>
      <w:pPr>
        <w:pStyle w:val="TextBody"/>
        <w:bidi w:val="0"/>
        <w:spacing w:before="0" w:after="240"/>
        <w:jc w:val="both"/>
        <w:rPr/>
      </w:pPr>
      <w:r>
        <w:rPr>
          <w:color w:val="000000"/>
        </w:rPr>
        <w:t>“</w:t>
      </w:r>
      <w:r>
        <w:rPr>
          <w:rFonts w:ascii="Times New Roman" w:hAnsi="Times New Roman"/>
          <w:color w:val="000000"/>
          <w:sz w:val="24"/>
          <w:u w:val="single"/>
        </w:rPr>
        <w:t>Legend Removal Date</w:t>
      </w:r>
      <w:r>
        <w:rPr>
          <w:rFonts w:ascii="Times New Roman" w:hAnsi="Times New Roman"/>
          <w:color w:val="000000"/>
          <w:sz w:val="20"/>
        </w:rPr>
        <w:t xml:space="preserve">” </w:t>
      </w:r>
      <w:r>
        <w:rPr>
          <w:rFonts w:ascii="Times New Roman" w:hAnsi="Times New Roman"/>
          <w:color w:val="000000"/>
          <w:sz w:val="24"/>
        </w:rPr>
        <w:t>shall have the meaning ascribed to such term in Section 4.1(c).</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Liens</w:t>
      </w:r>
      <w:r>
        <w:rPr>
          <w:rFonts w:ascii="Times New Roman" w:hAnsi="Times New Roman"/>
          <w:color w:val="000000"/>
          <w:sz w:val="20"/>
        </w:rPr>
        <w:t xml:space="preserve">” </w:t>
      </w:r>
      <w:r>
        <w:rPr>
          <w:rFonts w:ascii="Times New Roman" w:hAnsi="Times New Roman"/>
          <w:color w:val="000000"/>
          <w:sz w:val="24"/>
        </w:rPr>
        <w:t>means a lien, charge pledge, security interest, encumbrance, right of first refusal, preemptive right or other restriction.</w:t>
      </w:r>
    </w:p>
    <w:p>
      <w:pPr>
        <w:pStyle w:val="TextBody"/>
        <w:bidi w:val="0"/>
        <w:spacing w:before="0" w:after="240"/>
        <w:jc w:val="both"/>
        <w:rPr/>
      </w:pPr>
      <w:r>
        <w:rPr>
          <w:color w:val="000000"/>
        </w:rPr>
        <w:t>“</w:t>
      </w:r>
      <w:r>
        <w:rPr>
          <w:rFonts w:ascii="Times New Roman" w:hAnsi="Times New Roman"/>
          <w:color w:val="000000"/>
          <w:sz w:val="24"/>
          <w:u w:val="single"/>
        </w:rPr>
        <w:t>Lock-Up Agreement</w:t>
      </w:r>
      <w:r>
        <w:rPr>
          <w:rFonts w:ascii="Times New Roman" w:hAnsi="Times New Roman"/>
          <w:color w:val="000000"/>
          <w:sz w:val="20"/>
        </w:rPr>
        <w:t xml:space="preserve">” </w:t>
      </w:r>
      <w:r>
        <w:rPr>
          <w:rFonts w:ascii="Times New Roman" w:hAnsi="Times New Roman"/>
          <w:color w:val="000000"/>
          <w:sz w:val="24"/>
        </w:rPr>
        <w:t xml:space="preserve">means the Lock-Up Agreement, dated as of the date hereof, by and among the Company and each of the directors and officers of the Company, in the form of </w:t>
      </w:r>
      <w:r>
        <w:rPr>
          <w:rFonts w:ascii="Times New Roman" w:hAnsi="Times New Roman"/>
          <w:color w:val="000000"/>
          <w:sz w:val="24"/>
          <w:u w:val="single"/>
        </w:rPr>
        <w:t>Exhibit B</w:t>
      </w:r>
      <w:r>
        <w:rPr>
          <w:rFonts w:ascii="Times New Roman" w:hAnsi="Times New Roman"/>
          <w:color w:val="000000"/>
          <w:sz w:val="20"/>
        </w:rPr>
        <w:t xml:space="preserve"> </w:t>
      </w:r>
      <w:r>
        <w:rPr>
          <w:rFonts w:ascii="Times New Roman" w:hAnsi="Times New Roman"/>
          <w:color w:val="000000"/>
          <w:sz w:val="24"/>
        </w:rPr>
        <w:t>attached hereto.</w:t>
      </w:r>
    </w:p>
    <w:p>
      <w:pPr>
        <w:pStyle w:val="TextBody"/>
        <w:bidi w:val="0"/>
        <w:spacing w:before="0" w:after="240"/>
        <w:jc w:val="both"/>
        <w:rPr/>
      </w:pPr>
      <w:r>
        <w:rPr>
          <w:color w:val="000000"/>
        </w:rPr>
        <w:t>“</w:t>
      </w:r>
      <w:r>
        <w:rPr>
          <w:rFonts w:ascii="Times New Roman" w:hAnsi="Times New Roman"/>
          <w:color w:val="000000"/>
          <w:sz w:val="24"/>
          <w:u w:val="single"/>
        </w:rPr>
        <w:t>Material Adverse Effect</w:t>
      </w:r>
      <w:r>
        <w:rPr>
          <w:rFonts w:ascii="Times New Roman" w:hAnsi="Times New Roman"/>
          <w:color w:val="000000"/>
          <w:sz w:val="20"/>
        </w:rPr>
        <w:t xml:space="preserve">” </w:t>
      </w:r>
      <w:r>
        <w:rPr>
          <w:rFonts w:ascii="Times New Roman" w:hAnsi="Times New Roman"/>
          <w:color w:val="000000"/>
          <w:sz w:val="24"/>
        </w:rPr>
        <w:t>shall have the meaning assigned to such term in Section 3.1(b).</w:t>
      </w:r>
    </w:p>
    <w:p>
      <w:pPr>
        <w:pStyle w:val="TextBody"/>
        <w:bidi w:val="0"/>
        <w:spacing w:before="0" w:after="240"/>
        <w:jc w:val="both"/>
        <w:rPr/>
      </w:pPr>
      <w:r>
        <w:rPr>
          <w:color w:val="000000"/>
        </w:rPr>
        <w:t>“</w:t>
      </w:r>
      <w:r>
        <w:rPr>
          <w:rFonts w:ascii="Times New Roman" w:hAnsi="Times New Roman"/>
          <w:color w:val="000000"/>
          <w:sz w:val="24"/>
          <w:u w:val="single"/>
        </w:rPr>
        <w:t>Material Permits</w:t>
      </w:r>
      <w:r>
        <w:rPr>
          <w:rFonts w:ascii="Times New Roman" w:hAnsi="Times New Roman"/>
          <w:color w:val="000000"/>
          <w:sz w:val="20"/>
        </w:rPr>
        <w:t xml:space="preserve">” </w:t>
      </w:r>
      <w:r>
        <w:rPr>
          <w:rFonts w:ascii="Times New Roman" w:hAnsi="Times New Roman"/>
          <w:color w:val="000000"/>
          <w:sz w:val="24"/>
        </w:rPr>
        <w:t>shall have the meaning ascribed to such term in Section 3.1(n).</w:t>
      </w:r>
    </w:p>
    <w:p>
      <w:pPr>
        <w:pStyle w:val="TextBody"/>
        <w:bidi w:val="0"/>
        <w:spacing w:before="0" w:after="240"/>
        <w:jc w:val="both"/>
        <w:rPr/>
      </w:pPr>
      <w:r>
        <w:rPr>
          <w:color w:val="000000"/>
        </w:rPr>
        <w:t>“</w:t>
      </w:r>
      <w:r>
        <w:rPr>
          <w:rFonts w:ascii="Times New Roman" w:hAnsi="Times New Roman"/>
          <w:color w:val="000000"/>
          <w:sz w:val="24"/>
          <w:u w:val="single"/>
        </w:rPr>
        <w:t>Money Laundering Laws</w:t>
      </w:r>
      <w:r>
        <w:rPr>
          <w:rFonts w:ascii="Times New Roman" w:hAnsi="Times New Roman"/>
          <w:color w:val="000000"/>
          <w:sz w:val="20"/>
        </w:rPr>
        <w:t xml:space="preserve">” </w:t>
      </w:r>
      <w:r>
        <w:rPr>
          <w:rFonts w:ascii="Times New Roman" w:hAnsi="Times New Roman"/>
          <w:color w:val="000000"/>
          <w:sz w:val="24"/>
        </w:rPr>
        <w:t>shall have the meaning ascribed to such term in Section 3.1(ss).</w:t>
      </w:r>
    </w:p>
    <w:p>
      <w:pPr>
        <w:pStyle w:val="TextBody"/>
        <w:bidi w:val="0"/>
        <w:spacing w:before="0" w:after="240"/>
        <w:jc w:val="both"/>
        <w:rPr/>
      </w:pPr>
      <w:r>
        <w:rPr>
          <w:color w:val="000000"/>
        </w:rPr>
        <w:t>“</w:t>
      </w:r>
      <w:r>
        <w:rPr>
          <w:rFonts w:ascii="Times New Roman" w:hAnsi="Times New Roman"/>
          <w:color w:val="000000"/>
          <w:sz w:val="24"/>
          <w:u w:val="single"/>
        </w:rPr>
        <w:t>OFAC</w:t>
      </w:r>
      <w:r>
        <w:rPr>
          <w:rFonts w:ascii="Times New Roman" w:hAnsi="Times New Roman"/>
          <w:color w:val="000000"/>
          <w:sz w:val="20"/>
        </w:rPr>
        <w:t xml:space="preserve">” </w:t>
      </w:r>
      <w:r>
        <w:rPr>
          <w:rFonts w:ascii="Times New Roman" w:hAnsi="Times New Roman"/>
          <w:color w:val="000000"/>
          <w:sz w:val="24"/>
        </w:rPr>
        <w:t>shall have the meaning ascribed to such term in Section 3.1(pp).</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Per Share Purchase Price</w:t>
      </w:r>
      <w:r>
        <w:rPr>
          <w:rFonts w:ascii="Times New Roman" w:hAnsi="Times New Roman"/>
          <w:color w:val="000000"/>
          <w:sz w:val="20"/>
        </w:rPr>
        <w:t xml:space="preserve">” </w:t>
      </w:r>
      <w:r>
        <w:rPr>
          <w:rFonts w:ascii="Times New Roman" w:hAnsi="Times New Roman"/>
          <w:color w:val="000000"/>
          <w:sz w:val="24"/>
        </w:rPr>
        <w:t>equals $3.20, subject to adjustment for reverse and forward stock splits, stock dividends, stock combinations and other similar transactions of the Common Stock that occur after the date of this Agreement and prior to the Closing Date.</w:t>
      </w:r>
    </w:p>
    <w:p>
      <w:pPr>
        <w:pStyle w:val="TextBody"/>
        <w:bidi w:val="0"/>
        <w:spacing w:before="0" w:after="240"/>
        <w:jc w:val="both"/>
        <w:rPr/>
      </w:pPr>
      <w:r>
        <w:rPr>
          <w:color w:val="000000"/>
        </w:rPr>
        <w:t>“</w:t>
      </w:r>
      <w:r>
        <w:rPr>
          <w:rFonts w:ascii="Times New Roman" w:hAnsi="Times New Roman"/>
          <w:color w:val="000000"/>
          <w:sz w:val="24"/>
          <w:u w:val="single"/>
        </w:rPr>
        <w:t>Person</w:t>
      </w:r>
      <w:r>
        <w:rPr>
          <w:rFonts w:ascii="Times New Roman" w:hAnsi="Times New Roman"/>
          <w:color w:val="000000"/>
          <w:sz w:val="20"/>
        </w:rPr>
        <w:t xml:space="preserve">” </w:t>
      </w:r>
      <w:r>
        <w:rPr>
          <w:rFonts w:ascii="Times New Roman" w:hAnsi="Times New Roman"/>
          <w:color w:val="000000"/>
          <w:sz w:val="24"/>
        </w:rPr>
        <w:t>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240"/>
        <w:jc w:val="both"/>
        <w:rPr/>
      </w:pPr>
      <w:r>
        <w:rPr>
          <w:color w:val="000000"/>
        </w:rPr>
        <w:t>“</w:t>
      </w:r>
      <w:r>
        <w:rPr>
          <w:rFonts w:ascii="Times New Roman" w:hAnsi="Times New Roman"/>
          <w:color w:val="000000"/>
          <w:sz w:val="24"/>
          <w:u w:val="single"/>
        </w:rPr>
        <w:t>Placement Agent</w:t>
      </w:r>
      <w:r>
        <w:rPr>
          <w:rFonts w:ascii="Times New Roman" w:hAnsi="Times New Roman"/>
          <w:color w:val="000000"/>
          <w:sz w:val="20"/>
        </w:rPr>
        <w:t xml:space="preserve">” </w:t>
      </w:r>
      <w:r>
        <w:rPr>
          <w:rFonts w:ascii="Times New Roman" w:hAnsi="Times New Roman"/>
          <w:color w:val="000000"/>
          <w:sz w:val="24"/>
        </w:rPr>
        <w:t>means Craig-Hallum Capital Group LLC.</w:t>
      </w:r>
    </w:p>
    <w:p>
      <w:pPr>
        <w:pStyle w:val="TextBody"/>
        <w:bidi w:val="0"/>
        <w:spacing w:before="0" w:after="240"/>
        <w:jc w:val="both"/>
        <w:rPr/>
      </w:pPr>
      <w:r>
        <w:rPr>
          <w:color w:val="000000"/>
        </w:rPr>
        <w:t>“</w:t>
      </w:r>
      <w:r>
        <w:rPr>
          <w:rFonts w:ascii="Times New Roman" w:hAnsi="Times New Roman"/>
          <w:color w:val="000000"/>
          <w:sz w:val="24"/>
          <w:u w:val="single"/>
        </w:rPr>
        <w:t>Proceeding</w:t>
      </w:r>
      <w:r>
        <w:rPr>
          <w:rFonts w:ascii="Times New Roman" w:hAnsi="Times New Roman"/>
          <w:color w:val="000000"/>
          <w:sz w:val="20"/>
        </w:rPr>
        <w:t xml:space="preserve">” </w:t>
      </w:r>
      <w:r>
        <w:rPr>
          <w:rFonts w:ascii="Times New Roman" w:hAnsi="Times New Roman"/>
          <w:color w:val="000000"/>
          <w:sz w:val="24"/>
        </w:rPr>
        <w:t>means an action, claim, suit, investigation or proceeding (including, without limitation, an informal investigation or partial proceeding, such as a deposition), whether commenced or threatened.</w:t>
      </w:r>
    </w:p>
    <w:p>
      <w:pPr>
        <w:pStyle w:val="TextBody"/>
        <w:bidi w:val="0"/>
        <w:spacing w:before="0" w:after="240"/>
        <w:jc w:val="both"/>
        <w:rPr/>
      </w:pPr>
      <w:r>
        <w:rPr>
          <w:color w:val="000000"/>
        </w:rPr>
        <w:t>“</w:t>
      </w:r>
      <w:r>
        <w:rPr>
          <w:rFonts w:ascii="Times New Roman" w:hAnsi="Times New Roman"/>
          <w:color w:val="000000"/>
          <w:sz w:val="24"/>
          <w:u w:val="single"/>
        </w:rPr>
        <w:t>Public Information Failure</w:t>
      </w:r>
      <w:r>
        <w:rPr>
          <w:rFonts w:ascii="Times New Roman" w:hAnsi="Times New Roman"/>
          <w:color w:val="000000"/>
          <w:sz w:val="20"/>
        </w:rPr>
        <w:t xml:space="preserve">” </w:t>
      </w:r>
      <w:r>
        <w:rPr>
          <w:rFonts w:ascii="Times New Roman" w:hAnsi="Times New Roman"/>
          <w:color w:val="000000"/>
          <w:sz w:val="24"/>
        </w:rPr>
        <w:t>shall have the meaning ascribed to such term in Section 4.2(b).</w:t>
      </w:r>
    </w:p>
    <w:p>
      <w:pPr>
        <w:pStyle w:val="TextBody"/>
        <w:bidi w:val="0"/>
        <w:spacing w:before="0" w:after="240"/>
        <w:jc w:val="both"/>
        <w:rPr/>
      </w:pPr>
      <w:r>
        <w:rPr>
          <w:color w:val="000000"/>
        </w:rPr>
        <w:t>“</w:t>
      </w:r>
      <w:r>
        <w:rPr>
          <w:rFonts w:ascii="Times New Roman" w:hAnsi="Times New Roman"/>
          <w:color w:val="000000"/>
          <w:sz w:val="24"/>
          <w:u w:val="single"/>
        </w:rPr>
        <w:t>Public Information Failure Payments</w:t>
      </w:r>
      <w:r>
        <w:rPr>
          <w:rFonts w:ascii="Times New Roman" w:hAnsi="Times New Roman"/>
          <w:color w:val="000000"/>
          <w:sz w:val="20"/>
        </w:rPr>
        <w:t xml:space="preserve">” </w:t>
      </w:r>
      <w:r>
        <w:rPr>
          <w:rFonts w:ascii="Times New Roman" w:hAnsi="Times New Roman"/>
          <w:color w:val="000000"/>
          <w:sz w:val="24"/>
        </w:rPr>
        <w:t>shall have the meaning ascribed to such term in Section 4.2(b).</w:t>
      </w:r>
    </w:p>
    <w:p>
      <w:pPr>
        <w:pStyle w:val="TextBody"/>
        <w:bidi w:val="0"/>
        <w:spacing w:before="0" w:after="240"/>
        <w:jc w:val="both"/>
        <w:rPr/>
      </w:pPr>
      <w:r>
        <w:rPr>
          <w:color w:val="000000"/>
        </w:rPr>
        <w:t>“</w:t>
      </w:r>
      <w:r>
        <w:rPr>
          <w:rFonts w:ascii="Times New Roman" w:hAnsi="Times New Roman"/>
          <w:color w:val="000000"/>
          <w:sz w:val="24"/>
          <w:u w:val="single"/>
        </w:rPr>
        <w:t>Purchaser Party</w:t>
      </w:r>
      <w:r>
        <w:rPr>
          <w:rFonts w:ascii="Times New Roman" w:hAnsi="Times New Roman"/>
          <w:color w:val="000000"/>
          <w:sz w:val="20"/>
        </w:rPr>
        <w:t xml:space="preserve">” </w:t>
      </w:r>
      <w:r>
        <w:rPr>
          <w:rFonts w:ascii="Times New Roman" w:hAnsi="Times New Roman"/>
          <w:color w:val="000000"/>
          <w:sz w:val="24"/>
        </w:rPr>
        <w:t>shall have the meaning ascribed to such term in Section 4.8.</w:t>
      </w:r>
    </w:p>
    <w:p>
      <w:pPr>
        <w:pStyle w:val="TextBody"/>
        <w:bidi w:val="0"/>
        <w:spacing w:before="0" w:after="240"/>
        <w:jc w:val="both"/>
        <w:rPr/>
      </w:pPr>
      <w:r>
        <w:rPr>
          <w:color w:val="000000"/>
        </w:rPr>
        <w:t>“</w:t>
      </w:r>
      <w:r>
        <w:rPr>
          <w:rFonts w:ascii="Times New Roman" w:hAnsi="Times New Roman"/>
          <w:color w:val="000000"/>
          <w:sz w:val="24"/>
          <w:u w:val="single"/>
        </w:rPr>
        <w:t>Registration Rights Agreement</w:t>
      </w:r>
      <w:r>
        <w:rPr>
          <w:rFonts w:ascii="Times New Roman" w:hAnsi="Times New Roman"/>
          <w:color w:val="000000"/>
          <w:sz w:val="20"/>
        </w:rPr>
        <w:t xml:space="preserve">” </w:t>
      </w:r>
      <w:r>
        <w:rPr>
          <w:rFonts w:ascii="Times New Roman" w:hAnsi="Times New Roman"/>
          <w:color w:val="000000"/>
          <w:sz w:val="24"/>
        </w:rPr>
        <w:t xml:space="preserve">means the Registration Rights Agreement, dated on or about the date hereof, among the Company and the Purchasers, in the form of </w:t>
      </w:r>
      <w:r>
        <w:rPr>
          <w:rFonts w:ascii="Times New Roman" w:hAnsi="Times New Roman"/>
          <w:color w:val="000000"/>
          <w:sz w:val="24"/>
          <w:u w:val="single"/>
        </w:rPr>
        <w:t>Exhibit A</w:t>
      </w:r>
      <w:r>
        <w:rPr>
          <w:rFonts w:ascii="Times New Roman" w:hAnsi="Times New Roman"/>
          <w:color w:val="000000"/>
          <w:sz w:val="20"/>
        </w:rPr>
        <w:t xml:space="preserve"> </w:t>
      </w:r>
      <w:r>
        <w:rPr>
          <w:rFonts w:ascii="Times New Roman" w:hAnsi="Times New Roman"/>
          <w:color w:val="000000"/>
          <w:sz w:val="24"/>
        </w:rPr>
        <w:t>attached hereto.</w:t>
      </w:r>
    </w:p>
    <w:p>
      <w:pPr>
        <w:pStyle w:val="TextBody"/>
        <w:bidi w:val="0"/>
        <w:spacing w:before="0" w:after="240"/>
        <w:jc w:val="both"/>
        <w:rPr/>
      </w:pPr>
      <w:r>
        <w:rPr>
          <w:color w:val="000000"/>
        </w:rPr>
        <w:t>“</w:t>
      </w:r>
      <w:r>
        <w:rPr>
          <w:rFonts w:ascii="Times New Roman" w:hAnsi="Times New Roman"/>
          <w:color w:val="000000"/>
          <w:sz w:val="24"/>
          <w:u w:val="single"/>
        </w:rPr>
        <w:t>Registration Statement</w:t>
      </w:r>
      <w:r>
        <w:rPr>
          <w:rFonts w:ascii="Times New Roman" w:hAnsi="Times New Roman"/>
          <w:color w:val="000000"/>
          <w:sz w:val="20"/>
        </w:rPr>
        <w:t xml:space="preserve">” </w:t>
      </w:r>
      <w:r>
        <w:rPr>
          <w:rFonts w:ascii="Times New Roman" w:hAnsi="Times New Roman"/>
          <w:color w:val="000000"/>
          <w:sz w:val="24"/>
        </w:rPr>
        <w:t>means a registration statement meeting the requirements set forth in the Registration Rights Agreement and covering the resale by the Purchasers of the Shares and the Warrant Shares.</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Required Approvals</w:t>
      </w:r>
      <w:r>
        <w:rPr>
          <w:rFonts w:ascii="Times New Roman" w:hAnsi="Times New Roman"/>
          <w:color w:val="000000"/>
          <w:sz w:val="20"/>
        </w:rPr>
        <w:t xml:space="preserve">” </w:t>
      </w:r>
      <w:r>
        <w:rPr>
          <w:rFonts w:ascii="Times New Roman" w:hAnsi="Times New Roman"/>
          <w:color w:val="000000"/>
          <w:sz w:val="24"/>
        </w:rPr>
        <w:t>shall have the meaning ascribed to such term in Section 3.1(e).</w:t>
      </w:r>
    </w:p>
    <w:p>
      <w:pPr>
        <w:pStyle w:val="TextBody"/>
        <w:bidi w:val="0"/>
        <w:spacing w:before="0" w:after="240"/>
        <w:jc w:val="both"/>
        <w:rPr/>
      </w:pPr>
      <w:r>
        <w:rPr>
          <w:color w:val="000000"/>
        </w:rPr>
        <w:t>“</w:t>
      </w:r>
      <w:r>
        <w:rPr>
          <w:rFonts w:ascii="Times New Roman" w:hAnsi="Times New Roman"/>
          <w:color w:val="000000"/>
          <w:sz w:val="24"/>
          <w:u w:val="single"/>
        </w:rPr>
        <w:t>Rule 144</w:t>
      </w:r>
      <w:r>
        <w:rPr>
          <w:rFonts w:ascii="Times New Roman" w:hAnsi="Times New Roman"/>
          <w:color w:val="000000"/>
          <w:sz w:val="20"/>
        </w:rPr>
        <w:t xml:space="preserve">” </w:t>
      </w:r>
      <w:r>
        <w:rPr>
          <w:rFonts w:ascii="Times New Roman" w:hAnsi="Times New Roman"/>
          <w:color w:val="000000"/>
          <w:sz w:val="24"/>
        </w:rPr>
        <w:t>means Rule 144 promulgated by the Commission pursuant to the Securities Act, as such Rule may be amended or interpreted from time to time, or any similar rule or regulation hereafter adopted by the Commission having substantially the same purpose and effect as such Rule.</w:t>
      </w:r>
      <w:r>
        <w:rPr>
          <w:rFonts w:ascii="Times New Roman" w:hAnsi="Times New Roman"/>
          <w:color w:val="000000"/>
          <w:sz w:val="20"/>
        </w:rPr>
        <w:t xml:space="preserve"> </w:t>
      </w:r>
    </w:p>
    <w:p>
      <w:pPr>
        <w:pStyle w:val="TextBody"/>
        <w:bidi w:val="0"/>
        <w:jc w:val="both"/>
        <w:rPr/>
      </w:pPr>
      <w:r>
        <w:rPr>
          <w:color w:val="000000"/>
        </w:rPr>
        <w:t>“</w:t>
      </w:r>
      <w:r>
        <w:rPr>
          <w:rFonts w:ascii="Times New Roman" w:hAnsi="Times New Roman"/>
          <w:color w:val="000000"/>
          <w:sz w:val="24"/>
          <w:u w:val="single"/>
        </w:rPr>
        <w:t>Rule 424</w:t>
      </w:r>
      <w:r>
        <w:rPr>
          <w:rFonts w:ascii="Times New Roman" w:hAnsi="Times New Roman"/>
          <w:color w:val="000000"/>
          <w:sz w:val="20"/>
        </w:rPr>
        <w:t xml:space="preserve">” </w:t>
      </w:r>
      <w:r>
        <w:rPr>
          <w:rFonts w:ascii="Times New Roman" w:hAnsi="Times New Roman"/>
          <w:color w:val="000000"/>
          <w:sz w:val="24"/>
        </w:rPr>
        <w:t>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before="0" w:after="240"/>
        <w:jc w:val="both"/>
        <w:rPr/>
      </w:pPr>
      <w:r>
        <w:rPr/>
        <w:t> </w:t>
      </w:r>
    </w:p>
    <w:p>
      <w:pPr>
        <w:pStyle w:val="TextBody"/>
        <w:bidi w:val="0"/>
        <w:spacing w:before="0" w:after="240"/>
        <w:jc w:val="both"/>
        <w:rPr/>
      </w:pPr>
      <w:r>
        <w:rPr>
          <w:color w:val="000000"/>
        </w:rPr>
        <w:t>“</w:t>
      </w:r>
      <w:r>
        <w:rPr>
          <w:rFonts w:ascii="Times New Roman" w:hAnsi="Times New Roman"/>
          <w:color w:val="000000"/>
          <w:sz w:val="24"/>
          <w:u w:val="single"/>
        </w:rPr>
        <w:t>SEC Reports</w:t>
      </w:r>
      <w:r>
        <w:rPr>
          <w:rFonts w:ascii="Times New Roman" w:hAnsi="Times New Roman"/>
          <w:color w:val="000000"/>
          <w:sz w:val="20"/>
        </w:rPr>
        <w:t xml:space="preserve">” </w:t>
      </w:r>
      <w:r>
        <w:rPr>
          <w:rFonts w:ascii="Times New Roman" w:hAnsi="Times New Roman"/>
          <w:color w:val="000000"/>
          <w:sz w:val="24"/>
        </w:rPr>
        <w:t>shall have the meaning ascribed to such term in Section 3.1(h).</w:t>
      </w:r>
    </w:p>
    <w:p>
      <w:pPr>
        <w:pStyle w:val="TextBody"/>
        <w:bidi w:val="0"/>
        <w:spacing w:before="0" w:after="24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Securities</w:t>
      </w:r>
      <w:r>
        <w:rPr>
          <w:rFonts w:ascii="Times New Roman" w:hAnsi="Times New Roman"/>
          <w:color w:val="000000"/>
          <w:sz w:val="20"/>
        </w:rPr>
        <w:t xml:space="preserve">” </w:t>
      </w:r>
      <w:r>
        <w:rPr>
          <w:rFonts w:ascii="Times New Roman" w:hAnsi="Times New Roman"/>
          <w:color w:val="000000"/>
          <w:sz w:val="24"/>
        </w:rPr>
        <w:t>means the Shares, the Warrants and the Warrant Shares.</w:t>
      </w:r>
    </w:p>
    <w:p>
      <w:pPr>
        <w:pStyle w:val="TextBody"/>
        <w:bidi w:val="0"/>
        <w:spacing w:before="0" w:after="240"/>
        <w:jc w:val="both"/>
        <w:rPr/>
      </w:pPr>
      <w:r>
        <w:rPr>
          <w:color w:val="000000"/>
        </w:rPr>
        <w:t>“</w:t>
      </w:r>
      <w:r>
        <w:rPr>
          <w:rFonts w:ascii="Times New Roman" w:hAnsi="Times New Roman"/>
          <w:color w:val="000000"/>
          <w:sz w:val="24"/>
          <w:u w:val="single"/>
        </w:rPr>
        <w:t>Securities Act</w:t>
      </w:r>
      <w:r>
        <w:rPr>
          <w:rFonts w:ascii="Times New Roman" w:hAnsi="Times New Roman"/>
          <w:color w:val="000000"/>
          <w:sz w:val="20"/>
        </w:rPr>
        <w:t xml:space="preserve">” </w:t>
      </w:r>
      <w:r>
        <w:rPr>
          <w:rFonts w:ascii="Times New Roman" w:hAnsi="Times New Roman"/>
          <w:color w:val="000000"/>
          <w:sz w:val="24"/>
        </w:rPr>
        <w:t>means the Securities Act of 1933, as amended, and the rules and regulations promulgated thereunder.</w:t>
      </w:r>
    </w:p>
    <w:p>
      <w:pPr>
        <w:pStyle w:val="TextBody"/>
        <w:bidi w:val="0"/>
        <w:spacing w:before="0" w:after="240"/>
        <w:jc w:val="both"/>
        <w:rPr/>
      </w:pPr>
      <w:r>
        <w:rPr>
          <w:color w:val="000000"/>
        </w:rPr>
        <w:t>“</w:t>
      </w:r>
      <w:r>
        <w:rPr>
          <w:rFonts w:ascii="Times New Roman" w:hAnsi="Times New Roman"/>
          <w:color w:val="000000"/>
          <w:sz w:val="24"/>
          <w:u w:val="single"/>
        </w:rPr>
        <w:t>Shares</w:t>
      </w:r>
      <w:r>
        <w:rPr>
          <w:rFonts w:ascii="Times New Roman" w:hAnsi="Times New Roman"/>
          <w:color w:val="000000"/>
          <w:sz w:val="20"/>
        </w:rPr>
        <w:t xml:space="preserve">” </w:t>
      </w:r>
      <w:r>
        <w:rPr>
          <w:rFonts w:ascii="Times New Roman" w:hAnsi="Times New Roman"/>
          <w:color w:val="000000"/>
          <w:sz w:val="24"/>
        </w:rPr>
        <w:t>means the shares of Common Stock issued or issuable to each Purchaser pursuant to this Agreement.</w:t>
      </w:r>
    </w:p>
    <w:p>
      <w:pPr>
        <w:pStyle w:val="TextBody"/>
        <w:bidi w:val="0"/>
        <w:spacing w:before="0" w:after="240"/>
        <w:jc w:val="both"/>
        <w:rPr/>
      </w:pPr>
      <w:r>
        <w:rPr>
          <w:color w:val="000000"/>
        </w:rPr>
        <w:t>“</w:t>
      </w:r>
      <w:r>
        <w:rPr>
          <w:rFonts w:ascii="Times New Roman" w:hAnsi="Times New Roman"/>
          <w:color w:val="000000"/>
          <w:sz w:val="24"/>
          <w:u w:val="single"/>
        </w:rPr>
        <w:t>Short Sales</w:t>
      </w:r>
      <w:r>
        <w:rPr>
          <w:rFonts w:ascii="Times New Roman" w:hAnsi="Times New Roman"/>
          <w:color w:val="000000"/>
          <w:sz w:val="20"/>
        </w:rPr>
        <w:t xml:space="preserve">” </w:t>
      </w:r>
      <w:r>
        <w:rPr>
          <w:rFonts w:ascii="Times New Roman" w:hAnsi="Times New Roman"/>
          <w:color w:val="000000"/>
          <w:sz w:val="24"/>
        </w:rPr>
        <w:t>means all “short sales” as defined in Rule 200 of Regulation SHO under the Exchange Act (but shall not be deemed to include locating and/or borrowing shares of Common Stock). “</w:t>
      </w:r>
      <w:r>
        <w:rPr>
          <w:rFonts w:ascii="Times New Roman" w:hAnsi="Times New Roman"/>
          <w:color w:val="000000"/>
          <w:sz w:val="24"/>
          <w:u w:val="single"/>
        </w:rPr>
        <w:t>Standard Settlement Period</w:t>
      </w:r>
      <w:r>
        <w:rPr>
          <w:rFonts w:ascii="Times New Roman" w:hAnsi="Times New Roman"/>
          <w:color w:val="000000"/>
          <w:sz w:val="20"/>
        </w:rPr>
        <w:t xml:space="preserve">” </w:t>
      </w:r>
      <w:r>
        <w:rPr>
          <w:rFonts w:ascii="Times New Roman" w:hAnsi="Times New Roman"/>
          <w:color w:val="000000"/>
          <w:sz w:val="24"/>
        </w:rPr>
        <w:t>shall have the meaning ascribed to such term in Section 4.1(c).</w:t>
      </w:r>
    </w:p>
    <w:p>
      <w:pPr>
        <w:pStyle w:val="TextBody"/>
        <w:bidi w:val="0"/>
        <w:spacing w:before="0" w:after="240"/>
        <w:jc w:val="both"/>
        <w:rPr/>
      </w:pPr>
      <w:r>
        <w:rPr>
          <w:color w:val="000000"/>
        </w:rPr>
        <w:t>“</w:t>
      </w:r>
      <w:r>
        <w:rPr>
          <w:rFonts w:ascii="Times New Roman" w:hAnsi="Times New Roman"/>
          <w:color w:val="000000"/>
          <w:sz w:val="24"/>
          <w:u w:val="single"/>
        </w:rPr>
        <w:t>Subscription Amount</w:t>
      </w:r>
      <w:r>
        <w:rPr>
          <w:rFonts w:ascii="Times New Roman" w:hAnsi="Times New Roman"/>
          <w:color w:val="000000"/>
          <w:sz w:val="20"/>
        </w:rPr>
        <w:t xml:space="preserve">” </w:t>
      </w:r>
      <w:r>
        <w:rPr>
          <w:rFonts w:ascii="Times New Roman" w:hAnsi="Times New Roman"/>
          <w:color w:val="000000"/>
          <w:sz w:val="24"/>
        </w:rPr>
        <w:t>means, as to each Purchaser, the aggregate amount to be paid for Shares and Warrants purchased hereunder as specified below such Purchaser’s name on the signature page of this Agreement and next to the heading “Subscription Amount”, in United States dollars and in immediately available funds.</w:t>
      </w:r>
    </w:p>
    <w:p>
      <w:pPr>
        <w:pStyle w:val="TextBody"/>
        <w:bidi w:val="0"/>
        <w:spacing w:before="0" w:after="240"/>
        <w:jc w:val="both"/>
        <w:rPr/>
      </w:pPr>
      <w:r>
        <w:rPr>
          <w:color w:val="000000"/>
        </w:rPr>
        <w:t>“</w:t>
      </w:r>
      <w:r>
        <w:rPr>
          <w:rFonts w:ascii="Times New Roman" w:hAnsi="Times New Roman"/>
          <w:color w:val="000000"/>
          <w:sz w:val="24"/>
          <w:u w:val="single"/>
        </w:rPr>
        <w:t>Subsidiary</w:t>
      </w:r>
      <w:r>
        <w:rPr>
          <w:rFonts w:ascii="Times New Roman" w:hAnsi="Times New Roman"/>
          <w:color w:val="000000"/>
          <w:sz w:val="20"/>
        </w:rPr>
        <w:t xml:space="preserve">” </w:t>
      </w:r>
      <w:r>
        <w:rPr>
          <w:rFonts w:ascii="Times New Roman" w:hAnsi="Times New Roman"/>
          <w:color w:val="000000"/>
          <w:sz w:val="24"/>
        </w:rPr>
        <w:t>means any subsidiary of the Company as set forth in the SEC Reports and shall, where applicable, also include any direct or indirect subsidiary of the Company formed or acquired after the date hereof.</w:t>
      </w:r>
    </w:p>
    <w:p>
      <w:pPr>
        <w:pStyle w:val="TextBody"/>
        <w:bidi w:val="0"/>
        <w:spacing w:before="0" w:after="240"/>
        <w:jc w:val="both"/>
        <w:rPr/>
      </w:pPr>
      <w:r>
        <w:rPr>
          <w:color w:val="000000"/>
        </w:rPr>
        <w:t>“</w:t>
      </w:r>
      <w:r>
        <w:rPr>
          <w:rFonts w:ascii="Times New Roman" w:hAnsi="Times New Roman"/>
          <w:color w:val="000000"/>
          <w:sz w:val="24"/>
          <w:u w:val="single"/>
        </w:rPr>
        <w:t>Trading Day</w:t>
      </w:r>
      <w:r>
        <w:rPr>
          <w:rFonts w:ascii="Times New Roman" w:hAnsi="Times New Roman"/>
          <w:color w:val="000000"/>
          <w:sz w:val="20"/>
        </w:rPr>
        <w:t xml:space="preserve">” </w:t>
      </w:r>
      <w:r>
        <w:rPr>
          <w:rFonts w:ascii="Times New Roman" w:hAnsi="Times New Roman"/>
          <w:color w:val="000000"/>
          <w:sz w:val="24"/>
        </w:rPr>
        <w:t>means a day on which the principal Trading Market is open for trading.</w:t>
      </w:r>
    </w:p>
    <w:p>
      <w:pPr>
        <w:pStyle w:val="TextBody"/>
        <w:bidi w:val="0"/>
        <w:spacing w:before="0" w:after="240"/>
        <w:jc w:val="both"/>
        <w:rPr/>
      </w:pPr>
      <w:r>
        <w:rPr>
          <w:color w:val="000000"/>
        </w:rPr>
        <w:t>“</w:t>
      </w:r>
      <w:r>
        <w:rPr>
          <w:rFonts w:ascii="Times New Roman" w:hAnsi="Times New Roman"/>
          <w:color w:val="000000"/>
          <w:sz w:val="24"/>
          <w:u w:val="single"/>
        </w:rPr>
        <w:t>Trading Market</w:t>
      </w:r>
      <w:r>
        <w:rPr>
          <w:rFonts w:ascii="Times New Roman" w:hAnsi="Times New Roman"/>
          <w:color w:val="000000"/>
          <w:sz w:val="20"/>
        </w:rPr>
        <w:t xml:space="preserve">” </w:t>
      </w:r>
      <w:r>
        <w:rPr>
          <w:rFonts w:ascii="Times New Roman" w:hAnsi="Times New Roman"/>
          <w:color w:val="000000"/>
          <w:sz w:val="24"/>
        </w:rPr>
        <w:t>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pStyle w:val="TextBody"/>
        <w:bidi w:val="0"/>
        <w:spacing w:before="0" w:after="240"/>
        <w:jc w:val="both"/>
        <w:rPr/>
      </w:pPr>
      <w:r>
        <w:rPr>
          <w:color w:val="000000"/>
        </w:rPr>
        <w:t>“</w:t>
      </w:r>
      <w:r>
        <w:rPr>
          <w:rFonts w:ascii="Times New Roman" w:hAnsi="Times New Roman"/>
          <w:color w:val="000000"/>
          <w:sz w:val="24"/>
          <w:u w:val="single"/>
        </w:rPr>
        <w:t>Transaction Documents</w:t>
      </w:r>
      <w:r>
        <w:rPr>
          <w:rFonts w:ascii="Times New Roman" w:hAnsi="Times New Roman"/>
          <w:color w:val="000000"/>
          <w:sz w:val="20"/>
        </w:rPr>
        <w:t xml:space="preserve">” </w:t>
      </w:r>
      <w:r>
        <w:rPr>
          <w:rFonts w:ascii="Times New Roman" w:hAnsi="Times New Roman"/>
          <w:color w:val="000000"/>
          <w:sz w:val="24"/>
        </w:rPr>
        <w:t>means this Agreement, the Warrants, the Registration Rights Agreement, the Lock-Up Agreement, the Escrow Agreement, all exhibits and schedules thereto and hereto and any other documents or agreements executed in connection with the transactions contemplated hereunder.</w:t>
      </w:r>
    </w:p>
    <w:p>
      <w:pPr>
        <w:pStyle w:val="TextBody"/>
        <w:bidi w:val="0"/>
        <w:spacing w:before="0" w:after="240"/>
        <w:jc w:val="both"/>
        <w:rPr/>
      </w:pPr>
      <w:r>
        <w:rPr>
          <w:color w:val="000000"/>
        </w:rPr>
        <w:t>“</w:t>
      </w:r>
      <w:r>
        <w:rPr>
          <w:rFonts w:ascii="Times New Roman" w:hAnsi="Times New Roman"/>
          <w:color w:val="000000"/>
          <w:sz w:val="24"/>
          <w:u w:val="single"/>
        </w:rPr>
        <w:t>Transfer Agent</w:t>
      </w:r>
      <w:r>
        <w:rPr>
          <w:rFonts w:ascii="Times New Roman" w:hAnsi="Times New Roman"/>
          <w:color w:val="000000"/>
          <w:sz w:val="20"/>
        </w:rPr>
        <w:t xml:space="preserve">” </w:t>
      </w:r>
      <w:r>
        <w:rPr>
          <w:rFonts w:ascii="Times New Roman" w:hAnsi="Times New Roman"/>
          <w:color w:val="000000"/>
          <w:sz w:val="24"/>
        </w:rPr>
        <w:t>means Continental Stock Transfer and Trust Company the current transfer agent of the Company, with a mailing address of 1 State Street, 30th Floor, New York, NY 10004 and any successor transfer agent of the Company.</w:t>
      </w:r>
    </w:p>
    <w:p>
      <w:pPr>
        <w:pStyle w:val="TextBody"/>
        <w:bidi w:val="0"/>
        <w:spacing w:before="0" w:after="240"/>
        <w:jc w:val="both"/>
        <w:rPr/>
      </w:pPr>
      <w:r>
        <w:rPr>
          <w:color w:val="000000"/>
        </w:rPr>
        <w:t>“</w:t>
      </w:r>
      <w:r>
        <w:rPr>
          <w:rFonts w:ascii="Times New Roman" w:hAnsi="Times New Roman"/>
          <w:color w:val="000000"/>
          <w:sz w:val="24"/>
          <w:u w:val="single"/>
        </w:rPr>
        <w:t>Variable Rate Transaction</w:t>
      </w:r>
      <w:r>
        <w:rPr>
          <w:rFonts w:ascii="Times New Roman" w:hAnsi="Times New Roman"/>
          <w:color w:val="000000"/>
          <w:sz w:val="20"/>
        </w:rPr>
        <w:t xml:space="preserve">” </w:t>
      </w:r>
      <w:r>
        <w:rPr>
          <w:rFonts w:ascii="Times New Roman" w:hAnsi="Times New Roman"/>
          <w:color w:val="000000"/>
          <w:sz w:val="24"/>
        </w:rPr>
        <w:t>shall have the meaning ascribed to such term in Section 4.11(b).</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VWAP</w:t>
      </w:r>
      <w:r>
        <w:rPr>
          <w:rFonts w:ascii="Times New Roman" w:hAnsi="Times New Roman"/>
          <w:color w:val="000000"/>
          <w:sz w:val="20"/>
        </w:rPr>
        <w:t xml:space="preserve">” </w:t>
      </w:r>
      <w:r>
        <w:rPr>
          <w:rFonts w:ascii="Times New Roman" w:hAnsi="Times New Roman"/>
          <w:color w:val="000000"/>
          <w:sz w:val="24"/>
        </w:rPr>
        <w:t>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Venture Market (“</w:t>
      </w:r>
      <w:r>
        <w:rPr>
          <w:rFonts w:ascii="Times New Roman" w:hAnsi="Times New Roman"/>
          <w:color w:val="000000"/>
          <w:sz w:val="24"/>
          <w:u w:val="single"/>
        </w:rPr>
        <w:t>OTCQB</w:t>
      </w:r>
      <w:r>
        <w:rPr>
          <w:rFonts w:ascii="Times New Roman" w:hAnsi="Times New Roman"/>
          <w:color w:val="000000"/>
          <w:sz w:val="20"/>
        </w:rPr>
        <w:t>”</w:t>
      </w:r>
      <w:r>
        <w:rPr>
          <w:rFonts w:ascii="Times New Roman" w:hAnsi="Times New Roman"/>
          <w:color w:val="000000"/>
          <w:sz w:val="24"/>
        </w:rPr>
        <w:t>) or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OTCQX Best Market (“</w:t>
      </w:r>
      <w:r>
        <w:rPr>
          <w:rFonts w:ascii="Times New Roman" w:hAnsi="Times New Roman"/>
          <w:color w:val="000000"/>
          <w:sz w:val="24"/>
          <w:u w:val="single"/>
        </w:rPr>
        <w:t>OTCQX</w:t>
      </w:r>
      <w:r>
        <w:rPr>
          <w:rFonts w:ascii="Times New Roman" w:hAnsi="Times New Roman"/>
          <w:color w:val="000000"/>
          <w:sz w:val="20"/>
        </w:rPr>
        <w:t>”</w:t>
      </w:r>
      <w:r>
        <w:rPr>
          <w:rFonts w:ascii="Times New Roman" w:hAnsi="Times New Roman"/>
          <w:color w:val="000000"/>
          <w:sz w:val="24"/>
        </w:rPr>
        <w:t>)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w:t>
      </w:r>
      <w:r>
        <w:rPr>
          <w:rFonts w:ascii="Times New Roman" w:hAnsi="Times New Roman"/>
          <w:color w:val="000000"/>
          <w:sz w:val="24"/>
          <w:u w:val="single"/>
        </w:rPr>
        <w:t>Pink Market</w:t>
      </w:r>
      <w:r>
        <w:rPr>
          <w:rFonts w:ascii="Times New Roman" w:hAnsi="Times New Roman"/>
          <w:color w:val="000000"/>
          <w:sz w:val="20"/>
        </w:rPr>
        <w:t>”</w:t>
      </w:r>
      <w:r>
        <w:rPr>
          <w:rFonts w:ascii="Times New Roman" w:hAnsi="Times New Roman"/>
          <w:color w:val="000000"/>
          <w:sz w:val="24"/>
        </w:rPr>
        <w:t>) operated by OTC Markets,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Warrants</w:t>
      </w:r>
      <w:r>
        <w:rPr>
          <w:rFonts w:ascii="Times New Roman" w:hAnsi="Times New Roman"/>
          <w:color w:val="000000"/>
          <w:sz w:val="20"/>
        </w:rPr>
        <w:t xml:space="preserve">” </w:t>
      </w:r>
      <w:r>
        <w:rPr>
          <w:rFonts w:ascii="Times New Roman" w:hAnsi="Times New Roman"/>
          <w:color w:val="000000"/>
          <w:sz w:val="24"/>
        </w:rPr>
        <w:t xml:space="preserve">means, collectively, the Common Stock purchase warrants delivered to the Purchasers at the Closing in accordance with Section 2.2(a) hereof, which Warrants shall be exercisable immediately and have a term of exercise equal to five (5) years, in the form of </w:t>
      </w:r>
      <w:r>
        <w:rPr>
          <w:rFonts w:ascii="Times New Roman" w:hAnsi="Times New Roman"/>
          <w:color w:val="000000"/>
          <w:sz w:val="24"/>
          <w:u w:val="single"/>
        </w:rPr>
        <w:t>Exhibit C</w:t>
      </w:r>
      <w:r>
        <w:rPr>
          <w:rFonts w:ascii="Times New Roman" w:hAnsi="Times New Roman"/>
          <w:color w:val="000000"/>
          <w:sz w:val="20"/>
        </w:rPr>
        <w:t xml:space="preserve"> </w:t>
      </w:r>
      <w:r>
        <w:rPr>
          <w:rFonts w:ascii="Times New Roman" w:hAnsi="Times New Roman"/>
          <w:color w:val="000000"/>
          <w:sz w:val="24"/>
        </w:rPr>
        <w:t>attached hereto.</w:t>
      </w:r>
    </w:p>
    <w:p>
      <w:pPr>
        <w:pStyle w:val="TextBody"/>
        <w:bidi w:val="0"/>
        <w:spacing w:before="0" w:after="240"/>
        <w:jc w:val="both"/>
        <w:rPr/>
      </w:pPr>
      <w:r>
        <w:rPr>
          <w:color w:val="000000"/>
        </w:rPr>
        <w:t>“</w:t>
      </w:r>
      <w:r>
        <w:rPr>
          <w:rFonts w:ascii="Times New Roman" w:hAnsi="Times New Roman"/>
          <w:color w:val="000000"/>
          <w:sz w:val="24"/>
          <w:u w:val="single"/>
        </w:rPr>
        <w:t>Warrant Shares</w:t>
      </w:r>
      <w:r>
        <w:rPr>
          <w:rFonts w:ascii="Times New Roman" w:hAnsi="Times New Roman"/>
          <w:color w:val="000000"/>
          <w:sz w:val="20"/>
        </w:rPr>
        <w:t xml:space="preserve">” </w:t>
      </w:r>
      <w:r>
        <w:rPr>
          <w:rFonts w:ascii="Times New Roman" w:hAnsi="Times New Roman"/>
          <w:color w:val="000000"/>
          <w:sz w:val="24"/>
        </w:rPr>
        <w:t>means the shares of Common Stock issuable upon exercise of the Warrants.</w:t>
      </w:r>
    </w:p>
    <w:p>
      <w:pPr>
        <w:pStyle w:val="TextBody"/>
        <w:bidi w:val="0"/>
        <w:spacing w:before="0" w:after="240"/>
        <w:jc w:val="both"/>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ARTICLE II.</w:t>
      </w:r>
    </w:p>
    <w:p>
      <w:pPr>
        <w:pStyle w:val="TextBody"/>
        <w:bidi w:val="0"/>
        <w:spacing w:before="0" w:after="240"/>
        <w:jc w:val="center"/>
        <w:rPr/>
      </w:pPr>
      <w:r>
        <w:rPr>
          <w:rFonts w:ascii="Times New Roman" w:hAnsi="Times New Roman"/>
          <w:color w:val="000000"/>
          <w:sz w:val="24"/>
        </w:rPr>
        <w:br/>
      </w:r>
      <w:r>
        <w:rPr>
          <w:rFonts w:ascii="Times New Roman" w:hAnsi="Times New Roman"/>
          <w:b/>
          <w:color w:val="000000"/>
          <w:sz w:val="24"/>
        </w:rPr>
        <w:t>PURCHASE AND SALE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2.1</w:t>
      </w:r>
    </w:p>
    <w:p>
      <w:pPr>
        <w:pStyle w:val="TextBody"/>
        <w:bidi w:val="0"/>
        <w:spacing w:before="0" w:after="240"/>
        <w:jc w:val="both"/>
        <w:rPr/>
      </w:pPr>
      <w:r>
        <w:rPr>
          <w:rFonts w:ascii="Times New Roman" w:hAnsi="Times New Roman"/>
          <w:color w:val="000000"/>
          <w:sz w:val="24"/>
          <w:u w:val="single"/>
        </w:rPr>
        <w:t>Closing</w:t>
      </w:r>
      <w:r>
        <w:rPr>
          <w:rFonts w:ascii="Times New Roman" w:hAnsi="Times New Roman"/>
          <w:color w:val="000000"/>
          <w:sz w:val="24"/>
        </w:rPr>
        <w:t xml:space="preserve">. On the Closing Date, upon the terms and subject to the conditions set forth herein, substantially concurrent with the execution and delivery of this Agreement by the parties hereto, the Company agrees to sell, and the Purchasers, severally and not jointly, agree to purchase, up to an aggregate of $30,000,000 of Shares and Warrants. Each Purchaser shall deliver to the Escrow Agent, via wire transfer, immediately available funds equal to such Purchaser’s Subscription Amount as set forth on the signature page hereto executed by such Purchaser, and the Company shall deliver to each Purchaser its respective Shares and Warrants as determined pursuant to Section 2.2(a), and the Company and each Purchaser shall deliver the other items set forth in Section 2.2 deliverable at the Closing. Upon satisfaction of the covenants and conditions set forth in Sections 2.2 and 2.3, the Closing shall take place remotely by electronic transfer of the Closing documentation. In the event that the Closing does not occur within three (3) Business Days after the Closing Date, the Company shall promptly (but not later than one Business Day thereafter) return the previously wired amount to each respective Purchaser by wire transfer of United States dollars in immediately available funds to the account specified by each Purchaser, and any book entries for the Shares shall be deemed cancelled.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2.2</w:t>
      </w:r>
    </w:p>
    <w:p>
      <w:pPr>
        <w:pStyle w:val="TextBody"/>
        <w:bidi w:val="0"/>
        <w:spacing w:before="0" w:after="240"/>
        <w:jc w:val="left"/>
        <w:rPr/>
      </w:pPr>
      <w:r>
        <w:rPr>
          <w:rFonts w:ascii="Times New Roman" w:hAnsi="Times New Roman"/>
          <w:color w:val="000000"/>
          <w:sz w:val="24"/>
          <w:u w:val="single"/>
        </w:rPr>
        <w:t>Deliveries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On or prior to the Closing Date (except as specified below), the Company shall deliver or cause to be delivered to each Purchaser the following: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Agreement duly executed by the Company;</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 legal opinion of Company Counsel, directed to the Placement Agent and the Purchasers, in a form reasonably acceptable to the Placement Agent and Purchasers;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copy of the irrevocable instructions to the Transfer Agent instructing the Transfer Agent to deliver, on an expedited basis, a certificate evidencing a number of Shares equal to such Purchaser’s Subscription Amount divided by the Per Share Purchase Price, registered in the name of such Purchaser, or, at the election of such Purchaser, evidence of the issuance of such Purchaser’s Shares hereunder as held in DRS book-entry form by the Transfer Agent and registered in the name of such Purchaser, which evidence shall be reasonably satisfactory to such Purchaser;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Warrant registered in the name of such Purchaser to purchase up to a number of shares of Common Stock equal to 100% of such Purchaser’s Shares, with an exercise price equal to $5.00, subject to adjustment therein;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shall have provided each Purchaser with the Escrow Agent’s wire instructions at least two (2) Business Days prior to the Closing Date, on Company letterhead and executed by the Chief Executive Officer or Chief Financial Officer;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on the date hereof, the duly executed Lock-Up Agreements;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on the date hereof, the Registration Rights Agreement duly executed by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On or prior to the Closing Date (except as specified below), each Purchaser shall deliver or cause to be delivered to the Company or the Escrow Agent, as applicable, the following: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Agreement duly executed by such Purchaser;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the Escrow Agent, such Purchaser’s Subscription Amount by wire transfer to the account specified in writing by the Company;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on the date hereof, the Registration Rights Agreement duly executed by such Purchaser.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2.3</w:t>
      </w:r>
    </w:p>
    <w:p>
      <w:pPr>
        <w:pStyle w:val="TextBody"/>
        <w:bidi w:val="0"/>
        <w:spacing w:before="0" w:after="240"/>
        <w:jc w:val="left"/>
        <w:rPr/>
      </w:pPr>
      <w:r>
        <w:rPr>
          <w:rFonts w:ascii="Times New Roman" w:hAnsi="Times New Roman"/>
          <w:color w:val="000000"/>
          <w:sz w:val="24"/>
          <w:u w:val="single"/>
        </w:rPr>
        <w:t>Closing Conditions</w:t>
      </w:r>
      <w:r>
        <w:rPr>
          <w:rFonts w:ascii="Times New Roman" w:hAnsi="Times New Roman"/>
          <w:color w:val="000000"/>
          <w:sz w:val="24"/>
        </w:rPr>
        <w:t>.</w:t>
      </w:r>
      <w:r>
        <w:rPr>
          <w:color w:val="000000"/>
          <w:u w:val="single"/>
        </w:rPr>
        <w:t xml:space="preserve">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(a) The obligations of the Company hereunder in connection with the Closing are subject to the following conditions being met: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accuracy in all material respects (or, to the extent representations or warranties are qualified by materiality, in all respects) when made and on the Closing Date of the representations and warranties of the Purchasers contained herein (unless such representation or warranty is as of a specific date therein in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which case they shall be accurate in all material respects (or, to the extent the representations or warranties are qualified by materiality, in all respects) as of such date);</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obligations, covenants and agreements of each Purchaser required to be performed at or prior to the Closing Date shall have been performed;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delivery by each Purchaser of the items set forth in Section 2.2(b)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respective obligations of the Purchasers hereunder in connection with the Closing are subject to the following conditions being met: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accuracy in all material respects (or, to the extent representations or warranties are qualified by materiality or Material Adverse Effect, in all respects) when made and on the Closing Date of the representations and warranties of the Company contained herein (unless such representation or warranty is as of a specific date therein in which case they shall be accurate in all material respects (or, to the extent representations or warranties are qualified by materiality or Material Adverse Effect, in all respects) as of such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all obligations, covenants and agreements of the Company required to be performed at or prior to the Closing Date shall have been performed;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delivery by the Company of the items set forth in Section 2.2(a) of this Agreement;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from the date hereof through the Closing Date, there shall have been no Material Adverse Effect with respect to the Company; </w:t>
      </w:r>
    </w:p>
    <w:p>
      <w:pPr>
        <w:pStyle w:val="TextBody"/>
        <w:bidi w:val="0"/>
        <w:spacing w:before="0" w:after="24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from the date hereof to the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at no time during the period beginning on the execution of this Agreement through and ending on and including the Closing shall the Company have publicly announced any material negative information; and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Company shall have filed an additional listing application with the Nasdaq with respect to the Shares.</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ARTICLE III.</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br/>
        <w:t>REPRESENTATIONS AND WARRANTIES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3.1</w:t>
      </w:r>
    </w:p>
    <w:p>
      <w:pPr>
        <w:pStyle w:val="TextBody"/>
        <w:bidi w:val="0"/>
        <w:spacing w:before="0" w:after="240"/>
        <w:jc w:val="both"/>
        <w:rPr/>
      </w:pPr>
      <w:r>
        <w:rPr>
          <w:rFonts w:ascii="Times New Roman" w:hAnsi="Times New Roman"/>
          <w:color w:val="000000"/>
          <w:sz w:val="24"/>
          <w:u w:val="single"/>
        </w:rPr>
        <w:t>Representations and Warranties of the Company</w:t>
      </w:r>
      <w:r>
        <w:rPr>
          <w:rFonts w:ascii="Times New Roman" w:hAnsi="Times New Roman"/>
          <w:color w:val="000000"/>
          <w:sz w:val="24"/>
        </w:rPr>
        <w:t>. Except as set forth in the SEC Reports or the Disclosure Schedules, which Disclosure Schedules shall be deemed a part hereof and shall qualify any representation made herein to the extent of the disclosure contained in the corresponding section of the Disclosure Schedules, the Company hereby makes the following representations and warranties as of the date hereof and as of the Closing Date to each Purchaser: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Subsidiaries</w:t>
      </w:r>
      <w:r>
        <w:rPr>
          <w:rFonts w:ascii="Times New Roman" w:hAnsi="Times New Roman"/>
          <w:color w:val="000000"/>
          <w:sz w:val="24"/>
        </w:rPr>
        <w:t>. All of the direct and indirect subsidiaries of the Company are set forth in the SEC Reports.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 If the Company has no subsidiaries, all other references to the Subsidiaries or any of them in the Transaction Documents shall be disregarded.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Organization and Qualification</w:t>
      </w:r>
      <w:r>
        <w:rPr>
          <w:rFonts w:ascii="Times New Roman" w:hAnsi="Times New Roman"/>
          <w:color w:val="000000"/>
          <w:sz w:val="24"/>
        </w:rPr>
        <w:t>. The Company and each of the Subsidiaries is an entity duly incorporated or otherwise organized, validly existing and, if applicable under the laws of the jurisdiction in which it is incorporated or organized, in good standing (or its foreign equivalent) under the laws of the jurisdiction of its incorporation or organization, with the requisite power and authority to own and use its properties and assets and to carry on its business as currently conducted and as proposed to be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Times New Roman" w:hAnsi="Times New Roman"/>
          <w:color w:val="000000"/>
          <w:sz w:val="24"/>
          <w:u w:val="single"/>
        </w:rPr>
        <w:t>Material Adverse Effect</w:t>
      </w:r>
      <w:r>
        <w:rPr>
          <w:color w:val="000000"/>
        </w:rPr>
        <w:t>”</w:t>
      </w:r>
      <w:r>
        <w:rPr>
          <w:rFonts w:ascii="Times New Roman" w:hAnsi="Times New Roman"/>
          <w:color w:val="000000"/>
          <w:sz w:val="24"/>
        </w:rPr>
        <w:t>) and no Proceeding has been instituted in any such jurisdiction revoking, limiting or curtailing or seeking to revoke, limit or curtail such power and authority or qualification.</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Authorization; Enforcement</w:t>
      </w:r>
      <w:r>
        <w:rPr>
          <w:rFonts w:ascii="Times New Roman" w:hAnsi="Times New Roman"/>
          <w:color w:val="000000"/>
          <w:sz w:val="24"/>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a committee of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No Conflicts</w:t>
      </w:r>
      <w:r>
        <w:rPr>
          <w:rFonts w:ascii="Times New Roman" w:hAnsi="Times New Roman"/>
          <w:color w:val="000000"/>
          <w:sz w:val="24"/>
        </w:rPr>
        <w:t>. Except as set forth on Schedule 3.1(d),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individually or in the aggregate, have or reasonably be expected to result in a Material Adverse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Filings, Consents and Approvals</w:t>
      </w:r>
      <w:r>
        <w:rPr>
          <w:rFonts w:ascii="Times New Roman" w:hAnsi="Times New Roman"/>
          <w:color w:val="000000"/>
          <w:sz w:val="24"/>
        </w:rPr>
        <w:t xml:space="preserve">. Except as set forth on Schedule 3.1(e),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 (ii) the filings with the Commission </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pursuant to the Registration Rights Agreement, (iii) the notice and/or application(s) to each applicable Trading Market for the issuance and sale of the Shares and Warrant Shares and the listing of the Shares and Warrant Shares for trading thereon in the time and manner required thereby, and (iv) the filing of Form D with the Commission and such filings as are required to be made under applicable state securities laws (collectively, the “</w:t>
      </w:r>
      <w:r>
        <w:rPr>
          <w:rFonts w:ascii="Times New Roman" w:hAnsi="Times New Roman"/>
          <w:color w:val="000000"/>
          <w:sz w:val="24"/>
          <w:u w:val="single"/>
        </w:rPr>
        <w:t>Required Approvals</w:t>
      </w:r>
      <w:r>
        <w:rPr>
          <w:color w:val="000000"/>
        </w:rPr>
        <w:t>”</w:t>
      </w:r>
      <w:r>
        <w:rPr>
          <w:rFonts w:ascii="Times New Roman" w:hAnsi="Times New Roman"/>
          <w:color w:val="000000"/>
          <w:sz w:val="24"/>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u w:val="single"/>
        </w:rPr>
        <w:t>Issuance of the Securities</w:t>
      </w:r>
      <w:r>
        <w:rPr>
          <w:rFonts w:ascii="Times New Roman" w:hAnsi="Times New Roman"/>
          <w:color w:val="000000"/>
          <w:sz w:val="24"/>
        </w:rPr>
        <w:t>. The Securities are duly authorized and, when issued and paid for in accordance with this Agreement, will be duly and validly issued, fully paid and nonassessable, free and clear of all Liens imposed by the Company other than restrictions on transfer provided for in the Transaction Documents. The Company has reserved from its duly authorized capital stock the maximum number of shares of Common Stock issuable pursuant to this Agreement. The Warrant Shares, when issued in accordance with the terms of the Transaction Documents, will be validly issued, fully paid and nonassessable, free and clear of all Liens imposed by the Company other than restrictions on transfer provided for in the Transaction Documents. The Company has reserved from its duly authorized capital stock the maximum number of shares of Common Stock issuable pursuant to this Agreement and the Warrants.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rFonts w:ascii="Times New Roman" w:hAnsi="Times New Roman"/>
          <w:color w:val="000000"/>
          <w:sz w:val="24"/>
          <w:u w:val="single"/>
        </w:rPr>
        <w:t>Capitalization</w:t>
      </w:r>
      <w:r>
        <w:rPr>
          <w:rFonts w:ascii="Times New Roman" w:hAnsi="Times New Roman"/>
          <w:color w:val="000000"/>
          <w:sz w:val="24"/>
        </w:rPr>
        <w:t xml:space="preserve">. The capitalization of the Company as of the date hereof is as set forth on </w:t>
      </w:r>
      <w:r>
        <w:rPr>
          <w:rFonts w:ascii="Times New Roman" w:hAnsi="Times New Roman"/>
          <w:color w:val="000000"/>
          <w:sz w:val="24"/>
          <w:u w:val="single"/>
        </w:rPr>
        <w:t>Schedule 3.1(g)</w:t>
      </w:r>
      <w:r>
        <w:rPr>
          <w:rFonts w:ascii="Times New Roman" w:hAnsi="Times New Roman"/>
          <w:color w:val="000000"/>
          <w:sz w:val="24"/>
        </w:rPr>
        <w:t xml:space="preserve">. The Company has not issued any capital stock since its most recently filed periodic report under the Exchange Act, other than pursuant to the exercise of employee stock options or the vesting of Common Stock Equivalents under the Company’s stock option or equity incentive plans, the issuance of shares of Common Stock to employees pursuant to the Company’s employee stock purchase plans and pursuant to the conversion and/or exercise of Common Stock Equivalents outstanding as of the date of the most recently filed periodic report under the Exchange Act. Except as set forth on Schedule 3.1(d) or (e), no Person has any right of first refusal, preemptive right, right of participation, or any similar right to participate in the transactions contemplated by the Transaction Documents. The Shares will not be subject to the preemptive rights of any holders of any security of the Company or similar contractual rights granted by the Company. Except as a result of the purchase and sale of the Shares and as set forth on </w:t>
      </w:r>
      <w:r>
        <w:rPr>
          <w:rFonts w:ascii="Times New Roman" w:hAnsi="Times New Roman"/>
          <w:color w:val="000000"/>
          <w:sz w:val="24"/>
          <w:u w:val="single"/>
        </w:rPr>
        <w:t>Schedule 3.1(g)</w:t>
      </w:r>
      <w:r>
        <w:rPr>
          <w:rFonts w:ascii="Times New Roman" w:hAnsi="Times New Roman"/>
          <w:color w:val="000000"/>
          <w:sz w:val="24"/>
        </w:rPr>
        <w:t xml:space="preserve">,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The issuance and sale of the Securities will not obligate the Company or any Subsidiary to issue shares of Common Stock or other securities to any Person (other than the Purchasers). Except as set forth on </w:t>
      </w:r>
      <w:r>
        <w:rPr>
          <w:rFonts w:ascii="Times New Roman" w:hAnsi="Times New Roman"/>
          <w:color w:val="000000"/>
          <w:sz w:val="24"/>
          <w:u w:val="single"/>
        </w:rPr>
        <w:t>Schedule 3.1(g)</w:t>
      </w:r>
      <w:r>
        <w:rPr>
          <w:rFonts w:ascii="Times New Roman" w:hAnsi="Times New Roman"/>
          <w:color w:val="000000"/>
          <w:sz w:val="24"/>
        </w:rPr>
        <w:t xml:space="preserve">, there are no outstanding securities or instruments of the Company or any Subsidiary with any provision that adjusts the exercise, conversion, exchange or reset price of such security or instrument upon an issuance of securities by the Company or any Subsidiary. There are no outstanding securities or instruments of the Company or any Subsidiary that contain any redemption or similar provisions, and there are no contracts, commitments, understandings or arrangements by which the Company or any </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stockholder, the Board of Directors or others is required for the issuance and sale of the Securities. There are no stockholders agreements, voting agreements or other similar agreements with respect to the Company’s capital stock to which the Company is a party or, to the knowledge of the Company, between or among any of the Company’s stockholders.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pPr>
      <w:r>
        <w:rPr>
          <w:rFonts w:ascii="Times New Roman" w:hAnsi="Times New Roman"/>
          <w:color w:val="000000"/>
          <w:sz w:val="24"/>
          <w:u w:val="single"/>
        </w:rPr>
        <w:t>SEC Reports; Financial Statements</w:t>
      </w:r>
      <w:r>
        <w:rPr>
          <w:rFonts w:ascii="Times New Roman" w:hAnsi="Times New Roman"/>
          <w:color w:val="000000"/>
          <w:sz w:val="24"/>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Times New Roman" w:hAnsi="Times New Roman"/>
          <w:color w:val="000000"/>
          <w:sz w:val="24"/>
          <w:u w:val="single"/>
        </w:rPr>
        <w:t>SEC Reports</w:t>
      </w:r>
      <w:r>
        <w:rPr>
          <w:color w:val="000000"/>
        </w:rPr>
        <w:t>”</w:t>
      </w:r>
      <w:r>
        <w:rPr>
          <w:rFonts w:ascii="Times New Roman" w:hAnsi="Times New Roman"/>
          <w:color w:val="000000"/>
          <w:sz w:val="24"/>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There are no material outstanding or unresolved comments in comment letters from the staff of the Division of Corporation Finance of the Commission with respect to any of the SEC Reports as of the Date hereof. The Company has never been an issuer subject to Rule 144(i) under the Securities Act.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 w:hAnsi="Times New Roman"/>
          <w:color w:val="000000"/>
          <w:sz w:val="24"/>
          <w:u w:val="single"/>
        </w:rPr>
        <w:t>GAAP</w:t>
      </w:r>
      <w:r>
        <w:rPr>
          <w:color w:val="000000"/>
        </w:rPr>
        <w:t>”</w:t>
      </w:r>
      <w:r>
        <w:rPr>
          <w:rFonts w:ascii="Times New Roman" w:hAnsi="Times New Roman"/>
          <w:color w:val="000000"/>
          <w:sz w:val="24"/>
        </w:rPr>
        <w:t xml:space="preserve">),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 The agreements and documents described in the SEC Reports conform in all material respects to the descriptions thereof contained therein, and there are no agreements or other documents required by the Exchange Act and the rules and regulations thereunder to be described in the SEC Reports that have not been so described or filed.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u w:val="single"/>
        </w:rPr>
        <w:t>Material Changes; Undisclosed Events, Liabilities or Developments</w:t>
      </w:r>
      <w:r>
        <w:rPr>
          <w:rFonts w:ascii="Times New Roman" w:hAnsi="Times New Roman"/>
          <w:color w:val="000000"/>
          <w:sz w:val="24"/>
        </w:rPr>
        <w:t xml:space="preserve">. Since the date of the latest audited financial statements included within the SEC Reports, except </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as set forth in the SEC Reports,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stock option or equity incentive plans. The Company does not have pending before the Commission any request for confidential treatment of information. Except for the issuance of the Securities contemplated by this Agreement or as set forth on </w:t>
      </w:r>
      <w:r>
        <w:rPr>
          <w:rFonts w:ascii="Times New Roman" w:hAnsi="Times New Roman"/>
          <w:color w:val="000000"/>
          <w:sz w:val="24"/>
          <w:u w:val="single"/>
        </w:rPr>
        <w:t>Schedule 3.1(i)</w:t>
      </w:r>
      <w:r>
        <w:rPr>
          <w:rFonts w:ascii="Times New Roman" w:hAnsi="Times New Roman"/>
          <w:color w:val="000000"/>
          <w:sz w:val="24"/>
        </w:rPr>
        <w: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included on the Disclosure Schedules or publicly disclosed at least 1 Trading Day prior to the date that this representation is made.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pPr>
      <w:r>
        <w:rPr>
          <w:rFonts w:ascii="Times New Roman" w:hAnsi="Times New Roman"/>
          <w:color w:val="000000"/>
          <w:sz w:val="24"/>
          <w:u w:val="single"/>
        </w:rPr>
        <w:t>Litigation</w:t>
      </w:r>
      <w:r>
        <w:rPr>
          <w:rFonts w:ascii="Times New Roman" w:hAnsi="Times New Roman"/>
          <w:color w:val="000000"/>
          <w:sz w:val="24"/>
        </w:rPr>
        <w:t xml:space="preserve">. Except as set forth on </w:t>
      </w:r>
      <w:r>
        <w:rPr>
          <w:rFonts w:ascii="Times New Roman" w:hAnsi="Times New Roman"/>
          <w:color w:val="000000"/>
          <w:sz w:val="24"/>
          <w:u w:val="single"/>
        </w:rPr>
        <w:t>Schedule 3.1(j)</w:t>
      </w:r>
      <w:r>
        <w:rPr>
          <w:rFonts w:ascii="Times New Roman" w:hAnsi="Times New Roman"/>
          <w:color w:val="000000"/>
          <w:sz w:val="24"/>
        </w:rPr>
        <w:t>,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 w:hAnsi="Times New Roman"/>
          <w:color w:val="000000"/>
          <w:sz w:val="24"/>
          <w:u w:val="single"/>
        </w:rPr>
        <w:t>Action</w:t>
      </w:r>
      <w:r>
        <w:rPr>
          <w:color w:val="000000"/>
        </w:rPr>
        <w:t>”</w:t>
      </w:r>
      <w:r>
        <w:rPr>
          <w:rFonts w:ascii="Times New Roman" w:hAnsi="Times New Roman"/>
          <w:color w:val="000000"/>
          <w:sz w:val="24"/>
        </w:rPr>
        <w:t xml:space="preserve">) which (i) adversely affects or challenges the legality, validity or enforceability of any of the Transaction Documents or the Securities or (ii) could, if there were an unfavorable decision, have or reasonably be expected to result in a Material Adverse Effect. Neither the Company nor any Subsidiary, nor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There are no Actions required to be disclosed in the SEC Reports that have not been disclosed. To the Company’s knowledge, the Commission has not issued any stop order or other order suspending the effectiveness of any registration statement filed by the Company or any Subsidiary under the Exchange Act or the Securities Act.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w:t>
      </w:r>
    </w:p>
    <w:p>
      <w:pPr>
        <w:pStyle w:val="TextBody"/>
        <w:bidi w:val="0"/>
        <w:spacing w:before="0" w:after="240"/>
        <w:jc w:val="both"/>
        <w:rPr/>
      </w:pPr>
      <w:r>
        <w:rPr>
          <w:rFonts w:ascii="Times New Roman" w:hAnsi="Times New Roman"/>
          <w:color w:val="000000"/>
          <w:sz w:val="24"/>
          <w:u w:val="single"/>
        </w:rPr>
        <w:t>Labor Relations</w:t>
      </w:r>
      <w:r>
        <w:rPr>
          <w:rFonts w:ascii="Times New Roman" w:hAnsi="Times New Roman"/>
          <w:color w:val="000000"/>
          <w:sz w:val="24"/>
        </w:rPr>
        <w:t xml:space="preserve">. No labor dispute exists or, to the knowledge of the Company, is imminent with respect to any of the employees of the Company or its Subsidiaries,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applicable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w:t>
      </w:r>
    </w:p>
    <w:p>
      <w:pPr>
        <w:pStyle w:val="TextBody"/>
        <w:bidi w:val="0"/>
        <w:spacing w:before="0" w:after="240"/>
        <w:jc w:val="both"/>
        <w:rPr/>
      </w:pPr>
      <w:r>
        <w:rPr>
          <w:rFonts w:ascii="Times New Roman" w:hAnsi="Times New Roman"/>
          <w:color w:val="000000"/>
          <w:sz w:val="24"/>
          <w:u w:val="single"/>
        </w:rPr>
        <w:t>Compliance</w:t>
      </w:r>
      <w:r>
        <w:rPr>
          <w:rFonts w:ascii="Times New Roman" w:hAnsi="Times New Roman"/>
          <w:color w:val="000000"/>
          <w:sz w:val="24"/>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to result in a Material Adverse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w:t>
      </w:r>
    </w:p>
    <w:p>
      <w:pPr>
        <w:pStyle w:val="TextBody"/>
        <w:bidi w:val="0"/>
        <w:spacing w:before="0" w:after="240"/>
        <w:jc w:val="both"/>
        <w:rPr/>
      </w:pPr>
      <w:r>
        <w:rPr>
          <w:rFonts w:ascii="Times New Roman" w:hAnsi="Times New Roman"/>
          <w:color w:val="000000"/>
          <w:sz w:val="24"/>
          <w:u w:val="single"/>
        </w:rPr>
        <w:t>Environmental Laws</w:t>
      </w:r>
      <w:r>
        <w:rPr>
          <w:rFonts w:ascii="Times New Roman" w:hAnsi="Times New Roman"/>
          <w:color w:val="000000"/>
          <w:sz w:val="24"/>
        </w:rPr>
        <w:t>. The Company and its Subsidiaries (i) are in compliance with all applicable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 w:hAnsi="Times New Roman"/>
          <w:color w:val="000000"/>
          <w:sz w:val="24"/>
          <w:u w:val="single"/>
        </w:rPr>
        <w:t>Hazardous Materials</w:t>
      </w:r>
      <w:r>
        <w:rPr>
          <w:color w:val="000000"/>
        </w:rPr>
        <w:t>”</w:t>
      </w:r>
      <w:r>
        <w:rPr>
          <w:rFonts w:ascii="Times New Roman" w:hAnsi="Times New Roman"/>
          <w:color w:val="000000"/>
          <w:sz w:val="24"/>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 w:hAnsi="Times New Roman"/>
          <w:color w:val="000000"/>
          <w:sz w:val="24"/>
          <w:u w:val="single"/>
        </w:rPr>
        <w:t>Environmental Laws</w:t>
      </w:r>
      <w:r>
        <w:rPr>
          <w:color w:val="000000"/>
        </w:rPr>
        <w:t>”</w:t>
      </w:r>
      <w:r>
        <w:rPr>
          <w:rFonts w:ascii="Times New Roman" w:hAnsi="Times New Roman"/>
          <w:color w:val="000000"/>
          <w:sz w:val="24"/>
        </w:rPr>
        <w:t>); (ii) have received all permits licenses or other approvals required of them under applicable Environmental Laws to conduct their respective businesses; and (iii) are in compliance with all terms and conditions of any such permit, license or approval except where in each clause (i), (ii) and (iii), the failure to so comply or receive could be reasonably expected to have, individually or in the aggregate, a Material Adverse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w:t>
      </w:r>
    </w:p>
    <w:p>
      <w:pPr>
        <w:pStyle w:val="TextBody"/>
        <w:bidi w:val="0"/>
        <w:spacing w:before="0" w:after="240"/>
        <w:jc w:val="both"/>
        <w:rPr/>
      </w:pPr>
      <w:r>
        <w:rPr>
          <w:rFonts w:ascii="Times New Roman" w:hAnsi="Times New Roman"/>
          <w:color w:val="000000"/>
          <w:sz w:val="24"/>
          <w:u w:val="single"/>
        </w:rPr>
        <w:t>Regulatory Permits</w:t>
      </w:r>
      <w:r>
        <w:rPr>
          <w:rFonts w:ascii="Times New Roman" w:hAnsi="Times New Roman"/>
          <w:color w:val="000000"/>
          <w:sz w:val="24"/>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certificates, authorizations or permits could not reasonably be expected to result in a Material Adverse Effect (“</w:t>
      </w:r>
      <w:r>
        <w:rPr>
          <w:rFonts w:ascii="Times New Roman" w:hAnsi="Times New Roman"/>
          <w:color w:val="000000"/>
          <w:sz w:val="24"/>
          <w:u w:val="single"/>
        </w:rPr>
        <w:t xml:space="preserve">Material </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u w:val="single"/>
        </w:rPr>
        <w:t>Permits</w:t>
      </w:r>
      <w:r>
        <w:rPr>
          <w:color w:val="000000"/>
        </w:rPr>
        <w:t>”</w:t>
      </w:r>
      <w:r>
        <w:rPr>
          <w:rFonts w:ascii="Times New Roman" w:hAnsi="Times New Roman"/>
          <w:color w:val="000000"/>
          <w:sz w:val="24"/>
        </w:rPr>
        <w:t>), and neither the Company nor any Subsidiary has received any notice of proceedings relating to the revocation or modification of any Material Permit. The Company is and has been in material compliance with any term of any such Material Permits, except for the violations that would not reasonably be expected to have a Material Adverse Effect. The Company has not failed to file with the applicable regulatory authorities any filing, declaration, listing, registration, report or submission that is required to be so filed for the Company’s business operation as currently conducted. All such filings were in material compliance with applicable laws when filed and no deficiencies have been asserted in writing by any applicable regulatory authority with respect to any such filings, declarations, listings, registrations, reports or submissions.</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240"/>
        <w:jc w:val="both"/>
        <w:rPr/>
      </w:pPr>
      <w:r>
        <w:rPr>
          <w:rFonts w:ascii="Times New Roman" w:hAnsi="Times New Roman"/>
          <w:color w:val="000000"/>
          <w:sz w:val="24"/>
          <w:u w:val="single"/>
        </w:rPr>
        <w:t>Title to Assets</w:t>
      </w:r>
      <w:r>
        <w:rPr>
          <w:rFonts w:ascii="Times New Roman" w:hAnsi="Times New Roman"/>
          <w:color w:val="000000"/>
          <w:sz w:val="24"/>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w:t>
      </w:r>
    </w:p>
    <w:p>
      <w:pPr>
        <w:pStyle w:val="TextBody"/>
        <w:bidi w:val="0"/>
        <w:spacing w:before="0" w:after="240"/>
        <w:jc w:val="both"/>
        <w:rPr/>
      </w:pPr>
      <w:r>
        <w:rPr>
          <w:rFonts w:ascii="Times New Roman" w:hAnsi="Times New Roman"/>
          <w:color w:val="000000"/>
          <w:sz w:val="24"/>
          <w:u w:val="single"/>
        </w:rPr>
        <w:t>Intellectual Property</w:t>
      </w:r>
      <w:r>
        <w:rPr>
          <w:rFonts w:ascii="Times New Roman" w:hAnsi="Times New Roman"/>
          <w:color w:val="000000"/>
          <w:sz w:val="24"/>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could have a Material Adverse Effect (collectively, the “</w:t>
      </w:r>
      <w:r>
        <w:rPr>
          <w:rFonts w:ascii="Times New Roman" w:hAnsi="Times New Roman"/>
          <w:color w:val="000000"/>
          <w:sz w:val="24"/>
          <w:u w:val="single"/>
        </w:rPr>
        <w:t>Intellectual Property Rights</w:t>
      </w:r>
      <w:r>
        <w:rPr>
          <w:color w:val="000000"/>
        </w:rPr>
        <w:t>”</w:t>
      </w:r>
      <w:r>
        <w:rPr>
          <w:rFonts w:ascii="Times New Roman" w:hAnsi="Times New Roman"/>
          <w:color w:val="000000"/>
          <w:sz w:val="24"/>
        </w:rPr>
        <w:t xml:space="preserve">).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except where such action would not reasonably be expected to have a Material Adverse Effect.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have a Material Adverse Effect. To the knowledge of the Company, all such Intellectual Property Rights are enforceable and there is no existing material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 The Company has no knowledge of any facts that would preclude it from having valid license rights or clear title to the Intellectual Property Rights. The Company has no knowledge that it lacks or will be unable to obtain any rights or licenses to use all Intellectual Property Rights that are necessary to conduct its business. </w:t>
      </w:r>
    </w:p>
    <w:p>
      <w:pPr>
        <w:pStyle w:val="TextBody"/>
        <w:bidi w:val="0"/>
        <w:jc w:val="center"/>
        <w:rPr>
          <w:rFonts w:ascii="Times New Roman" w:hAnsi="Times New Roman"/>
          <w:color w:val="000000"/>
          <w:sz w:val="24"/>
        </w:rPr>
      </w:pPr>
      <w:r>
        <w:rPr>
          <w:rFonts w:ascii="Times New Roman" w:hAnsi="Times New Roman"/>
          <w:color w:val="000000"/>
          <w:sz w:val="24"/>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(q)</w:t>
      </w:r>
    </w:p>
    <w:p>
      <w:pPr>
        <w:pStyle w:val="TextBody"/>
        <w:bidi w:val="0"/>
        <w:spacing w:before="0" w:after="240"/>
        <w:jc w:val="both"/>
        <w:rPr/>
      </w:pPr>
      <w:r>
        <w:rPr>
          <w:rFonts w:ascii="Times New Roman" w:hAnsi="Times New Roman"/>
          <w:color w:val="000000"/>
          <w:sz w:val="24"/>
          <w:u w:val="single"/>
        </w:rPr>
        <w:t>Insurance</w:t>
      </w:r>
      <w:r>
        <w:rPr>
          <w:rFonts w:ascii="Times New Roman" w:hAnsi="Times New Roman"/>
          <w:color w:val="000000"/>
          <w:sz w:val="24"/>
        </w:rPr>
        <w:t>. The Company and the Subsidiaries are insured by insurers of recognized financial responsibility against such losses and risks and in such amounts as are prudent and customary for companies of the Company’s size in the businesses in which the Company and the Subsidiaries are engaged, including, but not limited to, directors and officers insurance coverage in an amount deemed appropriate and commercially reasonable by the Company.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w:t>
      </w:r>
    </w:p>
    <w:p>
      <w:pPr>
        <w:pStyle w:val="TextBody"/>
        <w:bidi w:val="0"/>
        <w:spacing w:before="0" w:after="240"/>
        <w:jc w:val="both"/>
        <w:rPr/>
      </w:pPr>
      <w:r>
        <w:rPr>
          <w:rFonts w:ascii="Times New Roman" w:hAnsi="Times New Roman"/>
          <w:color w:val="000000"/>
          <w:sz w:val="24"/>
          <w:u w:val="single"/>
        </w:rPr>
        <w:t>Transactions with Affiliates and Employees</w:t>
      </w:r>
      <w:r>
        <w:rPr>
          <w:rFonts w:ascii="Times New Roman" w:hAnsi="Times New Roman"/>
          <w:color w:val="000000"/>
          <w:sz w:val="24"/>
        </w:rPr>
        <w:t xml:space="preserve">. Except as set forth on </w:t>
      </w:r>
      <w:r>
        <w:rPr>
          <w:rFonts w:ascii="Times New Roman" w:hAnsi="Times New Roman"/>
          <w:color w:val="000000"/>
          <w:sz w:val="24"/>
          <w:u w:val="single"/>
        </w:rPr>
        <w:t>Schedule 3.1(r)</w:t>
      </w:r>
      <w:r>
        <w:rPr>
          <w:rFonts w:ascii="Times New Roman" w:hAnsi="Times New Roman"/>
          <w:color w:val="000000"/>
          <w:sz w:val="24"/>
        </w:rPr>
        <w:t>,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under any stock option or equity incentive plan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w:t>
      </w:r>
    </w:p>
    <w:p>
      <w:pPr>
        <w:pStyle w:val="TextBody"/>
        <w:bidi w:val="0"/>
        <w:spacing w:before="0" w:after="240"/>
        <w:jc w:val="both"/>
        <w:rPr/>
      </w:pPr>
      <w:r>
        <w:rPr>
          <w:rFonts w:ascii="Times New Roman" w:hAnsi="Times New Roman"/>
          <w:color w:val="000000"/>
          <w:sz w:val="24"/>
          <w:u w:val="single"/>
        </w:rPr>
        <w:t>Sarbanes-Oxley; Internal Accounting Controls</w:t>
      </w:r>
      <w:r>
        <w:rPr>
          <w:rFonts w:ascii="Times New Roman" w:hAnsi="Times New Roman"/>
          <w:color w:val="000000"/>
          <w:sz w:val="24"/>
        </w:rPr>
        <w:t xml:space="preserve">. The Company and the Subsidiaries are in material compliance with any and all applicable requirements of the Sarbanes-Oxley Act of 2002, as amended, that are effective as of the date hereof, and any and all applicable rules and regulations promulgated by the Commission thereunder that are effective as of the date hereof and as of the Closing Date. Except as disclosed in the SEC Reports,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provide reasonable assurance that information required to be disclosed by the Company in the reports it files or submits under the Exchange Act is recorded, processed, summarized and reported, within the time periods specified in the Commission’s rules and forms. Except as disclosed in the SEC Reports, the Company has not received any notice or correspondence from its independent registered public accounting firm, governmental entity or other Person relating to any potential material weakness in any part of the internal controls over financial reporting of </w:t>
      </w:r>
    </w:p>
    <w:p>
      <w:pPr>
        <w:pStyle w:val="TextBody"/>
        <w:bidi w:val="0"/>
        <w:jc w:val="center"/>
        <w:rPr>
          <w:rFonts w:ascii="Times New Roman" w:hAnsi="Times New Roman"/>
          <w:color w:val="000000"/>
          <w:sz w:val="24"/>
        </w:rPr>
      </w:pPr>
      <w:r>
        <w:rPr>
          <w:rFonts w:ascii="Times New Roman" w:hAnsi="Times New Roman"/>
          <w:color w:val="000000"/>
          <w:sz w:val="24"/>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the Company.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 w:hAnsi="Times New Roman"/>
          <w:color w:val="000000"/>
          <w:sz w:val="24"/>
          <w:u w:val="single"/>
        </w:rPr>
        <w:t>Evaluation Date</w:t>
      </w:r>
      <w:r>
        <w:rPr>
          <w:color w:val="000000"/>
        </w:rPr>
        <w:t>”</w:t>
      </w:r>
      <w:r>
        <w:rPr>
          <w:rFonts w:ascii="Times New Roman" w:hAnsi="Times New Roman"/>
          <w:color w:val="000000"/>
          <w:sz w:val="24"/>
        </w:rPr>
        <w:t>). The Company presented in its most recently filed periodic report under the Exchange Act the conclusions of the certifying officers about the effectiveness of the disclosure controls and procedures based on their evaluations as of the Evaluation Date. Except for the planned remediation efforts set forth in the SEC Reports,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w:t>
      </w:r>
    </w:p>
    <w:p>
      <w:pPr>
        <w:pStyle w:val="TextBody"/>
        <w:bidi w:val="0"/>
        <w:spacing w:before="0" w:after="240"/>
        <w:jc w:val="both"/>
        <w:rPr/>
      </w:pPr>
      <w:r>
        <w:rPr>
          <w:rFonts w:ascii="Times New Roman" w:hAnsi="Times New Roman"/>
          <w:color w:val="000000"/>
          <w:sz w:val="24"/>
          <w:u w:val="single"/>
        </w:rPr>
        <w:t>Certain Fees</w:t>
      </w:r>
      <w:r>
        <w:rPr>
          <w:rFonts w:ascii="Times New Roman" w:hAnsi="Times New Roman"/>
          <w:color w:val="000000"/>
          <w:sz w:val="24"/>
        </w:rPr>
        <w:t>. Except for fees payable by the Company to the Placement Agent,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w:t>
      </w:r>
    </w:p>
    <w:p>
      <w:pPr>
        <w:pStyle w:val="TextBody"/>
        <w:bidi w:val="0"/>
        <w:spacing w:before="0" w:after="240"/>
        <w:jc w:val="both"/>
        <w:rPr/>
      </w:pPr>
      <w:r>
        <w:rPr>
          <w:rFonts w:ascii="Times New Roman" w:hAnsi="Times New Roman"/>
          <w:color w:val="000000"/>
          <w:sz w:val="24"/>
          <w:u w:val="single"/>
        </w:rPr>
        <w:t>Private Placement</w:t>
      </w:r>
      <w:r>
        <w:rPr>
          <w:rFonts w:ascii="Times New Roman" w:hAnsi="Times New Roman"/>
          <w:color w:val="000000"/>
          <w:sz w:val="24"/>
        </w:rPr>
        <w:t>. Assuming the accuracy of the Purchasers’ representations and warranties set forth in Section 3.2, no registration under the Securities Act is required for the offer and sale of the Securities by the Company to the Purchasers as contemplated hereby. The issuance and sale of the Securities hereunder does not contravene the rules and regulations of the Trading Market.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pPr>
      <w:r>
        <w:rPr>
          <w:rFonts w:ascii="Times New Roman" w:hAnsi="Times New Roman"/>
          <w:color w:val="000000"/>
          <w:sz w:val="24"/>
          <w:u w:val="single"/>
        </w:rPr>
        <w:t>Investment Company</w:t>
      </w:r>
      <w:r>
        <w:rPr>
          <w:rFonts w:ascii="Times New Roman" w:hAnsi="Times New Roman"/>
          <w:color w:val="000000"/>
          <w:sz w:val="24"/>
        </w:rPr>
        <w:t>.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w:t>
      </w:r>
    </w:p>
    <w:p>
      <w:pPr>
        <w:pStyle w:val="TextBody"/>
        <w:bidi w:val="0"/>
        <w:spacing w:before="0" w:after="240"/>
        <w:jc w:val="both"/>
        <w:rPr/>
      </w:pPr>
      <w:r>
        <w:rPr>
          <w:rFonts w:ascii="Times New Roman" w:hAnsi="Times New Roman"/>
          <w:color w:val="000000"/>
          <w:sz w:val="24"/>
          <w:u w:val="single"/>
        </w:rPr>
        <w:t>Registration Rights</w:t>
      </w:r>
      <w:r>
        <w:rPr>
          <w:rFonts w:ascii="Times New Roman" w:hAnsi="Times New Roman"/>
          <w:color w:val="000000"/>
          <w:sz w:val="24"/>
        </w:rPr>
        <w:t xml:space="preserve">. Except as set forth on </w:t>
      </w:r>
      <w:r>
        <w:rPr>
          <w:rFonts w:ascii="Times New Roman" w:hAnsi="Times New Roman"/>
          <w:color w:val="000000"/>
          <w:sz w:val="24"/>
          <w:u w:val="single"/>
        </w:rPr>
        <w:t>Schedule 3.1(w)</w:t>
      </w:r>
      <w:r>
        <w:rPr>
          <w:color w:val="000000"/>
        </w:rPr>
        <w:t xml:space="preserve"> </w:t>
      </w:r>
      <w:r>
        <w:rPr>
          <w:rFonts w:ascii="Times New Roman" w:hAnsi="Times New Roman"/>
          <w:color w:val="000000"/>
          <w:sz w:val="24"/>
        </w:rPr>
        <w:t>and other than pursuant to the Registration Rights Agreement, no Person has any right to cause the Company or any Subsidiary to effect the registration under the Securities Act of any securities of the Company or any Subsidiary.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w:t>
      </w:r>
    </w:p>
    <w:p>
      <w:pPr>
        <w:pStyle w:val="TextBody"/>
        <w:bidi w:val="0"/>
        <w:spacing w:before="0" w:after="240"/>
        <w:jc w:val="both"/>
        <w:rPr/>
      </w:pPr>
      <w:r>
        <w:rPr>
          <w:rFonts w:ascii="Times New Roman" w:hAnsi="Times New Roman"/>
          <w:color w:val="000000"/>
          <w:sz w:val="24"/>
          <w:u w:val="single"/>
        </w:rPr>
        <w:t>Listing and Maintenance Requirements</w:t>
      </w:r>
      <w:r>
        <w:rPr>
          <w:rFonts w:ascii="Times New Roman" w:hAnsi="Times New Roman"/>
          <w:color w:val="000000"/>
          <w:sz w:val="24"/>
        </w:rPr>
        <w:t xml:space="preserve">.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The Company has not, in the 12 months preceding the date hereof, received notice from any Trading Market on which the Common Stock is or has been listed or quoted to the effect that the Company is not in compliance with the listing or maintenance requirements of such </w:t>
      </w:r>
    </w:p>
    <w:p>
      <w:pPr>
        <w:pStyle w:val="TextBody"/>
        <w:bidi w:val="0"/>
        <w:jc w:val="center"/>
        <w:rPr>
          <w:rFonts w:ascii="Times New Roman" w:hAnsi="Times New Roman"/>
          <w:color w:val="000000"/>
          <w:sz w:val="24"/>
        </w:rPr>
      </w:pPr>
      <w:r>
        <w:rPr>
          <w:rFonts w:ascii="Times New Roman" w:hAnsi="Times New Roman"/>
          <w:color w:val="000000"/>
          <w:sz w:val="24"/>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Trading Market. The Company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(y)</w:t>
      </w:r>
    </w:p>
    <w:p>
      <w:pPr>
        <w:pStyle w:val="TextBody"/>
        <w:bidi w:val="0"/>
        <w:spacing w:before="0" w:after="240"/>
        <w:jc w:val="both"/>
        <w:rPr/>
      </w:pPr>
      <w:r>
        <w:rPr>
          <w:rFonts w:ascii="Times New Roman" w:hAnsi="Times New Roman"/>
          <w:color w:val="000000"/>
          <w:sz w:val="24"/>
          <w:u w:val="single"/>
        </w:rPr>
        <w:t>Application of Takeover Protections</w:t>
      </w:r>
      <w:r>
        <w:rPr>
          <w:rFonts w:ascii="Times New Roman" w:hAnsi="Times New Roman"/>
          <w:color w:val="000000"/>
          <w:sz w:val="24"/>
        </w:rPr>
        <w:t>. The Company and the Board of Directors have taken all necessary action, if any, in order to render inapplicable any control share acquisition, business combination, poison pill (including any distribution under a rights agreement) or other similar anti</w:t>
        <w:noBreakHyphen/>
        <w:t>takeover provision under the Company’s certificate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Securities and the Purchasers’ ownership of the Securities.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(z)</w:t>
      </w:r>
    </w:p>
    <w:p>
      <w:pPr>
        <w:pStyle w:val="TextBody"/>
        <w:bidi w:val="0"/>
        <w:spacing w:before="0" w:after="240"/>
        <w:jc w:val="both"/>
        <w:rPr/>
      </w:pPr>
      <w:r>
        <w:rPr>
          <w:rFonts w:ascii="Times New Roman" w:hAnsi="Times New Roman"/>
          <w:color w:val="000000"/>
          <w:sz w:val="24"/>
          <w:u w:val="single"/>
        </w:rPr>
        <w:t>Disclosure</w:t>
      </w:r>
      <w:r>
        <w:rPr>
          <w:rFonts w:ascii="Times New Roman" w:hAnsi="Times New Roman"/>
          <w:color w:val="000000"/>
          <w:sz w:val="24"/>
        </w:rPr>
        <w:t xml:space="preserve">. Except with respect to the material terms and conditions of the transactions contemplated by the Transaction Documents and the information on </w:t>
      </w:r>
      <w:r>
        <w:rPr>
          <w:rFonts w:ascii="Times New Roman" w:hAnsi="Times New Roman"/>
          <w:color w:val="000000"/>
          <w:sz w:val="24"/>
          <w:u w:val="single"/>
        </w:rPr>
        <w:t>Schedule 3.1(z)</w:t>
      </w:r>
      <w:r>
        <w:rPr>
          <w:color w:val="000000"/>
        </w:rPr>
        <w:t xml:space="preserve"> </w:t>
      </w:r>
      <w:r>
        <w:rPr>
          <w:rFonts w:ascii="Times New Roman" w:hAnsi="Times New Roman"/>
          <w:color w:val="000000"/>
          <w:sz w:val="24"/>
        </w:rPr>
        <w:t>(“</w:t>
      </w:r>
      <w:r>
        <w:rPr>
          <w:rFonts w:ascii="Times New Roman" w:hAnsi="Times New Roman"/>
          <w:color w:val="000000"/>
          <w:sz w:val="24"/>
          <w:u w:val="single"/>
        </w:rPr>
        <w:t>Information</w:t>
      </w:r>
      <w:r>
        <w:rPr>
          <w:color w:val="000000"/>
        </w:rPr>
        <w:t>”</w:t>
      </w:r>
      <w:r>
        <w:rPr>
          <w:rFonts w:ascii="Times New Roman" w:hAnsi="Times New Roman"/>
          <w:color w:val="000000"/>
          <w:sz w:val="24"/>
        </w:rPr>
        <w:t>), the Company confirms that neither it nor any other Person acting on its behalf has provided any of the Purchasers or their agents or counsel with any information that it believes constitutes or might constitute material, non-public information.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including the Disclosure Schedules to this Agreement, is true and correct and does not contain any untrue statement of a material fact or omit to state any material fact necessary in order to make the statements made therein, in the light of the circumstances under which they were made, not misleading.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the light of the circumstances under which they were made and when made, not misleading. The Company acknowledges and agrees (i) that no Purchaser makes or has made any representations or warranties with respect to the transactions contemplated hereby other than those specifically set forth in Section 3.2 hereof and (ii) notwithstanding anything to the contrary in this Agreement, neither any representations and warranties made by a Purchaser in Section 3.2 nor the investigation conducted by a Purchaser in connection with its decision to acquire any Securities shall modify, amend or affect the Purchaser’s right to rely on the truth, accuracy and completeness of the Company’s representations and warranties contained in this Agreement, subject to the terms 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(aa)</w:t>
      </w:r>
    </w:p>
    <w:p>
      <w:pPr>
        <w:pStyle w:val="TextBody"/>
        <w:bidi w:val="0"/>
        <w:spacing w:before="0" w:after="240"/>
        <w:jc w:val="both"/>
        <w:rPr/>
      </w:pPr>
      <w:r>
        <w:rPr>
          <w:rFonts w:ascii="Times New Roman" w:hAnsi="Times New Roman"/>
          <w:color w:val="000000"/>
          <w:sz w:val="24"/>
          <w:u w:val="single"/>
        </w:rPr>
        <w:t>No Integrated Offering</w:t>
      </w:r>
      <w:r>
        <w:rPr>
          <w:rFonts w:ascii="Times New Roman" w:hAnsi="Times New Roman"/>
          <w:color w:val="000000"/>
          <w:sz w:val="24"/>
        </w:rPr>
        <w:t xml:space="preserve">.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w:t>
      </w:r>
    </w:p>
    <w:p>
      <w:pPr>
        <w:pStyle w:val="TextBody"/>
        <w:bidi w:val="0"/>
        <w:jc w:val="center"/>
        <w:rPr>
          <w:rFonts w:ascii="Times New Roman" w:hAnsi="Times New Roman"/>
          <w:color w:val="000000"/>
          <w:sz w:val="24"/>
        </w:rPr>
      </w:pPr>
      <w:r>
        <w:rPr>
          <w:rFonts w:ascii="Times New Roman" w:hAnsi="Times New Roman"/>
          <w:color w:val="000000"/>
          <w:sz w:val="24"/>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circumstances that would cause this offering of the Securities to be integrated with prior offerings by the Company for purposes of (i) the Securities Act which would require the registration of any such securities under the Securities Act, or (ii) any applicable shareholder approval provisions of any Trading Market on which any of the securities of the Company are listed or designated.</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(bb)</w:t>
      </w:r>
    </w:p>
    <w:p>
      <w:pPr>
        <w:pStyle w:val="TextBody"/>
        <w:bidi w:val="0"/>
        <w:spacing w:before="0" w:after="240"/>
        <w:jc w:val="both"/>
        <w:rPr/>
      </w:pPr>
      <w:r>
        <w:rPr>
          <w:rFonts w:ascii="Times New Roman" w:hAnsi="Times New Roman"/>
          <w:color w:val="000000"/>
          <w:sz w:val="24"/>
          <w:u w:val="single"/>
        </w:rPr>
        <w:t>Solvency</w:t>
      </w:r>
      <w:r>
        <w:rPr>
          <w:rFonts w:ascii="Times New Roman" w:hAnsi="Times New Roman"/>
          <w:color w:val="000000"/>
          <w:sz w:val="24"/>
        </w:rPr>
        <w:t xml:space="preserve">. Based on the consolidated financial condition of the Company as of the Closing Date, after giving effect to the receipt by the Company of the proceeds from the sale of the Securities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 </w:t>
      </w:r>
      <w:r>
        <w:rPr>
          <w:rFonts w:ascii="Times New Roman" w:hAnsi="Times New Roman"/>
          <w:color w:val="000000"/>
          <w:sz w:val="24"/>
          <w:u w:val="single"/>
        </w:rPr>
        <w:t>Schedule 3.1(bb)</w:t>
      </w:r>
      <w:r>
        <w:rPr>
          <w:color w:val="000000"/>
        </w:rPr>
        <w:t xml:space="preserve"> </w:t>
      </w:r>
      <w:r>
        <w:rPr>
          <w:rFonts w:ascii="Times New Roman" w:hAnsi="Times New Roman"/>
          <w:color w:val="000000"/>
          <w:sz w:val="24"/>
        </w:rPr>
        <w:t>sets forth as of the date hereof all outstanding secured and unsecured Indebtedness of the Company or any Subsidiary, or for which the Company or any Subsidiary has commitments. For the purposes of this Agreement, “</w:t>
      </w:r>
      <w:r>
        <w:rPr>
          <w:rFonts w:ascii="Times New Roman" w:hAnsi="Times New Roman"/>
          <w:color w:val="000000"/>
          <w:sz w:val="24"/>
          <w:u w:val="single"/>
        </w:rPr>
        <w:t>Indebtedness</w:t>
      </w:r>
      <w:r>
        <w:rPr>
          <w:color w:val="000000"/>
        </w:rPr>
        <w:t xml:space="preserve">” </w:t>
      </w:r>
      <w:r>
        <w:rPr>
          <w:rFonts w:ascii="Times New Roman" w:hAnsi="Times New Roman"/>
          <w:color w:val="000000"/>
          <w:sz w:val="24"/>
        </w:rPr>
        <w:t>means (x) any liabilities for borrowed money or amounts owed in excess of $100,000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$100,000 due under leases required to be capitalized in accordance with GAAP. Neither the Company nor any Subsidiary is in default with respect to any Indebtedness.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(cc)</w:t>
      </w:r>
    </w:p>
    <w:p>
      <w:pPr>
        <w:pStyle w:val="TextBody"/>
        <w:bidi w:val="0"/>
        <w:spacing w:before="0" w:after="240"/>
        <w:jc w:val="both"/>
        <w:rPr/>
      </w:pPr>
      <w:r>
        <w:rPr>
          <w:rFonts w:ascii="Times New Roman" w:hAnsi="Times New Roman"/>
          <w:color w:val="000000"/>
          <w:sz w:val="24"/>
          <w:u w:val="single"/>
        </w:rPr>
        <w:t>Tax Status</w:t>
      </w:r>
      <w:r>
        <w:rPr>
          <w:rFonts w:ascii="Times New Roman" w:hAnsi="Times New Roman"/>
          <w:color w:val="000000"/>
          <w:sz w:val="24"/>
        </w:rPr>
        <w:t xml:space="preserve">. Except for matters (A) previously disclosed to the Placement Agent in writing or (B) that would not, individually or in the aggregate, have or reasonably be expected to result in a Material Adverse Effect, the Company and its Subsidiaries each (i) has timely made or filed all United States federal, state and local income and all foreign income and franchise tax returns, reports and declarations required by any jurisdiction to which it is subject, (ii) has timely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Except as otherwise disclosed to the Placement Agent, there are no unpaid taxes in any material amount claimed to be due by the taxing authority of </w:t>
      </w:r>
    </w:p>
    <w:p>
      <w:pPr>
        <w:pStyle w:val="TextBody"/>
        <w:bidi w:val="0"/>
        <w:jc w:val="center"/>
        <w:rPr>
          <w:rFonts w:ascii="Times New Roman" w:hAnsi="Times New Roman"/>
          <w:color w:val="000000"/>
          <w:sz w:val="24"/>
        </w:rPr>
      </w:pPr>
      <w:r>
        <w:rPr>
          <w:rFonts w:ascii="Times New Roman" w:hAnsi="Times New Roman"/>
          <w:color w:val="000000"/>
          <w:sz w:val="24"/>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any jurisdiction, and the officers of the Company or of any Subsidiary know of no basis for any such claim. The provisions for taxes payable, if any, shown on the financial statements filed in the SEC Reports are sufficient for all accrued and unpaid taxes, whether or not disputed, and for all periods to and including the dates of such consolidated financial statements. The term "</w:t>
      </w:r>
      <w:r>
        <w:rPr>
          <w:rFonts w:ascii="Times New Roman" w:hAnsi="Times New Roman"/>
          <w:color w:val="000000"/>
          <w:sz w:val="24"/>
          <w:u w:val="single"/>
        </w:rPr>
        <w:t>taxes</w:t>
      </w:r>
      <w:r>
        <w:rPr>
          <w:rFonts w:ascii="Times New Roman" w:hAnsi="Times New Roman"/>
          <w:color w:val="000000"/>
          <w:sz w:val="24"/>
        </w:rPr>
        <w:t>" mean all federal, state, local, foreign, and other net income, gross income, gross receipts, sales, use, ad valorem, transfer, franchise, profits, license, lease, service, service use, withholding, payroll, employment, excise, severance, stamp, occupation, premium, property, windfall profits, customs, duties or other taxes, fees, assessments, or charges of any kind whatsoever, together with any interest and any penalties, additions to tax, or additional amounts with respect thereto. The term "returns" means all returns, declarations, reports, statements, and other documents required to be filed in respect to taxes.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(dd)</w:t>
      </w:r>
    </w:p>
    <w:p>
      <w:pPr>
        <w:pStyle w:val="TextBody"/>
        <w:bidi w:val="0"/>
        <w:spacing w:before="0" w:after="240"/>
        <w:jc w:val="both"/>
        <w:rPr/>
      </w:pPr>
      <w:r>
        <w:rPr>
          <w:rFonts w:ascii="Times New Roman" w:hAnsi="Times New Roman"/>
          <w:color w:val="000000"/>
          <w:sz w:val="24"/>
          <w:u w:val="single"/>
        </w:rPr>
        <w:t>No General Solicitation</w:t>
      </w:r>
      <w:r>
        <w:rPr>
          <w:rFonts w:ascii="Times New Roman" w:hAnsi="Times New Roman"/>
          <w:color w:val="000000"/>
          <w:sz w:val="24"/>
        </w:rPr>
        <w:t>. Neither the Company nor any Person acting on behalf of the Company has offered or sold any of the Securities by any form of general solicitation or general advertising. The Company has offered the Securities for sale only to the Purchasers and certain other “accredited investors” within the meaning of Rule 501 under the Securities Act.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(ee)</w:t>
      </w:r>
    </w:p>
    <w:p>
      <w:pPr>
        <w:pStyle w:val="TextBody"/>
        <w:bidi w:val="0"/>
        <w:spacing w:before="0" w:after="240"/>
        <w:jc w:val="both"/>
        <w:rPr/>
      </w:pPr>
      <w:r>
        <w:rPr>
          <w:rFonts w:ascii="Times New Roman" w:hAnsi="Times New Roman"/>
          <w:color w:val="000000"/>
          <w:sz w:val="24"/>
          <w:u w:val="single"/>
        </w:rPr>
        <w:t>Foreign Corrupt Practices.</w:t>
      </w:r>
      <w:r>
        <w:rPr>
          <w:color w:val="000000"/>
        </w:rPr>
        <w:t xml:space="preserve"> </w:t>
      </w:r>
      <w:r>
        <w:rPr>
          <w:rFonts w:ascii="Times New Roman" w:hAnsi="Times New Roman"/>
          <w:color w:val="000000"/>
          <w:sz w:val="24"/>
        </w:rPr>
        <w:t xml:space="preserve">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 Each of the Company and the Subsidiaries have taken reasonable steps to ensure that its accounting controls and procedures are sufficient to cause the Company or any Subsidiary to comply in all material respects with the FCPA.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(ff)</w:t>
      </w:r>
    </w:p>
    <w:p>
      <w:pPr>
        <w:pStyle w:val="TextBody"/>
        <w:bidi w:val="0"/>
        <w:spacing w:before="0" w:after="240"/>
        <w:jc w:val="both"/>
        <w:rPr/>
      </w:pPr>
      <w:r>
        <w:rPr>
          <w:rFonts w:ascii="Times New Roman" w:hAnsi="Times New Roman"/>
          <w:color w:val="000000"/>
          <w:sz w:val="24"/>
          <w:u w:val="single"/>
        </w:rPr>
        <w:t>Accountants</w:t>
      </w:r>
      <w:r>
        <w:rPr>
          <w:rFonts w:ascii="Times New Roman" w:hAnsi="Times New Roman"/>
          <w:color w:val="000000"/>
          <w:sz w:val="24"/>
        </w:rPr>
        <w:t>. The Company’s accounting firm is set forth in the SEC Reports. To the knowledge and belief of the Company, such accounting firm is a registered public accounting firm as required by the Exchange Act. To the knowledge of and belief of the Company, the company’s former accounting firm, Marcum LLP, (i) is a registered public accounting firm as required by the Exchange Act and (ii) has expressed its opinion with respect to the financial statements included in the Company’s Annual Report for the fiscal year ending December 31, 2024.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(gg)</w:t>
      </w:r>
    </w:p>
    <w:p>
      <w:pPr>
        <w:pStyle w:val="TextBody"/>
        <w:bidi w:val="0"/>
        <w:spacing w:before="0" w:after="240"/>
        <w:jc w:val="both"/>
        <w:rPr/>
      </w:pPr>
      <w:r>
        <w:rPr>
          <w:rFonts w:ascii="Times New Roman" w:hAnsi="Times New Roman"/>
          <w:color w:val="000000"/>
          <w:sz w:val="24"/>
          <w:u w:val="single"/>
        </w:rPr>
        <w:t>No Disagreements with Accountants and Lawyers.</w:t>
      </w:r>
      <w:r>
        <w:rPr>
          <w:color w:val="000000"/>
        </w:rPr>
        <w:t xml:space="preserve"> </w:t>
      </w:r>
      <w:r>
        <w:rPr>
          <w:rFonts w:ascii="Times New Roman" w:hAnsi="Times New Roman"/>
          <w:color w:val="000000"/>
          <w:sz w:val="24"/>
        </w:rPr>
        <w:t xml:space="preserve">There are no disagreements of any kind presently existing, or reasonably anticipated by the Company to arise, between the Company and the accountants and lawyers formerly or presently employed by the Company and the Company is current with respect to any fees owed to its accountants and lawyers which could affect the Company’s ability to perform any of its obligations under any of the Transaction Documents. </w:t>
      </w:r>
    </w:p>
    <w:p>
      <w:pPr>
        <w:pStyle w:val="TextBody"/>
        <w:bidi w:val="0"/>
        <w:jc w:val="center"/>
        <w:rPr>
          <w:rFonts w:ascii="Times New Roman" w:hAnsi="Times New Roman"/>
          <w:color w:val="000000"/>
          <w:sz w:val="24"/>
        </w:rPr>
      </w:pPr>
      <w:r>
        <w:rPr>
          <w:rFonts w:ascii="Times New Roman" w:hAnsi="Times New Roman"/>
          <w:color w:val="000000"/>
          <w:sz w:val="24"/>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(hh)</w:t>
      </w:r>
    </w:p>
    <w:p>
      <w:pPr>
        <w:pStyle w:val="TextBody"/>
        <w:bidi w:val="0"/>
        <w:spacing w:before="0" w:after="240"/>
        <w:jc w:val="both"/>
        <w:rPr/>
      </w:pPr>
      <w:r>
        <w:rPr>
          <w:rFonts w:ascii="Times New Roman" w:hAnsi="Times New Roman"/>
          <w:color w:val="000000"/>
          <w:sz w:val="24"/>
          <w:u w:val="single"/>
        </w:rPr>
        <w:t>Acknowledgment Regarding Purchasers’ Purchase of Securities</w:t>
      </w:r>
      <w:r>
        <w:rPr>
          <w:rFonts w:ascii="Times New Roman" w:hAnsi="Times New Roman"/>
          <w:color w:val="000000"/>
          <w:sz w:val="24"/>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u w:val="single"/>
        </w:rPr>
        <w:t>Acknowledgment Regarding Purchaser’s Trading Activity.</w:t>
      </w:r>
      <w:r>
        <w:rPr>
          <w:color w:val="000000"/>
        </w:rPr>
        <w:t xml:space="preserve"> </w:t>
      </w:r>
      <w:r>
        <w:rPr>
          <w:rFonts w:ascii="Times New Roman" w:hAnsi="Times New Roman"/>
          <w:color w:val="000000"/>
          <w:sz w:val="24"/>
        </w:rPr>
        <w:t>Anything in this Agreement or elsewhere herein to the contrary notwithstanding (except for Sections 3.2(g) and 4.13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Common Stock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 outstanding, including, without limitation, during the periods that the value of the Warrant Shares deliverable with respect to Securities are being determined,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(jj)</w:t>
      </w:r>
    </w:p>
    <w:p>
      <w:pPr>
        <w:pStyle w:val="TextBody"/>
        <w:bidi w:val="0"/>
        <w:spacing w:before="0" w:after="240"/>
        <w:jc w:val="both"/>
        <w:rPr/>
      </w:pPr>
      <w:r>
        <w:rPr>
          <w:rFonts w:ascii="Times New Roman" w:hAnsi="Times New Roman"/>
          <w:color w:val="000000"/>
          <w:sz w:val="24"/>
          <w:u w:val="single"/>
        </w:rPr>
        <w:t>Regulation M Compliance.</w:t>
      </w:r>
      <w:r>
        <w:rPr>
          <w:color w:val="000000"/>
        </w:rPr>
        <w:t xml:space="preserve"> </w:t>
      </w:r>
      <w:r>
        <w:rPr>
          <w:rFonts w:ascii="Times New Roman" w:hAnsi="Times New Roman"/>
          <w:color w:val="000000"/>
          <w:sz w:val="24"/>
        </w:rPr>
        <w:t>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 other than, in the case of clauses (ii) and (iii), compensation paid to the Placement Agent in connection with the placement of the Securities.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[RESERVED] </w:t>
      </w:r>
    </w:p>
    <w:p>
      <w:pPr>
        <w:pStyle w:val="TextBody"/>
        <w:bidi w:val="0"/>
        <w:jc w:val="center"/>
        <w:rPr>
          <w:rFonts w:ascii="Times New Roman" w:hAnsi="Times New Roman"/>
          <w:color w:val="000000"/>
          <w:sz w:val="24"/>
        </w:rPr>
      </w:pPr>
      <w:r>
        <w:rPr>
          <w:rFonts w:ascii="Times New Roman" w:hAnsi="Times New Roman"/>
          <w:color w:val="000000"/>
          <w:sz w:val="24"/>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(mm)</w:t>
      </w:r>
    </w:p>
    <w:p>
      <w:pPr>
        <w:pStyle w:val="TextBody"/>
        <w:bidi w:val="0"/>
        <w:spacing w:before="0" w:after="240"/>
        <w:jc w:val="both"/>
        <w:rPr/>
      </w:pPr>
      <w:r>
        <w:rPr>
          <w:rFonts w:ascii="Times New Roman" w:hAnsi="Times New Roman"/>
          <w:color w:val="000000"/>
          <w:sz w:val="24"/>
          <w:u w:val="single"/>
        </w:rPr>
        <w:t>Equity Incentive Plans</w:t>
      </w:r>
      <w:r>
        <w:rPr>
          <w:rFonts w:ascii="Times New Roman" w:hAnsi="Times New Roman"/>
          <w:color w:val="000000"/>
          <w:sz w:val="24"/>
        </w:rPr>
        <w:t>. Each stock option granted by the Company under the Company’s stock option or equity incentive plans was granted (i) in accordance with the terms of the Company’s stock option or equity incentive plan and (ii) with an exercise price at least equal to the fair market value of the Common Stock on the date such stock option would be considered granted under GAAP and applicable law. No stock option granted under the Company’s stock option or equity incentive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(nn)</w:t>
      </w:r>
    </w:p>
    <w:p>
      <w:pPr>
        <w:pStyle w:val="TextBody"/>
        <w:bidi w:val="0"/>
        <w:spacing w:before="0" w:after="240"/>
        <w:jc w:val="both"/>
        <w:rPr/>
      </w:pPr>
      <w:r>
        <w:rPr>
          <w:rFonts w:ascii="Times New Roman" w:hAnsi="Times New Roman"/>
          <w:color w:val="000000"/>
          <w:sz w:val="24"/>
          <w:u w:val="single"/>
        </w:rPr>
        <w:t>Cybersecurity</w:t>
      </w:r>
      <w:r>
        <w:rPr>
          <w:rFonts w:ascii="Times New Roman" w:hAnsi="Times New Roman"/>
          <w:color w:val="000000"/>
          <w:sz w:val="24"/>
        </w:rPr>
        <w:t>. (i)(x) There has been no security breach or other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 w:hAnsi="Times New Roman"/>
          <w:color w:val="000000"/>
          <w:sz w:val="24"/>
          <w:u w:val="single"/>
        </w:rPr>
        <w:t>IT Systems and Data</w:t>
      </w:r>
      <w:r>
        <w:rPr>
          <w:color w:val="000000"/>
        </w:rPr>
        <w:t>”</w:t>
      </w:r>
      <w:r>
        <w:rPr>
          <w:rFonts w:ascii="Times New Roman" w:hAnsi="Times New Roman"/>
          <w:color w:val="000000"/>
          <w:sz w:val="24"/>
        </w:rPr>
        <w:t>) that would, individually or in the aggregate, result in a Material Adverse Effect, and (y) the Company and the Subsidiaries have not been notified of, and have no knowledge of any event or condition that would reasonably be expected to result in, any material security breach or other material compromise to their IT Systems and Data; (ii)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individually or in the aggregate, reasonably or expected to have a Material Adverse Effect; (iii) the Company and the Subsidiaries have implemented and maintained commercially reasonable safeguards to maintain and protect its material confidential information and the integrity, continuous operation, redundancy and security of all IT Systems and Data; and (iv) the Company and the Subsidiaries have implemented backup and disaster recovery technology consistent with industry standards and practices.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(oo)</w:t>
      </w:r>
    </w:p>
    <w:p>
      <w:pPr>
        <w:pStyle w:val="TextBody"/>
        <w:bidi w:val="0"/>
        <w:spacing w:before="0" w:after="240"/>
        <w:jc w:val="both"/>
        <w:rPr/>
      </w:pPr>
      <w:r>
        <w:rPr>
          <w:rFonts w:ascii="Times New Roman" w:hAnsi="Times New Roman"/>
          <w:color w:val="000000"/>
          <w:sz w:val="24"/>
          <w:u w:val="single"/>
        </w:rPr>
        <w:t>Compliance with Data Privacy Laws</w:t>
      </w:r>
      <w:r>
        <w:rPr>
          <w:rFonts w:ascii="Times New Roman" w:hAnsi="Times New Roman"/>
          <w:color w:val="000000"/>
          <w:sz w:val="24"/>
        </w:rPr>
        <w:t>. (i) The Company and the Subsidiaries are, and at all times during the last three (3) years were, in compliance with all applicable state, federal and foreign data privacy and security laws and regulations, including, without limitation, the European Union General Data Protection Regulation (“</w:t>
      </w:r>
      <w:r>
        <w:rPr>
          <w:rFonts w:ascii="Times New Roman" w:hAnsi="Times New Roman"/>
          <w:color w:val="000000"/>
          <w:sz w:val="24"/>
          <w:u w:val="single"/>
        </w:rPr>
        <w:t>GDPR</w:t>
      </w:r>
      <w:r>
        <w:rPr>
          <w:color w:val="000000"/>
        </w:rPr>
        <w:t>”</w:t>
      </w:r>
      <w:r>
        <w:rPr>
          <w:rFonts w:ascii="Times New Roman" w:hAnsi="Times New Roman"/>
          <w:color w:val="000000"/>
          <w:sz w:val="24"/>
        </w:rPr>
        <w:t>) (EU 2016/679) (collectively, “</w:t>
      </w:r>
      <w:r>
        <w:rPr>
          <w:rFonts w:ascii="Times New Roman" w:hAnsi="Times New Roman"/>
          <w:color w:val="000000"/>
          <w:sz w:val="24"/>
          <w:u w:val="single"/>
        </w:rPr>
        <w:t>Privacy Laws</w:t>
      </w:r>
      <w:r>
        <w:rPr>
          <w:color w:val="000000"/>
        </w:rPr>
        <w:t>”</w:t>
      </w:r>
      <w:r>
        <w:rPr>
          <w:rFonts w:ascii="Times New Roman" w:hAnsi="Times New Roman"/>
          <w:color w:val="000000"/>
          <w:sz w:val="24"/>
        </w:rPr>
        <w:t>), except in each case as could not have or reasonably be expected to result in a Material Adverse Effect; (ii) the Company and the Subsidiaries have in place, comply with, and take appropriate steps reasonably designed to ensure compliance with their policies and procedures relating to data privacy and security and the collection, storage, use, disclosure, handling and analysis of Personal Data (as defined below) (the “</w:t>
      </w:r>
      <w:r>
        <w:rPr>
          <w:rFonts w:ascii="Times New Roman" w:hAnsi="Times New Roman"/>
          <w:color w:val="000000"/>
          <w:sz w:val="24"/>
          <w:u w:val="single"/>
        </w:rPr>
        <w:t>Policies</w:t>
      </w:r>
      <w:r>
        <w:rPr>
          <w:color w:val="000000"/>
        </w:rPr>
        <w:t>”</w:t>
      </w:r>
      <w:r>
        <w:rPr>
          <w:rFonts w:ascii="Times New Roman" w:hAnsi="Times New Roman"/>
          <w:color w:val="000000"/>
          <w:sz w:val="24"/>
        </w:rPr>
        <w:t xml:space="preserve">); (iii) the Company provides accurate notice of its applicable Policies to its customers, employees, third party vendors and representatives as required by the Privacy Laws; and (iv) applicable Policies provide accurate and sufficient notice of the </w:t>
      </w:r>
    </w:p>
    <w:p>
      <w:pPr>
        <w:pStyle w:val="TextBody"/>
        <w:bidi w:val="0"/>
        <w:jc w:val="center"/>
        <w:rPr>
          <w:rFonts w:ascii="Times New Roman" w:hAnsi="Times New Roman"/>
          <w:color w:val="000000"/>
          <w:sz w:val="24"/>
        </w:rPr>
      </w:pPr>
      <w:r>
        <w:rPr>
          <w:rFonts w:ascii="Times New Roman" w:hAnsi="Times New Roman"/>
          <w:color w:val="000000"/>
          <w:sz w:val="24"/>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Company’s then-current privacy practices relating to its subject matter, and do not contain any material omissions of the Company’s then-current privacy practices, as required by Privacy Laws. “</w:t>
      </w:r>
      <w:r>
        <w:rPr>
          <w:rFonts w:ascii="Times New Roman" w:hAnsi="Times New Roman"/>
          <w:color w:val="000000"/>
          <w:sz w:val="24"/>
          <w:u w:val="single"/>
        </w:rPr>
        <w:t>Personal Data</w:t>
      </w:r>
      <w:r>
        <w:rPr>
          <w:color w:val="000000"/>
        </w:rPr>
        <w:t xml:space="preserve">” </w:t>
      </w:r>
      <w:r>
        <w:rPr>
          <w:rFonts w:ascii="Times New Roman" w:hAnsi="Times New Roman"/>
          <w:color w:val="000000"/>
          <w:sz w:val="24"/>
        </w:rPr>
        <w:t>means (i) a natural person’s name, street address, telephone number, email address, photograph, social security number, bank information, or customer or account number; (ii) any information which would qualify as “personally identifying information” under the Federal Trade Commission Act, as amended; (iii) “personal data” as defined by GDPR; and (iv) any other piece of information that allows the identification of such natural person, or his or her family, or permits the collection or analysis of any identifiable data related to an identified person’s health or sexual orientation. (i) None of such disclosures made or contained in any of the Policies have been inaccurate, misleading, or deceptive in violation of any Privacy Laws and (ii) the execution, delivery and performance of the Transaction Documents will not result in a breach of any Privacy Laws or Policies. Neither the Company nor the Subsidiaries (i) to the knowledge of the Company, has received written notice of any actual or potential liability of the Company or the Subsidiaries under, or actual or potential violation by the Company or the Subsidiaries of, any of the Privacy Laws; (ii) is currently conducting or paying for, in whole or in part, any investigation, remediation or other corrective action pursuant to any regulatory request or demand pursuant to any Privacy Law; or (iii) is a party to any order, decree, or agreement by or with any court or arbitrator or governmental or regulatory authority that imposed any obligation or liability under any Privacy Law, except in each case as could not have or reasonably be expected to result in a Material Adverse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(pp)</w:t>
      </w:r>
    </w:p>
    <w:p>
      <w:pPr>
        <w:pStyle w:val="TextBody"/>
        <w:bidi w:val="0"/>
        <w:spacing w:before="0" w:after="240"/>
        <w:jc w:val="both"/>
        <w:rPr/>
      </w:pPr>
      <w:r>
        <w:rPr>
          <w:rFonts w:ascii="Times New Roman" w:hAnsi="Times New Roman"/>
          <w:color w:val="000000"/>
          <w:sz w:val="24"/>
          <w:u w:val="single"/>
        </w:rPr>
        <w:t>Office of Foreign Assets Control</w:t>
      </w:r>
      <w:r>
        <w:rPr>
          <w:rFonts w:ascii="Times New Roman" w:hAnsi="Times New Roman"/>
          <w:color w:val="000000"/>
          <w:sz w:val="24"/>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Times New Roman" w:hAnsi="Times New Roman"/>
          <w:color w:val="000000"/>
          <w:sz w:val="24"/>
          <w:u w:val="single"/>
        </w:rPr>
        <w:t>OFAC</w:t>
      </w:r>
      <w:r>
        <w:rPr>
          <w:color w:val="000000"/>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(qq)</w:t>
      </w:r>
    </w:p>
    <w:p>
      <w:pPr>
        <w:pStyle w:val="TextBody"/>
        <w:bidi w:val="0"/>
        <w:spacing w:before="0" w:after="240"/>
        <w:jc w:val="both"/>
        <w:rPr/>
      </w:pPr>
      <w:r>
        <w:rPr>
          <w:rFonts w:ascii="Times New Roman" w:hAnsi="Times New Roman"/>
          <w:color w:val="000000"/>
          <w:sz w:val="24"/>
          <w:u w:val="single"/>
        </w:rPr>
        <w:t>U.S. Real Property Holding Corporation</w:t>
      </w:r>
      <w:r>
        <w:rPr>
          <w:rFonts w:ascii="Times New Roman" w:hAnsi="Times New Roman"/>
          <w:color w:val="000000"/>
          <w:sz w:val="24"/>
        </w:rPr>
        <w:t>. The Company is not and has never been a U.S. real property holding corporation within the meaning of Section 897 of the Internal Revenue Code of 1986, as amended, and the Company shall so certify upon Purchaser’s request.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(rr)</w:t>
      </w:r>
    </w:p>
    <w:p>
      <w:pPr>
        <w:pStyle w:val="TextBody"/>
        <w:bidi w:val="0"/>
        <w:spacing w:before="0" w:after="240"/>
        <w:jc w:val="both"/>
        <w:rPr/>
      </w:pPr>
      <w:r>
        <w:rPr>
          <w:rFonts w:ascii="Times New Roman" w:hAnsi="Times New Roman"/>
          <w:color w:val="000000"/>
          <w:sz w:val="24"/>
          <w:u w:val="single"/>
        </w:rPr>
        <w:t>Bank Holding Company Act</w:t>
      </w:r>
      <w:r>
        <w:rPr>
          <w:rFonts w:ascii="Times New Roman" w:hAnsi="Times New Roman"/>
          <w:color w:val="000000"/>
          <w:sz w:val="24"/>
        </w:rPr>
        <w:t>. Neither the Company nor any of its Subsidiaries or Affiliates is subject to the Bank Holding Company Act of 1956, as amended (the “</w:t>
      </w:r>
      <w:r>
        <w:rPr>
          <w:rFonts w:ascii="Times New Roman" w:hAnsi="Times New Roman"/>
          <w:color w:val="000000"/>
          <w:sz w:val="24"/>
          <w:u w:val="single"/>
        </w:rPr>
        <w:t>BHCA</w:t>
      </w:r>
      <w:r>
        <w:rPr>
          <w:color w:val="000000"/>
        </w:rPr>
        <w:t>”</w:t>
      </w:r>
      <w:r>
        <w:rPr>
          <w:rFonts w:ascii="Times New Roman" w:hAnsi="Times New Roman"/>
          <w:color w:val="000000"/>
          <w:sz w:val="24"/>
        </w:rPr>
        <w:t>) and to regulation by the Board of Governors of the Federal Reserve System (the “</w:t>
      </w:r>
      <w:r>
        <w:rPr>
          <w:rFonts w:ascii="Times New Roman" w:hAnsi="Times New Roman"/>
          <w:color w:val="000000"/>
          <w:sz w:val="24"/>
          <w:u w:val="single"/>
        </w:rPr>
        <w:t>Federal Reserve</w:t>
      </w:r>
      <w:r>
        <w:rPr>
          <w:color w:val="000000"/>
        </w:rPr>
        <w:t>”</w:t>
      </w:r>
      <w:r>
        <w:rPr>
          <w:rFonts w:ascii="Times New Roman" w:hAnsi="Times New Roman"/>
          <w:color w:val="000000"/>
          <w:sz w:val="24"/>
        </w:rPr>
        <w:t>). Neither the Company nor any of its Subsidiaries or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(ss)</w:t>
      </w:r>
    </w:p>
    <w:p>
      <w:pPr>
        <w:pStyle w:val="TextBody"/>
        <w:bidi w:val="0"/>
        <w:spacing w:before="0" w:after="240"/>
        <w:jc w:val="both"/>
        <w:rPr/>
      </w:pPr>
      <w:r>
        <w:rPr>
          <w:rFonts w:ascii="Times New Roman" w:hAnsi="Times New Roman"/>
          <w:color w:val="000000"/>
          <w:sz w:val="24"/>
          <w:u w:val="single"/>
        </w:rPr>
        <w:t>Money Laundering</w:t>
      </w:r>
      <w:r>
        <w:rPr>
          <w:rFonts w:ascii="Times New Roman" w:hAnsi="Times New Roman"/>
          <w:color w:val="000000"/>
          <w:sz w:val="24"/>
        </w:rPr>
        <w:t xml:space="preserve">.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w:t>
      </w:r>
    </w:p>
    <w:p>
      <w:pPr>
        <w:pStyle w:val="TextBody"/>
        <w:bidi w:val="0"/>
        <w:jc w:val="center"/>
        <w:rPr>
          <w:rFonts w:ascii="Times New Roman" w:hAnsi="Times New Roman"/>
          <w:color w:val="000000"/>
          <w:sz w:val="24"/>
        </w:rPr>
      </w:pPr>
      <w:r>
        <w:rPr>
          <w:rFonts w:ascii="Times New Roman" w:hAnsi="Times New Roman"/>
          <w:color w:val="000000"/>
          <w:sz w:val="24"/>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regulations thereunder (collectively, the “</w:t>
      </w:r>
      <w:r>
        <w:rPr>
          <w:rFonts w:ascii="Times New Roman" w:hAnsi="Times New Roman"/>
          <w:color w:val="000000"/>
          <w:sz w:val="24"/>
          <w:u w:val="single"/>
        </w:rPr>
        <w:t>Money Laundering Laws</w:t>
      </w:r>
      <w:r>
        <w:rPr>
          <w:color w:val="000000"/>
        </w:rPr>
        <w:t>”</w:t>
      </w:r>
      <w:r>
        <w:rPr>
          <w:rFonts w:ascii="Times New Roman" w:hAnsi="Times New Roman"/>
          <w:color w:val="000000"/>
          <w:sz w:val="24"/>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(tt)</w:t>
      </w:r>
    </w:p>
    <w:p>
      <w:pPr>
        <w:pStyle w:val="TextBody"/>
        <w:bidi w:val="0"/>
        <w:spacing w:before="0" w:after="240"/>
        <w:jc w:val="both"/>
        <w:rPr/>
      </w:pPr>
      <w:r>
        <w:rPr>
          <w:rFonts w:ascii="Times New Roman" w:hAnsi="Times New Roman"/>
          <w:color w:val="000000"/>
          <w:sz w:val="24"/>
          <w:u w:val="single"/>
        </w:rPr>
        <w:t>No Disqualification Events</w:t>
      </w:r>
      <w:r>
        <w:rPr>
          <w:rFonts w:ascii="Times New Roman" w:hAnsi="Times New Roman"/>
          <w:color w:val="000000"/>
          <w:sz w:val="24"/>
        </w:rPr>
        <w:t>. With respect to the Securities to be offered and sold hereunder in reliance on Rule 506 under the Securities Act, none of the Company, any of its predecessors, any affiliated issuer, any director, executive officer, other officer of the Company participating in the offering hereunder, or to the Company’s knowledge, any beneficial owner of 20% or more of the Company’s outstanding voting equity securities, calculated on the basis of voting power, nor any promoter (as that term is defined in Rule 405 under the Securities Act) connected with the Company in any capacity at the time of sale (each, an “</w:t>
      </w:r>
      <w:r>
        <w:rPr>
          <w:rFonts w:ascii="Times New Roman" w:hAnsi="Times New Roman"/>
          <w:color w:val="000000"/>
          <w:sz w:val="24"/>
          <w:u w:val="single"/>
        </w:rPr>
        <w:t>Issuer Covered Person</w:t>
      </w:r>
      <w:r>
        <w:rPr>
          <w:color w:val="000000"/>
        </w:rPr>
        <w:t xml:space="preserve">” </w:t>
      </w:r>
      <w:r>
        <w:rPr>
          <w:rFonts w:ascii="Times New Roman" w:hAnsi="Times New Roman"/>
          <w:color w:val="000000"/>
          <w:sz w:val="24"/>
        </w:rPr>
        <w:t>and, together, “</w:t>
      </w:r>
      <w:r>
        <w:rPr>
          <w:rFonts w:ascii="Times New Roman" w:hAnsi="Times New Roman"/>
          <w:color w:val="000000"/>
          <w:sz w:val="24"/>
          <w:u w:val="single"/>
        </w:rPr>
        <w:t>Issuer Covered Persons</w:t>
      </w:r>
      <w:r>
        <w:rPr>
          <w:color w:val="000000"/>
        </w:rPr>
        <w:t>”</w:t>
      </w:r>
      <w:r>
        <w:rPr>
          <w:rFonts w:ascii="Times New Roman" w:hAnsi="Times New Roman"/>
          <w:color w:val="000000"/>
          <w:sz w:val="24"/>
        </w:rPr>
        <w:t>) is subject to any of the "Bad Actor" disqualifications described in Rule 506(d)(1)(i) to (viii) under the Securities Act (a “</w:t>
      </w:r>
      <w:r>
        <w:rPr>
          <w:rFonts w:ascii="Times New Roman" w:hAnsi="Times New Roman"/>
          <w:color w:val="000000"/>
          <w:sz w:val="24"/>
          <w:u w:val="single"/>
        </w:rPr>
        <w:t>Disqualification Event</w:t>
      </w:r>
      <w:r>
        <w:rPr>
          <w:color w:val="000000"/>
        </w:rPr>
        <w:t>”</w:t>
      </w:r>
      <w:r>
        <w:rPr>
          <w:rFonts w:ascii="Times New Roman" w:hAnsi="Times New Roman"/>
          <w:color w:val="000000"/>
          <w:sz w:val="24"/>
        </w:rPr>
        <w:t>), except for a Disqualification Event covered by Rule 506(d)(2) or (d)(3). The Company has exercised reasonable care to determine whether any Issuer Covered Person is subject to a Disqualification Event. The Company has complied, to the extent applicable, with its disclosure obligations under Rule 506(e), and has furnished to the Purchasers a copy of any disclosures provided thereunder.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(uu)</w:t>
      </w:r>
    </w:p>
    <w:p>
      <w:pPr>
        <w:pStyle w:val="TextBody"/>
        <w:bidi w:val="0"/>
        <w:spacing w:before="0" w:after="240"/>
        <w:jc w:val="both"/>
        <w:rPr/>
      </w:pPr>
      <w:r>
        <w:rPr>
          <w:rFonts w:ascii="Times New Roman" w:hAnsi="Times New Roman"/>
          <w:color w:val="000000"/>
          <w:sz w:val="24"/>
          <w:u w:val="single"/>
        </w:rPr>
        <w:t>Other Covered Persons</w:t>
      </w:r>
      <w:r>
        <w:rPr>
          <w:rFonts w:ascii="Times New Roman" w:hAnsi="Times New Roman"/>
          <w:color w:val="000000"/>
          <w:sz w:val="24"/>
        </w:rPr>
        <w:t>. Other than the Placement Agent, the Company is not aware of any person (other than any Issuer Covered Person) that has been or will be paid (directly or indirectly) remuneration for solicitation of purchasers in connection with the sale of any Securities.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(vv)</w:t>
      </w:r>
    </w:p>
    <w:p>
      <w:pPr>
        <w:pStyle w:val="TextBody"/>
        <w:bidi w:val="0"/>
        <w:spacing w:before="0" w:after="240"/>
        <w:jc w:val="both"/>
        <w:rPr/>
      </w:pPr>
      <w:r>
        <w:rPr>
          <w:rFonts w:ascii="Times New Roman" w:hAnsi="Times New Roman"/>
          <w:color w:val="000000"/>
          <w:sz w:val="24"/>
          <w:u w:val="single"/>
        </w:rPr>
        <w:t>Notice of Disqualification Events</w:t>
      </w:r>
      <w:r>
        <w:rPr>
          <w:rFonts w:ascii="Times New Roman" w:hAnsi="Times New Roman"/>
          <w:color w:val="000000"/>
          <w:sz w:val="24"/>
        </w:rPr>
        <w:t>. The Company will notify the Purchasers and the Placement Agent in writing, prior to the Closing Date of (i) any Disqualification Event relating to any Issuer Covered Person and (ii) any event that would, with the passage of time, reasonably be expected to become a Disqualification Event relating to any Issuer Covered Person.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(ww)</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Form S-1 Eligibility. The Company is eligible to register the resale of the Securities for resale by Purchaser on Form S-1 promulgated under the Securities Act.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3.2</w:t>
      </w:r>
    </w:p>
    <w:p>
      <w:pPr>
        <w:pStyle w:val="TextBody"/>
        <w:bidi w:val="0"/>
        <w:spacing w:before="0" w:after="240"/>
        <w:jc w:val="both"/>
        <w:rPr/>
      </w:pPr>
      <w:r>
        <w:rPr>
          <w:rFonts w:ascii="Times New Roman" w:hAnsi="Times New Roman"/>
          <w:color w:val="000000"/>
          <w:sz w:val="24"/>
          <w:u w:val="single"/>
        </w:rPr>
        <w:t>Representations and Warranties of the Purchasers</w:t>
      </w:r>
      <w:r>
        <w:rPr>
          <w:rFonts w:ascii="Times New Roman" w:hAnsi="Times New Roman"/>
          <w:color w:val="000000"/>
          <w:sz w:val="24"/>
        </w:rPr>
        <w:t>. Each Purchaser, for itself and for no other Purchaser, hereby represents and warrants as of the date hereof and as of the Closing Date to the Company as follows (unless as of a specific date therein, in which case they shall be accurate as of such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Organization; Authority</w:t>
      </w:r>
      <w:r>
        <w:rPr>
          <w:rFonts w:ascii="Times New Roman" w:hAnsi="Times New Roman"/>
          <w:color w:val="000000"/>
          <w:sz w:val="24"/>
        </w:rPr>
        <w:t xml:space="preserve">.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w:t>
      </w:r>
    </w:p>
    <w:p>
      <w:pPr>
        <w:pStyle w:val="TextBody"/>
        <w:bidi w:val="0"/>
        <w:jc w:val="center"/>
        <w:rPr>
          <w:rFonts w:ascii="Times New Roman" w:hAnsi="Times New Roman"/>
          <w:color w:val="000000"/>
          <w:sz w:val="24"/>
        </w:rPr>
      </w:pPr>
      <w:r>
        <w:rPr>
          <w:rFonts w:ascii="Times New Roman" w:hAnsi="Times New Roman"/>
          <w:color w:val="000000"/>
          <w:sz w:val="24"/>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Own Account</w:t>
      </w:r>
      <w:r>
        <w:rPr>
          <w:rFonts w:ascii="Times New Roman" w:hAnsi="Times New Roman"/>
          <w:color w:val="000000"/>
          <w:sz w:val="24"/>
        </w:rPr>
        <w:t>. Such Purchaser understands that the Securities are “restricted securities” and have not been registered under the Securities Act or any applicable state securities law and is acquiring the Securities as principal for its own account and not with a view to or for distributing or reselling such Securities or any part thereof in violation of the Securities Act or any applicable state securities law, has no present intention of distributing any of such Securities in violation of the Securities Act or any applicable state securities law and has no direct or indirect arrangement or understandings with any other persons to distribute or regarding the distribution of such Securities in violation of the Securities Act or any applicable state securities law (this representation and warranty not limiting such Purchaser’s right to sell the Securities pursuant to the Registration Statement or otherwise in compliance with applicable federal and state securities laws). Such Purchaser is acquiring the Securities hereunder in the ordinary course of its business.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Purchaser Status</w:t>
      </w:r>
      <w:r>
        <w:rPr>
          <w:rFonts w:ascii="Times New Roman" w:hAnsi="Times New Roman"/>
          <w:color w:val="000000"/>
          <w:sz w:val="24"/>
        </w:rPr>
        <w:t>. At the time such Purchaser was offered the Securities, it was, and as of the date hereof it is, and on each date on which it exercises any Warrants, it will be an “accredited investor” as defined in Rule 501(a)(1), (a)(2), (a)(3), (a)(7), (a)(8), (a)(9), (a)(12), or (a)(13) under the Securities Act.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Experience of Such Purchaser</w:t>
      </w:r>
      <w:r>
        <w:rPr>
          <w:rFonts w:ascii="Times New Roman" w:hAnsi="Times New Roman"/>
          <w:color w:val="000000"/>
          <w:sz w:val="24"/>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General Solicitation</w:t>
      </w:r>
      <w:r>
        <w:rPr>
          <w:rFonts w:ascii="Times New Roman" w:hAnsi="Times New Roman"/>
          <w:color w:val="000000"/>
          <w:sz w:val="24"/>
        </w:rPr>
        <w:t>. Such Purchaser is not, to such Purchaser’s knowledge, purchasing the Securities as a result of any advertisement, article, notice or other communication regarding the Securities published in any newspaper, magazine or similar media or broadcast over television or radio or presented at any seminar or, to the knowledge of such Purchaser, any other general solicitation or general advertisement.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u w:val="single"/>
        </w:rPr>
        <w:t>Access to Information</w:t>
      </w:r>
      <w:r>
        <w:rPr>
          <w:rFonts w:ascii="Times New Roman" w:hAnsi="Times New Roman"/>
          <w:color w:val="000000"/>
          <w:sz w:val="24"/>
        </w:rPr>
        <w:t xml:space="preserve">.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w:t>
      </w:r>
    </w:p>
    <w:p>
      <w:pPr>
        <w:pStyle w:val="TextBody"/>
        <w:bidi w:val="0"/>
        <w:jc w:val="center"/>
        <w:rPr>
          <w:rFonts w:ascii="Times New Roman" w:hAnsi="Times New Roman"/>
          <w:color w:val="000000"/>
          <w:sz w:val="24"/>
        </w:rPr>
      </w:pPr>
      <w:r>
        <w:rPr>
          <w:rFonts w:ascii="Times New Roman" w:hAnsi="Times New Roman"/>
          <w:color w:val="000000"/>
          <w:sz w:val="24"/>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Placement Agent nor any Affiliate of the Placement Agent has provided such Purchaser with any information or advice with respect to the Securities nor is such information or advice necessary or desired. Neither the Placement Agent nor any Affiliate has made or makes any representation as to the Company or the quality of the Securities and the Placement Agent and any Affiliate may have acquired non-public information with respect to the Company which such Purchaser agrees need not be provided to it. In connection with the issuance of the Securities to such Purchaser, neither the Placement Agent nor any of its Affiliates has acted as a financial advisor or fiduciary to such Purchaser.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rFonts w:ascii="Times New Roman" w:hAnsi="Times New Roman"/>
          <w:color w:val="000000"/>
          <w:sz w:val="24"/>
          <w:u w:val="single"/>
        </w:rPr>
        <w:t>Certain Transactions and Confidentiality</w:t>
      </w:r>
      <w:r>
        <w:rPr>
          <w:rFonts w:ascii="Times New Roman" w:hAnsi="Times New Roman"/>
          <w:color w:val="000000"/>
          <w:sz w:val="24"/>
        </w:rPr>
        <w:t>. Other than consummating the transactions contemplated hereunder, such Purchaser has not, nor, to the best of Purchaser’s knowledge,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pStyle w:val="TextBody"/>
        <w:bidi w:val="0"/>
        <w:jc w:val="center"/>
        <w:rPr>
          <w:rFonts w:ascii="Times New Roman" w:hAnsi="Times New Roman"/>
          <w:color w:val="000000"/>
          <w:sz w:val="24"/>
        </w:rPr>
      </w:pPr>
      <w:r>
        <w:rPr>
          <w:rFonts w:ascii="Times New Roman" w:hAnsi="Times New Roman"/>
          <w:color w:val="000000"/>
          <w:sz w:val="24"/>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ARTICLE IV.</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br/>
        <w:t>OTHER AGREEMENTS OF THE PARTIES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4.1</w:t>
      </w:r>
    </w:p>
    <w:p>
      <w:pPr>
        <w:pStyle w:val="TextBody"/>
        <w:bidi w:val="0"/>
        <w:spacing w:before="0" w:after="240"/>
        <w:jc w:val="both"/>
        <w:rPr/>
      </w:pPr>
      <w:r>
        <w:rPr>
          <w:rFonts w:ascii="Times New Roman" w:hAnsi="Times New Roman"/>
          <w:color w:val="000000"/>
          <w:sz w:val="24"/>
          <w:u w:val="single"/>
        </w:rPr>
        <w:t>Transfer Restrictions; Removal of Legends</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Securities may only be disposed of in compliance with state and federal securities laws. In connection with any transfer of Securities other than pursuant to an effective registration statement or Rule 144, to the Company or to an Affiliate of a Purchaser or in connection with a pledge as contemplated in Section 4.1(b),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Securities under the Securities Act. As a condition of transfer, any such transferee shall agree in writing to be bound by the terms of this Agreement and the Registration Rights Agreement and shall have the rights and obligations of a Purchaser under this Agreement and the Registration Rights Agreement.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Purchasers agree to the imprinting, so long as is required by this Section 4.1, of a legend on any of the Securities in the following form: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SECURITY HAS NOT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MAY BE PLEDGED IN CONNECTION WITH A BONA FIDE MARGIN ACCOUNT WITH A REGISTERED BROKER-DEALER OR OTHER LOAN WITH A FINANCIAL INSTITUTION THAT IS AN “ACCREDITED INVESTOR” AS DEFINED IN RULE 501(a) UNDER THE SECURITIES ACT OR OTHER LOAN SECURED BY SUCH SECURITIES.</w:t>
      </w:r>
    </w:p>
    <w:p>
      <w:pPr>
        <w:pStyle w:val="TextBody"/>
        <w:bidi w:val="0"/>
        <w:spacing w:before="0" w:after="240"/>
        <w:jc w:val="both"/>
        <w:rPr>
          <w:rFonts w:ascii="Times New Roman" w:hAnsi="Times New Roman"/>
          <w:sz w:val="20"/>
        </w:rPr>
      </w:pPr>
      <w:r>
        <w:rPr>
          <w:rFonts w:ascii="Times New Roman" w:hAnsi="Times New Roman"/>
          <w:color w:val="000000"/>
          <w:sz w:val="24"/>
        </w:rPr>
        <w:t>The Company acknowledges and agrees that a Purchaser may from time to time pledge pursuant to a bona fide margin agreement with a registered broker-dealer or grant a security interest in some or all of the Securities to a financial institution that is an “accredited investor” as defined in Rule 501(a) under the Securities Act and, if required under the terms of such arrangement, such Purchaser may transfer pledged or secured Securities to the pledgees or secured parties. Such a pledge or transfer would not be subject to approval of the Company and no legal opinion of legal counsel of the pledgee, secured party or pledgor shall be required in connection therewith. Further, no notice shall be required of such pledge. At the Company’s expense, the Company will execute and deliver such reasonable documentation as a pledgee or secured party of Securities may reasonably request in connection with a pledge or transfer of the Securities, including, if the Securities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are subject to registration pursuant to the Registration Rights Agreement, the preparation and filing of any required prospectus supplement under Rule 424(b)(3) under the Securities Act or other applicable provision of the Securities Act to appropriately amend the list of Selling Stockholders (as defined in the Registration Rights Agreement) thereunder, provided that the Company shall not be required to file more than one prospectus supplement in any one fiscal quarter.</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(c)</w:t>
      </w:r>
    </w:p>
    <w:p>
      <w:pPr>
        <w:pStyle w:val="TextBody"/>
        <w:bidi w:val="0"/>
        <w:jc w:val="both"/>
        <w:rPr/>
      </w:pPr>
      <w:r>
        <w:rPr>
          <w:rFonts w:ascii="Times New Roman" w:hAnsi="Times New Roman"/>
          <w:color w:val="000000"/>
          <w:sz w:val="24"/>
        </w:rPr>
        <w:t>Certificates or book-entries evidencing the Shares and Warrant Shares shall not contain any legend (including the legend set forth in Section 4.1(b) hereof), (i) while a registration statement (including the Registration Statement) covering the resale of such security is effective under the Securities Act, (ii) following any sale of such Shares or Warrant Shares pursuant to Rule 144 (assuming cashless exercise of the Warrants), (iii) if such Shares or Warrant Shares are eligible for sale under Rule 144 (assuming cashless exercise of the Warrants) without volume or manner of sale restrictions, or (iv) if such legend is not required under applicable requirements of the Securities Act (including judicial interpretations and pronouncements issued by the staff of the Commission). For the avoidance of doubt, the Company shall not require an opinion of Purchaser’s counsel for the removal of any legend pursuant to Rule 144.The Company shall cause its counsel to issue a legal opinion to the Transfer Agent or the Purchaser promptly after the Effective Date if required by the Transfer Agent to effect the removal of the legend hereunder, or if requested by a Purchaser, respectively. Any fees (with respect to the transfer agent, counsel to the Company or otherwise) associated with the issuance of such opinion and the removal of any legends on any of the Securities shall be borne by the Company. If all or any portion of a Warrant is exercised at a time when there is an effective registration statement to cover the resale of the Warrant Shares, or if such Shares or Warrant Shares may be sold under Rule 144 and the Company is then in compliance with the current public information required under Rule 144 (assuming cashless exercise of the Warrants), or if the Shares or Warrant Shares may be sold under Rule 144 without the requirement for the Company to be in compliance with the current public information required under Rule 144 as to such Shares or Warrant Shares or if such legend is not otherwise required under applicable requirements of the Securities Act (including judicial interpretations and pronouncements issued by the staff of the Commission) then such Warrant Shares shall be issued free of all legends. The Company agrees that at such time as such legend is no longer required under this Section 4.1(c), it will, no later than the earlier of (i) one (1) Trading Day and (ii) the number of Trading Days comprising the Standard Settlement Period (as defined below) following the delivery by a Purchaser to the Company or the Transfer Agent of a certificate of book-entry statement representing Shares or Warrant Shares issued with a restrictive legend (such date, the “</w:t>
      </w:r>
      <w:r>
        <w:rPr>
          <w:rFonts w:ascii="Times New Roman" w:hAnsi="Times New Roman"/>
          <w:color w:val="000000"/>
          <w:sz w:val="24"/>
          <w:u w:val="single"/>
        </w:rPr>
        <w:t>Legend Removal Date</w:t>
      </w:r>
      <w:r>
        <w:rPr>
          <w:color w:val="000000"/>
        </w:rPr>
        <w:t>”</w:t>
      </w:r>
      <w:r>
        <w:rPr>
          <w:rFonts w:ascii="Times New Roman" w:hAnsi="Times New Roman"/>
          <w:color w:val="000000"/>
          <w:sz w:val="24"/>
        </w:rPr>
        <w:t>), deliver or cause to be delivered to such Purchaser a certificate or book-entry statement representing such shares that is free from all restrictive and other legends. The Company may not make any notation on its records or give instructions to the Transfer Agent that enlarge the restrictions on transfer set forth in this Section 4. Certificates or book-entry statements for Shares subject to legend removal hereunder shall be transmitted by the Transfer Agent to the Purchaser by crediting the account of the Purchaser’s prime broker with the Depository Trust Company System as directed by such Purchaser. As used herein, “</w:t>
      </w:r>
      <w:r>
        <w:rPr>
          <w:rFonts w:ascii="Times New Roman" w:hAnsi="Times New Roman"/>
          <w:color w:val="000000"/>
          <w:sz w:val="24"/>
          <w:u w:val="single"/>
        </w:rPr>
        <w:t>Standard Settlement Period</w:t>
      </w:r>
      <w:r>
        <w:rPr>
          <w:color w:val="000000"/>
        </w:rPr>
        <w:t xml:space="preserve">” </w:t>
      </w:r>
      <w:r>
        <w:rPr>
          <w:rFonts w:ascii="Times New Roman" w:hAnsi="Times New Roman"/>
          <w:color w:val="000000"/>
          <w:sz w:val="24"/>
        </w:rPr>
        <w:t xml:space="preserve">means the standard settlement period, expressed in a number of Trading Days, on the Company’s </w:t>
      </w:r>
    </w:p>
    <w:p>
      <w:pPr>
        <w:pStyle w:val="TextBody"/>
        <w:bidi w:val="0"/>
        <w:jc w:val="center"/>
        <w:rPr>
          <w:rFonts w:ascii="Times New Roman" w:hAnsi="Times New Roman"/>
          <w:color w:val="000000"/>
          <w:sz w:val="24"/>
        </w:rPr>
      </w:pPr>
      <w:r>
        <w:rPr>
          <w:rFonts w:ascii="Times New Roman" w:hAnsi="Times New Roman"/>
          <w:color w:val="000000"/>
          <w:sz w:val="24"/>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primary Trading Market with respect to the Common Stock as in effect on the date of delivery of Shares or Warrant Shares issued with a restrictive legend.</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rPr>
        <w:t>In addition to such Purchaser’s other available remedies, the Company shall pay to a Purchaser, in cash, (i) as partial liquidated damages and not as a penalty, for each $1,000 of Shares or Warrant Shares (based on the VWAP of the Common Stock on the date such Shares or Warrant Shares are submitted to the Transfer Agent) delivered for removal of the restrictive legend and subject to Section 4.1(c), $10 per Trading Day (increasing to $20 per Trading Day five (5) Trading Days after the Legend Removal Date) for each Trading Day after the Legend Removal Date until such certificate or book-entry statement is delivered without a legend and (ii) (a) if the Company fails to issue and deliver (or cause to be delivered) to a Purchaser by the Legend Removal Date a certificate or book-entry statement representing the Shares or Warrant Shares so delivered to the Company by such Purchaser that is free from all restrictive and other legends and (b) if after the Legend Removal Date such Purchaser purchases (in an open market transaction or otherwise) shares of Common Stock to deliver in satisfaction of a sale by such Purchaser of all or any portion of the number of shares of Common Stock, or a sale of a number of shares of Common Stock equal to all or any portion of the number of shares of Common Stock that such Purchaser anticipated receiving from the Company without any restrictive legend, then, an amount equal to the excess of such Purchaser’s total purchase price (including brokerage commissions and other out-of-pocket expenses, if any) for the shares of Common Stock so purchased (including brokerage commissions and other out-of-pocket expenses, if any) (the “</w:t>
      </w:r>
      <w:r>
        <w:rPr>
          <w:rFonts w:ascii="Times New Roman" w:hAnsi="Times New Roman"/>
          <w:color w:val="000000"/>
          <w:sz w:val="24"/>
          <w:u w:val="single"/>
        </w:rPr>
        <w:t>Buy-In Price</w:t>
      </w:r>
      <w:r>
        <w:rPr>
          <w:color w:val="000000"/>
        </w:rPr>
        <w:t>”</w:t>
      </w:r>
      <w:r>
        <w:rPr>
          <w:rFonts w:ascii="Times New Roman" w:hAnsi="Times New Roman"/>
          <w:color w:val="000000"/>
          <w:sz w:val="24"/>
        </w:rPr>
        <w:t>) over the product of (A) such number of Shares or Warrant Shares that the Company was required to deliver to such Purchaser by the Legend Removal Date multiplied by (B) the lowest closing sale price of the Common Stock on any Trading Day during the period commencing on the date of the delivery by such Purchaser to the Company of the applicable Shares or Warrant Shares and ending on the date of such delivery and payment under this clause (ii).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Purchaser, severally and not jointly with the other Purchasers, agrees with the Company that such Purchaser will sell any Securities pursuant to either the registration requirements of the Securities Act, including any applicable prospectus delivery requirements, or an exemption therefrom, and that if Securities are sold pursuant to a Registration Statement, they will be sold in compliance with the plan of distribution set forth therein, and acknowledges that the removal of the restrictive legend from certificates or book-entry statements representing Securities as set forth in this Section 4.1 is predicated upon the Company’s reliance upon this understanding.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4.2</w:t>
      </w:r>
    </w:p>
    <w:p>
      <w:pPr>
        <w:pStyle w:val="TextBody"/>
        <w:bidi w:val="0"/>
        <w:spacing w:before="0" w:after="240"/>
        <w:jc w:val="both"/>
        <w:rPr/>
      </w:pPr>
      <w:r>
        <w:rPr>
          <w:rFonts w:ascii="Times New Roman" w:hAnsi="Times New Roman"/>
          <w:color w:val="000000"/>
          <w:sz w:val="24"/>
          <w:u w:val="single"/>
        </w:rPr>
        <w:t>Furnishing of Information; Public Information</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Until Purchaser owns no Shares or Warrant Shares, the Company shall use its commercially reasonable efforts to maintain the registration of the Common Stock under Section 12(b) or 12(g) of the Exchange Act and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pStyle w:val="TextBody"/>
        <w:bidi w:val="0"/>
        <w:jc w:val="center"/>
        <w:rPr>
          <w:rFonts w:ascii="Times New Roman" w:hAnsi="Times New Roman"/>
          <w:color w:val="000000"/>
          <w:sz w:val="24"/>
        </w:rPr>
      </w:pPr>
      <w:r>
        <w:rPr>
          <w:rFonts w:ascii="Times New Roman" w:hAnsi="Times New Roman"/>
          <w:color w:val="000000"/>
          <w:sz w:val="24"/>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At any time during the period commencing from the six (6) month anniversary of the date hereof and ending at such time that all of the Securities may be sold without the requirement for the Company to be in compliance with Rule 144(c)(1) and otherwise without restriction or limitation pursuant to Rule 144, if the Company (i) shall fail for any reason to satisfy the current public information requirement under Rule 144(c) or (ii) has ever been an issuer described in Rule 144(i)(1)(i) or becomes an issuer in the future, and the Company shall fail to satisfy any condition set forth in Rule 144(i)(2) (a “</w:t>
      </w:r>
      <w:r>
        <w:rPr>
          <w:rFonts w:ascii="Times New Roman" w:hAnsi="Times New Roman"/>
          <w:color w:val="000000"/>
          <w:sz w:val="24"/>
          <w:u w:val="single"/>
        </w:rPr>
        <w:t>Public Information Failure</w:t>
      </w:r>
      <w:r>
        <w:rPr>
          <w:color w:val="000000"/>
        </w:rPr>
        <w:t>”</w:t>
      </w:r>
      <w:r>
        <w:rPr>
          <w:rFonts w:ascii="Times New Roman" w:hAnsi="Times New Roman"/>
          <w:color w:val="000000"/>
          <w:sz w:val="24"/>
        </w:rPr>
        <w:t>) then, in addition to such Purchaser’s other available remedies, the Company shall pay to a Purchaser, in cash, as partial liquidated damages and not as a penalty, by reason of any such delay in or reduction of its ability to sell the Shares or Warrant Shares, as applicable, an amount in cash equal to one percent (1.0%) of the aggregate Subscription Amount of such Purchaser’s Shares or Warrant Shares, as applicable, that are held by the Purchaser on the day of a Public Information Failure and on every thirtieth (30</w:t>
      </w:r>
      <w:r>
        <w:rPr>
          <w:rFonts w:ascii="Times New Roman" w:hAnsi="Times New Roman"/>
          <w:color w:val="000000"/>
          <w:sz w:val="16"/>
        </w:rPr>
        <w:t>th</w:t>
      </w:r>
      <w:r>
        <w:rPr>
          <w:rFonts w:ascii="Times New Roman" w:hAnsi="Times New Roman"/>
          <w:color w:val="000000"/>
          <w:sz w:val="24"/>
        </w:rPr>
        <w:t>) day (pro rated for periods totaling less than thirty (30) days) thereafter until the earlier of (a) the date such Public Information Failure is cured and (b) such time that such public information is no longer required for the Purchasers to transfer the Shares and Warrant Shares pursuant to Rule 144. The payments to which a Purchaser shall be entitled pursuant to this Section 4.2(b) are referred to herein as “</w:t>
      </w:r>
      <w:r>
        <w:rPr>
          <w:rFonts w:ascii="Times New Roman" w:hAnsi="Times New Roman"/>
          <w:color w:val="000000"/>
          <w:sz w:val="24"/>
          <w:u w:val="single"/>
        </w:rPr>
        <w:t>Public Information Failure Payments</w:t>
      </w:r>
      <w:r>
        <w:rPr>
          <w:rFonts w:ascii="Times New Roman" w:hAnsi="Times New Roman"/>
          <w:color w:val="000000"/>
          <w:sz w:val="24"/>
        </w:rPr>
        <w:t>.” Public Information Failure</w:t>
      </w:r>
      <w:r>
        <w:rPr>
          <w:color w:val="000000"/>
        </w:rPr>
        <w:t xml:space="preserve"> </w:t>
      </w:r>
      <w:r>
        <w:rPr>
          <w:rFonts w:ascii="Times New Roman" w:hAnsi="Times New Roman"/>
          <w:color w:val="000000"/>
          <w:sz w:val="24"/>
        </w:rPr>
        <w:t>Payments shall be paid on the earlier of (i) the last day of the calendar month during which such Public Information Failure</w:t>
      </w:r>
      <w:r>
        <w:rPr>
          <w:color w:val="000000"/>
        </w:rPr>
        <w:t xml:space="preserve"> </w:t>
      </w:r>
      <w:r>
        <w:rPr>
          <w:rFonts w:ascii="Times New Roman" w:hAnsi="Times New Roman"/>
          <w:color w:val="000000"/>
          <w:sz w:val="24"/>
        </w:rPr>
        <w:t>Payments are incurred and (ii) the third (3</w:t>
      </w:r>
      <w:r>
        <w:rPr>
          <w:rFonts w:ascii="Times New Roman" w:hAnsi="Times New Roman"/>
          <w:color w:val="000000"/>
          <w:sz w:val="16"/>
        </w:rPr>
        <w:t>rd</w:t>
      </w:r>
      <w:r>
        <w:rPr>
          <w:rFonts w:ascii="Times New Roman" w:hAnsi="Times New Roman"/>
          <w:color w:val="000000"/>
          <w:sz w:val="24"/>
        </w:rPr>
        <w:t>) Business Day after the event or failure giving rise to the Public Information Failure</w:t>
      </w:r>
      <w:r>
        <w:rPr>
          <w:color w:val="000000"/>
        </w:rPr>
        <w:t xml:space="preserve"> </w:t>
      </w:r>
      <w:r>
        <w:rPr>
          <w:rFonts w:ascii="Times New Roman" w:hAnsi="Times New Roman"/>
          <w:color w:val="000000"/>
          <w:sz w:val="24"/>
        </w:rPr>
        <w:t>Payments is cured. In the event the Company fails to make Public Information Failure</w:t>
      </w:r>
      <w:r>
        <w:rPr>
          <w:color w:val="000000"/>
        </w:rPr>
        <w:t xml:space="preserve"> </w:t>
      </w:r>
      <w:r>
        <w:rPr>
          <w:rFonts w:ascii="Times New Roman" w:hAnsi="Times New Roman"/>
          <w:color w:val="000000"/>
          <w:sz w:val="24"/>
        </w:rPr>
        <w:t>Payments in a timely manner, such Public Information Failure</w:t>
      </w:r>
      <w:r>
        <w:rPr>
          <w:color w:val="000000"/>
        </w:rPr>
        <w:t xml:space="preserve"> </w:t>
      </w:r>
      <w:r>
        <w:rPr>
          <w:rFonts w:ascii="Times New Roman" w:hAnsi="Times New Roman"/>
          <w:color w:val="000000"/>
          <w:sz w:val="24"/>
        </w:rPr>
        <w:t>Payments shall bear interest at the rate of 1.5% per month (prorated for partial months) until paid in full. Nothing herein shall limit such Purchaser’s right to pursue actual damages for the Public Information Failure, and such Purchaser shall have the right to pursue all remedies available to it at law or in equity including, without limitation, a decree of specific performance and/or injunctive relief.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4.3</w:t>
      </w:r>
    </w:p>
    <w:p>
      <w:pPr>
        <w:pStyle w:val="TextBody"/>
        <w:bidi w:val="0"/>
        <w:spacing w:before="0" w:after="240"/>
        <w:jc w:val="both"/>
        <w:rPr/>
      </w:pPr>
      <w:r>
        <w:rPr>
          <w:rFonts w:ascii="Times New Roman" w:hAnsi="Times New Roman"/>
          <w:color w:val="000000"/>
          <w:sz w:val="24"/>
          <w:u w:val="single"/>
        </w:rPr>
        <w:t>Integration</w:t>
      </w:r>
      <w:r>
        <w:rPr>
          <w:rFonts w:ascii="Times New Roman" w:hAnsi="Times New Roman"/>
          <w:color w:val="000000"/>
          <w:sz w:val="24"/>
        </w:rPr>
        <w:t>. The Company shall not sell, offer for sale or solicit offers to buy or otherwise negotiate in respect of any security (as defined in Section 2 of the Securities Act) that would be integrated with the offer or sale of the Securities in a manner that would require the registration under the Securities Act of the sale of the Securities or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r>
        <w:rPr>
          <w:color w:val="000000"/>
          <w:u w:val="single"/>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4.4</w:t>
      </w:r>
    </w:p>
    <w:p>
      <w:pPr>
        <w:pStyle w:val="TextBody"/>
        <w:bidi w:val="0"/>
        <w:spacing w:before="0" w:after="240"/>
        <w:jc w:val="both"/>
        <w:rPr/>
      </w:pPr>
      <w:r>
        <w:rPr>
          <w:rFonts w:ascii="Times New Roman" w:hAnsi="Times New Roman"/>
          <w:color w:val="000000"/>
          <w:sz w:val="24"/>
          <w:u w:val="single"/>
        </w:rPr>
        <w:t>Securities Laws Disclosure; Publicity</w:t>
      </w:r>
      <w:r>
        <w:rPr>
          <w:rFonts w:ascii="Times New Roman" w:hAnsi="Times New Roman"/>
          <w:color w:val="000000"/>
          <w:sz w:val="24"/>
        </w:rPr>
        <w:t xml:space="preserve">. The Company shall (a) by the Disclosure Time, issue a press release disclosing the material terms of the transactions contemplated hereby and file a Current Report on Form 8-K with the Commission and/or issue a press release disclosing Information and (b) file a Current Report on Form 8-K, including the Transaction Documents as exhibits thereto, with the Commission within the time required by the Exchange Act. Notwithstanding the foregoing, except as may otherwise be agreed with a given Purchaser, without such Purchaser’s prior written consent (email being sufficient), the Company shall not identify the Purchasers or its respective affiliates by name or by identifiable description in any issuance of a press release, on its website, in any marketing materials or investor presentations, on social media channels, or in any SEC Reports (unless required by the rules and regulations of the Commission). </w:t>
      </w:r>
    </w:p>
    <w:p>
      <w:pPr>
        <w:pStyle w:val="TextBody"/>
        <w:bidi w:val="0"/>
        <w:jc w:val="center"/>
        <w:rPr>
          <w:rFonts w:ascii="Times New Roman" w:hAnsi="Times New Roman"/>
          <w:color w:val="000000"/>
          <w:sz w:val="24"/>
        </w:rPr>
      </w:pPr>
      <w:r>
        <w:rPr>
          <w:rFonts w:ascii="Times New Roman" w:hAnsi="Times New Roman"/>
          <w:color w:val="000000"/>
          <w:sz w:val="24"/>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From and after the disclosure in clause (a) in the preceding sentence, the Company represents to the Purchasers that it shall have publicly disclosed all material, non-public information delivered to any of the Purchasers by the Company or any of its Subsidiaries, or any of their respective officers, directors, employees, Affiliates or agents, including, without limitation, the Placement Agent,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employees, Affiliates or agents, including, without limitation, the Placement Agent, on the one hand, and any of the Purchasers or any of their Affiliates on the other hand, shall terminate and be of no further force or effect. The Company understands and confirms that each Purchaser shall be relying on the foregoing covenant in effecting transactions in securities of the Company.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(i) any registration statement contemplated by the Registration Rights Agreement and (ii) the filing of final Transaction Documents with the Commission and (b) to the extent such disclosure is required by law or Trading Market regulations, in which case the</w:t>
      </w:r>
      <w:r>
        <w:rPr>
          <w:color w:val="000000"/>
          <w:u w:val="single"/>
        </w:rPr>
        <w:t xml:space="preserve"> </w:t>
      </w:r>
      <w:r>
        <w:rPr>
          <w:rFonts w:ascii="Times New Roman" w:hAnsi="Times New Roman"/>
          <w:color w:val="000000"/>
          <w:sz w:val="24"/>
        </w:rPr>
        <w:t>Company shall provide the Purchasers with prior notice of such disclosure permitted under this clause (b) and reasonably cooperate with such Purchaser regarding such disclosure.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4.5</w:t>
      </w:r>
    </w:p>
    <w:p>
      <w:pPr>
        <w:pStyle w:val="TextBody"/>
        <w:bidi w:val="0"/>
        <w:spacing w:before="0" w:after="240"/>
        <w:jc w:val="both"/>
        <w:rPr/>
      </w:pPr>
      <w:r>
        <w:rPr>
          <w:rFonts w:ascii="Times New Roman" w:hAnsi="Times New Roman"/>
          <w:color w:val="000000"/>
          <w:sz w:val="24"/>
          <w:u w:val="single"/>
        </w:rPr>
        <w:t>Shareholder Rights Plan</w:t>
      </w:r>
      <w:r>
        <w:rPr>
          <w:rFonts w:ascii="Times New Roman" w:hAnsi="Times New Roman"/>
          <w:color w:val="000000"/>
          <w:sz w:val="24"/>
        </w:rPr>
        <w:t>. No claim will be made or enforced by the Company or, with the consent of the Company, any other Person, that any Purchaser is an “</w:t>
      </w:r>
      <w:r>
        <w:rPr>
          <w:rFonts w:ascii="Times New Roman" w:hAnsi="Times New Roman"/>
          <w:color w:val="000000"/>
          <w:sz w:val="24"/>
          <w:u w:val="single"/>
        </w:rPr>
        <w:t>Acquiring Person</w:t>
      </w:r>
      <w:r>
        <w:rPr>
          <w:color w:val="000000"/>
        </w:rPr>
        <w:t xml:space="preserve">” </w:t>
      </w:r>
      <w:r>
        <w:rPr>
          <w:rFonts w:ascii="Times New Roman" w:hAnsi="Times New Roman"/>
          <w:color w:val="000000"/>
          <w:sz w:val="24"/>
        </w:rPr>
        <w:t>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4.6</w:t>
      </w:r>
    </w:p>
    <w:p>
      <w:pPr>
        <w:pStyle w:val="TextBody"/>
        <w:bidi w:val="0"/>
        <w:spacing w:before="0" w:after="240"/>
        <w:jc w:val="both"/>
        <w:rPr/>
      </w:pPr>
      <w:r>
        <w:rPr>
          <w:rFonts w:ascii="Times New Roman" w:hAnsi="Times New Roman"/>
          <w:color w:val="000000"/>
          <w:sz w:val="24"/>
          <w:u w:val="single"/>
        </w:rPr>
        <w:t>Non-Public Information</w:t>
      </w:r>
      <w:r>
        <w:rPr>
          <w:rFonts w:ascii="Times New Roman" w:hAnsi="Times New Roman"/>
          <w:color w:val="000000"/>
          <w:sz w:val="24"/>
        </w:rPr>
        <w:t xml:space="preserve">. Except with respect to the material terms and conditions of the transactions contemplated by the Transaction Documents and the Information, 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in writing to the receipt of such information and agreed in writing with the Company to keep such information confidential. The Company understands and confirms that each Purchaser shall be relying on the foregoing covenant in effecting transactions in securities of the Company. To the extent that the Company, any of its Subsidiaries, or any of their respective officers, directors, agents, employees or Affiliates </w:t>
      </w:r>
    </w:p>
    <w:p>
      <w:pPr>
        <w:pStyle w:val="TextBody"/>
        <w:bidi w:val="0"/>
        <w:jc w:val="center"/>
        <w:rPr>
          <w:rFonts w:ascii="Times New Roman" w:hAnsi="Times New Roman"/>
          <w:color w:val="000000"/>
          <w:sz w:val="24"/>
        </w:rPr>
      </w:pPr>
      <w:r>
        <w:rPr>
          <w:rFonts w:ascii="Times New Roman" w:hAnsi="Times New Roman"/>
          <w:color w:val="000000"/>
          <w:sz w:val="24"/>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delivers any material, non-public information to a Purchaser without such Purchaser’s consent, the Company hereby covenants and agrees that such Purchaser shall not have any duty of confidentiality to the Company, any of its Subsidiaries, or any of their respective officers, directors, employees, Affiliates or agents, including, without limitation, the Placement Agent, or a duty to the Company, any of its Subsidiaries or any of their respective officers, directors, employees, Affiliates or agents, including, without limitation, the Placement Agent,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with the delivery of such notice file such notice with the Commission pursuant to a Current Report on Form 8-K. The Company understands and confirms that each Purchaser shall be relying on the foregoing covenant in effecting transactions in securities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4.7</w:t>
      </w:r>
    </w:p>
    <w:p>
      <w:pPr>
        <w:pStyle w:val="TextBody"/>
        <w:bidi w:val="0"/>
        <w:spacing w:before="0" w:after="240"/>
        <w:jc w:val="both"/>
        <w:rPr/>
      </w:pPr>
      <w:r>
        <w:rPr>
          <w:rFonts w:ascii="Times New Roman" w:hAnsi="Times New Roman"/>
          <w:color w:val="000000"/>
          <w:sz w:val="24"/>
          <w:u w:val="single"/>
        </w:rPr>
        <w:t>Use of Proceeds</w:t>
      </w:r>
      <w:r>
        <w:rPr>
          <w:rFonts w:ascii="Times New Roman" w:hAnsi="Times New Roman"/>
          <w:color w:val="000000"/>
          <w:sz w:val="24"/>
        </w:rPr>
        <w:t xml:space="preserve">. Except as set forth on </w:t>
      </w:r>
      <w:r>
        <w:rPr>
          <w:rFonts w:ascii="Times New Roman" w:hAnsi="Times New Roman"/>
          <w:color w:val="000000"/>
          <w:sz w:val="24"/>
          <w:u w:val="single"/>
        </w:rPr>
        <w:t>Schedule 4.7</w:t>
      </w:r>
      <w:r>
        <w:rPr>
          <w:color w:val="000000"/>
        </w:rPr>
        <w:t xml:space="preserve"> </w:t>
      </w:r>
      <w:r>
        <w:rPr>
          <w:rFonts w:ascii="Times New Roman" w:hAnsi="Times New Roman"/>
          <w:color w:val="000000"/>
          <w:sz w:val="24"/>
        </w:rPr>
        <w:t>attached hereto, the Company shall use the net proceeds from the sale of the Securities hereunder for general corporate and working capital purposes and shall not use such proceeds: (a) for the satisfaction of any portion of the Company’s debt (other than payment of trade payables in the ordinary course of the Company’s business and prior practices), (b) for the redemption of any Common Stock or Common Stock Equivalents, (c) for the settlement of any outstanding litigation or (d) in violation of FCPA or OFAC regulations.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4.8</w:t>
      </w:r>
    </w:p>
    <w:p>
      <w:pPr>
        <w:pStyle w:val="TextBody"/>
        <w:bidi w:val="0"/>
        <w:spacing w:before="0" w:after="240"/>
        <w:jc w:val="both"/>
        <w:rPr/>
      </w:pPr>
      <w:r>
        <w:rPr>
          <w:rFonts w:ascii="Times New Roman" w:hAnsi="Times New Roman"/>
          <w:color w:val="000000"/>
          <w:sz w:val="24"/>
          <w:u w:val="single"/>
        </w:rPr>
        <w:t>Indemnification of Purchasers</w:t>
      </w:r>
      <w:r>
        <w:rPr>
          <w:rFonts w:ascii="Times New Roman" w:hAnsi="Times New Roman"/>
          <w:color w:val="000000"/>
          <w:sz w:val="24"/>
        </w:rPr>
        <w:t>. Subject to the provisions of this Section 4.8, the Company will indemnify and hold each Purchaser and its directors, officers, shareholders, members, partners, investment managers,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investment managers, or employees (and any other Persons with a functionally equivalent role of a Person holding such titles notwithstanding a lack of such title or any other title) of such controlling persons (each, a “</w:t>
      </w:r>
      <w:r>
        <w:rPr>
          <w:rFonts w:ascii="Times New Roman" w:hAnsi="Times New Roman"/>
          <w:color w:val="000000"/>
          <w:sz w:val="24"/>
          <w:u w:val="single"/>
        </w:rPr>
        <w:t>Purchaser Party</w:t>
      </w:r>
      <w:r>
        <w:rPr>
          <w:color w:val="000000"/>
        </w:rPr>
        <w:t>”</w:t>
      </w:r>
      <w:r>
        <w:rPr>
          <w:rFonts w:ascii="Times New Roman" w:hAnsi="Times New Roman"/>
          <w:color w:val="000000"/>
          <w:sz w:val="24"/>
        </w:rPr>
        <w:t xml:space="preserve">)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or (c) in connection with any registration statement of the Company providing for the resale by the Purchasers of the Securities, the Company will indemnify each Purchaser Party, to the fullest extent permitted by applicable law, from and against any and all losses, claims, damages, liabilities, costs (including, without limitation, reasonable attorneys’ </w:t>
      </w:r>
    </w:p>
    <w:p>
      <w:pPr>
        <w:pStyle w:val="TextBody"/>
        <w:bidi w:val="0"/>
        <w:jc w:val="center"/>
        <w:rPr>
          <w:rFonts w:ascii="Times New Roman" w:hAnsi="Times New Roman"/>
          <w:color w:val="000000"/>
          <w:sz w:val="24"/>
        </w:rPr>
      </w:pPr>
      <w:r>
        <w:rPr>
          <w:rFonts w:ascii="Times New Roman" w:hAnsi="Times New Roman"/>
          <w:color w:val="000000"/>
          <w:sz w:val="24"/>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fees) and expenses, as incurred, arising out of or relating to (i) any untrue or alleged untrue statement of a material fact contained in such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the light of the circumstances under which they were made) not misleading, except to the extent, but only to the extent, that such untrue statements or omissions are based solely upon information regarding such Purchaser Party furnished in writing to the Company by such Purchaser Party expressly for use therein, or (ii) any violation or alleged violation by the Company of the Securities Act, the Exchange Act or any state securities law, or any rule or regulation thereunder in connection therewith.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(x) the employment thereof has been specifically authorized by the Company in writing, (y) the Company has failed after a reasonable period of time to assume such defense and to employ counsel reasonably acceptable to the Purchaser or (z)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(1) for any settlement by a Purchaser Party effected without the Company’s prior written consent, which shall not be unreasonably withheld or delayed; or (2) to the extent, but only to the extent that a loss, claim, damage or liability is attributable to any Purchaser Party’s breach of any of the representations and warranties of such Purchaser Party in this Agreement as determined by a final, non-appealable judgment of a court of competent jurisdiction. The indemnification required by this Section 4.8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 The Company will not, except with the consent of any Purchaser Party, which consent shall not be unreasonably withheld, conditioned or delayed, consent to entry of any judgment or enter into any settlement with respect to any pending proceeding in respect to which a Purchaser Party is or could have been a party and indemnity could have been sought hereunder by such Purchaser Party, unless such settlement or judgement (i) imposes no liability or obligation on the Purchaser Party, (ii) include an unconditional release from the party bringing such indemnified claims of such Purchaser Party from all liability in respect of or arising out of such claims or proceedings or claims or proceedings that are the subject matter of such proceeding and (iii) does not include any admission of fault, culpability, wrongdoing or malfeasance by or on behalf of the Purchaser Party.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4.9</w:t>
      </w:r>
    </w:p>
    <w:p>
      <w:pPr>
        <w:pStyle w:val="TextBody"/>
        <w:bidi w:val="0"/>
        <w:spacing w:before="0" w:after="240"/>
        <w:jc w:val="both"/>
        <w:rPr/>
      </w:pPr>
      <w:r>
        <w:rPr>
          <w:rFonts w:ascii="Times New Roman" w:hAnsi="Times New Roman"/>
          <w:color w:val="000000"/>
          <w:sz w:val="24"/>
          <w:u w:val="single"/>
        </w:rPr>
        <w:t>Reservation of Common Stock</w:t>
      </w:r>
      <w:r>
        <w:rPr>
          <w:rFonts w:ascii="Times New Roman" w:hAnsi="Times New Roman"/>
          <w:color w:val="000000"/>
          <w:sz w:val="24"/>
        </w:rPr>
        <w:t>. As of the date hereof, the Company has reserved and the Company shall continue to reserve and keep available at all times, free of preemptive rights, a sufficient number of shares of Common Stock for the purpose of enabling the Company to issue Shares and Warrant Shares pursuant to this Agreement.</w:t>
      </w:r>
      <w:r>
        <w:rPr>
          <w:color w:val="000000"/>
          <w:u w:val="single"/>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4.10</w:t>
      </w:r>
    </w:p>
    <w:p>
      <w:pPr>
        <w:pStyle w:val="TextBody"/>
        <w:bidi w:val="0"/>
        <w:spacing w:before="0" w:after="240"/>
        <w:jc w:val="both"/>
        <w:rPr/>
      </w:pPr>
      <w:r>
        <w:rPr>
          <w:rFonts w:ascii="Times New Roman" w:hAnsi="Times New Roman"/>
          <w:color w:val="000000"/>
          <w:sz w:val="24"/>
          <w:u w:val="single"/>
        </w:rPr>
        <w:t>Listing of Common Stock</w:t>
      </w:r>
      <w:r>
        <w:rPr>
          <w:rFonts w:ascii="Times New Roman" w:hAnsi="Times New Roman"/>
          <w:color w:val="000000"/>
          <w:sz w:val="24"/>
        </w:rPr>
        <w:t>. The Company hereby agrees to use best efforts to maintain the listing or quotation of the Common Stock on the Trading Market on which it is currently listed, and prior to the Closing, the Company shall have applied to list or quote all of the Shares and Warrant Shares on such Trading Market and promptly secure the listing of all of the Shares and Warrant Shares on such Trading Market. The Company further agrees, if the Company applies to have the Common Stock traded on any other Trading Market, it will then include in such application all of the Shares and Warrant Shares, and will take such other action as is necessary to cause all of the Shares and Warrant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4.11</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 xml:space="preserve">Subsequent Equity Sales.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From the date hereof until sixty (60) days after the Effective Date (the “</w:t>
      </w:r>
      <w:r>
        <w:rPr>
          <w:rFonts w:ascii="Times New Roman" w:hAnsi="Times New Roman"/>
          <w:color w:val="000000"/>
          <w:sz w:val="24"/>
          <w:u w:val="single"/>
        </w:rPr>
        <w:t>Restricted Period</w:t>
      </w:r>
      <w:r>
        <w:rPr>
          <w:color w:val="000000"/>
        </w:rPr>
        <w:t>”</w:t>
      </w:r>
      <w:r>
        <w:rPr>
          <w:rFonts w:ascii="Times New Roman" w:hAnsi="Times New Roman"/>
          <w:color w:val="000000"/>
          <w:sz w:val="24"/>
        </w:rPr>
        <w:t>), neither the Company nor any Subsidiary shall (i) issue, enter into any agreement to issue or announce the issuance or proposed issuance of any shares of Common Stock or Common Stock Equivalents or (ii) file any registration statement or any amendment or supplement thereto, in each case other than (w) as contemplated pursuant to the Registration Rights Agreement, (x) the filing of a registration statement on Form S-8 in connection with any employee benefit plan, (y) the filing of a shelf registration statement on Form S-3, provided however that no sales pursuant to such shelf registration statement on Form S-3 shall be permitted during the Restricted Period, or (z) the filing of any amendment or supplement to any existing registration statement solely for the purpose of revising any required disclosure in such registration statement and not for the purpose of increasing the offering size pursuant to any such registration statement.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From the date hereof until one hundred eighty (180) days after the Effective Date, the Company shall be prohibited from effecting or entering into an agreement to effect any issuance by the Company or any of its Subsidiaries of Common Stock or Common Stock Equivalents (or a combination of units thereof) involving a Variable Rate Transaction. “</w:t>
      </w:r>
      <w:r>
        <w:rPr>
          <w:rFonts w:ascii="Times New Roman" w:hAnsi="Times New Roman"/>
          <w:color w:val="000000"/>
          <w:sz w:val="24"/>
          <w:u w:val="single"/>
        </w:rPr>
        <w:t>Variable Rate Transaction</w:t>
      </w:r>
      <w:r>
        <w:rPr>
          <w:color w:val="000000"/>
        </w:rPr>
        <w:t xml:space="preserve">” </w:t>
      </w:r>
      <w:r>
        <w:rPr>
          <w:rFonts w:ascii="Times New Roman" w:hAnsi="Times New Roman"/>
          <w:color w:val="000000"/>
          <w:sz w:val="24"/>
        </w:rPr>
        <w:t xml:space="preserve">means a transaction in which the Company (i) issues or sells any debt or equity securities that are convertible into, exchangeable or exercisable for, or include the right to receive, additional shares of Common Stock either (A) at a conversion price, exercise price or exchange rate or other price that is based upon, and/or varies with, the trading prices of or quotations for the shares of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Common Stock (including, without limitation, any “full ratchet” or “weighted average” anti-dilution provisions, but not including any standard anti-dilution protection for any reorganization, recapitalization, non-cash dividend, stock split or other similar transaction </w:t>
      </w:r>
    </w:p>
    <w:p>
      <w:pPr>
        <w:pStyle w:val="TextBody"/>
        <w:bidi w:val="0"/>
        <w:jc w:val="center"/>
        <w:rPr>
          <w:rFonts w:ascii="Times New Roman" w:hAnsi="Times New Roman"/>
          <w:color w:val="000000"/>
          <w:sz w:val="24"/>
        </w:rPr>
      </w:pPr>
      <w:r>
        <w:rPr>
          <w:rFonts w:ascii="Times New Roman" w:hAnsi="Times New Roman"/>
          <w:color w:val="000000"/>
          <w:sz w:val="24"/>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or a “Black-Scholes” put or call right) or (ii) enters into, or effects a transaction under, any agreement, including, but not limited to, an equity line of credit, whereby the Company may issue securities at a future determined price, regardless of whether shares pursuant to such agreement have actually been issued and regardless of whether such agreement is subsequently canceled (other than standard anti-dilution protection for any reorganization, recapitalization, non-cash dividend, stock split or other similar transaction);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the issuance of shares of Common Stock pursuant to the Equity Line and any future “at-the-market offering” shall not be deemed a Variable Rate Transaction. Any Purchaser shall be entitled to obtain injunctive relief against the Company to preclude any such issuance, which remedy shall be in addition to any right to collect damages.</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the foregoing, this Section 4.11 shall not apply in respect of an Exempt Issuance, except that no Variable Rate Transaction shall be an Exempt Issuance.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4.12</w:t>
      </w:r>
    </w:p>
    <w:p>
      <w:pPr>
        <w:pStyle w:val="TextBody"/>
        <w:bidi w:val="0"/>
        <w:spacing w:before="0" w:after="240"/>
        <w:jc w:val="both"/>
        <w:rPr/>
      </w:pPr>
      <w:r>
        <w:rPr>
          <w:rFonts w:ascii="Times New Roman" w:hAnsi="Times New Roman"/>
          <w:color w:val="000000"/>
          <w:sz w:val="24"/>
          <w:u w:val="single"/>
        </w:rPr>
        <w:t>Equal Treatment of Purchasers</w:t>
      </w:r>
      <w:r>
        <w:rPr>
          <w:rFonts w:ascii="Times New Roman" w:hAnsi="Times New Roman"/>
          <w:color w:val="000000"/>
          <w:sz w:val="24"/>
        </w:rPr>
        <w:t>. No consideration (including any modification of any Transaction Document) shall be offered or paid to any Person to amend or consent to a waiver or modification of any provision of the Transaction Documents unless the same consideration is also offered to all of the parties to this Agreement.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 The Company covenants and agrees that, until six (6) months following the Effective Date, if the Company enters into any agreement with any Purchaser relating to the Securities issued pursuant to this Agreement with any terms that are or will be more favorable to such Purchaser than to any other Purchaser (such agreement, the “</w:t>
      </w:r>
      <w:r>
        <w:rPr>
          <w:rFonts w:ascii="Times New Roman" w:hAnsi="Times New Roman"/>
          <w:color w:val="000000"/>
          <w:sz w:val="24"/>
          <w:u w:val="single"/>
        </w:rPr>
        <w:t>Other Agreement</w:t>
      </w:r>
      <w:r>
        <w:rPr>
          <w:color w:val="000000"/>
        </w:rPr>
        <w:t>”</w:t>
      </w:r>
      <w:r>
        <w:rPr>
          <w:rFonts w:ascii="Times New Roman" w:hAnsi="Times New Roman"/>
          <w:color w:val="000000"/>
          <w:sz w:val="24"/>
        </w:rPr>
        <w:t>), then (i) the Company shall provide notice thereof to each other Purchaser that holds Securities at such time promptly following the occurrence of such Other Agreement and (ii) the terms of this Agreement shall be, without any further action by such other Purchaser or the Company, automatically amended and modified in an economically and legally equivalent manner such that such other Purchaser shall receive the benefit of the more favorable terms set forth in the Other Agreement, provided that, upon written notice to the Company at any time such other Purchaser may elect not to accept the benefit of the terms in the Other Agreement, in which event the terms contained in this Agreement shall apply to such other Purchaser as it was in effect immediately prior to such Other Agreement as if such Other Agreement never occurred with respect to such other Purchaser.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4.13</w:t>
      </w:r>
    </w:p>
    <w:p>
      <w:pPr>
        <w:pStyle w:val="TextBody"/>
        <w:bidi w:val="0"/>
        <w:spacing w:before="0" w:after="240"/>
        <w:jc w:val="both"/>
        <w:rPr/>
      </w:pPr>
      <w:r>
        <w:rPr>
          <w:rFonts w:ascii="Times New Roman" w:hAnsi="Times New Roman"/>
          <w:color w:val="000000"/>
          <w:sz w:val="24"/>
          <w:u w:val="single"/>
        </w:rPr>
        <w:t>Certain Transactions and Confidentiality</w:t>
      </w:r>
      <w:r>
        <w:rPr>
          <w:rFonts w:ascii="Times New Roman" w:hAnsi="Times New Roman"/>
          <w:color w:val="000000"/>
          <w:sz w:val="24"/>
        </w:rPr>
        <w:t xml:space="preserve">. Each Purchaser, severally and not jointly with the other Purchasers, covenants that neither it, nor any Person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and the information included in the Disclosure </w:t>
      </w:r>
    </w:p>
    <w:p>
      <w:pPr>
        <w:pStyle w:val="TextBody"/>
        <w:bidi w:val="0"/>
        <w:jc w:val="center"/>
        <w:rPr>
          <w:rFonts w:ascii="Times New Roman" w:hAnsi="Times New Roman"/>
          <w:color w:val="000000"/>
          <w:sz w:val="24"/>
        </w:rPr>
      </w:pPr>
      <w:r>
        <w:rPr>
          <w:rFonts w:ascii="Times New Roman" w:hAnsi="Times New Roman"/>
          <w:color w:val="000000"/>
          <w:sz w:val="24"/>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Schedules (other than as disclosed to its legal and other representatives).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or duty not to trade in the securities of the Company to the Company, any of its Subsidiaries, or any of their respective officers, directors, employees, Affiliates or agent, including , without limitation, the Placement Agent after the issuance of the initial press release as described in Section 4.4. Notwithstanding the foregoing, in the case of a Purchaser that is a multi-managed investment vehicle whereby separate portfolio managers manage separate portions of such Purchaser’s assets, the covenant set forth above shall only apply with respect to the portion of assets managed by the portfolio manager that made the investment decision to purchase the Securities covered by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4.14</w:t>
      </w:r>
    </w:p>
    <w:p>
      <w:pPr>
        <w:pStyle w:val="TextBody"/>
        <w:bidi w:val="0"/>
        <w:spacing w:before="0" w:after="240"/>
        <w:jc w:val="both"/>
        <w:rPr/>
      </w:pPr>
      <w:r>
        <w:rPr>
          <w:rFonts w:ascii="Times New Roman" w:hAnsi="Times New Roman"/>
          <w:color w:val="000000"/>
          <w:sz w:val="24"/>
          <w:u w:val="single"/>
        </w:rPr>
        <w:t>Form D; Blue Sky Filings</w:t>
      </w:r>
      <w:r>
        <w:rPr>
          <w:rFonts w:ascii="Times New Roman" w:hAnsi="Times New Roman"/>
          <w:color w:val="000000"/>
          <w:sz w:val="24"/>
        </w:rPr>
        <w:t>. The Company agrees to timely file a Form D with respect to the Securities as required under Regulation D and to provide a copy thereof, promptly upon request of any Purchaser. The Company shall take such action as the Company shall reasonably determine is necessary in order to obtain an exemption for, or to qualify the Securities for, sale to the Purchasers at the Closing under applicable securities or “Blue Sky” laws of the states of the United States, and shall provide evidence of such actions promptly upon request of any Purchaser.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4.15</w:t>
      </w:r>
    </w:p>
    <w:p>
      <w:pPr>
        <w:pStyle w:val="TextBody"/>
        <w:bidi w:val="0"/>
        <w:spacing w:before="0" w:after="240"/>
        <w:jc w:val="both"/>
        <w:rPr/>
      </w:pPr>
      <w:r>
        <w:rPr>
          <w:rFonts w:ascii="Times New Roman" w:hAnsi="Times New Roman"/>
          <w:color w:val="000000"/>
          <w:sz w:val="24"/>
          <w:u w:val="single"/>
        </w:rPr>
        <w:t>Capital Changes</w:t>
      </w:r>
      <w:r>
        <w:rPr>
          <w:rFonts w:ascii="Times New Roman" w:hAnsi="Times New Roman"/>
          <w:color w:val="000000"/>
          <w:sz w:val="24"/>
        </w:rPr>
        <w:t>. Until the Effective Date, the Company shall not undertake a reverse or forward stock split or reclassification of the Common Stock without the prior written consent of the Purchasers holding a majority in interest of the Securities, other than a reverse stock split that is required, in the good faith determination of the Board of Directors, to maintain the listing of the Common Stock on the Trading Market.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4.16</w:t>
      </w:r>
    </w:p>
    <w:p>
      <w:pPr>
        <w:pStyle w:val="TextBody"/>
        <w:bidi w:val="0"/>
        <w:spacing w:before="0" w:after="240"/>
        <w:jc w:val="both"/>
        <w:rPr/>
      </w:pPr>
      <w:r>
        <w:rPr>
          <w:rFonts w:ascii="Times New Roman" w:hAnsi="Times New Roman"/>
          <w:color w:val="000000"/>
          <w:sz w:val="24"/>
          <w:u w:val="single"/>
        </w:rPr>
        <w:t>Acknowledgment of Dilution</w:t>
      </w:r>
      <w:r>
        <w:rPr>
          <w:rFonts w:ascii="Times New Roman" w:hAnsi="Times New Roman"/>
          <w:color w:val="000000"/>
          <w:sz w:val="24"/>
        </w:rPr>
        <w:t>. The Company acknowledges that the issuance of the Securities may result in dilution of the outstanding shares of Common Stock, which dilution may be substantial under certain market conditions. The Company further acknowledges that its obligations under the Transaction Documents, including, without limitation, its obligation to issue the Shares and Warrant Shares pursuant to the Transaction Documents, are unconditional and absolute and not subject to any right of set off, counterclaim, delay or reduction, regardless of the effect of any such dilution or any claim the Company may have against any Purchaser and regardless of the dilutive effect that such issuance may have on the ownership of the other stockholders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4.17</w:t>
      </w:r>
    </w:p>
    <w:p>
      <w:pPr>
        <w:pStyle w:val="TextBody"/>
        <w:bidi w:val="0"/>
        <w:spacing w:before="0" w:after="240"/>
        <w:jc w:val="both"/>
        <w:rPr/>
      </w:pPr>
      <w:r>
        <w:rPr>
          <w:rFonts w:ascii="Times New Roman" w:hAnsi="Times New Roman"/>
          <w:color w:val="000000"/>
          <w:sz w:val="24"/>
          <w:u w:val="single"/>
        </w:rPr>
        <w:t>Lock-Up Agreements</w:t>
      </w:r>
      <w:r>
        <w:rPr>
          <w:rFonts w:ascii="Times New Roman" w:hAnsi="Times New Roman"/>
          <w:color w:val="000000"/>
          <w:sz w:val="24"/>
        </w:rPr>
        <w:t xml:space="preserve">. The Company shall not amend, modify, waive or terminate any provision of any of the Lock-Up Agreements except to extend the term of the lock-up period and shall enforce the provisions of each Lock-Up Agreement in accordance with its terms. If any party to a Lock-Up Agreement breaches any provision of a Lock-Up Agreement, the Company </w:t>
      </w:r>
    </w:p>
    <w:p>
      <w:pPr>
        <w:pStyle w:val="TextBody"/>
        <w:bidi w:val="0"/>
        <w:jc w:val="center"/>
        <w:rPr>
          <w:rFonts w:ascii="Times New Roman" w:hAnsi="Times New Roman"/>
          <w:color w:val="000000"/>
          <w:sz w:val="24"/>
        </w:rPr>
      </w:pPr>
      <w:r>
        <w:rPr>
          <w:rFonts w:ascii="Times New Roman" w:hAnsi="Times New Roman"/>
          <w:color w:val="000000"/>
          <w:sz w:val="24"/>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shall promptly use its best efforts to seek specific performance of the terms of such Lock-Up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4.18</w:t>
      </w:r>
    </w:p>
    <w:p>
      <w:pPr>
        <w:pStyle w:val="TextBody"/>
        <w:bidi w:val="0"/>
        <w:spacing w:before="0" w:after="240"/>
        <w:jc w:val="both"/>
        <w:rPr/>
      </w:pPr>
      <w:r>
        <w:rPr>
          <w:rFonts w:ascii="Times New Roman" w:hAnsi="Times New Roman"/>
          <w:color w:val="000000"/>
          <w:sz w:val="24"/>
          <w:u w:val="single"/>
        </w:rPr>
        <w:t>Exercise Procedures</w:t>
      </w:r>
      <w:r>
        <w:rPr>
          <w:rFonts w:ascii="Times New Roman" w:hAnsi="Times New Roman"/>
          <w:color w:val="000000"/>
          <w:sz w:val="24"/>
        </w:rPr>
        <w:t>. The form of Notice of Exercise included in the Warrants set forth the totality of the procedures required of the Purchasers in order to exercise the Warrants. No additional legal opinion, other information or instructions shall be required of the Purchasers to exercise their Warrants. Without limiting the preceding sentences, no ink-original Notice of Exercise shall be required, nor shall any medallion guarantee (or other type of guarantee or notarization) of any Notice of Exercise form be required in order to exercise the Warrants. The Company shall honor exercises of the Warrants and shall deliver Warrant Shares in accordance with the terms, conditions and time periods set forth in the Transaction Documents.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4.19</w:t>
      </w:r>
    </w:p>
    <w:p>
      <w:pPr>
        <w:pStyle w:val="TextBody"/>
        <w:bidi w:val="0"/>
        <w:spacing w:before="0" w:after="240"/>
        <w:jc w:val="both"/>
        <w:rPr/>
      </w:pPr>
      <w:r>
        <w:rPr>
          <w:rFonts w:ascii="Times New Roman" w:hAnsi="Times New Roman"/>
          <w:color w:val="000000"/>
          <w:sz w:val="24"/>
          <w:u w:val="single"/>
        </w:rPr>
        <w:t>Participation in Future Financing</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From the date hereof until the date that is one (1) year after the Closing Date, upon any issuance or incurrence, as applicable, by the Company or any of its Subsidiaries of Common Stock, Common Stock Equivalents, preferred stock, Indebtedness or a combination of any of the foregoing (each, a “</w:t>
      </w:r>
      <w:r>
        <w:rPr>
          <w:rFonts w:ascii="Times New Roman" w:hAnsi="Times New Roman"/>
          <w:color w:val="000000"/>
          <w:sz w:val="24"/>
          <w:u w:val="single"/>
        </w:rPr>
        <w:t>Subsequent Financing</w:t>
      </w:r>
      <w:r>
        <w:rPr>
          <w:color w:val="000000"/>
        </w:rPr>
        <w:t>”</w:t>
      </w:r>
      <w:r>
        <w:rPr>
          <w:rFonts w:ascii="Times New Roman" w:hAnsi="Times New Roman"/>
          <w:color w:val="000000"/>
          <w:sz w:val="24"/>
        </w:rPr>
        <w:t>), the Purchasers shall have the right to participate in up to an amount of the Subsequent Financing equal to 30% of the Subsequent Financing (the “</w:t>
      </w:r>
      <w:r>
        <w:rPr>
          <w:rFonts w:ascii="Times New Roman" w:hAnsi="Times New Roman"/>
          <w:color w:val="000000"/>
          <w:sz w:val="24"/>
          <w:u w:val="single"/>
        </w:rPr>
        <w:t>Participation Maximum</w:t>
      </w:r>
      <w:r>
        <w:rPr>
          <w:color w:val="000000"/>
        </w:rPr>
        <w:t>”</w:t>
      </w:r>
      <w:r>
        <w:rPr>
          <w:rFonts w:ascii="Times New Roman" w:hAnsi="Times New Roman"/>
          <w:color w:val="000000"/>
          <w:sz w:val="24"/>
        </w:rPr>
        <w:t xml:space="preserve">) on the same terms, conditions and price provided for in the Subsequent Financing.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No later than five (5) Trading Days prior to the expected time of pricing of the Subsequent Financing, the Company shall deliver to each Purchaser a written notice of its intention to effect a Subsequent Financing (“</w:t>
      </w:r>
      <w:r>
        <w:rPr>
          <w:rFonts w:ascii="Times New Roman" w:hAnsi="Times New Roman"/>
          <w:color w:val="000000"/>
          <w:sz w:val="24"/>
          <w:u w:val="single"/>
        </w:rPr>
        <w:t>Pre-Notice</w:t>
      </w:r>
      <w:r>
        <w:rPr>
          <w:color w:val="000000"/>
        </w:rPr>
        <w:t>”</w:t>
      </w:r>
      <w:r>
        <w:rPr>
          <w:rFonts w:ascii="Times New Roman" w:hAnsi="Times New Roman"/>
          <w:color w:val="000000"/>
          <w:sz w:val="24"/>
        </w:rPr>
        <w:t>), which Pre-Notice shall ask such Purchaser if it wants to review the details of such financing (such additional notice, a “</w:t>
      </w:r>
      <w:r>
        <w:rPr>
          <w:rFonts w:ascii="Times New Roman" w:hAnsi="Times New Roman"/>
          <w:color w:val="000000"/>
          <w:sz w:val="24"/>
          <w:u w:val="single"/>
        </w:rPr>
        <w:t>Subsequent Financing Notice</w:t>
      </w:r>
      <w:r>
        <w:rPr>
          <w:color w:val="000000"/>
        </w:rPr>
        <w:t>”</w:t>
      </w:r>
      <w:r>
        <w:rPr>
          <w:rFonts w:ascii="Times New Roman" w:hAnsi="Times New Roman"/>
          <w:color w:val="000000"/>
          <w:sz w:val="24"/>
        </w:rPr>
        <w:t>). Upon the request of a Purchaser, and only upon a request by such Purchaser, for a Subsequent Financing Notice, the Company shall promptly, but no later than one (1) Trading Day after such request, deliver a Subsequent Financing Notice to such Purchaser. The Subsequent Financing Notice shall describe in reasonable detail the proposed terms of such Subsequent Financing, the amount of proceeds intended to be raised thereunder and the Person or Persons through or with whom such Subsequent Financing is proposed to be effected and shall include a term sheet and transaction documents relating thereto as an attachment, which information the Purchaser hereby agrees to keep confidential subject to clause (h) of this Section 4.19.</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Purchaser desiring to participate in such Subsequent Financing must provide written notice to the Company by not later than 5:30 p.m. (New York City time) on the third (3rd) Trading Day after all of the Purchasers have received the Pre-Notice that such Purchaser is willing to participate in the Subsequent Financing, the amount of such Purchaser’s participation, and representing and warranting that such Purchaser has such funds ready, willing, and available for investment on the terms set forth in the Subsequent Financing Notice. If the Company receives no such notice from a Purchaser as of such third (3rd) Trading Day, such Purchaser shall be deemed to have notified the Company that it does not elect to participate.</w:t>
      </w:r>
    </w:p>
    <w:p>
      <w:pPr>
        <w:pStyle w:val="TextBody"/>
        <w:bidi w:val="0"/>
        <w:jc w:val="center"/>
        <w:rPr>
          <w:rFonts w:ascii="Times New Roman" w:hAnsi="Times New Roman"/>
          <w:color w:val="000000"/>
          <w:sz w:val="24"/>
        </w:rPr>
      </w:pPr>
      <w:r>
        <w:rPr>
          <w:rFonts w:ascii="Times New Roman" w:hAnsi="Times New Roman"/>
          <w:color w:val="000000"/>
          <w:sz w:val="24"/>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by 5:30 p.m. (New York City time) on the third (3rd) Trading Day after all of the Purchasers have received the Pre-Notice, notifications by the Purchasers of their willingness to participate in the Subsequent Financing (or to cause their designees to participate) is, in the aggregate, less than the total amount of the Subsequent Financing, then the Company may effect the remaining portion of such Subsequent Financing on the terms and with the Persons set forth in the Subsequent Financing Notice.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by 5:30 p.m. (New York City time) on the third (3rd) Trading Day after all of the Purchasers have received the Pre-Notice, the Company receives responses to a Subsequent Financing Notice from Purchasers seeking to purchase more than the aggregate amount of the Participation Maximum, each such Purchaser shall have the right to purchase its Pro Rata Portion (as defined below) of the Participation Maximum. “Pro Rata Portion” means the ratio of (x) the Subscription Amount of Securities purchased on the Closing Date by a Purchaser participating under this Section 4.19 and (y) the sum of the aggregate Subscription Amounts of Securities purchased on the Closing Date by all Purchasers participating under this Section.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must provide the Purchasers with a second Subsequent Financing Notice, and the Purchasers will again have the right of participation set forth above in this Section 4.19, if the terms of the Subsequent Financing change from those in the initial Subsequent Financing Notice or if the Subsequent Financing subject to the initial Subsequent Financing Notice is not consummated for any reason on the terms set forth in such Subsequent Financing Notice within five (5) Trading Days after the date of the initial Subsequent Financing Notice, unless the Subsequent Financing is abandoned.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and each Purchaser agree that if any Purchaser elects to participate in the Subsequent Financing, the transaction documents related to the Subsequent Financing shall not include any term or provision whereby such Purchaser shall be required to agree to any restrictions on trading as to any of the Securities purchased hereunder or be required to consent to any amendment to or termination of, or grant any waiver, release or the like under or in connection with, this Agreement, without the prior written consent of such Purchaser. In addition, the Company and the Purchasers agree that, in connection with a Subsequent Financing, the transaction documents related to the Subsequent Financing shall include a requirement for the Company to issue a widely disseminated press release by 9:30 am (New York City time) on the Trading Day of execution of the transaction documents in such Subsequent Financing (or, if the date of execution is not a Trading Day or if the transaction documents are executed after 9:30 am (New York City time) on a Trading Day, on the immediately following Trading Day) that discloses the material terms of the transactions contemplated by the transaction documents in such Subsequent Financing.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Notwithstanding anything to the contrary in this Section 4.19 and unless otherwise agreed to by such Purchaser, the Company shall either confirm in writing to such Purchaser that the transaction with respect to the Subsequent Financing has been abandoned or shall publicly disclose its intention to issue the securities or incur the indebtedness in the Subsequent Financing, in either case in such a manner such that such Purchaser will not be in possession of any material, non-public information, by the fifth </w:t>
      </w:r>
    </w:p>
    <w:p>
      <w:pPr>
        <w:pStyle w:val="TextBody"/>
        <w:bidi w:val="0"/>
        <w:jc w:val="center"/>
        <w:rPr>
          <w:rFonts w:ascii="Times New Roman" w:hAnsi="Times New Roman"/>
          <w:color w:val="000000"/>
          <w:sz w:val="24"/>
        </w:rPr>
      </w:pPr>
      <w:r>
        <w:rPr>
          <w:rFonts w:ascii="Times New Roman" w:hAnsi="Times New Roman"/>
          <w:color w:val="000000"/>
          <w:sz w:val="24"/>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(5th) Business Day following delivery of the Subsequent Financing Notice. If by such fifth (5th) Business Day, no public disclosure regarding a transaction with respect to the Subsequent Financing has been made, and no notice regarding the abandonment of such transaction has been received by such Purchaser, such transaction shall be deemed to have been abandoned and such Purchaser shall not be deemed to be in possession of any material, non-public information with respect to the Company or any of its Subsidiaries.</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the foregoing, this Section 4.19 shall not apply in respect of (i) an Exempt Issuance, or (ii) any offering, sale or issuance in connection with any “at the market offering” that is or may be established by the Company. Notwithstanding the foregoing, the notice time periods set forth in this Section 4.19 shall not apply in respect of an overnight or intraday Subsequent Financing and instead the Company shall only be obligated to provide such notice to the Purchasers as it determines is reasonably practicable and following receipt of such notice the Purchasers shall thereupon have one (1) Business Day to indicate their interest with respect to an overnight Subsequent Financing and one (1) Business Day to indicate their interest with respect to an intraday Subsequent Financing.</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ARTICLE V.</w:t>
      </w:r>
    </w:p>
    <w:p>
      <w:pPr>
        <w:pStyle w:val="TextBody"/>
        <w:bidi w:val="0"/>
        <w:spacing w:before="0" w:after="240"/>
        <w:jc w:val="center"/>
        <w:rPr/>
      </w:pPr>
      <w:r>
        <w:rPr>
          <w:rFonts w:ascii="Times New Roman" w:hAnsi="Times New Roman"/>
          <w:color w:val="000000"/>
          <w:sz w:val="24"/>
        </w:rPr>
        <w:br/>
      </w:r>
      <w:r>
        <w:rPr>
          <w:rFonts w:ascii="Times New Roman" w:hAnsi="Times New Roman"/>
          <w:b/>
          <w:color w:val="000000"/>
          <w:sz w:val="24"/>
        </w:rPr>
        <w:t>MISCELLANEOUS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5.1</w:t>
      </w:r>
    </w:p>
    <w:p>
      <w:pPr>
        <w:pStyle w:val="TextBody"/>
        <w:bidi w:val="0"/>
        <w:spacing w:before="0" w:after="240"/>
        <w:jc w:val="both"/>
        <w:rPr/>
      </w:pPr>
      <w:r>
        <w:rPr>
          <w:rFonts w:ascii="Times New Roman" w:hAnsi="Times New Roman"/>
          <w:color w:val="000000"/>
          <w:sz w:val="24"/>
          <w:u w:val="single"/>
        </w:rPr>
        <w:t>Termination</w:t>
      </w:r>
      <w:r>
        <w:rPr>
          <w:rFonts w:ascii="Times New Roman" w:hAnsi="Times New Roman"/>
          <w:color w:val="000000"/>
          <w:sz w:val="24"/>
        </w:rPr>
        <w:t>. This Agreement may be terminated by any Purchaser, as to such Purchaser’s obligations hereunder only and without any effect whatsoever on the obligations between the Company and the other Purchasers, by written notice to the other parties, if the Closing has not been consummated on or before the fifth (5</w:t>
      </w:r>
      <w:r>
        <w:rPr>
          <w:rFonts w:ascii="Times New Roman" w:hAnsi="Times New Roman"/>
          <w:color w:val="000000"/>
          <w:sz w:val="16"/>
        </w:rPr>
        <w:t>th</w:t>
      </w:r>
      <w:r>
        <w:rPr>
          <w:rFonts w:ascii="Times New Roman" w:hAnsi="Times New Roman"/>
          <w:color w:val="000000"/>
          <w:sz w:val="24"/>
        </w:rPr>
        <w:t xml:space="preserve">) Trading Day following the date hereof;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no such termination will affect the right of any party to sue for any breach by any other party (or parties).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5.2</w:t>
      </w:r>
    </w:p>
    <w:p>
      <w:pPr>
        <w:pStyle w:val="TextBody"/>
        <w:bidi w:val="0"/>
        <w:spacing w:before="0" w:after="240"/>
        <w:jc w:val="both"/>
        <w:rPr/>
      </w:pPr>
      <w:r>
        <w:rPr>
          <w:rFonts w:ascii="Times New Roman" w:hAnsi="Times New Roman"/>
          <w:color w:val="000000"/>
          <w:sz w:val="24"/>
          <w:u w:val="single"/>
        </w:rPr>
        <w:t>Fees and Expenses</w:t>
      </w:r>
      <w:r>
        <w:rPr>
          <w:rFonts w:ascii="Times New Roman" w:hAnsi="Times New Roman"/>
          <w:color w:val="000000"/>
          <w:sz w:val="24"/>
        </w:rPr>
        <w:t>. The Company shall be responsible for the payment of any placement agent’s fees, financial advisory fees, or broker’s commissions (other than for Persons engaged by any Purchaser) relating to or arising out of the transactions contemplated hereby. The Company shall pay, and hold each Purchaser harmless against, any liability, loss or expense (including, without limitation, reasonable attorney’s fees and out of pocket expenses) arising in connection with any claim relating to any such payment.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Securities to the Purchasers.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5.3</w:t>
      </w:r>
    </w:p>
    <w:p>
      <w:pPr>
        <w:pStyle w:val="TextBody"/>
        <w:bidi w:val="0"/>
        <w:spacing w:before="0" w:after="240"/>
        <w:jc w:val="both"/>
        <w:rPr/>
      </w:pPr>
      <w:r>
        <w:rPr>
          <w:rFonts w:ascii="Times New Roman" w:hAnsi="Times New Roman"/>
          <w:color w:val="000000"/>
          <w:sz w:val="24"/>
          <w:u w:val="single"/>
        </w:rPr>
        <w:t>Entire Agreement</w:t>
      </w:r>
      <w:r>
        <w:rPr>
          <w:rFonts w:ascii="Times New Roman" w:hAnsi="Times New Roman"/>
          <w:color w:val="000000"/>
          <w:sz w:val="24"/>
        </w:rPr>
        <w:t>. The Transaction Documents, together with the exhibits and schedules thereto,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pStyle w:val="TextBody"/>
        <w:bidi w:val="0"/>
        <w:jc w:val="center"/>
        <w:rPr>
          <w:rFonts w:ascii="Times New Roman" w:hAnsi="Times New Roman"/>
          <w:color w:val="000000"/>
          <w:sz w:val="24"/>
        </w:rPr>
      </w:pPr>
      <w:r>
        <w:rPr>
          <w:rFonts w:ascii="Times New Roman" w:hAnsi="Times New Roman"/>
          <w:color w:val="000000"/>
          <w:sz w:val="24"/>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5.4</w:t>
      </w:r>
    </w:p>
    <w:p>
      <w:pPr>
        <w:pStyle w:val="TextBody"/>
        <w:bidi w:val="0"/>
        <w:spacing w:before="0" w:after="240"/>
        <w:jc w:val="left"/>
        <w:rPr/>
      </w:pPr>
      <w:r>
        <w:rPr>
          <w:rFonts w:ascii="Times New Roman" w:hAnsi="Times New Roman"/>
          <w:color w:val="000000"/>
          <w:sz w:val="24"/>
          <w:u w:val="single"/>
        </w:rPr>
        <w:t>Notices</w:t>
      </w:r>
      <w:r>
        <w:rPr>
          <w:rFonts w:ascii="Times New Roman" w:hAnsi="Times New Roman"/>
          <w:color w:val="000000"/>
          <w:sz w:val="24"/>
        </w:rPr>
        <w:t>. Any and all notices or other communications or deliveries required or permitted to be provided hereunder shall be in writing and shall be deemed given and effective on the earliest of: (a) the time of transmission, if such notice or communication is delivered via email attachment at the email address as set forth on the signature pages attached hereto at or prior to 5:30 p.m. (New York City time) on a Trading Day, (b) the next Trading Day after the time of transmission, if such notice or communication is delivered via email attachment at the email address as set forth on the signature pages attached hereto on a day that is not a Trading Day or later than 5:30 p.m. (New York City time) on any Trading Day, (c) the second (2</w:t>
      </w:r>
      <w:r>
        <w:rPr>
          <w:rFonts w:ascii="Times New Roman" w:hAnsi="Times New Roman"/>
          <w:color w:val="000000"/>
          <w:sz w:val="16"/>
        </w:rPr>
        <w:t>nd</w:t>
      </w:r>
      <w:r>
        <w:rPr>
          <w:rFonts w:ascii="Times New Roman" w:hAnsi="Times New Roman"/>
          <w:color w:val="000000"/>
          <w:sz w:val="24"/>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 To the extent that any notice provided pursuant to any Transaction Document constitutes, or contains, material, non-public information regarding the Company or any Subsidiaries, the Company shall as promptly as practicable (but in any event within one business day) file or furnish such information with the Commission pursuant to a Report on Form 8-K.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5.5</w:t>
      </w:r>
    </w:p>
    <w:p>
      <w:pPr>
        <w:pStyle w:val="TextBody"/>
        <w:bidi w:val="0"/>
        <w:spacing w:before="0" w:after="240"/>
        <w:jc w:val="both"/>
        <w:rPr/>
      </w:pPr>
      <w:r>
        <w:rPr>
          <w:rFonts w:ascii="Times New Roman" w:hAnsi="Times New Roman"/>
          <w:color w:val="000000"/>
          <w:sz w:val="24"/>
          <w:u w:val="single"/>
        </w:rPr>
        <w:t>Amendments; Waivers</w:t>
      </w:r>
      <w:r>
        <w:rPr>
          <w:rFonts w:ascii="Times New Roman" w:hAnsi="Times New Roman"/>
          <w:color w:val="000000"/>
          <w:sz w:val="24"/>
        </w:rPr>
        <w:t>. No provision of this Agreement may be waived, modified, supplemented or amended except in a written instrument signed, in the case of an amendment, by the Company and Purchasers which purchased at least 67% in interest of the Shares and Warrant Shares based on the initial Subscription Amounts (and exercised Warrants) hereunder (or, prior to the Closing, the Company and each Purchaser) or, in the case of a waiver, by the party against whom enforcement of any such waived provision is sought, provided that if any amendment, modification or waiver disproportionately and adversely impacts a Purchaser (or multiple Purchasers), the consent of such disproportionately impacted Purchaser (or at least 50.1% in interest of such multiple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amendment effected in accordance with this Section 5.5 shall be binding upon each Purchaser and holder of Securities and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5.6</w:t>
      </w:r>
    </w:p>
    <w:p>
      <w:pPr>
        <w:pStyle w:val="TextBody"/>
        <w:bidi w:val="0"/>
        <w:spacing w:before="0" w:after="240"/>
        <w:jc w:val="both"/>
        <w:rPr/>
      </w:pPr>
      <w:r>
        <w:rPr>
          <w:rFonts w:ascii="Times New Roman" w:hAnsi="Times New Roman"/>
          <w:color w:val="000000"/>
          <w:sz w:val="24"/>
          <w:u w:val="single"/>
        </w:rPr>
        <w:t>Headings</w:t>
      </w:r>
      <w:r>
        <w:rPr>
          <w:rFonts w:ascii="Times New Roman" w:hAnsi="Times New Roman"/>
          <w:color w:val="000000"/>
          <w:sz w:val="24"/>
        </w:rPr>
        <w:t>. The headings herein are for convenience only, do not constitute a part of this Agreement and shall not be deemed to limit or affect any of the provisions 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5.7</w:t>
      </w:r>
    </w:p>
    <w:p>
      <w:pPr>
        <w:pStyle w:val="TextBody"/>
        <w:bidi w:val="0"/>
        <w:spacing w:before="0" w:after="240"/>
        <w:jc w:val="both"/>
        <w:rPr/>
      </w:pPr>
      <w:r>
        <w:rPr>
          <w:rFonts w:ascii="Times New Roman" w:hAnsi="Times New Roman"/>
          <w:color w:val="000000"/>
          <w:sz w:val="24"/>
          <w:u w:val="single"/>
        </w:rPr>
        <w:t>Successors and Assigns</w:t>
      </w:r>
      <w:r>
        <w:rPr>
          <w:rFonts w:ascii="Times New Roman" w:hAnsi="Times New Roman"/>
          <w:color w:val="000000"/>
          <w:sz w:val="24"/>
        </w:rPr>
        <w:t xml:space="preserve">.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 Nothing in this Agreement, express or implied, is intended to confer upon any party other than the parties hereto or their respective permitted successors and assigns any rights, remedies, obligations, or liabilities under or by reason of this Agreement, except as expressly provided in this Agreement. </w:t>
      </w:r>
    </w:p>
    <w:p>
      <w:pPr>
        <w:pStyle w:val="TextBody"/>
        <w:bidi w:val="0"/>
        <w:jc w:val="center"/>
        <w:rPr>
          <w:rFonts w:ascii="Times New Roman" w:hAnsi="Times New Roman"/>
          <w:color w:val="000000"/>
          <w:sz w:val="24"/>
        </w:rPr>
      </w:pPr>
      <w:r>
        <w:rPr>
          <w:rFonts w:ascii="Times New Roman" w:hAnsi="Times New Roman"/>
          <w:color w:val="000000"/>
          <w:sz w:val="24"/>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5.8</w:t>
      </w:r>
    </w:p>
    <w:p>
      <w:pPr>
        <w:pStyle w:val="TextBody"/>
        <w:bidi w:val="0"/>
        <w:spacing w:before="0" w:after="240"/>
        <w:jc w:val="both"/>
        <w:rPr/>
      </w:pPr>
      <w:r>
        <w:rPr>
          <w:rFonts w:ascii="Times New Roman" w:hAnsi="Times New Roman"/>
          <w:color w:val="000000"/>
          <w:sz w:val="24"/>
          <w:u w:val="single"/>
        </w:rPr>
        <w:t>No Third-Party Beneficiaries</w:t>
      </w:r>
      <w:r>
        <w:rPr>
          <w:rFonts w:ascii="Times New Roman" w:hAnsi="Times New Roman"/>
          <w:color w:val="000000"/>
          <w:sz w:val="24"/>
        </w:rPr>
        <w:t>. The Placement Agent shall be the third party beneficiary of the representations, warranties, and covenants of the Company in this Agreement and the representations, warranties, and covenants of the Purchasers in this Agreement. This Agreement is intended for the benefit of the parties hereto and their respective successors and permitted assigns and is not for the benefit of, nor may any provision hereof be enforced by, any other Person, except as otherwise set forth in Section 4.8 and this Section 5.8.</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5.9</w:t>
      </w:r>
    </w:p>
    <w:p>
      <w:pPr>
        <w:pStyle w:val="TextBody"/>
        <w:bidi w:val="0"/>
        <w:spacing w:before="0" w:after="240"/>
        <w:jc w:val="both"/>
        <w:rPr/>
      </w:pPr>
      <w:r>
        <w:rPr>
          <w:rFonts w:ascii="Times New Roman" w:hAnsi="Times New Roman"/>
          <w:color w:val="000000"/>
          <w:sz w:val="24"/>
          <w:u w:val="single"/>
        </w:rPr>
        <w:t>Governing Law</w:t>
      </w:r>
      <w:r>
        <w:rPr>
          <w:rFonts w:ascii="Times New Roman" w:hAnsi="Times New Roman"/>
          <w:color w:val="000000"/>
          <w:sz w:val="24"/>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4.8, the prevailing party in such Action or Proceeding shall be reimbursed by the non-prevailing party for its reasonable attorneys’ fees and other costs and expenses incurred with the investigation, preparation and prosecution of such Action or Proceeding.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5.10</w:t>
      </w:r>
    </w:p>
    <w:p>
      <w:pPr>
        <w:pStyle w:val="TextBody"/>
        <w:bidi w:val="0"/>
        <w:spacing w:before="0" w:after="240"/>
        <w:jc w:val="both"/>
        <w:rPr/>
      </w:pPr>
      <w:r>
        <w:rPr>
          <w:rFonts w:ascii="Times New Roman" w:hAnsi="Times New Roman"/>
          <w:color w:val="000000"/>
          <w:sz w:val="24"/>
          <w:u w:val="single"/>
        </w:rPr>
        <w:t>Survival</w:t>
      </w:r>
      <w:r>
        <w:rPr>
          <w:rFonts w:ascii="Times New Roman" w:hAnsi="Times New Roman"/>
          <w:color w:val="000000"/>
          <w:sz w:val="24"/>
        </w:rPr>
        <w:t>. The representations and warranties contained herein shall survive the Closing and the delivery of the Securities.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5.11</w:t>
      </w:r>
    </w:p>
    <w:p>
      <w:pPr>
        <w:pStyle w:val="TextBody"/>
        <w:bidi w:val="0"/>
        <w:spacing w:before="0" w:after="240"/>
        <w:jc w:val="both"/>
        <w:rPr/>
      </w:pPr>
      <w:r>
        <w:rPr>
          <w:rFonts w:ascii="Times New Roman" w:hAnsi="Times New Roman"/>
          <w:color w:val="000000"/>
          <w:sz w:val="24"/>
          <w:u w:val="single"/>
        </w:rPr>
        <w:t>Execution</w:t>
      </w:r>
      <w:r>
        <w:rPr>
          <w:rFonts w:ascii="Times New Roman" w:hAnsi="Times New Roman"/>
          <w:color w:val="000000"/>
          <w:sz w:val="24"/>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e-mail delivery of a “.pdf” format data file, such signature shall create a valid and binding obligation of the party executing (or on whose behalf such signature is executed) with the same force and effect as if such “.pdf” signature page were an original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5.12</w:t>
      </w:r>
    </w:p>
    <w:p>
      <w:pPr>
        <w:pStyle w:val="TextBody"/>
        <w:bidi w:val="0"/>
        <w:spacing w:before="0" w:after="240"/>
        <w:jc w:val="both"/>
        <w:rPr/>
      </w:pPr>
      <w:r>
        <w:rPr>
          <w:rFonts w:ascii="Times New Roman" w:hAnsi="Times New Roman"/>
          <w:color w:val="000000"/>
          <w:sz w:val="24"/>
          <w:u w:val="single"/>
        </w:rPr>
        <w:t>Severability</w:t>
      </w:r>
      <w:r>
        <w:rPr>
          <w:rFonts w:ascii="Times New Roman" w:hAnsi="Times New Roman"/>
          <w:color w:val="000000"/>
          <w:sz w:val="24"/>
        </w:rPr>
        <w:t xml:space="preserve">. If any term, provision, covenant or restriction of this Agreement is held by a court of competent jurisdiction to be invalid, illegal, void or unenforceable, the remainder of the terms, provisions, covenants and restrictions set forth herein shall remain in full force and </w:t>
      </w:r>
    </w:p>
    <w:p>
      <w:pPr>
        <w:pStyle w:val="TextBody"/>
        <w:bidi w:val="0"/>
        <w:jc w:val="center"/>
        <w:rPr>
          <w:rFonts w:ascii="Times New Roman" w:hAnsi="Times New Roman"/>
          <w:color w:val="000000"/>
          <w:sz w:val="24"/>
        </w:rPr>
      </w:pPr>
      <w:r>
        <w:rPr>
          <w:rFonts w:ascii="Times New Roman" w:hAnsi="Times New Roman"/>
          <w:color w:val="000000"/>
          <w:sz w:val="24"/>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5.13</w:t>
      </w:r>
    </w:p>
    <w:p>
      <w:pPr>
        <w:pStyle w:val="TextBody"/>
        <w:bidi w:val="0"/>
        <w:spacing w:before="0" w:after="240"/>
        <w:jc w:val="both"/>
        <w:rPr/>
      </w:pPr>
      <w:r>
        <w:rPr>
          <w:rFonts w:ascii="Times New Roman" w:hAnsi="Times New Roman"/>
          <w:color w:val="000000"/>
          <w:sz w:val="24"/>
          <w:u w:val="single"/>
        </w:rPr>
        <w:t>Rescission and Withdrawal Right</w:t>
      </w:r>
      <w:r>
        <w:rPr>
          <w:rFonts w:ascii="Times New Roman" w:hAnsi="Times New Roman"/>
          <w:color w:val="000000"/>
          <w:sz w:val="24"/>
        </w:rPr>
        <w:t xml:space="preserve">.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in the case of a rescission of an exercise of a Warrant, the applicable Purchaser shall be required to return any shares of Common Stock subject to any such rescinded exercise notice concurrently with the return to such Purchaser of the aggregate exercise price paid to the Company for such shares and the restoration of such Purchaser’s right to acquire such shares pursuant to such Purchaser’s Warrant (including, issuance of a replacement warrant certificate evidencing such restored right).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5.14</w:t>
      </w:r>
    </w:p>
    <w:p>
      <w:pPr>
        <w:pStyle w:val="TextBody"/>
        <w:bidi w:val="0"/>
        <w:spacing w:before="0" w:after="240"/>
        <w:jc w:val="both"/>
        <w:rPr/>
      </w:pPr>
      <w:r>
        <w:rPr>
          <w:rFonts w:ascii="Times New Roman" w:hAnsi="Times New Roman"/>
          <w:color w:val="000000"/>
          <w:sz w:val="24"/>
          <w:u w:val="single"/>
        </w:rPr>
        <w:t>Replacement of Securities</w:t>
      </w:r>
      <w:r>
        <w:rPr>
          <w:rFonts w:ascii="Times New Roman" w:hAnsi="Times New Roman"/>
          <w:color w:val="000000"/>
          <w:sz w:val="24"/>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5.15</w:t>
      </w:r>
    </w:p>
    <w:p>
      <w:pPr>
        <w:pStyle w:val="TextBody"/>
        <w:bidi w:val="0"/>
        <w:spacing w:before="0" w:after="240"/>
        <w:jc w:val="both"/>
        <w:rPr/>
      </w:pPr>
      <w:r>
        <w:rPr>
          <w:rFonts w:ascii="Times New Roman" w:hAnsi="Times New Roman"/>
          <w:color w:val="000000"/>
          <w:sz w:val="24"/>
          <w:u w:val="single"/>
        </w:rPr>
        <w:t>Remedies</w:t>
      </w:r>
      <w:r>
        <w:rPr>
          <w:rFonts w:ascii="Times New Roman" w:hAnsi="Times New Roman"/>
          <w:color w:val="000000"/>
          <w:sz w:val="24"/>
        </w:rPr>
        <w:t>. In addition to being entitled to exercise all rights provided herein or granted by law, including recovery of damages, each of the Purchasers and the Company will be entitled to specific performance under the Transaction Documents, injunctive or other equitable relief, without the necessity of (a) proving the monetary damages as an adequate remedy or (b) the posting of a bond.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5.16</w:t>
      </w:r>
    </w:p>
    <w:p>
      <w:pPr>
        <w:pStyle w:val="TextBody"/>
        <w:bidi w:val="0"/>
        <w:spacing w:before="0" w:after="240"/>
        <w:jc w:val="both"/>
        <w:rPr/>
      </w:pPr>
      <w:r>
        <w:rPr>
          <w:rFonts w:ascii="Times New Roman" w:hAnsi="Times New Roman"/>
          <w:color w:val="000000"/>
          <w:sz w:val="24"/>
          <w:u w:val="single"/>
        </w:rPr>
        <w:t>Payment Set Aside</w:t>
      </w:r>
      <w:r>
        <w:rPr>
          <w:rFonts w:ascii="Times New Roman" w:hAnsi="Times New Roman"/>
          <w:color w:val="000000"/>
          <w:sz w:val="24"/>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pStyle w:val="TextBody"/>
        <w:bidi w:val="0"/>
        <w:jc w:val="center"/>
        <w:rPr>
          <w:rFonts w:ascii="Times New Roman" w:hAnsi="Times New Roman"/>
          <w:color w:val="000000"/>
          <w:sz w:val="24"/>
        </w:rPr>
      </w:pPr>
      <w:r>
        <w:rPr>
          <w:rFonts w:ascii="Times New Roman" w:hAnsi="Times New Roman"/>
          <w:color w:val="000000"/>
          <w:sz w:val="24"/>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5.17</w:t>
      </w:r>
    </w:p>
    <w:p>
      <w:pPr>
        <w:pStyle w:val="TextBody"/>
        <w:bidi w:val="0"/>
        <w:spacing w:before="0" w:after="240"/>
        <w:jc w:val="both"/>
        <w:rPr/>
      </w:pPr>
      <w:r>
        <w:rPr>
          <w:rFonts w:ascii="Times New Roman" w:hAnsi="Times New Roman"/>
          <w:color w:val="000000"/>
          <w:sz w:val="24"/>
          <w:u w:val="single"/>
        </w:rPr>
        <w:t>Independent Nature of Purchasers’ Obligations and Rights</w:t>
      </w:r>
      <w:r>
        <w:rPr>
          <w:rFonts w:ascii="Times New Roman" w:hAnsi="Times New Roman"/>
          <w:color w:val="000000"/>
          <w:sz w:val="24"/>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The decision of each Purchaser to purchase Securities pursuant to the Transaction Documents has been made by such Purchaser independently of any other Purchaser.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(including a “group” within the meaning of Section 13(d)(3) of the Exchange Act) with respect to such obligations or the transactions contemplated by the Transaction Documents. Each Purchaser acknowledges that no other Purchaser has acted as agent for such Purchaser in connection with making its investment hereunder and that no Purchaser will be acting as agent of such Purchaser in connection with monitoring its investment in the Securities or enforcing its rights under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For reasons of administrative convenience only, each Purchaser and its respective counsel have chosen to communicate with the Company through EGS. EGS does not represent any of the Purchasers and only represents the Placement Agent.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5.18</w:t>
      </w:r>
    </w:p>
    <w:p>
      <w:pPr>
        <w:pStyle w:val="TextBody"/>
        <w:bidi w:val="0"/>
        <w:spacing w:before="0" w:after="240"/>
        <w:jc w:val="both"/>
        <w:rPr/>
      </w:pPr>
      <w:r>
        <w:rPr>
          <w:rFonts w:ascii="Times New Roman" w:hAnsi="Times New Roman"/>
          <w:color w:val="000000"/>
          <w:sz w:val="24"/>
          <w:u w:val="single"/>
        </w:rPr>
        <w:t>Liquidated Damages</w:t>
      </w:r>
      <w:r>
        <w:rPr>
          <w:rFonts w:ascii="Times New Roman" w:hAnsi="Times New Roman"/>
          <w:color w:val="000000"/>
          <w:sz w:val="24"/>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5.19</w:t>
      </w:r>
    </w:p>
    <w:p>
      <w:pPr>
        <w:pStyle w:val="TextBody"/>
        <w:bidi w:val="0"/>
        <w:spacing w:before="0" w:after="240"/>
        <w:jc w:val="both"/>
        <w:rPr/>
      </w:pPr>
      <w:r>
        <w:rPr>
          <w:rFonts w:ascii="Times New Roman" w:hAnsi="Times New Roman"/>
          <w:color w:val="000000"/>
          <w:sz w:val="24"/>
          <w:u w:val="single"/>
        </w:rPr>
        <w:t>Saturdays, Sundays, Holidays, etc.</w:t>
      </w:r>
      <w:r>
        <w:rPr>
          <w:color w:val="000000"/>
        </w:rPr>
        <w:t xml:space="preserve"> </w:t>
      </w:r>
      <w:r>
        <w:rPr>
          <w:rFonts w:ascii="Times New Roman" w:hAnsi="Times New Roman"/>
          <w:color w:val="000000"/>
          <w:sz w:val="24"/>
        </w:rPr>
        <w:t>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5.20</w:t>
      </w:r>
    </w:p>
    <w:p>
      <w:pPr>
        <w:pStyle w:val="TextBody"/>
        <w:bidi w:val="0"/>
        <w:spacing w:before="0" w:after="240"/>
        <w:jc w:val="both"/>
        <w:rPr/>
      </w:pPr>
      <w:r>
        <w:rPr>
          <w:rFonts w:ascii="Times New Roman" w:hAnsi="Times New Roman"/>
          <w:color w:val="000000"/>
          <w:sz w:val="24"/>
          <w:u w:val="single"/>
        </w:rPr>
        <w:t>Construction</w:t>
      </w:r>
      <w:r>
        <w:rPr>
          <w:rFonts w:ascii="Times New Roman" w:hAnsi="Times New Roman"/>
          <w:color w:val="000000"/>
          <w:sz w:val="24"/>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pStyle w:val="TextBody"/>
        <w:bidi w:val="0"/>
        <w:jc w:val="center"/>
        <w:rPr>
          <w:rFonts w:ascii="Times New Roman" w:hAnsi="Times New Roman"/>
          <w:color w:val="000000"/>
          <w:sz w:val="24"/>
        </w:rPr>
      </w:pPr>
      <w:r>
        <w:rPr>
          <w:rFonts w:ascii="Times New Roman" w:hAnsi="Times New Roman"/>
          <w:color w:val="000000"/>
          <w:sz w:val="24"/>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5.21</w:t>
      </w:r>
    </w:p>
    <w:p>
      <w:pPr>
        <w:pStyle w:val="TextBody"/>
        <w:bidi w:val="0"/>
        <w:spacing w:before="0" w:after="240"/>
        <w:jc w:val="both"/>
        <w:rPr/>
      </w:pPr>
      <w:r>
        <w:rPr>
          <w:rFonts w:ascii="Times New Roman" w:hAnsi="Times New Roman"/>
          <w:b/>
          <w:color w:val="000000"/>
          <w:sz w:val="24"/>
          <w:u w:val="single"/>
        </w:rPr>
        <w:t>WAIVER OF JURY TRIAL</w:t>
      </w:r>
      <w:r>
        <w:rPr>
          <w:rFonts w:ascii="Times New Roman" w:hAnsi="Times New Roman"/>
          <w:b/>
          <w:color w:val="000000"/>
          <w:sz w:val="24"/>
        </w:rPr>
        <w:t xml:space="preserve">. </w:t>
      </w:r>
      <w:r>
        <w:rPr>
          <w:rFonts w:ascii="Times New Roman" w:hAnsi="Times New Roman"/>
          <w:b/>
          <w:color w:val="000000"/>
          <w:sz w:val="24"/>
          <w:u w:val="single"/>
        </w:rPr>
        <w:t xml:space="preserve">IN ANY ACTION, SUIT, OR PROCEEDING IN ANY JURISDICTION BROUGHT BY ANY PARTY AGAINST ANY OTHER PARTY, THE PARTIES EACH KNOWINGLY AND INTENTIONALLY, TO THE GREATEST EXTENT PERMITTED BY APPLICABLE LAW, HEREBY ABSOLUTELY, UNCONDITIONALLY, IRREVOCABLY AND EXPRESSLY WAIVES FOREVER TRIAL BY JURY. </w:t>
      </w:r>
    </w:p>
    <w:p>
      <w:pPr>
        <w:pStyle w:val="Heading2"/>
        <w:bidi w:val="0"/>
        <w:spacing w:before="0" w:after="240"/>
        <w:jc w:val="both"/>
        <w:rPr/>
      </w:pPr>
      <w:r>
        <w:rPr/>
        <w:t> </w:t>
      </w:r>
    </w:p>
    <w:p>
      <w:pPr>
        <w:pStyle w:val="TextBody"/>
        <w:bidi w:val="0"/>
        <w:spacing w:before="0" w:after="240"/>
        <w:jc w:val="center"/>
        <w:rPr>
          <w:rFonts w:ascii="Times New Roman" w:hAnsi="Times New Roman"/>
          <w:i/>
          <w:color w:val="000000"/>
          <w:sz w:val="24"/>
        </w:rPr>
      </w:pPr>
      <w:r>
        <w:rPr>
          <w:rFonts w:ascii="Times New Roman" w:hAnsi="Times New Roman"/>
          <w:i/>
          <w:color w:val="000000"/>
          <w:sz w:val="24"/>
        </w:rPr>
        <w:t>(Signature Pages Follow)</w:t>
      </w:r>
    </w:p>
    <w:p>
      <w:pPr>
        <w:pStyle w:val="TextBody"/>
        <w:bidi w:val="0"/>
        <w:spacing w:before="0" w:after="24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WITNESS WHEREOF, the parties hereto have caused this Securities Purchase Agreement to be duly executed by their respective authorized signatories as of the date first indicated above.</w:t>
      </w:r>
    </w:p>
    <w:p>
      <w:pPr>
        <w:pStyle w:val="TextBody"/>
        <w:bidi w:val="0"/>
        <w:jc w:val="left"/>
        <w:rPr/>
      </w:pPr>
      <w:r>
        <w:rPr/>
        <w:t> </w:t>
      </w:r>
    </w:p>
    <w:tbl>
      <w:tblPr>
        <w:tblW w:w="8927" w:type="dxa"/>
        <w:jc w:val="left"/>
        <w:tblInd w:w="0" w:type="dxa"/>
        <w:tblLayout w:type="fixed"/>
        <w:tblCellMar>
          <w:top w:w="28" w:type="dxa"/>
          <w:left w:w="28" w:type="dxa"/>
          <w:bottom w:w="28" w:type="dxa"/>
          <w:right w:w="28" w:type="dxa"/>
        </w:tblCellMar>
      </w:tblPr>
      <w:tblGrid>
        <w:gridCol w:w="4816"/>
        <w:gridCol w:w="4111"/>
      </w:tblGrid>
      <w:tr>
        <w:trPr/>
        <w:tc>
          <w:tcPr>
            <w:tcW w:w="4816" w:type="dxa"/>
            <w:tcBorders/>
            <w:vAlign w:val="center"/>
          </w:tcPr>
          <w:p>
            <w:pPr>
              <w:pStyle w:val="TableContents"/>
              <w:bidi w:val="0"/>
              <w:spacing w:before="0" w:after="283"/>
              <w:jc w:val="left"/>
              <w:rPr>
                <w:sz w:val="4"/>
                <w:szCs w:val="4"/>
              </w:rPr>
            </w:pPr>
            <w:r>
              <w:rPr>
                <w:sz w:val="4"/>
                <w:szCs w:val="4"/>
              </w:rPr>
            </w:r>
          </w:p>
        </w:tc>
        <w:tc>
          <w:tcPr>
            <w:tcW w:w="4111" w:type="dxa"/>
            <w:tcBorders/>
            <w:vAlign w:val="center"/>
          </w:tcPr>
          <w:p>
            <w:pPr>
              <w:pStyle w:val="TableContents"/>
              <w:bidi w:val="0"/>
              <w:spacing w:before="0" w:after="283"/>
              <w:jc w:val="left"/>
              <w:rPr>
                <w:sz w:val="4"/>
                <w:szCs w:val="4"/>
              </w:rPr>
            </w:pPr>
            <w:r>
              <w:rPr>
                <w:sz w:val="4"/>
                <w:szCs w:val="4"/>
              </w:rPr>
            </w:r>
          </w:p>
        </w:tc>
      </w:tr>
      <w:tr>
        <w:trPr/>
        <w:tc>
          <w:tcPr>
            <w:tcW w:w="4816" w:type="dxa"/>
            <w:tcBorders/>
            <w:tcMar>
              <w:top w:w="0" w:type="dxa"/>
              <w:left w:w="0" w:type="dxa"/>
              <w:bottom w:w="0" w:type="dxa"/>
              <w:right w:w="0" w:type="dxa"/>
            </w:tcMar>
            <w:vAlign w:val="center"/>
          </w:tcPr>
          <w:p>
            <w:pPr>
              <w:pStyle w:val="TableContents"/>
              <w:bidi w:val="0"/>
              <w:jc w:val="left"/>
              <w:rPr>
                <w:rFonts w:ascii="Times New Roman" w:hAnsi="Times New Roman"/>
                <w:b/>
                <w:caps/>
                <w:color w:val="000000"/>
                <w:sz w:val="24"/>
              </w:rPr>
            </w:pPr>
            <w:r>
              <w:rPr>
                <w:rFonts w:ascii="Times New Roman" w:hAnsi="Times New Roman"/>
                <w:b/>
                <w:caps/>
                <w:color w:val="000000"/>
                <w:sz w:val="24"/>
              </w:rPr>
              <w:t>blaize holdings, inc.</w:t>
            </w:r>
          </w:p>
          <w:p>
            <w:pPr>
              <w:pStyle w:val="TableContents"/>
              <w:bidi w:val="0"/>
              <w:jc w:val="left"/>
              <w:rPr/>
            </w:pPr>
            <w:r>
              <w:rPr/>
              <w:t> </w:t>
            </w:r>
          </w:p>
          <w:p>
            <w:pPr>
              <w:pStyle w:val="TableContents"/>
              <w:bidi w:val="0"/>
              <w:spacing w:before="0" w:after="283"/>
              <w:jc w:val="left"/>
              <w:rPr/>
            </w:pPr>
            <w:r>
              <w:rPr/>
              <w:t> </w:t>
            </w:r>
          </w:p>
        </w:tc>
        <w:tc>
          <w:tcPr>
            <w:tcW w:w="41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Address for Notice:</w:t>
            </w:r>
          </w:p>
        </w:tc>
      </w:tr>
      <w:tr>
        <w:trPr/>
        <w:tc>
          <w:tcPr>
            <w:tcW w:w="4816" w:type="dxa"/>
            <w:tcBorders/>
            <w:tcMar>
              <w:top w:w="0" w:type="dxa"/>
              <w:left w:w="0" w:type="dxa"/>
              <w:bottom w:w="0" w:type="dxa"/>
              <w:right w:w="0" w:type="dxa"/>
            </w:tcMar>
            <w:vAlign w:val="center"/>
          </w:tcPr>
          <w:p>
            <w:pPr>
              <w:pStyle w:val="TableContents"/>
              <w:bidi w:val="0"/>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/s/ Harminder Sehmi</w:t>
            </w:r>
          </w:p>
          <w:p>
            <w:pPr>
              <w:pStyle w:val="TableContents"/>
              <w:bidi w:val="0"/>
              <w:jc w:val="left"/>
              <w:rPr>
                <w:color w:val="000000"/>
              </w:rPr>
            </w:pPr>
            <w:r>
              <w:rPr>
                <w:color w:val="000000"/>
              </w:rPr>
              <w:t>     </w:t>
            </w:r>
            <w:r>
              <w:rPr>
                <w:rFonts w:ascii="Times New Roman" w:hAnsi="Times New Roman"/>
                <w:color w:val="000000"/>
                <w:sz w:val="24"/>
              </w:rPr>
              <w:t>Name: Harminder Sehmi</w:t>
            </w:r>
          </w:p>
          <w:p>
            <w:pPr>
              <w:pStyle w:val="TableContents"/>
              <w:bidi w:val="0"/>
              <w:jc w:val="left"/>
              <w:rPr>
                <w:color w:val="000000"/>
              </w:rPr>
            </w:pPr>
            <w:r>
              <w:rPr>
                <w:color w:val="000000"/>
              </w:rPr>
              <w:t>     </w:t>
            </w:r>
            <w:r>
              <w:rPr>
                <w:rFonts w:ascii="Times New Roman" w:hAnsi="Times New Roman"/>
                <w:color w:val="000000"/>
                <w:sz w:val="24"/>
              </w:rPr>
              <w:t>Title: Chief Financial Officer</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With a copy to (which shall not constitute notice):</w:t>
            </w:r>
          </w:p>
        </w:tc>
        <w:tc>
          <w:tcPr>
            <w:tcW w:w="411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4659 Golden Foothill Parkway, Suite 206</w:t>
            </w:r>
          </w:p>
          <w:p>
            <w:pPr>
              <w:pStyle w:val="TableContents"/>
              <w:bidi w:val="0"/>
              <w:jc w:val="left"/>
              <w:rPr>
                <w:rFonts w:ascii="Times New Roman" w:hAnsi="Times New Roman"/>
                <w:color w:val="000000"/>
                <w:sz w:val="24"/>
              </w:rPr>
            </w:pPr>
            <w:r>
              <w:rPr>
                <w:rFonts w:ascii="Times New Roman" w:hAnsi="Times New Roman"/>
                <w:color w:val="000000"/>
                <w:sz w:val="24"/>
              </w:rPr>
              <w:t>El Dorado Hills, California 95762</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Email: ir@blaize.com</w:t>
            </w:r>
          </w:p>
        </w:tc>
      </w:tr>
      <w:tr>
        <w:trPr/>
        <w:tc>
          <w:tcPr>
            <w:tcW w:w="4816"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rFonts w:ascii="Times New Roman" w:hAnsi="Times New Roman"/>
                <w:color w:val="000000"/>
                <w:sz w:val="24"/>
              </w:rPr>
            </w:pPr>
            <w:r>
              <w:rPr>
                <w:rFonts w:ascii="Times New Roman" w:hAnsi="Times New Roman"/>
                <w:color w:val="000000"/>
                <w:sz w:val="24"/>
              </w:rPr>
              <w:t>Jonathan Zimmerman</w:t>
            </w:r>
          </w:p>
          <w:p>
            <w:pPr>
              <w:pStyle w:val="TableContents"/>
              <w:bidi w:val="0"/>
              <w:jc w:val="left"/>
              <w:rPr>
                <w:rFonts w:ascii="Times New Roman" w:hAnsi="Times New Roman"/>
                <w:color w:val="000000"/>
                <w:sz w:val="24"/>
              </w:rPr>
            </w:pPr>
            <w:r>
              <w:rPr>
                <w:rFonts w:ascii="Times New Roman" w:hAnsi="Times New Roman"/>
                <w:color w:val="000000"/>
                <w:sz w:val="24"/>
              </w:rPr>
              <w:t>Charles Lange</w:t>
            </w:r>
          </w:p>
          <w:p>
            <w:pPr>
              <w:pStyle w:val="TableContents"/>
              <w:bidi w:val="0"/>
              <w:jc w:val="left"/>
              <w:rPr>
                <w:rFonts w:ascii="Times New Roman" w:hAnsi="Times New Roman"/>
                <w:color w:val="000000"/>
                <w:sz w:val="24"/>
              </w:rPr>
            </w:pPr>
            <w:r>
              <w:rPr>
                <w:rFonts w:ascii="Times New Roman" w:hAnsi="Times New Roman"/>
                <w:color w:val="000000"/>
                <w:sz w:val="24"/>
              </w:rPr>
              <w:t>Faegre Drinker Biddle &amp; Reath LLP</w:t>
            </w:r>
          </w:p>
          <w:p>
            <w:pPr>
              <w:pStyle w:val="TableContents"/>
              <w:bidi w:val="0"/>
              <w:jc w:val="left"/>
              <w:rPr>
                <w:rFonts w:ascii="Times New Roman" w:hAnsi="Times New Roman"/>
                <w:color w:val="000000"/>
                <w:sz w:val="24"/>
              </w:rPr>
            </w:pPr>
            <w:r>
              <w:rPr>
                <w:rFonts w:ascii="Times New Roman" w:hAnsi="Times New Roman"/>
                <w:color w:val="000000"/>
                <w:sz w:val="24"/>
              </w:rPr>
              <w:t>2200 Wells Fargo Center 90 S. 7th Street</w:t>
            </w:r>
          </w:p>
          <w:p>
            <w:pPr>
              <w:pStyle w:val="TableContents"/>
              <w:bidi w:val="0"/>
              <w:jc w:val="left"/>
              <w:rPr>
                <w:rFonts w:ascii="Times New Roman" w:hAnsi="Times New Roman"/>
                <w:color w:val="000000"/>
                <w:sz w:val="24"/>
              </w:rPr>
            </w:pPr>
            <w:r>
              <w:rPr>
                <w:rFonts w:ascii="Times New Roman" w:hAnsi="Times New Roman"/>
                <w:color w:val="000000"/>
                <w:sz w:val="24"/>
              </w:rPr>
              <w:t>Minneapolis, Minnesota 55402</w:t>
            </w:r>
          </w:p>
          <w:p>
            <w:pPr>
              <w:pStyle w:val="TableContents"/>
              <w:bidi w:val="0"/>
              <w:jc w:val="left"/>
              <w:rPr>
                <w:rFonts w:ascii="Times New Roman" w:hAnsi="Times New Roman"/>
                <w:color w:val="000000"/>
                <w:sz w:val="24"/>
              </w:rPr>
            </w:pPr>
            <w:r>
              <w:rPr>
                <w:rFonts w:ascii="Times New Roman" w:hAnsi="Times New Roman"/>
                <w:color w:val="000000"/>
                <w:sz w:val="24"/>
              </w:rPr>
              <w:t>jon.zimmerman@faegredrinker.com</w:t>
            </w:r>
          </w:p>
          <w:p>
            <w:pPr>
              <w:pStyle w:val="TableContents"/>
              <w:bidi w:val="0"/>
              <w:jc w:val="left"/>
              <w:rPr>
                <w:rFonts w:ascii="Times New Roman" w:hAnsi="Times New Roman"/>
                <w:color w:val="000000"/>
                <w:sz w:val="24"/>
              </w:rPr>
            </w:pPr>
            <w:r>
              <w:rPr>
                <w:rFonts w:ascii="Times New Roman" w:hAnsi="Times New Roman"/>
                <w:color w:val="000000"/>
                <w:sz w:val="24"/>
              </w:rPr>
              <w:t>Charles.lange@faegredrinker.com</w:t>
            </w:r>
          </w:p>
          <w:p>
            <w:pPr>
              <w:pStyle w:val="TableContents"/>
              <w:bidi w:val="0"/>
              <w:spacing w:before="0" w:after="283"/>
              <w:jc w:val="left"/>
              <w:rPr/>
            </w:pPr>
            <w:r>
              <w:rPr/>
              <w:t> </w:t>
            </w:r>
          </w:p>
        </w:tc>
        <w:tc>
          <w:tcPr>
            <w:tcW w:w="411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[REMAINDER OF PAGE INTENTIONALLY LEFT BLANK</w:t>
      </w:r>
    </w:p>
    <w:p>
      <w:pPr>
        <w:pStyle w:val="TextBody"/>
        <w:bidi w:val="0"/>
        <w:jc w:val="center"/>
        <w:rPr>
          <w:rFonts w:ascii="Times New Roman" w:hAnsi="Times New Roman"/>
          <w:color w:val="000000"/>
          <w:sz w:val="24"/>
        </w:rPr>
      </w:pPr>
      <w:r>
        <w:rPr>
          <w:rFonts w:ascii="Times New Roman" w:hAnsi="Times New Roman"/>
          <w:color w:val="000000"/>
          <w:sz w:val="24"/>
        </w:rPr>
        <w:t>SIGNATURE PAGE FOR PURCHASER FOLLOWS]</w:t>
      </w:r>
    </w:p>
    <w:p>
      <w:pPr>
        <w:pStyle w:val="TextBody"/>
        <w:bidi w:val="0"/>
        <w:jc w:val="center"/>
        <w:rPr>
          <w:rFonts w:ascii="Arial" w:hAnsi="Arial"/>
          <w:color w:val="000000"/>
          <w:sz w:val="20"/>
        </w:rPr>
      </w:pPr>
      <w:r>
        <w:rPr>
          <w:rFonts w:ascii="Arial" w:hAnsi="Arial"/>
          <w:color w:val="000000"/>
          <w:sz w:val="20"/>
        </w:rPr>
        <w:t>[Signature Page to SPA]</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4"/>
        </w:rPr>
        <w:t xml:space="preserve">[PURCHASER SIGNATURE PAGES TO </w:t>
      </w:r>
      <w:r>
        <w:rPr>
          <w:rFonts w:ascii="Times New Roman" w:hAnsi="Times New Roman"/>
          <w:caps/>
          <w:color w:val="000000"/>
          <w:sz w:val="24"/>
        </w:rPr>
        <w:t>BZAI</w:t>
      </w:r>
      <w:r>
        <w:rPr>
          <w:rFonts w:ascii="Times New Roman" w:hAnsi="Times New Roman"/>
          <w:color w:val="000000"/>
          <w:sz w:val="20"/>
        </w:rPr>
        <w:t xml:space="preserve"> </w:t>
      </w:r>
      <w:r>
        <w:rPr>
          <w:rFonts w:ascii="Times New Roman" w:hAnsi="Times New Roman"/>
          <w:color w:val="000000"/>
          <w:sz w:val="24"/>
        </w:rPr>
        <w:t>SECURITIES PURCHASE AGREEMENT]</w:t>
      </w:r>
    </w:p>
    <w:p>
      <w:pPr>
        <w:pStyle w:val="TextBody"/>
        <w:bidi w:val="0"/>
        <w:jc w:val="left"/>
        <w:rPr/>
      </w:pPr>
      <w:r>
        <w:rPr/>
        <w:t> </w:t>
      </w:r>
    </w:p>
    <w:p>
      <w:pPr>
        <w:pStyle w:val="TextBody"/>
        <w:bidi w:val="0"/>
        <w:spacing w:before="0" w:after="480"/>
        <w:jc w:val="both"/>
        <w:rPr>
          <w:rFonts w:ascii="Times New Roman" w:hAnsi="Times New Roman"/>
          <w:color w:val="000000"/>
          <w:sz w:val="24"/>
        </w:rPr>
      </w:pPr>
      <w:r>
        <w:rPr>
          <w:rFonts w:ascii="Times New Roman" w:hAnsi="Times New Roman"/>
          <w:color w:val="000000"/>
          <w:sz w:val="24"/>
        </w:rPr>
        <w:t>IN WITNESS WHEREOF, the undersigned have caused this Securities Purchase Agreement to be duly executed by their respective authorized signatories as of the date first indicated above.</w:t>
      </w:r>
    </w:p>
    <w:p>
      <w:pPr>
        <w:pStyle w:val="TextBody"/>
        <w:bidi w:val="0"/>
        <w:jc w:val="both"/>
        <w:rPr>
          <w:rFonts w:ascii="Times New Roman" w:hAnsi="Times New Roman"/>
          <w:sz w:val="20"/>
        </w:rPr>
      </w:pPr>
      <w:r>
        <w:rPr>
          <w:rFonts w:ascii="Times New Roman" w:hAnsi="Times New Roman"/>
          <w:color w:val="000000"/>
          <w:sz w:val="24"/>
        </w:rPr>
        <w:t xml:space="preserve">Name of Purchaser: </w:t>
      </w:r>
      <w:r>
        <w:rPr>
          <w:rFonts w:ascii="Times New Roman" w:hAnsi="Times New Roman"/>
          <w:color w:val="000000"/>
          <w:sz w:val="24"/>
          <w:u w:val="single"/>
        </w:rPr>
        <w:t>Polar Long/Short Master Fund</w:t>
      </w:r>
    </w:p>
    <w:p>
      <w:pPr>
        <w:pStyle w:val="TextBody"/>
        <w:bidi w:val="0"/>
        <w:jc w:val="both"/>
        <w:rPr>
          <w:rFonts w:ascii="Times New Roman" w:hAnsi="Times New Roman"/>
          <w:sz w:val="20"/>
        </w:rPr>
      </w:pPr>
      <w:r>
        <w:rPr>
          <w:rFonts w:ascii="Times New Roman" w:hAnsi="Times New Roman"/>
          <w:i/>
          <w:color w:val="000000"/>
          <w:sz w:val="24"/>
        </w:rPr>
        <w:t>Signature of Authorized Signatory of Purchaser</w:t>
      </w:r>
      <w:r>
        <w:rPr>
          <w:rFonts w:ascii="Times New Roman" w:hAnsi="Times New Roman"/>
          <w:color w:val="000000"/>
          <w:sz w:val="24"/>
        </w:rPr>
        <w:t xml:space="preserve">: </w:t>
      </w:r>
      <w:r>
        <w:rPr>
          <w:rFonts w:ascii="Times New Roman" w:hAnsi="Times New Roman"/>
          <w:color w:val="000000"/>
          <w:sz w:val="24"/>
          <w:u w:val="single"/>
        </w:rPr>
        <w:t>/s/ Andrew Ma /s/ Suraj Rammohan</w:t>
      </w:r>
    </w:p>
    <w:p>
      <w:pPr>
        <w:pStyle w:val="TextBody"/>
        <w:bidi w:val="0"/>
        <w:jc w:val="both"/>
        <w:rPr>
          <w:rFonts w:ascii="Times New Roman" w:hAnsi="Times New Roman"/>
          <w:sz w:val="20"/>
        </w:rPr>
      </w:pPr>
      <w:r>
        <w:rPr>
          <w:rFonts w:ascii="Times New Roman" w:hAnsi="Times New Roman"/>
          <w:color w:val="000000"/>
          <w:sz w:val="24"/>
        </w:rPr>
        <w:t xml:space="preserve">Name of Authorized Signatory: </w:t>
      </w:r>
      <w:r>
        <w:rPr>
          <w:rFonts w:ascii="Times New Roman" w:hAnsi="Times New Roman"/>
          <w:color w:val="000000"/>
          <w:sz w:val="24"/>
          <w:u w:val="single"/>
        </w:rPr>
        <w:t>Andrew Ma / Suraj Rammohan</w:t>
      </w:r>
    </w:p>
    <w:p>
      <w:pPr>
        <w:pStyle w:val="TextBody"/>
        <w:bidi w:val="0"/>
        <w:jc w:val="both"/>
        <w:rPr>
          <w:rFonts w:ascii="Times New Roman" w:hAnsi="Times New Roman"/>
          <w:sz w:val="20"/>
        </w:rPr>
      </w:pPr>
      <w:r>
        <w:rPr>
          <w:rFonts w:ascii="Times New Roman" w:hAnsi="Times New Roman"/>
          <w:color w:val="000000"/>
          <w:sz w:val="24"/>
        </w:rPr>
        <w:t xml:space="preserve">Title of Authorized Signatory: </w:t>
      </w:r>
      <w:r>
        <w:rPr>
          <w:rFonts w:ascii="Times New Roman" w:hAnsi="Times New Roman"/>
          <w:color w:val="000000"/>
          <w:sz w:val="24"/>
          <w:u w:val="single"/>
        </w:rPr>
        <w:t>CCO / Director, Legal Polar Asset Management Partners Inc. as Investment Advisor to Polar Long/Short Master Fund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Email Address of Authorized Signatory: </w:t>
      </w:r>
      <w:r>
        <w:rPr>
          <w:rFonts w:ascii="Times New Roman" w:hAnsi="Times New Roman"/>
          <w:color w:val="000000"/>
          <w:sz w:val="24"/>
          <w:u w:val="single"/>
        </w:rPr>
        <w:t>ama@polaramp.com / srammohan@polaramp.com</w:t>
      </w:r>
    </w:p>
    <w:p>
      <w:pPr>
        <w:pStyle w:val="TextBody"/>
        <w:bidi w:val="0"/>
        <w:jc w:val="left"/>
        <w:rPr>
          <w:rFonts w:ascii="Times New Roman" w:hAnsi="Times New Roman"/>
          <w:color w:val="000000"/>
          <w:sz w:val="24"/>
        </w:rPr>
      </w:pPr>
      <w:r>
        <w:rPr>
          <w:rFonts w:ascii="Times New Roman" w:hAnsi="Times New Roman"/>
          <w:color w:val="000000"/>
          <w:sz w:val="24"/>
        </w:rPr>
        <w:t>Address for Notice to Purchaser:</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c/o Polar Asset Management Partners Inc. 16 York Street, Suite 2900, Toronto, Ontario M5J 0E6, Canada</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Address for Delivery of Securities to Purchaser (if not same as address for notice):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Subscription Amount: </w:t>
      </w:r>
      <w:r>
        <w:rPr>
          <w:rFonts w:ascii="Times New Roman" w:hAnsi="Times New Roman"/>
          <w:color w:val="000000"/>
          <w:sz w:val="24"/>
          <w:u w:val="single"/>
        </w:rPr>
        <w:t>$5,000,000</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Shares: </w:t>
      </w:r>
      <w:r>
        <w:rPr>
          <w:rFonts w:ascii="Times New Roman" w:hAnsi="Times New Roman"/>
          <w:color w:val="000000"/>
          <w:sz w:val="24"/>
          <w:u w:val="single"/>
        </w:rPr>
        <w:t>1,562,500</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Warrant Shares: </w:t>
      </w:r>
      <w:r>
        <w:rPr>
          <w:rFonts w:ascii="Times New Roman" w:hAnsi="Times New Roman"/>
          <w:color w:val="000000"/>
          <w:sz w:val="24"/>
          <w:u w:val="single"/>
        </w:rPr>
        <w:t>1,562,500</w:t>
      </w:r>
      <w:r>
        <w:rPr>
          <w:rFonts w:ascii="Times New Roman" w:hAnsi="Times New Roman"/>
          <w:color w:val="000000"/>
          <w:sz w:val="20"/>
        </w:rPr>
        <w:t xml:space="preserve"> </w:t>
      </w:r>
      <w:r>
        <w:rPr>
          <w:rFonts w:ascii="Times New Roman" w:hAnsi="Times New Roman"/>
          <w:color w:val="000000"/>
          <w:sz w:val="24"/>
        </w:rPr>
        <w:t xml:space="preserve">Beneficial Ownership Blocker </w:t>
      </w:r>
      <w:r>
        <w:rPr>
          <w:rFonts w:ascii="Times New Roman" w:hAnsi="Times New Roman"/>
          <w:color w:val="000000"/>
          <w:sz w:val="20"/>
        </w:rPr>
        <w:t xml:space="preserve"> </w:t>
      </w:r>
      <w:r>
        <w:rPr>
          <w:rFonts w:ascii="Times New Roman" w:hAnsi="Times New Roman"/>
          <w:color w:val="000000"/>
          <w:sz w:val="24"/>
        </w:rPr>
        <w:t xml:space="preserve">4.99% or </w:t>
      </w:r>
      <w:r>
        <w:rPr>
          <w:rFonts w:ascii="Times New Roman" w:hAnsi="Times New Roman"/>
          <w:color w:val="000000"/>
          <w:sz w:val="20"/>
        </w:rPr>
        <w:t xml:space="preserve"> </w:t>
      </w:r>
      <w:r>
        <w:rPr>
          <w:rFonts w:ascii="Times New Roman" w:hAnsi="Times New Roman"/>
          <w:color w:val="000000"/>
          <w:sz w:val="24"/>
        </w:rPr>
        <w:t>9.99%</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EIN Number: </w:t>
      </w:r>
      <w:r>
        <w:rPr>
          <w:rFonts w:ascii="Times New Roman" w:hAnsi="Times New Roman"/>
          <w:color w:val="000000"/>
          <w:sz w:val="24"/>
          <w:u w:val="single"/>
        </w:rPr>
        <w:t>98-1333442</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[SIGNATURE PAGES CONTINUE]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4"/>
        </w:rPr>
        <w:t xml:space="preserve">[PURCHASER SIGNATURE PAGES TO </w:t>
      </w:r>
      <w:r>
        <w:rPr>
          <w:rFonts w:ascii="Times New Roman" w:hAnsi="Times New Roman"/>
          <w:caps/>
          <w:color w:val="000000"/>
          <w:sz w:val="24"/>
        </w:rPr>
        <w:t>BZAI</w:t>
      </w:r>
      <w:r>
        <w:rPr>
          <w:rFonts w:ascii="Times New Roman" w:hAnsi="Times New Roman"/>
          <w:color w:val="000000"/>
          <w:sz w:val="20"/>
        </w:rPr>
        <w:t xml:space="preserve"> </w:t>
      </w:r>
      <w:r>
        <w:rPr>
          <w:rFonts w:ascii="Times New Roman" w:hAnsi="Times New Roman"/>
          <w:color w:val="000000"/>
          <w:sz w:val="24"/>
        </w:rPr>
        <w:t>SECURITIES PURCHASE AGREEMENT]</w:t>
      </w:r>
    </w:p>
    <w:p>
      <w:pPr>
        <w:pStyle w:val="TextBody"/>
        <w:bidi w:val="0"/>
        <w:jc w:val="left"/>
        <w:rPr/>
      </w:pPr>
      <w:r>
        <w:rPr/>
        <w:t> </w:t>
      </w:r>
    </w:p>
    <w:p>
      <w:pPr>
        <w:pStyle w:val="TextBody"/>
        <w:bidi w:val="0"/>
        <w:spacing w:before="0" w:after="480"/>
        <w:jc w:val="both"/>
        <w:rPr>
          <w:rFonts w:ascii="Times New Roman" w:hAnsi="Times New Roman"/>
          <w:color w:val="000000"/>
          <w:sz w:val="24"/>
        </w:rPr>
      </w:pPr>
      <w:r>
        <w:rPr>
          <w:rFonts w:ascii="Times New Roman" w:hAnsi="Times New Roman"/>
          <w:color w:val="000000"/>
          <w:sz w:val="24"/>
        </w:rPr>
        <w:t>IN WITNESS WHEREOF, the undersigned have caused this Securities Purchase Agreement to be duly executed by their respective authorized signatories as of the date first indicated above.</w:t>
      </w:r>
    </w:p>
    <w:p>
      <w:pPr>
        <w:pStyle w:val="TextBody"/>
        <w:bidi w:val="0"/>
        <w:jc w:val="both"/>
        <w:rPr>
          <w:rFonts w:ascii="Times New Roman" w:hAnsi="Times New Roman"/>
          <w:sz w:val="20"/>
        </w:rPr>
      </w:pPr>
      <w:r>
        <w:rPr>
          <w:rFonts w:ascii="Times New Roman" w:hAnsi="Times New Roman"/>
          <w:color w:val="000000"/>
          <w:sz w:val="24"/>
        </w:rPr>
        <w:t xml:space="preserve">Name of Purchaser: </w:t>
      </w:r>
      <w:r>
        <w:rPr>
          <w:rFonts w:ascii="Times New Roman" w:hAnsi="Times New Roman"/>
          <w:color w:val="000000"/>
          <w:sz w:val="24"/>
          <w:u w:val="single"/>
        </w:rPr>
        <w:t>Polar Multi-Strategy Master Fund</w:t>
      </w:r>
    </w:p>
    <w:p>
      <w:pPr>
        <w:pStyle w:val="TextBody"/>
        <w:bidi w:val="0"/>
        <w:jc w:val="both"/>
        <w:rPr>
          <w:rFonts w:ascii="Times New Roman" w:hAnsi="Times New Roman"/>
          <w:sz w:val="20"/>
        </w:rPr>
      </w:pPr>
      <w:r>
        <w:rPr>
          <w:rFonts w:ascii="Times New Roman" w:hAnsi="Times New Roman"/>
          <w:i/>
          <w:color w:val="000000"/>
          <w:sz w:val="24"/>
        </w:rPr>
        <w:t>Signature of Authorized Signatory of Purchaser</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i/>
          <w:color w:val="000000"/>
          <w:sz w:val="24"/>
          <w:u w:val="single"/>
        </w:rPr>
        <w:t>/s/ Andrew Ma /s/ Suraj Rammohan</w:t>
      </w:r>
    </w:p>
    <w:p>
      <w:pPr>
        <w:pStyle w:val="TextBody"/>
        <w:bidi w:val="0"/>
        <w:jc w:val="both"/>
        <w:rPr>
          <w:rFonts w:ascii="Times New Roman" w:hAnsi="Times New Roman"/>
          <w:sz w:val="20"/>
        </w:rPr>
      </w:pPr>
      <w:r>
        <w:rPr>
          <w:rFonts w:ascii="Times New Roman" w:hAnsi="Times New Roman"/>
          <w:color w:val="000000"/>
          <w:sz w:val="24"/>
        </w:rPr>
        <w:t xml:space="preserve">Name of Authorized Signatory: </w:t>
      </w:r>
      <w:r>
        <w:rPr>
          <w:rFonts w:ascii="Times New Roman" w:hAnsi="Times New Roman"/>
          <w:color w:val="000000"/>
          <w:sz w:val="24"/>
          <w:u w:val="single"/>
        </w:rPr>
        <w:t>Andrew Ma / Suraj Rammohan</w:t>
      </w:r>
    </w:p>
    <w:p>
      <w:pPr>
        <w:pStyle w:val="TextBody"/>
        <w:bidi w:val="0"/>
        <w:jc w:val="both"/>
        <w:rPr>
          <w:rFonts w:ascii="Times New Roman" w:hAnsi="Times New Roman"/>
          <w:sz w:val="20"/>
        </w:rPr>
      </w:pPr>
      <w:r>
        <w:rPr>
          <w:rFonts w:ascii="Times New Roman" w:hAnsi="Times New Roman"/>
          <w:color w:val="000000"/>
          <w:sz w:val="24"/>
        </w:rPr>
        <w:t xml:space="preserve">Title of Authorized Signatory: </w:t>
      </w:r>
      <w:r>
        <w:rPr>
          <w:rFonts w:ascii="Times New Roman" w:hAnsi="Times New Roman"/>
          <w:color w:val="000000"/>
          <w:sz w:val="24"/>
          <w:u w:val="single"/>
        </w:rPr>
        <w:t>CCO / Director, Legal Polar Multi-Strategy Master Fund By its investment advisor Polar Asset Management Partners Inc.</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Email Address of Authorized Signatory: </w:t>
      </w:r>
      <w:r>
        <w:rPr>
          <w:rFonts w:ascii="Times New Roman" w:hAnsi="Times New Roman"/>
          <w:color w:val="000000"/>
          <w:sz w:val="24"/>
          <w:u w:val="single"/>
        </w:rPr>
        <w:t>ama@polaramp.com / srammohan@polaramp.com</w:t>
      </w:r>
    </w:p>
    <w:p>
      <w:pPr>
        <w:pStyle w:val="TextBody"/>
        <w:bidi w:val="0"/>
        <w:jc w:val="left"/>
        <w:rPr>
          <w:rFonts w:ascii="Times New Roman" w:hAnsi="Times New Roman"/>
          <w:color w:val="000000"/>
          <w:sz w:val="24"/>
        </w:rPr>
      </w:pPr>
      <w:r>
        <w:rPr>
          <w:rFonts w:ascii="Times New Roman" w:hAnsi="Times New Roman"/>
          <w:color w:val="000000"/>
          <w:sz w:val="24"/>
        </w:rPr>
        <w:t>Address for Notice to Purchaser:</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c/o Polar Asset Management Partners Inc. 16 York Street, Suite 2900, Toronto, Ontario M5J 0E6, Canada</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Address for Delivery of Securities to Purchaser (if not same as address for notice):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Subscription Amount: </w:t>
      </w:r>
      <w:r>
        <w:rPr>
          <w:rFonts w:ascii="Times New Roman" w:hAnsi="Times New Roman"/>
          <w:color w:val="000000"/>
          <w:sz w:val="24"/>
          <w:u w:val="single"/>
        </w:rPr>
        <w:t>$25,000,000</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Shares: </w:t>
      </w:r>
      <w:r>
        <w:rPr>
          <w:rFonts w:ascii="Times New Roman" w:hAnsi="Times New Roman"/>
          <w:color w:val="000000"/>
          <w:sz w:val="24"/>
          <w:u w:val="single"/>
        </w:rPr>
        <w:t>7,812,500</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Warrant Shares: </w:t>
      </w:r>
      <w:r>
        <w:rPr>
          <w:rFonts w:ascii="Times New Roman" w:hAnsi="Times New Roman"/>
          <w:color w:val="000000"/>
          <w:sz w:val="24"/>
          <w:u w:val="single"/>
        </w:rPr>
        <w:t>7,812,500</w:t>
      </w:r>
      <w:r>
        <w:rPr>
          <w:rFonts w:ascii="Times New Roman" w:hAnsi="Times New Roman"/>
          <w:color w:val="000000"/>
          <w:sz w:val="20"/>
        </w:rPr>
        <w:t xml:space="preserve"> </w:t>
      </w:r>
      <w:r>
        <w:rPr>
          <w:rFonts w:ascii="Times New Roman" w:hAnsi="Times New Roman"/>
          <w:color w:val="000000"/>
          <w:sz w:val="24"/>
        </w:rPr>
        <w:t xml:space="preserve">Beneficial Ownership Blocker </w:t>
      </w:r>
      <w:r>
        <w:rPr>
          <w:rFonts w:ascii="Times New Roman" w:hAnsi="Times New Roman"/>
          <w:color w:val="000000"/>
          <w:sz w:val="20"/>
        </w:rPr>
        <w:t xml:space="preserve"> </w:t>
      </w:r>
      <w:r>
        <w:rPr>
          <w:rFonts w:ascii="Times New Roman" w:hAnsi="Times New Roman"/>
          <w:color w:val="000000"/>
          <w:sz w:val="24"/>
        </w:rPr>
        <w:t xml:space="preserve">4.99% or </w:t>
      </w:r>
      <w:r>
        <w:rPr>
          <w:rFonts w:ascii="Times New Roman" w:hAnsi="Times New Roman"/>
          <w:color w:val="000000"/>
          <w:sz w:val="20"/>
        </w:rPr>
        <w:t xml:space="preserve"> </w:t>
      </w:r>
      <w:r>
        <w:rPr>
          <w:rFonts w:ascii="Times New Roman" w:hAnsi="Times New Roman"/>
          <w:color w:val="000000"/>
          <w:sz w:val="24"/>
        </w:rPr>
        <w:t>9.99%</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EIN Number: </w:t>
      </w:r>
      <w:r>
        <w:rPr>
          <w:rFonts w:ascii="Times New Roman" w:hAnsi="Times New Roman"/>
          <w:color w:val="000000"/>
          <w:sz w:val="24"/>
          <w:u w:val="single"/>
        </w:rPr>
        <w:t>98-0562753</w:t>
      </w:r>
    </w:p>
    <w:p>
      <w:pPr>
        <w:pStyle w:val="TextBody"/>
        <w:bidi w:val="0"/>
        <w:spacing w:before="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2" w:name="bzai-ex10_5.htm"/>
      <w:bookmarkStart w:id="23" w:name="ksbzaiex10_5"/>
      <w:bookmarkEnd w:id="22"/>
      <w:bookmarkEnd w:id="23"/>
      <w:r>
        <w:rPr>
          <w:rFonts w:ascii="Times New Roman" w:hAnsi="Times New Roman"/>
          <w:b/>
          <w:color w:val="000000"/>
          <w:sz w:val="20"/>
        </w:rPr>
        <w:t>Exhibit 10.5</w:t>
      </w:r>
      <w:r>
        <w:br w:type="page"/>
      </w:r>
    </w:p>
    <w:p>
      <w:pPr>
        <w:pStyle w:val="TextBody"/>
        <w:bidi w:val="0"/>
        <w:jc w:val="both"/>
        <w:rPr>
          <w:rFonts w:ascii="Times New Roman" w:hAnsi="Times New Roman"/>
          <w:color w:val="000000"/>
          <w:sz w:val="24"/>
        </w:rPr>
      </w:pPr>
      <w:r>
        <w:rPr>
          <w:rFonts w:ascii="Times New Roman" w:hAnsi="Times New Roman"/>
          <w:color w:val="000000"/>
          <w:sz w:val="24"/>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COMMON STOCK PURCHASE WARRANT</w:t>
      </w:r>
    </w:p>
    <w:p>
      <w:pPr>
        <w:pStyle w:val="TextBody"/>
        <w:bidi w:val="0"/>
        <w:jc w:val="both"/>
        <w:rPr/>
      </w:pPr>
      <w:r>
        <w:rPr/>
        <w:t> </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BLAIZE HOLDINGS, INC.</w:t>
      </w:r>
    </w:p>
    <w:p>
      <w:pPr>
        <w:pStyle w:val="TextBody"/>
        <w:bidi w:val="0"/>
        <w:jc w:val="left"/>
        <w:rPr>
          <w:rFonts w:ascii="Times New Roman" w:hAnsi="Times New Roman"/>
          <w:color w:val="000000"/>
          <w:sz w:val="24"/>
        </w:rPr>
      </w:pPr>
      <w:r>
        <w:rPr>
          <w:rFonts w:ascii="Times New Roman" w:hAnsi="Times New Roman"/>
          <w:color w:val="000000"/>
          <w:sz w:val="24"/>
        </w:rPr>
        <w:t>Warrant Shares: _______ Initial Exercise Date: November 12, 2025</w:t>
      </w:r>
    </w:p>
    <w:p>
      <w:pPr>
        <w:pStyle w:val="TextBody"/>
        <w:bidi w:val="0"/>
        <w:spacing w:before="0" w:after="240"/>
        <w:jc w:val="both"/>
        <w:rPr>
          <w:rFonts w:ascii="Times New Roman" w:hAnsi="Times New Roman"/>
          <w:sz w:val="20"/>
        </w:rPr>
      </w:pPr>
      <w:r>
        <w:rPr>
          <w:rFonts w:ascii="Times New Roman" w:hAnsi="Times New Roman"/>
          <w:color w:val="000000"/>
          <w:sz w:val="24"/>
        </w:rPr>
        <w:t>THIS COMMON STOCK PURCHASE WARRANT (the “</w:t>
      </w:r>
      <w:r>
        <w:rPr>
          <w:rFonts w:ascii="Times New Roman" w:hAnsi="Times New Roman"/>
          <w:color w:val="000000"/>
          <w:sz w:val="24"/>
          <w:u w:val="single"/>
        </w:rPr>
        <w:t>Warrant</w:t>
      </w:r>
      <w:r>
        <w:rPr>
          <w:rFonts w:ascii="Times New Roman" w:hAnsi="Times New Roman"/>
          <w:color w:val="000000"/>
          <w:sz w:val="20"/>
        </w:rPr>
        <w:t>”</w:t>
      </w:r>
      <w:r>
        <w:rPr>
          <w:rFonts w:ascii="Times New Roman" w:hAnsi="Times New Roman"/>
          <w:color w:val="000000"/>
          <w:sz w:val="24"/>
        </w:rPr>
        <w:t>) certifies that, for value received, _____________ or its assigns (the “</w:t>
      </w:r>
      <w:r>
        <w:rPr>
          <w:rFonts w:ascii="Times New Roman" w:hAnsi="Times New Roman"/>
          <w:color w:val="000000"/>
          <w:sz w:val="24"/>
          <w:u w:val="single"/>
        </w:rPr>
        <w:t>Holder</w:t>
      </w:r>
      <w:r>
        <w:rPr>
          <w:rFonts w:ascii="Times New Roman" w:hAnsi="Times New Roman"/>
          <w:color w:val="000000"/>
          <w:sz w:val="20"/>
        </w:rPr>
        <w:t>”</w:t>
      </w:r>
      <w:r>
        <w:rPr>
          <w:rFonts w:ascii="Times New Roman" w:hAnsi="Times New Roman"/>
          <w:color w:val="000000"/>
          <w:sz w:val="24"/>
        </w:rPr>
        <w:t>) is entitled, upon the terms and subject to the limitations on exercise and the conditions hereinafter set forth, at any time on or after the date hereof (the “</w:t>
      </w:r>
      <w:r>
        <w:rPr>
          <w:rFonts w:ascii="Times New Roman" w:hAnsi="Times New Roman"/>
          <w:color w:val="000000"/>
          <w:sz w:val="24"/>
          <w:u w:val="single"/>
        </w:rPr>
        <w:t>Initial Exercise Date</w:t>
      </w:r>
      <w:r>
        <w:rPr>
          <w:rFonts w:ascii="Times New Roman" w:hAnsi="Times New Roman"/>
          <w:color w:val="000000"/>
          <w:sz w:val="20"/>
        </w:rPr>
        <w:t>”</w:t>
      </w:r>
      <w:r>
        <w:rPr>
          <w:rFonts w:ascii="Times New Roman" w:hAnsi="Times New Roman"/>
          <w:color w:val="000000"/>
          <w:sz w:val="24"/>
        </w:rPr>
        <w:t>) and on or prior to 5:00 p.m. (New York City time) on November 12, 2030 (the “</w:t>
      </w:r>
      <w:r>
        <w:rPr>
          <w:rFonts w:ascii="Times New Roman" w:hAnsi="Times New Roman"/>
          <w:color w:val="000000"/>
          <w:sz w:val="24"/>
          <w:u w:val="single"/>
        </w:rPr>
        <w:t>Termination Date</w:t>
      </w:r>
      <w:r>
        <w:rPr>
          <w:rFonts w:ascii="Times New Roman" w:hAnsi="Times New Roman"/>
          <w:color w:val="000000"/>
          <w:sz w:val="20"/>
        </w:rPr>
        <w:t>”</w:t>
      </w:r>
      <w:r>
        <w:rPr>
          <w:rFonts w:ascii="Times New Roman" w:hAnsi="Times New Roman"/>
          <w:color w:val="000000"/>
          <w:sz w:val="24"/>
        </w:rPr>
        <w:t>) but not thereafter, to subscribe for and purchase from Blaize Holdings, Inc., a Delaware corporation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up to ______ shares (as subject to adjustment hereunder, the “</w:t>
      </w:r>
      <w:r>
        <w:rPr>
          <w:rFonts w:ascii="Times New Roman" w:hAnsi="Times New Roman"/>
          <w:color w:val="000000"/>
          <w:sz w:val="24"/>
          <w:u w:val="single"/>
        </w:rPr>
        <w:t>Warrant Shares</w:t>
      </w:r>
      <w:r>
        <w:rPr>
          <w:rFonts w:ascii="Times New Roman" w:hAnsi="Times New Roman"/>
          <w:color w:val="000000"/>
          <w:sz w:val="20"/>
        </w:rPr>
        <w:t>”</w:t>
      </w:r>
      <w:r>
        <w:rPr>
          <w:rFonts w:ascii="Times New Roman" w:hAnsi="Times New Roman"/>
          <w:color w:val="000000"/>
          <w:sz w:val="24"/>
        </w:rPr>
        <w:t>) of Common Stock. The purchase price of one share of Common Stock under this Warrant shall be equal to the Exercise Price, as defined in Section 2(b).</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1</w:t>
      </w:r>
      <w:r>
        <w:rPr>
          <w:rFonts w:ascii="Times New Roman" w:hAnsi="Times New Roman"/>
          <w:color w:val="000000"/>
          <w:sz w:val="24"/>
        </w:rPr>
        <w:t xml:space="preserve">. </w:t>
      </w:r>
      <w:r>
        <w:rPr>
          <w:rFonts w:ascii="Times New Roman" w:hAnsi="Times New Roman"/>
          <w:color w:val="000000"/>
          <w:sz w:val="24"/>
          <w:u w:val="single"/>
        </w:rPr>
        <w:t>Definitions</w:t>
      </w:r>
      <w:r>
        <w:rPr>
          <w:rFonts w:ascii="Times New Roman" w:hAnsi="Times New Roman"/>
          <w:color w:val="000000"/>
          <w:sz w:val="24"/>
        </w:rPr>
        <w:t>. Capitalized terms used and not otherwise defined herein shall have the meanings set forth in that certain Securities Purchase Agreement (the “</w:t>
      </w:r>
      <w:r>
        <w:rPr>
          <w:rFonts w:ascii="Times New Roman" w:hAnsi="Times New Roman"/>
          <w:color w:val="000000"/>
          <w:sz w:val="24"/>
          <w:u w:val="single"/>
        </w:rPr>
        <w:t>Purchase Agreement</w:t>
      </w:r>
      <w:r>
        <w:rPr>
          <w:rFonts w:ascii="Times New Roman" w:hAnsi="Times New Roman"/>
          <w:color w:val="000000"/>
          <w:sz w:val="20"/>
        </w:rPr>
        <w:t>”</w:t>
      </w:r>
      <w:r>
        <w:rPr>
          <w:rFonts w:ascii="Times New Roman" w:hAnsi="Times New Roman"/>
          <w:color w:val="000000"/>
          <w:sz w:val="24"/>
        </w:rPr>
        <w:t>), dated November 10, 2025, among the Company and the purchasers signatory thereto.</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2</w:t>
      </w:r>
      <w:r>
        <w:rPr>
          <w:rFonts w:ascii="Times New Roman" w:hAnsi="Times New Roman"/>
          <w:color w:val="000000"/>
          <w:sz w:val="24"/>
        </w:rPr>
        <w:t xml:space="preserve">. </w:t>
      </w:r>
      <w:r>
        <w:rPr>
          <w:rFonts w:ascii="Times New Roman" w:hAnsi="Times New Roman"/>
          <w:color w:val="000000"/>
          <w:sz w:val="24"/>
          <w:u w:val="single"/>
        </w:rPr>
        <w:t>Exercise</w:t>
      </w:r>
      <w:r>
        <w:rPr>
          <w:rFonts w:ascii="Times New Roman" w:hAnsi="Times New Roman"/>
          <w:color w:val="000000"/>
          <w:sz w:val="24"/>
        </w:rPr>
        <w:t>.</w:t>
      </w:r>
    </w:p>
    <w:p>
      <w:pPr>
        <w:pStyle w:val="TextBody"/>
        <w:bidi w:val="0"/>
        <w:spacing w:before="0" w:after="240"/>
        <w:jc w:val="righ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right"/>
        <w:rPr/>
      </w:pPr>
      <w:r>
        <w:rPr>
          <w:rFonts w:ascii="Times New Roman" w:hAnsi="Times New Roman"/>
          <w:color w:val="000000"/>
          <w:sz w:val="24"/>
          <w:u w:val="single"/>
        </w:rPr>
        <w:t>Exercise of Warrant</w:t>
      </w:r>
      <w:r>
        <w:rPr>
          <w:rFonts w:ascii="Times New Roman" w:hAnsi="Times New Roman"/>
          <w:color w:val="000000"/>
          <w:sz w:val="24"/>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hAnsi="Times New Roman"/>
          <w:color w:val="000000"/>
          <w:sz w:val="24"/>
          <w:u w:val="single"/>
        </w:rPr>
        <w:t>Notice of Exercise</w:t>
      </w:r>
      <w:r>
        <w:rPr>
          <w:color w:val="000000"/>
        </w:rPr>
        <w:t>”</w:t>
      </w:r>
      <w:r>
        <w:rPr>
          <w:rFonts w:ascii="Times New Roman" w:hAnsi="Times New Roman"/>
          <w:color w:val="000000"/>
          <w:sz w:val="24"/>
        </w:rPr>
        <w:t xml:space="preserve">). Within the earlier of (i) one (1) Trading Day and (ii) the number of Trading Days comprising the Standard Settlement Period (as defined in Section 2(d)(i) herein) following the date of exercise as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right"/>
        <w:rPr/>
      </w:pPr>
      <w:r>
        <w:rPr>
          <w:rFonts w:ascii="Times New Roman" w:hAnsi="Times New Roman"/>
          <w:color w:val="000000"/>
          <w:sz w:val="24"/>
        </w:rPr>
        <w:t>aforesaid, the Holder shall deliver the aggregate Exercise Price for the shares specified in the applicable Notice of Exercise by wire transfer or cashier’s check drawn on a United States bank unless the cashless exercise procedure specified in Section 2(c) below is specified in the applicable Notice of Exercise.</w:t>
      </w:r>
      <w:r>
        <w:rPr>
          <w:color w:val="000000"/>
        </w:rPr>
        <w:t xml:space="preserve"> </w:t>
      </w:r>
      <w:r>
        <w:rPr>
          <w:rFonts w:ascii="Times New Roman" w:hAnsi="Times New Roman"/>
          <w:color w:val="000000"/>
          <w:sz w:val="24"/>
        </w:rPr>
        <w:t xml:space="preserve">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as soon as reasonably practicable following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on the Trading Day of receipt of such notice. </w:t>
      </w:r>
      <w:r>
        <w:rPr>
          <w:rFonts w:ascii="Times New Roman" w:hAnsi="Times New Roman"/>
          <w:b/>
          <w:color w:val="000000"/>
          <w:sz w:val="24"/>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Exercise Price</w:t>
      </w:r>
      <w:r>
        <w:rPr>
          <w:rFonts w:ascii="Times New Roman" w:hAnsi="Times New Roman"/>
          <w:color w:val="000000"/>
          <w:sz w:val="24"/>
        </w:rPr>
        <w:t xml:space="preserve">. The exercise price per share of Common Stock under this Warrant shall be </w:t>
      </w:r>
      <w:r>
        <w:rPr>
          <w:rFonts w:ascii="Times New Roman" w:hAnsi="Times New Roman"/>
          <w:b/>
          <w:color w:val="000000"/>
          <w:sz w:val="24"/>
        </w:rPr>
        <w:t>$5.00</w:t>
      </w:r>
      <w:r>
        <w:rPr>
          <w:rFonts w:ascii="Times New Roman" w:hAnsi="Times New Roman"/>
          <w:color w:val="000000"/>
          <w:sz w:val="24"/>
        </w:rPr>
        <w:t>, subject to adjustment hereunder (the “</w:t>
      </w:r>
      <w:r>
        <w:rPr>
          <w:rFonts w:ascii="Times New Roman" w:hAnsi="Times New Roman"/>
          <w:color w:val="000000"/>
          <w:sz w:val="24"/>
          <w:u w:val="single"/>
        </w:rPr>
        <w:t>Exercise Price</w:t>
      </w:r>
      <w:r>
        <w:rPr>
          <w:color w:val="000000"/>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Cashless Exercise</w:t>
      </w:r>
      <w:r>
        <w:rPr>
          <w:rFonts w:ascii="Times New Roman" w:hAnsi="Times New Roman"/>
          <w:color w:val="000000"/>
          <w:sz w:val="24"/>
        </w:rPr>
        <w:t>. Following the six (6) month anniversary of the date hereof, if at the time of exercise hereof there is no effective registration statement registering, or the prospectus contained therein is not available for the resale of the Warrant Shares by the Holder, then this Warrant may also be exercised, in whole or in part, at such time by means of a “cashless exercise” in which the Holder shall be entitled to receive a number of Warrant Shares equal to the quotient obtained by dividing [(A-B) (X)] by (A), where:</w:t>
      </w:r>
    </w:p>
    <w:p>
      <w:pPr>
        <w:pStyle w:val="TextBody"/>
        <w:bidi w:val="0"/>
        <w:jc w:val="both"/>
        <w:rPr>
          <w:rFonts w:ascii="Times New Roman" w:hAnsi="Times New Roman"/>
          <w:sz w:val="20"/>
        </w:rPr>
      </w:pPr>
      <w:r>
        <w:rPr>
          <w:rFonts w:ascii="Times New Roman" w:hAnsi="Times New Roman"/>
          <w:color w:val="000000"/>
          <w:sz w:val="24"/>
        </w:rPr>
        <w:t>(A) = as applicable: (i) the VWAP on the Trading Day immediately preceding the date of the applicable Notice of Exercise if such Notice of Exercise is (1) delivered pursuant to Section 2(a) hereof on a day that is not a Trading Day or (2) delivered pursuant to Section 2(a) hereof on a Trading Day prior to the opening of “regular trading hours” (as defined in Rule 600(b) of Regulation NMS promulgated under the federal securities laws) on such Trading Day, (ii) the highest Bid Price of the Common Stock on the principal Trading Market as reported by Bloomberg L.P. (“</w:t>
      </w:r>
      <w:r>
        <w:rPr>
          <w:rFonts w:ascii="Times New Roman" w:hAnsi="Times New Roman"/>
          <w:color w:val="000000"/>
          <w:sz w:val="24"/>
          <w:u w:val="single"/>
        </w:rPr>
        <w:t>Bloomberg</w:t>
      </w:r>
      <w:r>
        <w:rPr>
          <w:rFonts w:ascii="Times New Roman" w:hAnsi="Times New Roman"/>
          <w:color w:val="000000"/>
          <w:sz w:val="20"/>
        </w:rPr>
        <w:t>”</w:t>
      </w:r>
      <w:r>
        <w:rPr>
          <w:rFonts w:ascii="Times New Roman" w:hAnsi="Times New Roman"/>
          <w:color w:val="000000"/>
          <w:sz w:val="24"/>
        </w:rPr>
        <w:t>) within two (2) hours of the time of the Holder’s delivery of the Notice of Exercise pursuant to Section 2(a) hereof if such Notice of Exercise is delivered during “regular trading hours,” or within two (2) hours after the close of “regular trading hours” on a Trading Day or (iii) the VWAP on the date of the applicable Notice of Exercise if the date of such Notice of Exercise is a Trading Day and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such Notice of Exercise is delivered pursuant to Section 2(a) hereof after two (2) hours following the close of “regular trading hours” on such Trading Day;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(B) = the Exercise Price of this Warrant, as adjusted hereunder; and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(X) = the number of Warrant Shares that would be issuable upon exercise of this Warrant in accordance with the terms of this Warrant if such exercise were by means of a cash exercise rather than a cashless exercise.</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If Warrant Shares are issued in such a cashless exercise, the parties acknowledge and agree that in accordance with Section 3(a)(9) of the Securities Act, the holding period of the Warrant Shares being issued may be tacked on to the holding period of this Warrant. The Company agrees not to take any position contrary to this Section 2(c).</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Bid Price</w:t>
      </w:r>
      <w:r>
        <w:rPr>
          <w:rFonts w:ascii="Times New Roman" w:hAnsi="Times New Roman"/>
          <w:color w:val="000000"/>
          <w:sz w:val="20"/>
        </w:rPr>
        <w:t xml:space="preserve">” </w:t>
      </w:r>
      <w:r>
        <w:rPr>
          <w:rFonts w:ascii="Times New Roman" w:hAnsi="Times New Roman"/>
          <w:color w:val="000000"/>
          <w:sz w:val="24"/>
        </w:rPr>
        <w:t>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VWAP</w:t>
      </w:r>
      <w:r>
        <w:rPr>
          <w:rFonts w:ascii="Times New Roman" w:hAnsi="Times New Roman"/>
          <w:color w:val="000000"/>
          <w:sz w:val="20"/>
        </w:rPr>
        <w:t xml:space="preserve">” </w:t>
      </w:r>
      <w:r>
        <w:rPr>
          <w:rFonts w:ascii="Times New Roman" w:hAnsi="Times New Roman"/>
          <w:color w:val="000000"/>
          <w:sz w:val="24"/>
        </w:rPr>
        <w:t>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the OTCQB Venture Market (“OTCQB”) or the OTCQX Best Market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(“Pink Market”) operated by the OTC Markets,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reasonably acceptable to the Company, the fees and expenses of which shall be paid by the Company.</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Notwithstanding anything herein to the contrary, on the Termination Date, this Warrant shall be automatically exercised via cashless exercise pursuant to this Section 2(c).</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Mechanics of Exercise</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u w:val="single"/>
        </w:rPr>
        <w:t>Delivery of Warrant Shares Upon Exercise</w:t>
      </w:r>
      <w:r>
        <w:rPr>
          <w:rFonts w:ascii="Times New Roman" w:hAnsi="Times New Roman"/>
          <w:color w:val="000000"/>
          <w:sz w:val="24"/>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hAnsi="Times New Roman"/>
          <w:color w:val="000000"/>
          <w:sz w:val="24"/>
          <w:u w:val="single"/>
        </w:rPr>
        <w:t>DWAC</w:t>
      </w:r>
      <w:r>
        <w:rPr>
          <w:color w:val="000000"/>
        </w:rPr>
        <w:t>”</w:t>
      </w:r>
      <w:r>
        <w:rPr>
          <w:rFonts w:ascii="Times New Roman" w:hAnsi="Times New Roman"/>
          <w:color w:val="000000"/>
          <w:sz w:val="24"/>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(assuming cashless exercise of the Warrants),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after the delivery to the Company of the Notice of Exercise and (ii) the number of Trading Days comprising the Standard Settlement Period after the delivery to the Company of the Notice of Exercise (such date, the “</w:t>
      </w:r>
      <w:r>
        <w:rPr>
          <w:rFonts w:ascii="Times New Roman" w:hAnsi="Times New Roman"/>
          <w:color w:val="000000"/>
          <w:sz w:val="24"/>
          <w:u w:val="single"/>
        </w:rPr>
        <w:t>Warrant Share Delivery Date</w:t>
      </w:r>
      <w:r>
        <w:rPr>
          <w:color w:val="000000"/>
        </w:rPr>
        <w:t>”</w:t>
      </w:r>
      <w:r>
        <w:rPr>
          <w:rFonts w:ascii="Times New Roman" w:hAnsi="Times New Roman"/>
          <w:color w:val="000000"/>
          <w:sz w:val="24"/>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one (1) Trading Day and (ii) the number of Trading Days comprising the Standard Settlement Period following delivery of the Notice of Exercise.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third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 w:hAnsi="Times New Roman"/>
          <w:color w:val="000000"/>
          <w:sz w:val="24"/>
          <w:u w:val="single"/>
        </w:rPr>
        <w:t>Standard Settlement Period</w:t>
      </w:r>
      <w:r>
        <w:rPr>
          <w:color w:val="000000"/>
        </w:rPr>
        <w:t xml:space="preserve">” </w:t>
      </w:r>
      <w:r>
        <w:rPr>
          <w:rFonts w:ascii="Times New Roman" w:hAnsi="Times New Roman"/>
          <w:color w:val="000000"/>
          <w:sz w:val="24"/>
        </w:rPr>
        <w:t xml:space="preserve">means the standard settlement period, expressed in a number of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Trading Days, on the Company’s primary Trading Market with respect to the Common Stock as in effect on the date of delivery of the Notice of Exercise.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u w:val="single"/>
        </w:rPr>
        <w:t>Delivery of New Warrants Upon Exercise</w:t>
      </w:r>
      <w:r>
        <w:rPr>
          <w:rFonts w:ascii="Times New Roman" w:hAnsi="Times New Roman"/>
          <w:color w:val="000000"/>
          <w:sz w:val="24"/>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pPr>
      <w:r>
        <w:rPr>
          <w:rFonts w:ascii="Times New Roman" w:hAnsi="Times New Roman"/>
          <w:color w:val="000000"/>
          <w:sz w:val="24"/>
          <w:u w:val="single"/>
        </w:rPr>
        <w:t>Rescission Rights</w:t>
      </w:r>
      <w:r>
        <w:rPr>
          <w:rFonts w:ascii="Times New Roman" w:hAnsi="Times New Roman"/>
          <w:color w:val="000000"/>
          <w:sz w:val="24"/>
        </w:rPr>
        <w:t>. If the Company fails to cause the Transfer Agent to transmit to the Holder the Warrant Shares pursuant to Section 2(d)(i) by the Warrant Share Delivery Date, then the Holder will have the right to rescind such exercise.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pPr>
      <w:r>
        <w:rPr>
          <w:rFonts w:ascii="Times New Roman" w:hAnsi="Times New Roman"/>
          <w:color w:val="000000"/>
          <w:sz w:val="24"/>
          <w:u w:val="single"/>
        </w:rPr>
        <w:t>Compensation for Buy-In on Failure to Timely Deliver Warrant Shares Upon Exercise</w:t>
      </w:r>
      <w:r>
        <w:rPr>
          <w:rFonts w:ascii="Times New Roman" w:hAnsi="Times New Roman"/>
          <w:color w:val="000000"/>
          <w:sz w:val="24"/>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hAnsi="Times New Roman"/>
          <w:color w:val="000000"/>
          <w:sz w:val="24"/>
          <w:u w:val="single"/>
        </w:rPr>
        <w:t>Buy-In</w:t>
      </w:r>
      <w:r>
        <w:rPr>
          <w:color w:val="000000"/>
        </w:rPr>
        <w:t>”</w:t>
      </w:r>
      <w:r>
        <w:rPr>
          <w:rFonts w:ascii="Times New Roman" w:hAnsi="Times New Roman"/>
          <w:color w:val="000000"/>
          <w:sz w:val="24"/>
        </w:rPr>
        <w:t xml:space="preserve">),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pPr>
      <w:r>
        <w:rPr>
          <w:rFonts w:ascii="Times New Roman" w:hAnsi="Times New Roman"/>
          <w:color w:val="000000"/>
          <w:sz w:val="24"/>
          <w:u w:val="single"/>
        </w:rPr>
        <w:t>No Fractional Shares or Scrip</w:t>
      </w:r>
      <w:r>
        <w:rPr>
          <w:rFonts w:ascii="Times New Roman" w:hAnsi="Times New Roman"/>
          <w:color w:val="000000"/>
          <w:sz w:val="24"/>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w:t>
      </w:r>
    </w:p>
    <w:p>
      <w:pPr>
        <w:pStyle w:val="TextBody"/>
        <w:bidi w:val="0"/>
        <w:spacing w:before="0" w:after="240"/>
        <w:jc w:val="both"/>
        <w:rPr/>
      </w:pPr>
      <w:r>
        <w:rPr>
          <w:rFonts w:ascii="Times New Roman" w:hAnsi="Times New Roman"/>
          <w:color w:val="000000"/>
          <w:sz w:val="24"/>
          <w:u w:val="single"/>
        </w:rPr>
        <w:t>Charges, Taxes and Expenses</w:t>
      </w:r>
      <w:r>
        <w:rPr>
          <w:rFonts w:ascii="Times New Roman" w:hAnsi="Times New Roman"/>
          <w:color w:val="000000"/>
          <w:sz w:val="24"/>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w:t>
      </w:r>
    </w:p>
    <w:p>
      <w:pPr>
        <w:pStyle w:val="TextBody"/>
        <w:bidi w:val="0"/>
        <w:spacing w:before="0" w:after="240"/>
        <w:jc w:val="both"/>
        <w:rPr/>
      </w:pPr>
      <w:r>
        <w:rPr>
          <w:rFonts w:ascii="Times New Roman" w:hAnsi="Times New Roman"/>
          <w:color w:val="000000"/>
          <w:sz w:val="24"/>
          <w:u w:val="single"/>
        </w:rPr>
        <w:t>Closing of Books</w:t>
      </w:r>
      <w:r>
        <w:rPr>
          <w:rFonts w:ascii="Times New Roman" w:hAnsi="Times New Roman"/>
          <w:color w:val="000000"/>
          <w:sz w:val="24"/>
        </w:rPr>
        <w:t>. The Company will not close its stockholder books or records in any manner which prevents the timely exercise of this Warrant, pursuant to the terms hereof.</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w:t>
      </w:r>
      <w:r>
        <w:rPr>
          <w:rFonts w:ascii="Times New Roman" w:hAnsi="Times New Roman"/>
          <w:color w:val="000000"/>
          <w:sz w:val="24"/>
          <w:u w:val="single"/>
        </w:rPr>
        <w:t>Holder’s Exercise Limitations</w:t>
      </w:r>
      <w:r>
        <w:rPr>
          <w:rFonts w:ascii="Times New Roman" w:hAnsi="Times New Roman"/>
          <w:color w:val="000000"/>
          <w:sz w:val="24"/>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and (iii) any other Persons whose beneficial ownership of shares of Common Stock would or could be aggregated with the Holder’s or any of the Holder’s Affiliates for the purposes of Section 13(d) of the Exchange Act (such Persons, “</w:t>
      </w:r>
      <w:r>
        <w:rPr>
          <w:rFonts w:ascii="Times New Roman" w:hAnsi="Times New Roman"/>
          <w:color w:val="000000"/>
          <w:sz w:val="24"/>
          <w:u w:val="single"/>
        </w:rPr>
        <w:t>Attribution Parties</w:t>
      </w:r>
      <w:r>
        <w:rPr>
          <w:rFonts w:ascii="Times New Roman" w:hAnsi="Times New Roman"/>
          <w:color w:val="000000"/>
          <w:sz w:val="20"/>
        </w:rPr>
        <w:t>”</w:t>
      </w:r>
      <w:r>
        <w:rPr>
          <w:rFonts w:ascii="Times New Roman" w:hAnsi="Times New Roman"/>
          <w:color w:val="000000"/>
          <w:sz w:val="24"/>
        </w:rPr>
        <w:t>)), would beneficially own in excess of the Beneficial Ownership Limitation (as defined below). For purposes of the foregoing sentence, the number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hAnsi="Times New Roman"/>
          <w:color w:val="000000"/>
          <w:sz w:val="24"/>
          <w:u w:val="single"/>
        </w:rPr>
        <w:t>Beneficial Ownership Limitation</w:t>
      </w:r>
      <w:r>
        <w:rPr>
          <w:rFonts w:ascii="Times New Roman" w:hAnsi="Times New Roman"/>
          <w:color w:val="000000"/>
          <w:sz w:val="20"/>
        </w:rPr>
        <w:t xml:space="preserve">” </w:t>
      </w:r>
      <w:r>
        <w:rPr>
          <w:rFonts w:ascii="Times New Roman" w:hAnsi="Times New Roman"/>
          <w:color w:val="000000"/>
          <w:sz w:val="24"/>
        </w:rPr>
        <w:t>shall be 4.99% (or, upon election by a Holder prior to the issuance of any Warrants, 9.99%) of the number of shares of Common Stock outstanding immediately after giving effect to the issuance of shares of Common Stock issuable upon exercise of this Warrant. The Holder, upon notice to the Company, may increase or decrease the Beneficial Ownership Limitation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 not be effective until the 61</w:t>
      </w:r>
      <w:r>
        <w:rPr>
          <w:rFonts w:ascii="Times New Roman" w:hAnsi="Times New Roman"/>
          <w:color w:val="000000"/>
          <w:sz w:val="16"/>
        </w:rPr>
        <w:t>st</w:t>
      </w:r>
      <w:r>
        <w:rPr>
          <w:rFonts w:ascii="Times New Roman" w:hAnsi="Times New Roman"/>
          <w:color w:val="000000"/>
          <w:sz w:val="20"/>
        </w:rPr>
        <w:t xml:space="preserve"> </w:t>
      </w:r>
      <w:r>
        <w:rPr>
          <w:rFonts w:ascii="Times New Roman" w:hAnsi="Times New Roman"/>
          <w:color w:val="000000"/>
          <w:sz w:val="24"/>
        </w:rPr>
        <w:t>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3</w:t>
      </w:r>
      <w:r>
        <w:rPr>
          <w:rFonts w:ascii="Times New Roman" w:hAnsi="Times New Roman"/>
          <w:color w:val="000000"/>
          <w:sz w:val="24"/>
        </w:rPr>
        <w:t xml:space="preserve">. </w:t>
      </w:r>
      <w:r>
        <w:rPr>
          <w:rFonts w:ascii="Times New Roman" w:hAnsi="Times New Roman"/>
          <w:color w:val="000000"/>
          <w:sz w:val="24"/>
          <w:u w:val="single"/>
        </w:rPr>
        <w:t>Certain Adjustments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Stock Dividends and Splits</w:t>
      </w:r>
      <w:r>
        <w:rPr>
          <w:rFonts w:ascii="Times New Roman" w:hAnsi="Times New Roman"/>
          <w:color w:val="000000"/>
          <w:sz w:val="24"/>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w:t>
        <w:noBreakHyphen/>
        <w:t>classification.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Subsequent Rights Offerings</w:t>
      </w:r>
      <w:r>
        <w:rPr>
          <w:rFonts w:ascii="Times New Roman" w:hAnsi="Times New Roman"/>
          <w:color w:val="000000"/>
          <w:sz w:val="24"/>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hAnsi="Times New Roman"/>
          <w:color w:val="000000"/>
          <w:sz w:val="24"/>
          <w:u w:val="single"/>
        </w:rPr>
        <w:t>Purchase Rights</w:t>
      </w:r>
      <w:r>
        <w:rPr>
          <w:color w:val="000000"/>
        </w:rPr>
        <w:t>”</w:t>
      </w:r>
      <w:r>
        <w:rPr>
          <w:rFonts w:ascii="Times New Roman" w:hAnsi="Times New Roman"/>
          <w:color w:val="000000"/>
          <w:sz w:val="24"/>
        </w:rPr>
        <w:t xml:space="preserve">),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date as of which the record holders of shares of Common Stock are to be determined for the grant, issue or sale of such Purchase Rights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Pro Rata Distributions</w:t>
      </w:r>
      <w:r>
        <w:rPr>
          <w:rFonts w:ascii="Times New Roman" w:hAnsi="Times New Roman"/>
          <w:color w:val="000000"/>
          <w:sz w:val="24"/>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hAnsi="Times New Roman"/>
          <w:color w:val="000000"/>
          <w:sz w:val="24"/>
          <w:u w:val="single"/>
        </w:rPr>
        <w:t>Distribution</w:t>
      </w:r>
      <w:r>
        <w:rPr>
          <w:color w:val="000000"/>
        </w:rPr>
        <w:t>”</w:t>
      </w:r>
      <w:r>
        <w:rPr>
          <w:rFonts w:ascii="Times New Roman" w:hAnsi="Times New Roman"/>
          <w:color w:val="000000"/>
          <w:sz w:val="24"/>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4"/>
          <w:u w:val="single"/>
        </w:rPr>
        <w:t>Fundamental Transaction</w:t>
      </w:r>
      <w:r>
        <w:rPr>
          <w:rFonts w:ascii="Times New Roman" w:hAnsi="Times New Roman"/>
          <w:color w:val="000000"/>
          <w:sz w:val="24"/>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or 50% or more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w:t>
      </w:r>
      <w:bookmarkStart w:id="24" w:name="ole_link6"/>
      <w:bookmarkEnd w:id="24"/>
      <w:r>
        <w:rPr>
          <w:rFonts w:ascii="Times New Roman" w:hAnsi="Times New Roman"/>
          <w:color w:val="000000"/>
          <w:sz w:val="24"/>
        </w:rPr>
        <w:t xml:space="preserve">, directly or indirectly, in one or more related transactions consummates a stock or share purchase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agreement or other business combination (including, without limitation, a reorganization, recapitalization, spin-off, merger or scheme of arrangement) with another Person or group of Persons whereby such other Person or group acquires 50% or more of the outstanding shares of Common Stock or 50% or more of the voting power of the common equity of the Company (each a “</w:t>
      </w:r>
      <w:r>
        <w:rPr>
          <w:rFonts w:ascii="Times New Roman" w:hAnsi="Times New Roman"/>
          <w:color w:val="000000"/>
          <w:sz w:val="24"/>
          <w:u w:val="single"/>
        </w:rPr>
        <w:t>Fundamental Transaction</w:t>
      </w:r>
      <w:r>
        <w:rPr>
          <w:color w:val="000000"/>
        </w:rPr>
        <w:t>”</w:t>
      </w:r>
      <w:r>
        <w:rPr>
          <w:rFonts w:ascii="Times New Roman" w:hAnsi="Times New Roman"/>
          <w:color w:val="000000"/>
          <w:sz w:val="24"/>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 w:hAnsi="Times New Roman"/>
          <w:color w:val="000000"/>
          <w:sz w:val="24"/>
          <w:u w:val="single"/>
        </w:rPr>
        <w:t>Alternate Consideration</w:t>
      </w:r>
      <w:r>
        <w:rPr>
          <w:color w:val="000000"/>
        </w:rPr>
        <w:t>”</w:t>
      </w:r>
      <w:r>
        <w:rPr>
          <w:rFonts w:ascii="Times New Roman" w:hAnsi="Times New Roman"/>
          <w:color w:val="000000"/>
          <w:sz w:val="24"/>
        </w:rPr>
        <w:t xml:space="preserve">)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w:t>
      </w:r>
      <w:r>
        <w:rPr>
          <w:rFonts w:ascii="Times New Roman" w:hAnsi="Times New Roman"/>
          <w:color w:val="000000"/>
          <w:sz w:val="24"/>
          <w:u w:val="single"/>
        </w:rPr>
        <w:t>provided</w:t>
      </w:r>
      <w:r>
        <w:rPr>
          <w:rFonts w:ascii="Times New Roman" w:hAnsi="Times New Roman"/>
          <w:color w:val="000000"/>
          <w:sz w:val="24"/>
        </w:rPr>
        <w:t>,</w:t>
      </w:r>
      <w:r>
        <w:rPr>
          <w:color w:val="000000"/>
        </w:rPr>
        <w:t xml:space="preserve"> </w:t>
      </w:r>
      <w:r>
        <w:rPr>
          <w:rFonts w:ascii="Times New Roman" w:hAnsi="Times New Roman"/>
          <w:color w:val="000000"/>
          <w:sz w:val="24"/>
          <w:u w:val="single"/>
        </w:rPr>
        <w:t>however</w:t>
      </w:r>
      <w:r>
        <w:rPr>
          <w:rFonts w:ascii="Times New Roman" w:hAnsi="Times New Roman"/>
          <w:color w:val="000000"/>
          <w:sz w:val="24"/>
        </w:rPr>
        <w:t xml:space="preserve">,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that if holders of Common Stock of the Company are not offered or paid any consideration in such Fundamental Transaction, such holders of Common Stock will be deemed to have received common stock of the Successor Entity (which Successor Entity may be the Company following such Fundamental Transaction) in such Fundamental Transaction. “</w:t>
      </w:r>
      <w:r>
        <w:rPr>
          <w:rFonts w:ascii="Times New Roman" w:hAnsi="Times New Roman"/>
          <w:color w:val="000000"/>
          <w:sz w:val="24"/>
          <w:u w:val="single"/>
        </w:rPr>
        <w:t>Black Scholes Value</w:t>
      </w:r>
      <w:r>
        <w:rPr>
          <w:color w:val="000000"/>
        </w:rPr>
        <w:t xml:space="preserve">” </w:t>
      </w:r>
      <w:r>
        <w:rPr>
          <w:rFonts w:ascii="Times New Roman" w:hAnsi="Times New Roman"/>
          <w:color w:val="000000"/>
          <w:sz w:val="24"/>
        </w:rPr>
        <w:t>means the value of this Warrant based on the Black-Scholes Option Pricing Model obtained from the “OV” function on Bloomberg determined as of the day of consummation of the applicable Fundamental Transaction for pricing purposes and</w:t>
      </w:r>
      <w:r>
        <w:rPr>
          <w:color w:val="00000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reflecting (A) a risk-free interest rate corresponding to the U.S. Treasury rate for a period equal to the time between the date of the public announcement of the applicable contemplated Fundamental Transaction and the Termination Date, (B) an expected volatility equal to the greater of 100% and the 100 day volatility obtained from the HVT function on Bloomberg (determined utilizing a 365 day annualization factor) as of the Trading Day of the public announcement of the applicable contemplated Fundamental Transaction, (C) the underlying price per share used in such calculation shall be the greater of (i) the sum of the price per share being offered in cash, if any, plus the value of any non-cash consideration, if any, being offered in such Fundamental Transaction and (ii) the highest VWAP during the period beginning on the Trading Day immediately preceding the announcement of the applicable contemplated Fundamental Transaction (or the consummation of the applicable Fundamental Transaction, if earlier) and ending on the Trading Day of the Holder’s request pursuant to this Section 3(e) and (D) a remaining option time equal to the time between the date of the public announcement of the applicable contemplated Fundamental Transaction and the Termination Date and (E) a zero cost of borrow. The payment of the Black Scholes Value will be made by wire transfer of immediately available funds (or such other consideration) within the later of (i) five Business Days of the Holder’s election and (ii) the date of consummation of the Fundamental Transaction.</w:t>
      </w:r>
      <w:r>
        <w:rPr>
          <w:color w:val="000000"/>
        </w:rPr>
        <w:t xml:space="preserve"> </w:t>
      </w:r>
      <w:r>
        <w:rPr>
          <w:rFonts w:ascii="Times New Roman" w:hAnsi="Times New Roman"/>
          <w:color w:val="000000"/>
          <w:sz w:val="24"/>
        </w:rPr>
        <w:t>The Company shall cause any successor entity in a Fundamental Transaction in which the Company is not the survivor (the “</w:t>
      </w:r>
      <w:r>
        <w:rPr>
          <w:rFonts w:ascii="Times New Roman" w:hAnsi="Times New Roman"/>
          <w:color w:val="000000"/>
          <w:sz w:val="24"/>
          <w:u w:val="single"/>
        </w:rPr>
        <w:t>Successor Entity</w:t>
      </w:r>
      <w:r>
        <w:rPr>
          <w:color w:val="000000"/>
        </w:rPr>
        <w:t>”</w:t>
      </w:r>
      <w:r>
        <w:rPr>
          <w:rFonts w:ascii="Times New Roman" w:hAnsi="Times New Roman"/>
          <w:color w:val="000000"/>
          <w:sz w:val="24"/>
        </w:rPr>
        <w:t>) to assume in writing all of the obligations of the Company under this Warrant and the other Transaction Documents in accordance with the provisions of this Section 3(e)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and the other Transaction Documents with the same effect as if the Company and such Successor Entity or Successor</w:t>
      </w:r>
      <w:r>
        <w:rPr>
          <w:color w:val="00000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Entities, jointly and severally, had been named as the Company herein. For the avoidance of doubt, the Holder shall be entitled to the benefits of the provisions of this Section 3(e) regardless of (i) whether the Company has sufficient authorized shares of Common Stock for the issuance of Warrant Shares and/or (ii) whether a Fundamental Transaction occurs prior to the Initial Exercise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u w:val="single"/>
        </w:rPr>
        <w:t>Calculations</w:t>
      </w:r>
      <w:r>
        <w:rPr>
          <w:rFonts w:ascii="Times New Roman" w:hAnsi="Times New Roman"/>
          <w:color w:val="000000"/>
          <w:sz w:val="24"/>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rFonts w:ascii="Times New Roman" w:hAnsi="Times New Roman"/>
          <w:color w:val="000000"/>
          <w:sz w:val="24"/>
          <w:u w:val="single"/>
        </w:rPr>
        <w:t>Notice to Holder</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u w:val="single"/>
        </w:rPr>
        <w:t>Adjustment to Exercise Price</w:t>
      </w:r>
      <w:r>
        <w:rPr>
          <w:rFonts w:ascii="Times New Roman" w:hAnsi="Times New Roman"/>
          <w:color w:val="000000"/>
          <w:sz w:val="24"/>
        </w:rPr>
        <w:t xml:space="preserve">.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u w:val="single"/>
        </w:rPr>
        <w:t>Notice to Allow Exercise by Holder</w:t>
      </w:r>
      <w:r>
        <w:rPr>
          <w:rFonts w:ascii="Times New Roman" w:hAnsi="Times New Roman"/>
          <w:color w:val="000000"/>
          <w:sz w:val="24"/>
        </w:rPr>
        <w:t xml:space="preserve">.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Fundamental Transaction,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pPr>
      <w:r>
        <w:rPr>
          <w:rFonts w:ascii="Times New Roman" w:hAnsi="Times New Roman"/>
          <w:color w:val="000000"/>
          <w:sz w:val="24"/>
          <w:u w:val="single"/>
        </w:rPr>
        <w:t>Voluntary Adjustment By Company</w:t>
      </w:r>
      <w:r>
        <w:rPr>
          <w:rFonts w:ascii="Times New Roman" w:hAnsi="Times New Roman"/>
          <w:color w:val="000000"/>
          <w:sz w:val="24"/>
        </w:rPr>
        <w:t>. Subject to the rules and regulations of the Trading Market, the Company may at any time during the term of this Warrant reduce the then current Exercise Price to any amount and for any period of time deemed appropriate by the board of directors of the Company.</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4</w:t>
      </w:r>
      <w:r>
        <w:rPr>
          <w:rFonts w:ascii="Times New Roman" w:hAnsi="Times New Roman"/>
          <w:color w:val="000000"/>
          <w:sz w:val="24"/>
        </w:rPr>
        <w:t xml:space="preserve">. </w:t>
      </w:r>
      <w:r>
        <w:rPr>
          <w:rFonts w:ascii="Times New Roman" w:hAnsi="Times New Roman"/>
          <w:color w:val="000000"/>
          <w:sz w:val="24"/>
          <w:u w:val="single"/>
        </w:rPr>
        <w:t>Transfer of Warrant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Transferability</w:t>
      </w:r>
      <w:r>
        <w:rPr>
          <w:rFonts w:ascii="Times New Roman" w:hAnsi="Times New Roman"/>
          <w:color w:val="000000"/>
          <w:sz w:val="24"/>
        </w:rPr>
        <w:t>. Subject to compliance with any applicable securities laws and the conditions set forth in Section 4(d) hereof and to the provisions of Section 4.1 of the Purchase Agreement,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w:t>
      </w:r>
      <w:r>
        <w:rPr>
          <w:color w:val="0000FF"/>
        </w:rPr>
        <w:t xml:space="preserve"> </w:t>
      </w:r>
      <w:r>
        <w:rPr>
          <w:rFonts w:ascii="Times New Roman" w:hAnsi="Times New Roman"/>
          <w:color w:val="000000"/>
          <w:sz w:val="24"/>
        </w:rPr>
        <w:t xml:space="preserve">The Warrant, if properly assigned in accordance herewith, may be exercised by a new holder for the purchase of Warrant Shares without having a new Warrant issued.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New Warrants</w:t>
      </w:r>
      <w:r>
        <w:rPr>
          <w:rFonts w:ascii="Times New Roman" w:hAnsi="Times New Roman"/>
          <w:color w:val="000000"/>
          <w:sz w:val="24"/>
        </w:rPr>
        <w:t xml:space="preserve">.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Exercise Date and shall be identical with this Warrant except as to the number of Warrant Shares issuable pursuant thereto.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Warrant Register</w:t>
      </w:r>
      <w:r>
        <w:rPr>
          <w:rFonts w:ascii="Times New Roman" w:hAnsi="Times New Roman"/>
          <w:color w:val="000000"/>
          <w:sz w:val="24"/>
        </w:rPr>
        <w:t>. The Company shall register this Warrant, upon records to be maintained by the Company for that purpose (the “</w:t>
      </w:r>
      <w:r>
        <w:rPr>
          <w:rFonts w:ascii="Times New Roman" w:hAnsi="Times New Roman"/>
          <w:color w:val="000000"/>
          <w:sz w:val="24"/>
          <w:u w:val="single"/>
        </w:rPr>
        <w:t>Warrant Register</w:t>
      </w:r>
      <w:r>
        <w:rPr>
          <w:color w:val="000000"/>
        </w:rPr>
        <w:t>”</w:t>
      </w:r>
      <w:r>
        <w:rPr>
          <w:rFonts w:ascii="Times New Roman" w:hAnsi="Times New Roman"/>
          <w:color w:val="000000"/>
          <w:sz w:val="24"/>
        </w:rPr>
        <w:t xml:space="preserve">), in the name </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Transfer Restrictions</w:t>
      </w:r>
      <w:r>
        <w:rPr>
          <w:rFonts w:ascii="Times New Roman" w:hAnsi="Times New Roman"/>
          <w:color w:val="000000"/>
          <w:sz w:val="24"/>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comply with the provisions of Section 5.7 of the Purchase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Representation by the Holder</w:t>
      </w:r>
      <w:r>
        <w:rPr>
          <w:rFonts w:ascii="Times New Roman" w:hAnsi="Times New Roman"/>
          <w:color w:val="000000"/>
          <w:sz w:val="24"/>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5</w:t>
      </w:r>
      <w:r>
        <w:rPr>
          <w:rFonts w:ascii="Times New Roman" w:hAnsi="Times New Roman"/>
          <w:color w:val="000000"/>
          <w:sz w:val="24"/>
        </w:rPr>
        <w:t xml:space="preserve">. </w:t>
      </w:r>
      <w:r>
        <w:rPr>
          <w:rFonts w:ascii="Times New Roman" w:hAnsi="Times New Roman"/>
          <w:color w:val="000000"/>
          <w:sz w:val="24"/>
          <w:u w:val="single"/>
        </w:rPr>
        <w:t>Miscellaneous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No Rights as Stockholder Until Exercise; No Settlement in Cash</w:t>
      </w:r>
      <w:r>
        <w:rPr>
          <w:rFonts w:ascii="Times New Roman" w:hAnsi="Times New Roman"/>
          <w:color w:val="000000"/>
          <w:sz w:val="24"/>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Loss, Theft, Destruction or Mutilation of Warrant</w:t>
      </w:r>
      <w:r>
        <w:rPr>
          <w:rFonts w:ascii="Times New Roman" w:hAnsi="Times New Roman"/>
          <w:color w:val="000000"/>
          <w:sz w:val="24"/>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Saturdays, Sundays, Holidays, etc</w:t>
      </w:r>
      <w:r>
        <w:rPr>
          <w:rFonts w:ascii="Times New Roman" w:hAnsi="Times New Roman"/>
          <w:color w:val="000000"/>
          <w:sz w:val="24"/>
        </w:rPr>
        <w:t>.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Authorized Shares</w:t>
      </w:r>
      <w:r>
        <w:rPr>
          <w:rFonts w:ascii="Times New Roman" w:hAnsi="Times New Roman"/>
          <w:color w:val="000000"/>
          <w:sz w:val="24"/>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Jurisdiction</w:t>
      </w:r>
      <w:r>
        <w:rPr>
          <w:rFonts w:ascii="Times New Roman" w:hAnsi="Times New Roman"/>
          <w:color w:val="000000"/>
          <w:sz w:val="24"/>
        </w:rPr>
        <w:t>. All questions concerning the construction, validity, enforcement and interpretation of this Warrant shall be determined in accordance with the provisions of the Purchase Agreement.</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u w:val="single"/>
        </w:rPr>
        <w:t>Restrictions</w:t>
      </w:r>
      <w:r>
        <w:rPr>
          <w:rFonts w:ascii="Times New Roman" w:hAnsi="Times New Roman"/>
          <w:color w:val="000000"/>
          <w:sz w:val="24"/>
        </w:rPr>
        <w:t>. The Holder acknowledges that the Warrant Shares acquired upon the exercise of this Warrant, if not registered, and the Holder does not utilize cashless exercise, will have restrictions upon resale imposed by state and federal securities laws.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rFonts w:ascii="Times New Roman" w:hAnsi="Times New Roman"/>
          <w:color w:val="000000"/>
          <w:sz w:val="24"/>
          <w:u w:val="single"/>
        </w:rPr>
        <w:t>Nonwaiver and Expenses</w:t>
      </w:r>
      <w:r>
        <w:rPr>
          <w:rFonts w:ascii="Times New Roman" w:hAnsi="Times New Roman"/>
          <w:color w:val="000000"/>
          <w:sz w:val="24"/>
        </w:rPr>
        <w:t>. No course of dealing or any delay or failure to exercise any right hereunder on the part of Holder shall operate as a waiver of such right or otherwise prejudice the Holder’s rights, powers or remedies.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pPr>
      <w:r>
        <w:rPr>
          <w:rFonts w:ascii="Times New Roman" w:hAnsi="Times New Roman"/>
          <w:color w:val="000000"/>
          <w:sz w:val="24"/>
          <w:u w:val="single"/>
        </w:rPr>
        <w:t>Notices</w:t>
      </w:r>
      <w:r>
        <w:rPr>
          <w:rFonts w:ascii="Times New Roman" w:hAnsi="Times New Roman"/>
          <w:color w:val="000000"/>
          <w:sz w:val="24"/>
        </w:rPr>
        <w:t>. Any notice, request or other document required or permitted to be given or delivered to the Holder by the Company shall be delivered in accordance with the notice provisions of the Purchase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u w:val="single"/>
        </w:rPr>
        <w:t>Limitation of Liability</w:t>
      </w:r>
      <w:r>
        <w:rPr>
          <w:rFonts w:ascii="Times New Roman" w:hAnsi="Times New Roman"/>
          <w:color w:val="000000"/>
          <w:sz w:val="24"/>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pPr>
      <w:r>
        <w:rPr>
          <w:rFonts w:ascii="Times New Roman" w:hAnsi="Times New Roman"/>
          <w:color w:val="000000"/>
          <w:sz w:val="24"/>
          <w:u w:val="single"/>
        </w:rPr>
        <w:t>Remedies</w:t>
      </w:r>
      <w:r>
        <w:rPr>
          <w:rFonts w:ascii="Times New Roman" w:hAnsi="Times New Roman"/>
          <w:color w:val="000000"/>
          <w:sz w:val="24"/>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w:t>
      </w:r>
    </w:p>
    <w:p>
      <w:pPr>
        <w:pStyle w:val="TextBody"/>
        <w:bidi w:val="0"/>
        <w:spacing w:before="0" w:after="240"/>
        <w:jc w:val="both"/>
        <w:rPr/>
      </w:pPr>
      <w:r>
        <w:rPr>
          <w:rFonts w:ascii="Times New Roman" w:hAnsi="Times New Roman"/>
          <w:color w:val="000000"/>
          <w:sz w:val="24"/>
          <w:u w:val="single"/>
        </w:rPr>
        <w:t>Successors and Assigns</w:t>
      </w:r>
      <w:r>
        <w:rPr>
          <w:rFonts w:ascii="Times New Roman" w:hAnsi="Times New Roman"/>
          <w:color w:val="000000"/>
          <w:sz w:val="24"/>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w:t>
      </w:r>
    </w:p>
    <w:p>
      <w:pPr>
        <w:pStyle w:val="TextBody"/>
        <w:bidi w:val="0"/>
        <w:spacing w:before="0" w:after="240"/>
        <w:jc w:val="both"/>
        <w:rPr/>
      </w:pPr>
      <w:r>
        <w:rPr>
          <w:rFonts w:ascii="Times New Roman" w:hAnsi="Times New Roman"/>
          <w:color w:val="000000"/>
          <w:sz w:val="24"/>
          <w:u w:val="single"/>
        </w:rPr>
        <w:t>Amendment</w:t>
      </w:r>
      <w:r>
        <w:rPr>
          <w:rFonts w:ascii="Times New Roman" w:hAnsi="Times New Roman"/>
          <w:color w:val="000000"/>
          <w:sz w:val="24"/>
        </w:rPr>
        <w:t>. Other than Section 2(e) above and this Section 5(l), which may not be amended, modified or waived, this Warrant may be modified or amended or the provisions hereof waived with the written consent of the Company and the Holder.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w:t>
      </w:r>
    </w:p>
    <w:p>
      <w:pPr>
        <w:pStyle w:val="TextBody"/>
        <w:bidi w:val="0"/>
        <w:spacing w:before="0" w:after="240"/>
        <w:jc w:val="both"/>
        <w:rPr/>
      </w:pPr>
      <w:r>
        <w:rPr>
          <w:rFonts w:ascii="Times New Roman" w:hAnsi="Times New Roman"/>
          <w:color w:val="000000"/>
          <w:sz w:val="24"/>
          <w:u w:val="single"/>
        </w:rPr>
        <w:t>Severability</w:t>
      </w:r>
      <w:r>
        <w:rPr>
          <w:rFonts w:ascii="Times New Roman" w:hAnsi="Times New Roman"/>
          <w:color w:val="000000"/>
          <w:sz w:val="24"/>
        </w:rPr>
        <w:t xml:space="preserve">. Wherever possible, each provision of this Warrant shall be interpreted in such manner as to be effective and valid under applicable law, but if any provision of this Warrant shall be prohibited by or invalid under applicable law, such </w:t>
      </w:r>
    </w:p>
    <w:p>
      <w:pPr>
        <w:pStyle w:val="TextBody"/>
        <w:bidi w:val="0"/>
        <w:jc w:val="center"/>
        <w:rPr>
          <w:rFonts w:ascii="Times New Roman" w:hAnsi="Times New Roman"/>
          <w:color w:val="000000"/>
          <w:sz w:val="24"/>
        </w:rPr>
      </w:pPr>
      <w:r>
        <w:rPr>
          <w:rFonts w:ascii="Times New Roman" w:hAnsi="Times New Roman"/>
          <w:color w:val="000000"/>
          <w:sz w:val="24"/>
        </w:rPr>
        <w:t>16</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provision shall be ineffective to the extent of such prohibition or invalidity, without invalidating the remainder of such provisions or the remaining provisions of this Warrant.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w:t>
      </w:r>
    </w:p>
    <w:p>
      <w:pPr>
        <w:pStyle w:val="TextBody"/>
        <w:bidi w:val="0"/>
        <w:spacing w:before="0" w:after="240"/>
        <w:jc w:val="both"/>
        <w:rPr/>
      </w:pPr>
      <w:r>
        <w:rPr>
          <w:rFonts w:ascii="Times New Roman" w:hAnsi="Times New Roman"/>
          <w:color w:val="000000"/>
          <w:sz w:val="24"/>
          <w:u w:val="single"/>
        </w:rPr>
        <w:t>Headings</w:t>
      </w:r>
      <w:r>
        <w:rPr>
          <w:rFonts w:ascii="Times New Roman" w:hAnsi="Times New Roman"/>
          <w:color w:val="000000"/>
          <w:sz w:val="24"/>
        </w:rPr>
        <w:t>. The headings used in this Warrant are for the convenience of reference only and shall not, for any purpose, be deemed a part of this Warrant.</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w:t>
      </w:r>
    </w:p>
    <w:p>
      <w:pPr>
        <w:pStyle w:val="TextBody"/>
        <w:bidi w:val="0"/>
        <w:jc w:val="center"/>
        <w:rPr/>
      </w:pPr>
      <w:r>
        <w:rPr/>
        <w:t> </w:t>
      </w:r>
    </w:p>
    <w:p>
      <w:pPr>
        <w:pStyle w:val="TextBody"/>
        <w:bidi w:val="0"/>
        <w:jc w:val="center"/>
        <w:rPr/>
      </w:pPr>
      <w:r>
        <w:rPr/>
        <w:t> </w:t>
      </w:r>
    </w:p>
    <w:p>
      <w:pPr>
        <w:pStyle w:val="Heading2"/>
        <w:bidi w:val="0"/>
        <w:spacing w:before="0" w:after="240"/>
        <w:jc w:val="center"/>
        <w:rPr>
          <w:rFonts w:ascii="Times New Roman" w:hAnsi="Times New Roman"/>
          <w:b w:val="false"/>
          <w:i/>
          <w:color w:val="000000"/>
          <w:sz w:val="24"/>
        </w:rPr>
      </w:pPr>
      <w:r>
        <w:rPr>
          <w:rFonts w:ascii="Times New Roman" w:hAnsi="Times New Roman"/>
          <w:b w:val="false"/>
          <w:i/>
          <w:color w:val="000000"/>
          <w:sz w:val="24"/>
        </w:rPr>
        <w:t>(Signature Page Follows)</w:t>
      </w:r>
    </w:p>
    <w:p>
      <w:pPr>
        <w:pStyle w:val="TextBody"/>
        <w:bidi w:val="0"/>
        <w:jc w:val="center"/>
        <w:rPr>
          <w:rFonts w:ascii="Times New Roman" w:hAnsi="Times New Roman"/>
          <w:color w:val="000000"/>
          <w:sz w:val="24"/>
        </w:rPr>
      </w:pPr>
      <w:r>
        <w:rPr>
          <w:rFonts w:ascii="Times New Roman" w:hAnsi="Times New Roman"/>
          <w:color w:val="000000"/>
          <w:sz w:val="24"/>
        </w:rPr>
        <w:t>17</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WITNESS WHEREOF, the Company has caused this Warrant to be executed by its officer thereunto duly authorized as of the date first above indicated.</w:t>
      </w:r>
    </w:p>
    <w:p>
      <w:pPr>
        <w:pStyle w:val="TextBody"/>
        <w:bidi w:val="0"/>
        <w:jc w:val="both"/>
        <w:rPr/>
      </w:pPr>
      <w:r>
        <w:rPr/>
        <w:t> </w:t>
      </w:r>
    </w:p>
    <w:tbl>
      <w:tblPr>
        <w:tblW w:w="5697" w:type="dxa"/>
        <w:jc w:val="left"/>
        <w:tblInd w:w="0" w:type="dxa"/>
        <w:tblLayout w:type="fixed"/>
        <w:tblCellMar>
          <w:top w:w="28" w:type="dxa"/>
          <w:left w:w="28" w:type="dxa"/>
          <w:bottom w:w="28" w:type="dxa"/>
          <w:right w:w="28" w:type="dxa"/>
        </w:tblCellMar>
      </w:tblPr>
      <w:tblGrid>
        <w:gridCol w:w="161"/>
        <w:gridCol w:w="5536"/>
      </w:tblGrid>
      <w:tr>
        <w:trPr/>
        <w:tc>
          <w:tcPr>
            <w:tcW w:w="161" w:type="dxa"/>
            <w:tcBorders/>
            <w:vAlign w:val="center"/>
          </w:tcPr>
          <w:p>
            <w:pPr>
              <w:pStyle w:val="TableContents"/>
              <w:bidi w:val="0"/>
              <w:spacing w:before="0" w:after="283"/>
              <w:jc w:val="left"/>
              <w:rPr>
                <w:sz w:val="4"/>
                <w:szCs w:val="4"/>
              </w:rPr>
            </w:pPr>
            <w:r>
              <w:rPr>
                <w:sz w:val="4"/>
                <w:szCs w:val="4"/>
              </w:rPr>
            </w:r>
          </w:p>
        </w:tc>
        <w:tc>
          <w:tcPr>
            <w:tcW w:w="553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536" w:type="dxa"/>
            <w:tcBorders/>
            <w:tcMar>
              <w:top w:w="0" w:type="dxa"/>
              <w:left w:w="0" w:type="dxa"/>
              <w:bottom w:w="0" w:type="dxa"/>
              <w:right w:w="0" w:type="dxa"/>
            </w:tcMar>
            <w:vAlign w:val="center"/>
          </w:tcPr>
          <w:p>
            <w:pPr>
              <w:pStyle w:val="TableContents"/>
              <w:bidi w:val="0"/>
              <w:jc w:val="left"/>
              <w:rPr>
                <w:rFonts w:ascii="Times New Roman" w:hAnsi="Times New Roman"/>
                <w:b/>
                <w:caps/>
                <w:color w:val="000000"/>
                <w:sz w:val="24"/>
              </w:rPr>
            </w:pPr>
            <w:r>
              <w:rPr>
                <w:rFonts w:ascii="Times New Roman" w:hAnsi="Times New Roman"/>
                <w:b/>
                <w:caps/>
                <w:color w:val="000000"/>
                <w:sz w:val="24"/>
              </w:rPr>
              <w:t>bLAIZE HOLDINGS, INC.</w:t>
            </w:r>
          </w:p>
          <w:p>
            <w:pPr>
              <w:pStyle w:val="TableContents"/>
              <w:bidi w:val="0"/>
              <w:jc w:val="left"/>
              <w:rPr/>
            </w:pPr>
            <w:r>
              <w:rPr/>
              <w:t> </w:t>
            </w:r>
          </w:p>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53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By:__________________________________________</w:t>
            </w:r>
          </w:p>
          <w:p>
            <w:pPr>
              <w:pStyle w:val="TableContents"/>
              <w:bidi w:val="0"/>
              <w:jc w:val="left"/>
              <w:rPr>
                <w:color w:val="000000"/>
              </w:rPr>
            </w:pPr>
            <w:r>
              <w:rPr>
                <w:color w:val="000000"/>
              </w:rPr>
              <w:t>     </w:t>
            </w:r>
            <w:r>
              <w:rPr>
                <w:rFonts w:ascii="Times New Roman" w:hAnsi="Times New Roman"/>
                <w:color w:val="000000"/>
                <w:sz w:val="24"/>
              </w:rPr>
              <w:t>Name:</w:t>
            </w:r>
          </w:p>
          <w:p>
            <w:pPr>
              <w:pStyle w:val="TableContents"/>
              <w:bidi w:val="0"/>
              <w:jc w:val="left"/>
              <w:rPr>
                <w:color w:val="000000"/>
              </w:rPr>
            </w:pPr>
            <w:r>
              <w:rPr>
                <w:color w:val="000000"/>
              </w:rPr>
              <w:t>     </w:t>
            </w:r>
            <w:r>
              <w:rPr>
                <w:rFonts w:ascii="Times New Roman" w:hAnsi="Times New Roman"/>
                <w:color w:val="000000"/>
                <w:sz w:val="24"/>
              </w:rPr>
              <w:t>Title:</w:t>
            </w:r>
          </w:p>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18</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NOTICE OF EXERCISE</w:t>
      </w:r>
    </w:p>
    <w:p>
      <w:pPr>
        <w:pStyle w:val="TextBody"/>
        <w:bidi w:val="0"/>
        <w:jc w:val="both"/>
        <w:rPr/>
      </w:pPr>
      <w:r>
        <w:rPr/>
        <w:t> </w:t>
      </w:r>
    </w:p>
    <w:p>
      <w:pPr>
        <w:pStyle w:val="TextBody"/>
        <w:bidi w:val="0"/>
        <w:jc w:val="both"/>
        <w:rPr>
          <w:rFonts w:ascii="Times New Roman" w:hAnsi="Times New Roman"/>
          <w:caps/>
          <w:color w:val="000000"/>
          <w:sz w:val="24"/>
        </w:rPr>
      </w:pPr>
      <w:r>
        <w:rPr>
          <w:rFonts w:ascii="Times New Roman" w:hAnsi="Times New Roman"/>
          <w:caps/>
          <w:color w:val="000000"/>
          <w:sz w:val="24"/>
        </w:rPr>
        <w:t>To: BLAIZE HOLDINGS, INC.____________________</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Payment shall take the form of (check applicable box):</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 in lawful money of the United States;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Please issue said Warrant Shares in the name of the undersigned or in such other name as is specified below:</w:t>
      </w:r>
    </w:p>
    <w:p>
      <w:pPr>
        <w:pStyle w:val="TextBody"/>
        <w:bidi w:val="0"/>
        <w:jc w:val="both"/>
        <w:rPr>
          <w:rFonts w:ascii="Times New Roman" w:hAnsi="Times New Roman"/>
          <w:color w:val="000000"/>
          <w:sz w:val="24"/>
        </w:rPr>
      </w:pPr>
      <w:r>
        <w:rPr>
          <w:rFonts w:ascii="Times New Roman" w:hAnsi="Times New Roman"/>
          <w:color w:val="000000"/>
          <w:sz w:val="24"/>
        </w:rPr>
        <w:t>_______________________________</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Warrant Shares shall be delivered to the following DWAC Account Number:</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_______________________________</w:t>
      </w:r>
    </w:p>
    <w:p>
      <w:pPr>
        <w:pStyle w:val="TextBody"/>
        <w:bidi w:val="0"/>
        <w:jc w:val="both"/>
        <w:rPr>
          <w:rFonts w:ascii="Times New Roman" w:hAnsi="Times New Roman"/>
          <w:color w:val="000000"/>
          <w:sz w:val="24"/>
        </w:rPr>
      </w:pPr>
      <w:r>
        <w:rPr>
          <w:rFonts w:ascii="Times New Roman" w:hAnsi="Times New Roman"/>
          <w:color w:val="000000"/>
          <w:sz w:val="24"/>
        </w:rPr>
        <w:t>_______________________________</w:t>
      </w:r>
    </w:p>
    <w:p>
      <w:pPr>
        <w:pStyle w:val="TextBody"/>
        <w:bidi w:val="0"/>
        <w:jc w:val="both"/>
        <w:rPr>
          <w:rFonts w:ascii="Times New Roman" w:hAnsi="Times New Roman"/>
          <w:color w:val="000000"/>
          <w:sz w:val="24"/>
        </w:rPr>
      </w:pPr>
      <w:r>
        <w:rPr>
          <w:rFonts w:ascii="Times New Roman" w:hAnsi="Times New Roman"/>
          <w:color w:val="000000"/>
          <w:sz w:val="24"/>
        </w:rPr>
        <w:t>_______________________________</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(4) </w:t>
      </w:r>
      <w:r>
        <w:rPr>
          <w:rFonts w:ascii="Times New Roman" w:hAnsi="Times New Roman"/>
          <w:color w:val="000000"/>
          <w:sz w:val="24"/>
          <w:u w:val="single"/>
        </w:rPr>
        <w:t>Accredited Investor</w:t>
      </w:r>
      <w:r>
        <w:rPr>
          <w:rFonts w:ascii="Times New Roman" w:hAnsi="Times New Roman"/>
          <w:color w:val="000000"/>
          <w:sz w:val="24"/>
        </w:rPr>
        <w:t>. The undersigned is an “accredited investor” as defined in Regulation D promulgated under the Securities Act of 1933, as amended.</w:t>
      </w:r>
    </w:p>
    <w:p>
      <w:pPr>
        <w:pStyle w:val="TextBody"/>
        <w:bidi w:val="0"/>
        <w:jc w:val="both"/>
        <w:rPr/>
      </w:pPr>
      <w:r>
        <w:rPr/>
        <w:t> </w:t>
      </w:r>
    </w:p>
    <w:p>
      <w:pPr>
        <w:pStyle w:val="TextBody"/>
        <w:bidi w:val="0"/>
        <w:jc w:val="both"/>
        <w:rPr>
          <w:rFonts w:ascii="Times New Roman" w:hAnsi="Times New Roman"/>
          <w:caps/>
          <w:color w:val="000000"/>
          <w:sz w:val="24"/>
        </w:rPr>
      </w:pPr>
      <w:r>
        <w:rPr>
          <w:rFonts w:ascii="Times New Roman" w:hAnsi="Times New Roman"/>
          <w:caps/>
          <w:color w:val="000000"/>
          <w:sz w:val="24"/>
        </w:rPr>
        <w:t>[SIGNATURE OF HOLDER]</w:t>
      </w:r>
    </w:p>
    <w:p>
      <w:pPr>
        <w:pStyle w:val="TextBody"/>
        <w:bidi w:val="0"/>
        <w:jc w:val="both"/>
        <w:rPr>
          <w:rFonts w:ascii="Times New Roman" w:hAnsi="Times New Roman"/>
          <w:color w:val="000000"/>
          <w:sz w:val="24"/>
        </w:rPr>
      </w:pPr>
      <w:r>
        <w:rPr>
          <w:rFonts w:ascii="Times New Roman" w:hAnsi="Times New Roman"/>
          <w:color w:val="000000"/>
          <w:sz w:val="24"/>
        </w:rPr>
        <w:t>Name of Investing Entity: __________________________________________________________________</w:t>
      </w:r>
    </w:p>
    <w:p>
      <w:pPr>
        <w:pStyle w:val="TextBody"/>
        <w:bidi w:val="0"/>
        <w:jc w:val="both"/>
        <w:rPr>
          <w:rFonts w:ascii="Times New Roman" w:hAnsi="Times New Roman"/>
          <w:sz w:val="20"/>
        </w:rPr>
      </w:pPr>
      <w:r>
        <w:rPr>
          <w:rFonts w:ascii="Times New Roman" w:hAnsi="Times New Roman"/>
          <w:i/>
          <w:color w:val="000000"/>
          <w:sz w:val="24"/>
        </w:rPr>
        <w:t>Signature of Authorized Signatory of Investing Entity</w:t>
      </w:r>
      <w:r>
        <w:rPr>
          <w:rFonts w:ascii="Times New Roman" w:hAnsi="Times New Roman"/>
          <w:color w:val="000000"/>
          <w:sz w:val="24"/>
        </w:rPr>
        <w:t>: ___________________________________________</w:t>
      </w:r>
    </w:p>
    <w:p>
      <w:pPr>
        <w:pStyle w:val="TextBody"/>
        <w:bidi w:val="0"/>
        <w:jc w:val="both"/>
        <w:rPr>
          <w:rFonts w:ascii="Times New Roman" w:hAnsi="Times New Roman"/>
          <w:color w:val="000000"/>
          <w:sz w:val="24"/>
        </w:rPr>
      </w:pPr>
      <w:r>
        <w:rPr>
          <w:rFonts w:ascii="Times New Roman" w:hAnsi="Times New Roman"/>
          <w:color w:val="000000"/>
          <w:sz w:val="24"/>
        </w:rPr>
        <w:t>Name of Authorized Signatory: _____________________________________________________________</w:t>
      </w:r>
    </w:p>
    <w:p>
      <w:pPr>
        <w:pStyle w:val="TextBody"/>
        <w:bidi w:val="0"/>
        <w:jc w:val="both"/>
        <w:rPr>
          <w:rFonts w:ascii="Times New Roman" w:hAnsi="Times New Roman"/>
          <w:color w:val="000000"/>
          <w:sz w:val="24"/>
        </w:rPr>
      </w:pPr>
      <w:r>
        <w:rPr>
          <w:rFonts w:ascii="Times New Roman" w:hAnsi="Times New Roman"/>
          <w:color w:val="000000"/>
          <w:sz w:val="24"/>
        </w:rPr>
        <w:t>Title of Authorized Signatory: ______________________________________________________________</w:t>
      </w:r>
    </w:p>
    <w:p>
      <w:pPr>
        <w:pStyle w:val="TextBody"/>
        <w:bidi w:val="0"/>
        <w:jc w:val="both"/>
        <w:rPr>
          <w:rFonts w:ascii="Times New Roman" w:hAnsi="Times New Roman"/>
          <w:color w:val="000000"/>
          <w:sz w:val="24"/>
        </w:rPr>
      </w:pPr>
      <w:r>
        <w:rPr>
          <w:rFonts w:ascii="Times New Roman" w:hAnsi="Times New Roman"/>
          <w:color w:val="000000"/>
          <w:sz w:val="24"/>
        </w:rPr>
        <w:t>Date: __________________________________________________________________________________</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right"/>
        <w:rPr>
          <w:rFonts w:ascii="Times New Roman" w:hAnsi="Times New Roman"/>
          <w:b/>
          <w:color w:val="000000"/>
          <w:sz w:val="24"/>
        </w:rPr>
      </w:pPr>
      <w:r>
        <w:rPr>
          <w:rFonts w:ascii="Times New Roman" w:hAnsi="Times New Roman"/>
          <w:b/>
          <w:color w:val="000000"/>
          <w:sz w:val="24"/>
        </w:rPr>
        <w:t>EXHIBIT B</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ASSIGNMENT FORM</w:t>
      </w:r>
    </w:p>
    <w:p>
      <w:pPr>
        <w:pStyle w:val="TextBody"/>
        <w:bidi w:val="0"/>
        <w:spacing w:before="0" w:after="120"/>
        <w:jc w:val="left"/>
        <w:rPr>
          <w:rFonts w:ascii="Times New Roman" w:hAnsi="Times New Roman"/>
          <w:i/>
          <w:color w:val="000000"/>
          <w:sz w:val="24"/>
        </w:rPr>
      </w:pPr>
      <w:r>
        <w:rPr>
          <w:rFonts w:ascii="Times New Roman" w:hAnsi="Times New Roman"/>
          <w:i/>
          <w:color w:val="000000"/>
          <w:sz w:val="24"/>
        </w:rPr>
        <w:t>(To assign the foregoing Warrant, execute this form and supply required information. Do not use this form to purchase shares.)</w:t>
      </w:r>
    </w:p>
    <w:p>
      <w:pPr>
        <w:pStyle w:val="TextBody"/>
        <w:bidi w:val="0"/>
        <w:spacing w:before="0" w:after="120"/>
        <w:jc w:val="left"/>
        <w:rPr/>
      </w:pPr>
      <w:r>
        <w:rPr/>
        <w:t> </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FOR VALUE RECEIVED, the foregoing Warrant and all rights evidenced thereby are hereby assigned to</w:t>
      </w:r>
    </w:p>
    <w:tbl>
      <w:tblPr>
        <w:tblW w:w="9737" w:type="dxa"/>
        <w:jc w:val="left"/>
        <w:tblInd w:w="0" w:type="dxa"/>
        <w:tblLayout w:type="fixed"/>
        <w:tblCellMar>
          <w:top w:w="28" w:type="dxa"/>
          <w:left w:w="28" w:type="dxa"/>
          <w:bottom w:w="28" w:type="dxa"/>
          <w:right w:w="28" w:type="dxa"/>
        </w:tblCellMar>
      </w:tblPr>
      <w:tblGrid>
        <w:gridCol w:w="5026"/>
        <w:gridCol w:w="4711"/>
      </w:tblGrid>
      <w:tr>
        <w:trPr/>
        <w:tc>
          <w:tcPr>
            <w:tcW w:w="5026" w:type="dxa"/>
            <w:tcBorders/>
            <w:vAlign w:val="center"/>
          </w:tcPr>
          <w:p>
            <w:pPr>
              <w:pStyle w:val="TableContents"/>
              <w:bidi w:val="0"/>
              <w:spacing w:before="0" w:after="283"/>
              <w:jc w:val="left"/>
              <w:rPr>
                <w:sz w:val="4"/>
                <w:szCs w:val="4"/>
              </w:rPr>
            </w:pPr>
            <w:r>
              <w:rPr>
                <w:sz w:val="4"/>
                <w:szCs w:val="4"/>
              </w:rPr>
            </w:r>
          </w:p>
        </w:tc>
        <w:tc>
          <w:tcPr>
            <w:tcW w:w="4711" w:type="dxa"/>
            <w:tcBorders/>
            <w:vAlign w:val="center"/>
          </w:tcPr>
          <w:p>
            <w:pPr>
              <w:pStyle w:val="TableContents"/>
              <w:bidi w:val="0"/>
              <w:spacing w:before="0" w:after="283"/>
              <w:jc w:val="left"/>
              <w:rPr>
                <w:sz w:val="4"/>
                <w:szCs w:val="4"/>
              </w:rPr>
            </w:pPr>
            <w:r>
              <w:rPr>
                <w:sz w:val="4"/>
                <w:szCs w:val="4"/>
              </w:rPr>
            </w:r>
          </w:p>
        </w:tc>
      </w:tr>
      <w:tr>
        <w:trPr/>
        <w:tc>
          <w:tcPr>
            <w:tcW w:w="50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Name:</w:t>
            </w:r>
          </w:p>
        </w:tc>
        <w:tc>
          <w:tcPr>
            <w:tcW w:w="47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___________________________________</w:t>
            </w:r>
          </w:p>
        </w:tc>
      </w:tr>
      <w:tr>
        <w:trPr/>
        <w:tc>
          <w:tcPr>
            <w:tcW w:w="5026" w:type="dxa"/>
            <w:tcBorders/>
            <w:tcMar>
              <w:top w:w="0" w:type="dxa"/>
              <w:left w:w="0" w:type="dxa"/>
              <w:bottom w:w="0" w:type="dxa"/>
              <w:right w:w="0" w:type="dxa"/>
            </w:tcMar>
            <w:vAlign w:val="center"/>
          </w:tcPr>
          <w:p>
            <w:pPr>
              <w:pStyle w:val="TableContents"/>
              <w:bidi w:val="0"/>
              <w:spacing w:before="0" w:after="283"/>
              <w:jc w:val="both"/>
              <w:rPr/>
            </w:pPr>
            <w:r>
              <w:rPr/>
              <w:t> </w:t>
            </w:r>
          </w:p>
        </w:tc>
        <w:tc>
          <w:tcPr>
            <w:tcW w:w="47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(Please Print)</w:t>
            </w:r>
          </w:p>
        </w:tc>
      </w:tr>
      <w:tr>
        <w:trPr/>
        <w:tc>
          <w:tcPr>
            <w:tcW w:w="5026" w:type="dxa"/>
            <w:tcBorders/>
            <w:tcMar>
              <w:top w:w="0" w:type="dxa"/>
              <w:left w:w="0" w:type="dxa"/>
              <w:bottom w:w="0" w:type="dxa"/>
              <w:right w:w="0" w:type="dxa"/>
            </w:tcMar>
            <w:vAlign w:val="center"/>
          </w:tcPr>
          <w:p>
            <w:pPr>
              <w:pStyle w:val="TableContents"/>
              <w:bidi w:val="0"/>
              <w:spacing w:before="240" w:after="283"/>
              <w:jc w:val="both"/>
              <w:rPr>
                <w:rFonts w:ascii="Times New Roman" w:hAnsi="Times New Roman"/>
                <w:color w:val="000000"/>
                <w:sz w:val="24"/>
              </w:rPr>
            </w:pPr>
            <w:r>
              <w:rPr>
                <w:rFonts w:ascii="Times New Roman" w:hAnsi="Times New Roman"/>
                <w:color w:val="000000"/>
                <w:sz w:val="24"/>
              </w:rPr>
              <w:t>Address:</w:t>
            </w:r>
          </w:p>
        </w:tc>
        <w:tc>
          <w:tcPr>
            <w:tcW w:w="4711" w:type="dxa"/>
            <w:tcBorders/>
            <w:tcMar>
              <w:top w:w="0" w:type="dxa"/>
              <w:left w:w="0" w:type="dxa"/>
              <w:bottom w:w="0" w:type="dxa"/>
              <w:right w:w="0" w:type="dxa"/>
            </w:tcMar>
            <w:vAlign w:val="center"/>
          </w:tcPr>
          <w:p>
            <w:pPr>
              <w:pStyle w:val="TableContents"/>
              <w:bidi w:val="0"/>
              <w:spacing w:before="240" w:after="283"/>
              <w:jc w:val="both"/>
              <w:rPr>
                <w:rFonts w:ascii="Times New Roman" w:hAnsi="Times New Roman"/>
                <w:color w:val="000000"/>
                <w:sz w:val="24"/>
              </w:rPr>
            </w:pPr>
            <w:r>
              <w:rPr>
                <w:rFonts w:ascii="Times New Roman" w:hAnsi="Times New Roman"/>
                <w:color w:val="000000"/>
                <w:sz w:val="24"/>
              </w:rPr>
              <w:t>___________________________________</w:t>
            </w:r>
          </w:p>
        </w:tc>
      </w:tr>
      <w:tr>
        <w:trPr/>
        <w:tc>
          <w:tcPr>
            <w:tcW w:w="5026" w:type="dxa"/>
            <w:tcBorders/>
            <w:tcMar>
              <w:top w:w="0" w:type="dxa"/>
              <w:left w:w="0" w:type="dxa"/>
              <w:bottom w:w="0" w:type="dxa"/>
              <w:right w:w="0" w:type="dxa"/>
            </w:tcMar>
            <w:vAlign w:val="center"/>
          </w:tcPr>
          <w:p>
            <w:pPr>
              <w:pStyle w:val="TableContents"/>
              <w:bidi w:val="0"/>
              <w:spacing w:before="0" w:after="240"/>
              <w:jc w:val="both"/>
              <w:rPr/>
            </w:pPr>
            <w:r>
              <w:rPr/>
              <w:t> </w:t>
            </w:r>
          </w:p>
          <w:p>
            <w:pPr>
              <w:pStyle w:val="TableContents"/>
              <w:bidi w:val="0"/>
              <w:spacing w:before="0" w:after="240"/>
              <w:jc w:val="both"/>
              <w:rPr>
                <w:rFonts w:ascii="Times New Roman" w:hAnsi="Times New Roman"/>
                <w:color w:val="000000"/>
                <w:sz w:val="24"/>
              </w:rPr>
            </w:pPr>
            <w:r>
              <w:rPr>
                <w:rFonts w:ascii="Times New Roman" w:hAnsi="Times New Roman"/>
                <w:color w:val="000000"/>
                <w:sz w:val="24"/>
              </w:rPr>
              <w:t>Phone Number:</w:t>
            </w:r>
          </w:p>
          <w:p>
            <w:pPr>
              <w:pStyle w:val="TableContents"/>
              <w:bidi w:val="0"/>
              <w:spacing w:before="0" w:after="240"/>
              <w:jc w:val="both"/>
              <w:rPr>
                <w:rFonts w:ascii="Times New Roman" w:hAnsi="Times New Roman"/>
                <w:color w:val="000000"/>
                <w:sz w:val="24"/>
              </w:rPr>
            </w:pPr>
            <w:r>
              <w:rPr>
                <w:rFonts w:ascii="Times New Roman" w:hAnsi="Times New Roman"/>
                <w:color w:val="000000"/>
                <w:sz w:val="24"/>
              </w:rPr>
              <w:t xml:space="preserve">Email Address: </w:t>
            </w:r>
          </w:p>
        </w:tc>
        <w:tc>
          <w:tcPr>
            <w:tcW w:w="4711"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4"/>
              </w:rPr>
            </w:pPr>
            <w:r>
              <w:rPr>
                <w:rFonts w:ascii="Times New Roman" w:hAnsi="Times New Roman"/>
                <w:color w:val="000000"/>
                <w:sz w:val="24"/>
              </w:rPr>
              <w:t>(Please Print)</w:t>
            </w:r>
          </w:p>
          <w:p>
            <w:pPr>
              <w:pStyle w:val="TableContents"/>
              <w:bidi w:val="0"/>
              <w:spacing w:before="0" w:after="240"/>
              <w:jc w:val="both"/>
              <w:rPr>
                <w:rFonts w:ascii="Times New Roman" w:hAnsi="Times New Roman"/>
                <w:color w:val="000000"/>
                <w:sz w:val="24"/>
              </w:rPr>
            </w:pPr>
            <w:r>
              <w:rPr>
                <w:rFonts w:ascii="Times New Roman" w:hAnsi="Times New Roman"/>
                <w:color w:val="000000"/>
                <w:sz w:val="24"/>
              </w:rPr>
              <w:t>______________________________________</w:t>
            </w:r>
          </w:p>
          <w:p>
            <w:pPr>
              <w:pStyle w:val="TableContents"/>
              <w:bidi w:val="0"/>
              <w:spacing w:before="0" w:after="240"/>
              <w:jc w:val="both"/>
              <w:rPr>
                <w:rFonts w:ascii="Times New Roman" w:hAnsi="Times New Roman"/>
                <w:color w:val="000000"/>
                <w:sz w:val="24"/>
              </w:rPr>
            </w:pPr>
            <w:r>
              <w:rPr>
                <w:rFonts w:ascii="Times New Roman" w:hAnsi="Times New Roman"/>
                <w:color w:val="000000"/>
                <w:sz w:val="24"/>
              </w:rPr>
              <w:t>______________________________________</w:t>
            </w:r>
          </w:p>
        </w:tc>
      </w:tr>
      <w:tr>
        <w:trPr/>
        <w:tc>
          <w:tcPr>
            <w:tcW w:w="5026"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4"/>
              </w:rPr>
            </w:pPr>
            <w:r>
              <w:rPr>
                <w:rFonts w:ascii="Times New Roman" w:hAnsi="Times New Roman"/>
                <w:color w:val="000000"/>
                <w:sz w:val="24"/>
              </w:rPr>
              <w:t>Dated: _______________ __, ______</w:t>
            </w:r>
          </w:p>
        </w:tc>
        <w:tc>
          <w:tcPr>
            <w:tcW w:w="4711" w:type="dxa"/>
            <w:tcBorders/>
            <w:tcMar>
              <w:top w:w="0" w:type="dxa"/>
              <w:left w:w="0" w:type="dxa"/>
              <w:bottom w:w="0" w:type="dxa"/>
              <w:right w:w="0" w:type="dxa"/>
            </w:tcMar>
            <w:vAlign w:val="center"/>
          </w:tcPr>
          <w:p>
            <w:pPr>
              <w:pStyle w:val="TableContents"/>
              <w:bidi w:val="0"/>
              <w:spacing w:before="0" w:after="240"/>
              <w:jc w:val="both"/>
              <w:rPr/>
            </w:pPr>
            <w:r>
              <w:rPr/>
              <w:t> </w:t>
            </w:r>
          </w:p>
        </w:tc>
      </w:tr>
      <w:tr>
        <w:trPr/>
        <w:tc>
          <w:tcPr>
            <w:tcW w:w="5026"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4"/>
              </w:rPr>
            </w:pPr>
            <w:r>
              <w:rPr>
                <w:rFonts w:ascii="Times New Roman" w:hAnsi="Times New Roman"/>
                <w:color w:val="000000"/>
                <w:sz w:val="24"/>
              </w:rPr>
              <w:t>Holder’s Signature: _________________________</w:t>
            </w:r>
          </w:p>
        </w:tc>
        <w:tc>
          <w:tcPr>
            <w:tcW w:w="4711" w:type="dxa"/>
            <w:tcBorders/>
            <w:tcMar>
              <w:top w:w="0" w:type="dxa"/>
              <w:left w:w="0" w:type="dxa"/>
              <w:bottom w:w="0" w:type="dxa"/>
              <w:right w:w="0" w:type="dxa"/>
            </w:tcMar>
            <w:vAlign w:val="center"/>
          </w:tcPr>
          <w:p>
            <w:pPr>
              <w:pStyle w:val="TableContents"/>
              <w:bidi w:val="0"/>
              <w:spacing w:before="0" w:after="240"/>
              <w:jc w:val="both"/>
              <w:rPr/>
            </w:pPr>
            <w:r>
              <w:rPr/>
              <w:t> </w:t>
            </w:r>
          </w:p>
        </w:tc>
      </w:tr>
      <w:tr>
        <w:trPr/>
        <w:tc>
          <w:tcPr>
            <w:tcW w:w="5026" w:type="dxa"/>
            <w:tcBorders/>
            <w:tcMar>
              <w:top w:w="0" w:type="dxa"/>
              <w:left w:w="0" w:type="dxa"/>
              <w:bottom w:w="0" w:type="dxa"/>
              <w:right w:w="0" w:type="dxa"/>
            </w:tcMar>
            <w:vAlign w:val="center"/>
          </w:tcPr>
          <w:p>
            <w:pPr>
              <w:pStyle w:val="TableContents"/>
              <w:bidi w:val="0"/>
              <w:spacing w:before="0" w:after="600"/>
              <w:jc w:val="both"/>
              <w:rPr>
                <w:rFonts w:ascii="Times New Roman" w:hAnsi="Times New Roman"/>
                <w:color w:val="000000"/>
                <w:sz w:val="24"/>
              </w:rPr>
            </w:pPr>
            <w:r>
              <w:rPr>
                <w:rFonts w:ascii="Times New Roman" w:hAnsi="Times New Roman"/>
                <w:color w:val="000000"/>
                <w:sz w:val="24"/>
              </w:rPr>
              <w:t>Holder’s Address: __________________________</w:t>
            </w:r>
          </w:p>
        </w:tc>
        <w:tc>
          <w:tcPr>
            <w:tcW w:w="4711" w:type="dxa"/>
            <w:tcBorders/>
            <w:tcMar>
              <w:top w:w="0" w:type="dxa"/>
              <w:left w:w="0" w:type="dxa"/>
              <w:bottom w:w="0" w:type="dxa"/>
              <w:right w:w="0" w:type="dxa"/>
            </w:tcMar>
            <w:vAlign w:val="center"/>
          </w:tcPr>
          <w:p>
            <w:pPr>
              <w:pStyle w:val="TableContents"/>
              <w:bidi w:val="0"/>
              <w:spacing w:before="0" w:after="600"/>
              <w:jc w:val="both"/>
              <w:rPr/>
            </w:pPr>
            <w:r>
              <w:rPr/>
              <w:t> </w:t>
            </w:r>
          </w:p>
        </w:tc>
      </w:tr>
    </w:tbl>
    <w:p>
      <w:pPr>
        <w:pStyle w:val="TextBody"/>
        <w:bidi w:val="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bzai-ex10_6.htm"/>
      <w:bookmarkStart w:id="26" w:name="ksbzaiex10_6"/>
      <w:bookmarkEnd w:id="25"/>
      <w:bookmarkEnd w:id="26"/>
      <w:r>
        <w:rPr>
          <w:rFonts w:ascii="Times New Roman" w:hAnsi="Times New Roman"/>
          <w:b/>
          <w:color w:val="000000"/>
          <w:sz w:val="20"/>
        </w:rPr>
        <w:t>Exhibit 10.6</w:t>
      </w:r>
      <w:r>
        <w:br w:type="page"/>
      </w:r>
    </w:p>
    <w:p>
      <w:pPr>
        <w:pStyle w:val="Heading2"/>
        <w:bidi w:val="0"/>
        <w:jc w:val="center"/>
        <w:rPr/>
      </w:pPr>
      <w:r>
        <w:rPr/>
        <w:t> </w:t>
      </w:r>
    </w:p>
    <w:p>
      <w:pPr>
        <w:pStyle w:val="TextBody"/>
        <w:bidi w:val="0"/>
        <w:jc w:val="left"/>
        <w:rPr/>
      </w:pPr>
      <w:r>
        <w:rPr/>
        <w:t> </w:t>
      </w:r>
    </w:p>
    <w:p>
      <w:pPr>
        <w:pStyle w:val="Heading2"/>
        <w:bidi w:val="0"/>
        <w:jc w:val="center"/>
        <w:rPr>
          <w:rFonts w:ascii="Times New Roman" w:hAnsi="Times New Roman"/>
          <w:color w:val="000000"/>
          <w:sz w:val="24"/>
        </w:rPr>
      </w:pPr>
      <w:r>
        <w:rPr>
          <w:rFonts w:ascii="Times New Roman" w:hAnsi="Times New Roman"/>
          <w:color w:val="000000"/>
          <w:sz w:val="24"/>
        </w:rPr>
        <w:t>REGISTRATION RIGHTS AGREEMENT</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This Registration Rights Agreement (this “</w:t>
      </w:r>
      <w:r>
        <w:rPr>
          <w:rFonts w:ascii="Times New Roman" w:hAnsi="Times New Roman"/>
          <w:color w:val="000000"/>
          <w:sz w:val="24"/>
          <w:u w:val="single"/>
        </w:rPr>
        <w:t>Agreement</w:t>
      </w:r>
      <w:r>
        <w:rPr>
          <w:rFonts w:ascii="Times New Roman" w:hAnsi="Times New Roman"/>
          <w:color w:val="000000"/>
          <w:sz w:val="20"/>
        </w:rPr>
        <w:t>”</w:t>
      </w:r>
      <w:r>
        <w:rPr>
          <w:rFonts w:ascii="Times New Roman" w:hAnsi="Times New Roman"/>
          <w:color w:val="000000"/>
          <w:sz w:val="24"/>
        </w:rPr>
        <w:t>) is made and entered into as of November 10, 2025, between Blaize Holdings, Inc., a Delaware corporation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and each of the several purchasers signatory hereto (each such purchaser, a “</w:t>
      </w:r>
      <w:r>
        <w:rPr>
          <w:rFonts w:ascii="Times New Roman" w:hAnsi="Times New Roman"/>
          <w:color w:val="000000"/>
          <w:sz w:val="24"/>
          <w:u w:val="single"/>
        </w:rPr>
        <w:t>Purchaser</w:t>
      </w:r>
      <w:r>
        <w:rPr>
          <w:rFonts w:ascii="Times New Roman" w:hAnsi="Times New Roman"/>
          <w:color w:val="000000"/>
          <w:sz w:val="20"/>
        </w:rPr>
        <w:t xml:space="preserve">” </w:t>
      </w:r>
      <w:r>
        <w:rPr>
          <w:rFonts w:ascii="Times New Roman" w:hAnsi="Times New Roman"/>
          <w:color w:val="000000"/>
          <w:sz w:val="24"/>
        </w:rPr>
        <w:t>and, collectively, the “</w:t>
      </w:r>
      <w:r>
        <w:rPr>
          <w:rFonts w:ascii="Times New Roman" w:hAnsi="Times New Roman"/>
          <w:color w:val="000000"/>
          <w:sz w:val="24"/>
          <w:u w:val="single"/>
        </w:rPr>
        <w:t>Purchasers</w:t>
      </w:r>
      <w:r>
        <w:rPr>
          <w:rFonts w:ascii="Times New Roman" w:hAnsi="Times New Roman"/>
          <w:color w:val="000000"/>
          <w:sz w:val="20"/>
        </w:rPr>
        <w:t>”</w:t>
      </w:r>
      <w:r>
        <w:rPr>
          <w:rFonts w:ascii="Times New Roman" w:hAnsi="Times New Roman"/>
          <w:color w:val="000000"/>
          <w:sz w:val="24"/>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This Agreement is made pursuant to the Securities Purchase Agreement, dated as of the date hereof, between the Company and each Purchaser (the “</w:t>
      </w:r>
      <w:r>
        <w:rPr>
          <w:rFonts w:ascii="Times New Roman" w:hAnsi="Times New Roman"/>
          <w:color w:val="000000"/>
          <w:sz w:val="24"/>
          <w:u w:val="single"/>
        </w:rPr>
        <w:t>Purchase Agreement</w:t>
      </w:r>
      <w:r>
        <w:rPr>
          <w:rFonts w:ascii="Times New Roman" w:hAnsi="Times New Roman"/>
          <w:color w:val="000000"/>
          <w:sz w:val="20"/>
        </w:rPr>
        <w:t>”</w:t>
      </w:r>
      <w:r>
        <w:rPr>
          <w:rFonts w:ascii="Times New Roman" w:hAnsi="Times New Roman"/>
          <w:color w:val="000000"/>
          <w:sz w:val="24"/>
        </w:rPr>
        <w:t>).</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Company and each Purchaser hereby agrees as follows: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1. </w:t>
      </w:r>
      <w:r>
        <w:rPr>
          <w:rFonts w:ascii="Times New Roman" w:hAnsi="Times New Roman"/>
          <w:color w:val="000000"/>
          <w:sz w:val="24"/>
          <w:u w:val="single"/>
        </w:rPr>
        <w:t>Definitions</w:t>
      </w:r>
      <w:r>
        <w:rPr>
          <w:rFonts w:ascii="Times New Roman" w:hAnsi="Times New Roman"/>
          <w:color w:val="000000"/>
          <w:sz w:val="24"/>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Capitalized terms used and not otherwise defined herein that are defined in the Purchase Agreement shall have the meanings given to such terms in the Purchase Agreement.</w:t>
      </w:r>
      <w:r>
        <w:rPr>
          <w:rFonts w:ascii="Times New Roman" w:hAnsi="Times New Roman"/>
          <w:color w:val="000000"/>
          <w:sz w:val="20"/>
        </w:rPr>
        <w:t xml:space="preserve"> </w:t>
      </w:r>
      <w:r>
        <w:rPr>
          <w:rFonts w:ascii="Times New Roman" w:hAnsi="Times New Roman"/>
          <w:color w:val="000000"/>
          <w:sz w:val="24"/>
        </w:rPr>
        <w:t>As used in this Agreement, the following terms shall have the following meanings:</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Advice</w:t>
      </w:r>
      <w:r>
        <w:rPr>
          <w:rFonts w:ascii="Times New Roman" w:hAnsi="Times New Roman"/>
          <w:color w:val="000000"/>
          <w:sz w:val="20"/>
        </w:rPr>
        <w:t xml:space="preserve">” </w:t>
      </w:r>
      <w:r>
        <w:rPr>
          <w:rFonts w:ascii="Times New Roman" w:hAnsi="Times New Roman"/>
          <w:color w:val="000000"/>
          <w:sz w:val="24"/>
        </w:rPr>
        <w:t>shall have the meaning set forth in Section 6(c).</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Effectiveness Date</w:t>
      </w:r>
      <w:r>
        <w:rPr>
          <w:rFonts w:ascii="Times New Roman" w:hAnsi="Times New Roman"/>
          <w:color w:val="000000"/>
          <w:sz w:val="20"/>
        </w:rPr>
        <w:t xml:space="preserve">” </w:t>
      </w:r>
      <w:r>
        <w:rPr>
          <w:rFonts w:ascii="Times New Roman" w:hAnsi="Times New Roman"/>
          <w:color w:val="000000"/>
          <w:sz w:val="24"/>
        </w:rPr>
        <w:t>means, with respect to the Initial Registration Statement required to be filed hereunder, the 30</w:t>
      </w:r>
      <w:r>
        <w:rPr>
          <w:rFonts w:ascii="Times New Roman" w:hAnsi="Times New Roman"/>
          <w:color w:val="000000"/>
          <w:sz w:val="16"/>
        </w:rPr>
        <w:t>th</w:t>
      </w:r>
      <w:r>
        <w:rPr>
          <w:rFonts w:ascii="Times New Roman" w:hAnsi="Times New Roman"/>
          <w:color w:val="000000"/>
          <w:sz w:val="20"/>
        </w:rPr>
        <w:t xml:space="preserve"> </w:t>
      </w:r>
      <w:r>
        <w:rPr>
          <w:rFonts w:ascii="Times New Roman" w:hAnsi="Times New Roman"/>
          <w:color w:val="000000"/>
          <w:sz w:val="24"/>
        </w:rPr>
        <w:t>calendar day following the Filing Date (or, in the event of a “limited review” or “full review” by the Commission, the 60</w:t>
      </w:r>
      <w:r>
        <w:rPr>
          <w:rFonts w:ascii="Times New Roman" w:hAnsi="Times New Roman"/>
          <w:color w:val="000000"/>
          <w:sz w:val="16"/>
        </w:rPr>
        <w:t>th</w:t>
      </w:r>
      <w:r>
        <w:rPr>
          <w:rFonts w:ascii="Times New Roman" w:hAnsi="Times New Roman"/>
          <w:color w:val="000000"/>
          <w:sz w:val="20"/>
        </w:rPr>
        <w:t xml:space="preserve"> </w:t>
      </w:r>
      <w:r>
        <w:rPr>
          <w:rFonts w:ascii="Times New Roman" w:hAnsi="Times New Roman"/>
          <w:color w:val="000000"/>
          <w:sz w:val="24"/>
        </w:rPr>
        <w:t>calendar day following the Filing Date) and with respect to any additional Registration Statements which may be required pursuant to Section 2(c) or Section 3(c), the 60</w:t>
      </w:r>
      <w:r>
        <w:rPr>
          <w:rFonts w:ascii="Times New Roman" w:hAnsi="Times New Roman"/>
          <w:color w:val="000000"/>
          <w:sz w:val="16"/>
        </w:rPr>
        <w:t>th</w:t>
      </w:r>
      <w:r>
        <w:rPr>
          <w:rFonts w:ascii="Times New Roman" w:hAnsi="Times New Roman"/>
          <w:color w:val="000000"/>
          <w:sz w:val="20"/>
        </w:rPr>
        <w:t xml:space="preserve"> </w:t>
      </w:r>
      <w:r>
        <w:rPr>
          <w:rFonts w:ascii="Times New Roman" w:hAnsi="Times New Roman"/>
          <w:color w:val="000000"/>
          <w:sz w:val="24"/>
        </w:rPr>
        <w:t xml:space="preserve">calendar day following the date on which an additional Registration Statement is required to be filed hereunder;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in the event the Company is notified by the Commission that one or more of the above Registration Statements will not be reviewed or is no longer subject to further review and comments, the Effectiveness Date as to such Registration Statement shall be no later than the third Trading Day following the date on which the Company is so notified if such date precedes the dates otherwise required above, provided, further, if such Effectiveness Date falls on a day that is not a Trading Day, then the Effectiveness Date shall be the next succeeding Trading Day.</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Effectiveness Period</w:t>
      </w:r>
      <w:r>
        <w:rPr>
          <w:rFonts w:ascii="Times New Roman" w:hAnsi="Times New Roman"/>
          <w:color w:val="000000"/>
          <w:sz w:val="20"/>
        </w:rPr>
        <w:t xml:space="preserve">” </w:t>
      </w:r>
      <w:r>
        <w:rPr>
          <w:rFonts w:ascii="Times New Roman" w:hAnsi="Times New Roman"/>
          <w:color w:val="000000"/>
          <w:sz w:val="24"/>
        </w:rPr>
        <w:t>shall have the meaning set forth in Section 2(a).</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Event</w:t>
      </w:r>
      <w:r>
        <w:rPr>
          <w:rFonts w:ascii="Times New Roman" w:hAnsi="Times New Roman"/>
          <w:color w:val="000000"/>
          <w:sz w:val="20"/>
        </w:rPr>
        <w:t xml:space="preserve">” </w:t>
      </w:r>
      <w:r>
        <w:rPr>
          <w:rFonts w:ascii="Times New Roman" w:hAnsi="Times New Roman"/>
          <w:color w:val="000000"/>
          <w:sz w:val="24"/>
        </w:rPr>
        <w:t>shall have the meaning set forth in Section 2(d).</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Event Date</w:t>
      </w:r>
      <w:r>
        <w:rPr>
          <w:rFonts w:ascii="Times New Roman" w:hAnsi="Times New Roman"/>
          <w:color w:val="000000"/>
          <w:sz w:val="20"/>
        </w:rPr>
        <w:t xml:space="preserve">” </w:t>
      </w:r>
      <w:r>
        <w:rPr>
          <w:rFonts w:ascii="Times New Roman" w:hAnsi="Times New Roman"/>
          <w:color w:val="000000"/>
          <w:sz w:val="24"/>
        </w:rPr>
        <w:t>shall have the meaning set forth in Section 2(d).</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Filing Date</w:t>
      </w:r>
      <w:r>
        <w:rPr>
          <w:rFonts w:ascii="Times New Roman" w:hAnsi="Times New Roman"/>
          <w:color w:val="000000"/>
          <w:sz w:val="20"/>
        </w:rPr>
        <w:t xml:space="preserve">” </w:t>
      </w:r>
      <w:r>
        <w:rPr>
          <w:rFonts w:ascii="Times New Roman" w:hAnsi="Times New Roman"/>
          <w:color w:val="000000"/>
          <w:sz w:val="24"/>
        </w:rPr>
        <w:t>means, with respect to the Initial Registration Statement required hereunder, the 20</w:t>
      </w:r>
      <w:r>
        <w:rPr>
          <w:rFonts w:ascii="Times New Roman" w:hAnsi="Times New Roman"/>
          <w:color w:val="000000"/>
          <w:sz w:val="16"/>
        </w:rPr>
        <w:t>th</w:t>
      </w:r>
      <w:r>
        <w:rPr>
          <w:rFonts w:ascii="Times New Roman" w:hAnsi="Times New Roman"/>
          <w:color w:val="000000"/>
          <w:sz w:val="20"/>
        </w:rPr>
        <w:t xml:space="preserve"> </w:t>
      </w:r>
      <w:r>
        <w:rPr>
          <w:rFonts w:ascii="Times New Roman" w:hAnsi="Times New Roman"/>
          <w:color w:val="000000"/>
          <w:sz w:val="24"/>
        </w:rPr>
        <w:t>calendar day following the date hereof and, with</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respect to any additional Registration Statements which may be required pursuant to Section 2(c) or Section 3(c), the earliest practicable date on which the Company is permitted by SEC Guidance to file such additional Registration Statement related to the Registrable Securities.</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Holder</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color w:val="000000"/>
          <w:sz w:val="24"/>
          <w:u w:val="single"/>
        </w:rPr>
        <w:t>Holders</w:t>
      </w:r>
      <w:r>
        <w:rPr>
          <w:rFonts w:ascii="Times New Roman" w:hAnsi="Times New Roman"/>
          <w:color w:val="000000"/>
          <w:sz w:val="20"/>
        </w:rPr>
        <w:t xml:space="preserve">” </w:t>
      </w:r>
      <w:r>
        <w:rPr>
          <w:rFonts w:ascii="Times New Roman" w:hAnsi="Times New Roman"/>
          <w:color w:val="000000"/>
          <w:sz w:val="24"/>
        </w:rPr>
        <w:t>means the holder or holders, as the case may be, from time to time of Registrable Securities.</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Indemnified Party</w:t>
      </w:r>
      <w:r>
        <w:rPr>
          <w:rFonts w:ascii="Times New Roman" w:hAnsi="Times New Roman"/>
          <w:color w:val="000000"/>
          <w:sz w:val="20"/>
        </w:rPr>
        <w:t xml:space="preserve">” </w:t>
      </w:r>
      <w:r>
        <w:rPr>
          <w:rFonts w:ascii="Times New Roman" w:hAnsi="Times New Roman"/>
          <w:color w:val="000000"/>
          <w:sz w:val="24"/>
        </w:rPr>
        <w:t>shall have the meaning set forth in Section 5(c).</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Indemnifying Party</w:t>
      </w:r>
      <w:r>
        <w:rPr>
          <w:rFonts w:ascii="Times New Roman" w:hAnsi="Times New Roman"/>
          <w:color w:val="000000"/>
          <w:sz w:val="20"/>
        </w:rPr>
        <w:t xml:space="preserve">” </w:t>
      </w:r>
      <w:r>
        <w:rPr>
          <w:rFonts w:ascii="Times New Roman" w:hAnsi="Times New Roman"/>
          <w:color w:val="000000"/>
          <w:sz w:val="24"/>
        </w:rPr>
        <w:t>shall have the meaning set forth in Section 5(c).</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Initial Registration Statement</w:t>
      </w:r>
      <w:r>
        <w:rPr>
          <w:rFonts w:ascii="Times New Roman" w:hAnsi="Times New Roman"/>
          <w:color w:val="000000"/>
          <w:sz w:val="20"/>
        </w:rPr>
        <w:t xml:space="preserve">” </w:t>
      </w:r>
      <w:r>
        <w:rPr>
          <w:rFonts w:ascii="Times New Roman" w:hAnsi="Times New Roman"/>
          <w:color w:val="000000"/>
          <w:sz w:val="24"/>
        </w:rPr>
        <w:t>means the initial Registration Statement filed pursuant to this Agreement.</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Losses</w:t>
      </w:r>
      <w:r>
        <w:rPr>
          <w:rFonts w:ascii="Times New Roman" w:hAnsi="Times New Roman"/>
          <w:color w:val="000000"/>
          <w:sz w:val="20"/>
        </w:rPr>
        <w:t xml:space="preserve">” </w:t>
      </w:r>
      <w:r>
        <w:rPr>
          <w:rFonts w:ascii="Times New Roman" w:hAnsi="Times New Roman"/>
          <w:color w:val="000000"/>
          <w:sz w:val="24"/>
        </w:rPr>
        <w:t>shall have the meaning set forth in Section 5(a).</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Plan of Distribution</w:t>
      </w:r>
      <w:r>
        <w:rPr>
          <w:rFonts w:ascii="Times New Roman" w:hAnsi="Times New Roman"/>
          <w:color w:val="000000"/>
          <w:sz w:val="20"/>
        </w:rPr>
        <w:t xml:space="preserve">” </w:t>
      </w:r>
      <w:r>
        <w:rPr>
          <w:rFonts w:ascii="Times New Roman" w:hAnsi="Times New Roman"/>
          <w:color w:val="000000"/>
          <w:sz w:val="24"/>
        </w:rPr>
        <w:t>shall have the meaning set forth in Section 2(a).</w:t>
      </w:r>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Prospectus</w:t>
      </w:r>
      <w:r>
        <w:rPr>
          <w:rFonts w:ascii="Times New Roman" w:hAnsi="Times New Roman"/>
          <w:color w:val="000000"/>
          <w:sz w:val="20"/>
        </w:rPr>
        <w:t xml:space="preserve">” </w:t>
      </w:r>
      <w:r>
        <w:rPr>
          <w:rFonts w:ascii="Times New Roman" w:hAnsi="Times New Roman"/>
          <w:color w:val="000000"/>
          <w:sz w:val="24"/>
        </w:rPr>
        <w:t>means the prospectus included in a Registration Statement (including, without limitation, a prospectus that includes any information previously omitted from a prospectus filed as part of an effective registration statement in reliance upon Rule 430A promulgated by the Commission pursuant to the Securities Act), as amended or supplemented by any prospectus supplement, with respect to the terms of the offering of any portion of the Registrable Securities covered by a Registration Statement, and all other amendments and supplements to the Prospectus, including post-effective amendments, and all material incorporated by reference or deemed to be incorporated by reference in such Prospectus.</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Registrable Securities</w:t>
      </w:r>
      <w:r>
        <w:rPr>
          <w:rFonts w:ascii="Times New Roman" w:hAnsi="Times New Roman"/>
          <w:color w:val="000000"/>
          <w:sz w:val="20"/>
        </w:rPr>
        <w:t xml:space="preserve">” </w:t>
      </w:r>
      <w:r>
        <w:rPr>
          <w:rFonts w:ascii="Times New Roman" w:hAnsi="Times New Roman"/>
          <w:color w:val="000000"/>
          <w:sz w:val="24"/>
        </w:rPr>
        <w:t xml:space="preserve">means, as of any date of determination, (a) all Shares, (b) any additional Shares issued or issuable in connection with any anti-dilution provisions in the Warrants (in each case, without giving effect to the limitations on exercise set forth in the Warrants) and (c) any securities issued or then issuable upon any stock split, dividend or other distribution, recapitalization or similar event with respect to the foregoing;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u w:val="single"/>
        </w:rPr>
        <w:t>however</w:t>
      </w:r>
      <w:r>
        <w:rPr>
          <w:rFonts w:ascii="Times New Roman" w:hAnsi="Times New Roman"/>
          <w:color w:val="000000"/>
          <w:sz w:val="24"/>
        </w:rPr>
        <w:t>, that any such Registrable Securities shall cease to be Registrable Securities (and the Company shall not be required to maintain the effectiveness of any, or file another, Registration Statement hereunder with respect thereto) for so long as (a) a Registration Statement with respect to the sale of such Registrable Securities is declared effective by the Commission under the Securities Act and such Registrable Securities have been disposed of by the Holder in accordance with such effective Registration Statement, (b) such Registrable Securities have been previously sold in accordance with Rule 144, or (c) all Warrant Shares then issued and issuable upon exercise of the Warrants (assuming on such date the Warrants are exercised in full without regard to any exercise limitations therein), (d) such securities become eligible for resale without volume or manner-of-sale restrictions and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without current public information pursuant to Rule 144 as set forth in a written opinion letter of counsel to the Company to such effect, addressed, delivered and acceptable to the Transfer Agent and the affected Holders (assuming that such securities and any securities issuable upon exercise, conversion or exchange of which, or as a dividend upon which, such securities were issued or are issuable, were at no time in the past 90 days held by any Affiliate of the Company).</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Registration Statement</w:t>
      </w:r>
      <w:r>
        <w:rPr>
          <w:rFonts w:ascii="Times New Roman" w:hAnsi="Times New Roman"/>
          <w:color w:val="000000"/>
          <w:sz w:val="20"/>
        </w:rPr>
        <w:t xml:space="preserve">” </w:t>
      </w:r>
      <w:r>
        <w:rPr>
          <w:rFonts w:ascii="Times New Roman" w:hAnsi="Times New Roman"/>
          <w:color w:val="000000"/>
          <w:sz w:val="24"/>
        </w:rPr>
        <w:t>means any registration statement required to be filed hereunder pursuant to Section 2(a) and any additional registration statements contemplated by Section 2(c) or Section 3(c), including (in each case) the Prospectus, amendments and supplements to any such registration statement or Prospectus, including pre- and post-effective amendments, all exhibits thereto, and all material incorporated by reference or deemed to be incorporated by reference in any such registration statement.</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Rule 415</w:t>
      </w:r>
      <w:r>
        <w:rPr>
          <w:rFonts w:ascii="Times New Roman" w:hAnsi="Times New Roman"/>
          <w:color w:val="000000"/>
          <w:sz w:val="20"/>
        </w:rPr>
        <w:t xml:space="preserve">” </w:t>
      </w:r>
      <w:r>
        <w:rPr>
          <w:rFonts w:ascii="Times New Roman" w:hAnsi="Times New Roman"/>
          <w:color w:val="000000"/>
          <w:sz w:val="24"/>
        </w:rPr>
        <w:t>means Rule 415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Rule 424</w:t>
      </w:r>
      <w:r>
        <w:rPr>
          <w:rFonts w:ascii="Times New Roman" w:hAnsi="Times New Roman"/>
          <w:color w:val="000000"/>
          <w:sz w:val="20"/>
        </w:rPr>
        <w:t xml:space="preserve">” </w:t>
      </w:r>
      <w:r>
        <w:rPr>
          <w:rFonts w:ascii="Times New Roman" w:hAnsi="Times New Roman"/>
          <w:color w:val="000000"/>
          <w:sz w:val="24"/>
        </w:rPr>
        <w:t>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SEC Guidance</w:t>
      </w:r>
      <w:r>
        <w:rPr>
          <w:rFonts w:ascii="Times New Roman" w:hAnsi="Times New Roman"/>
          <w:color w:val="000000"/>
          <w:sz w:val="20"/>
        </w:rPr>
        <w:t xml:space="preserve">” </w:t>
      </w:r>
      <w:r>
        <w:rPr>
          <w:rFonts w:ascii="Times New Roman" w:hAnsi="Times New Roman"/>
          <w:color w:val="000000"/>
          <w:sz w:val="24"/>
        </w:rPr>
        <w:t>means (i) any publicly-available written or oral guidance of the Commission staff, or any comments, requirements or requests of the Commission staff and (ii) the Securities Act.</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Selling Stockholder Questionnaire</w:t>
      </w:r>
      <w:r>
        <w:rPr>
          <w:rFonts w:ascii="Times New Roman" w:hAnsi="Times New Roman"/>
          <w:color w:val="000000"/>
          <w:sz w:val="20"/>
        </w:rPr>
        <w:t xml:space="preserve">” </w:t>
      </w:r>
      <w:r>
        <w:rPr>
          <w:rFonts w:ascii="Times New Roman" w:hAnsi="Times New Roman"/>
          <w:color w:val="000000"/>
          <w:sz w:val="24"/>
        </w:rPr>
        <w:t>shall have the meaning set forth in Section 3(a).</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2. </w:t>
      </w:r>
      <w:r>
        <w:rPr>
          <w:rFonts w:ascii="Times New Roman" w:hAnsi="Times New Roman"/>
          <w:color w:val="000000"/>
          <w:sz w:val="24"/>
          <w:u w:val="single"/>
        </w:rPr>
        <w:t>Shelf Registration</w:t>
      </w:r>
      <w:r>
        <w:rPr>
          <w:rFonts w:ascii="Times New Roman" w:hAnsi="Times New Roman"/>
          <w:color w:val="000000"/>
          <w:sz w:val="24"/>
        </w:rPr>
        <w:t>.</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jc w:val="both"/>
        <w:rPr>
          <w:rFonts w:ascii="Times New Roman" w:hAnsi="Times New Roman"/>
          <w:color w:val="000000"/>
          <w:sz w:val="24"/>
        </w:rPr>
      </w:pPr>
      <w:r>
        <w:rPr>
          <w:rFonts w:ascii="Times New Roman" w:hAnsi="Times New Roman"/>
          <w:color w:val="000000"/>
          <w:sz w:val="24"/>
        </w:rPr>
        <w:t xml:space="preserve">On or prior to each Filing Date, the Company shall prepare and file with the Commission a Registration Statement covering the resale of all of the Registrable Securities that are not then registered on an effective Registration Statement for an offering to be made on a continuous basis pursuant to Rule 415. Notwithstanding anything herein to the contrary, if at the time the Company files the Registration Statement, the Commission is not then currently reviewing certain filings by issuers, including the Registration Statement, due to a shutdown of the federal government or otherwise, then the Company shall not include the delaying amendment language in such filing of the Registration Statement such that the Registration Statement shall become effective in accordance with Section 8(a) of the Securities Act within 20 calendar days of such filing. The Company shall be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rFonts w:ascii="Times New Roman" w:hAnsi="Times New Roman"/>
          <w:color w:val="000000"/>
          <w:sz w:val="24"/>
        </w:rPr>
        <w:t>deemed to have not met the conditions of the Filing Date to the extent it does not comply with the foregoing covenant. Each Registration Statement filed hereunder shall be on Form S-1 (except if the Company is then eligible to register for resale the Registrable Securities on Form S-3, in which case such registration shall be on Form S-3, subject to the provisions of Section 2(e)) and shall contain (unless otherwise directed by at least 85% in interest of the Holders) substantially the “</w:t>
      </w:r>
      <w:r>
        <w:rPr>
          <w:rFonts w:ascii="Times New Roman" w:hAnsi="Times New Roman"/>
          <w:color w:val="000000"/>
          <w:sz w:val="24"/>
          <w:u w:val="single"/>
        </w:rPr>
        <w:t>Plan of Distribution</w:t>
      </w:r>
      <w:r>
        <w:rPr>
          <w:color w:val="000000"/>
        </w:rPr>
        <w:t xml:space="preserve">” </w:t>
      </w:r>
      <w:r>
        <w:rPr>
          <w:rFonts w:ascii="Times New Roman" w:hAnsi="Times New Roman"/>
          <w:color w:val="000000"/>
          <w:sz w:val="24"/>
        </w:rPr>
        <w:t xml:space="preserve">attached hereto as </w:t>
      </w:r>
      <w:r>
        <w:rPr>
          <w:rFonts w:ascii="Times New Roman" w:hAnsi="Times New Roman"/>
          <w:color w:val="000000"/>
          <w:sz w:val="24"/>
          <w:u w:val="single"/>
        </w:rPr>
        <w:t>Annex A</w:t>
      </w:r>
      <w:r>
        <w:rPr>
          <w:color w:val="000000"/>
        </w:rPr>
        <w:t xml:space="preserve"> </w:t>
      </w:r>
      <w:r>
        <w:rPr>
          <w:rFonts w:ascii="Times New Roman" w:hAnsi="Times New Roman"/>
          <w:color w:val="000000"/>
          <w:sz w:val="24"/>
        </w:rPr>
        <w:t>and substantially the “</w:t>
      </w:r>
      <w:r>
        <w:rPr>
          <w:rFonts w:ascii="Times New Roman" w:hAnsi="Times New Roman"/>
          <w:color w:val="000000"/>
          <w:sz w:val="24"/>
          <w:u w:val="single"/>
        </w:rPr>
        <w:t>Selling Stockholder</w:t>
      </w:r>
      <w:r>
        <w:rPr>
          <w:color w:val="000000"/>
        </w:rPr>
        <w:t xml:space="preserve">” </w:t>
      </w:r>
      <w:r>
        <w:rPr>
          <w:rFonts w:ascii="Times New Roman" w:hAnsi="Times New Roman"/>
          <w:color w:val="000000"/>
          <w:sz w:val="24"/>
        </w:rPr>
        <w:t xml:space="preserve">section attached hereto as </w:t>
      </w:r>
      <w:r>
        <w:rPr>
          <w:rFonts w:ascii="Times New Roman" w:hAnsi="Times New Roman"/>
          <w:color w:val="000000"/>
          <w:sz w:val="24"/>
          <w:u w:val="single"/>
        </w:rPr>
        <w:t>Annex B</w:t>
      </w:r>
      <w:r>
        <w:rPr>
          <w:rFonts w:ascii="Times New Roman" w:hAnsi="Times New Roman"/>
          <w:color w:val="000000"/>
          <w:sz w:val="24"/>
        </w:rPr>
        <w:t xml:space="preserv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no Holder shall be required to be named as an “underwriter” without such Holder’s express prior written consent. Subject to the terms of this Agreement, the Company shall use its reasonable best efforts to cause a Registration Statement filed under this Agreement (including, without limitation, under Section 3(c)) to be declared effective under the Securities Act as promptly as possible after the filing thereof, but in any event no later than the applicable Effectiveness Date, and shall use its reasonable best efforts to keep such Registration Statement continuously effective under the Securities Act until the date that all Registrable Securities covered by such Registration Statement (i) have been sold, thereunder or pursuant to Rule 144, or (ii) may be sold without volume or manner-of-sale restrictions pursuant to Rule 144 and without the requirement for the Company to be in compliance with the current public information requirement under Rule 144, as determined by the counsel to the Company pursuant to a written opinion letter to such effect, addressed and acceptable to the Transfer Agent and the affected Holders (the “</w:t>
      </w:r>
      <w:r>
        <w:rPr>
          <w:rFonts w:ascii="Times New Roman" w:hAnsi="Times New Roman"/>
          <w:color w:val="000000"/>
          <w:sz w:val="24"/>
          <w:u w:val="single"/>
        </w:rPr>
        <w:t>Effectiveness Period</w:t>
      </w:r>
      <w:r>
        <w:rPr>
          <w:color w:val="000000"/>
        </w:rPr>
        <w:t>”</w:t>
      </w:r>
      <w:r>
        <w:rPr>
          <w:rFonts w:ascii="Times New Roman" w:hAnsi="Times New Roman"/>
          <w:color w:val="000000"/>
          <w:sz w:val="24"/>
        </w:rPr>
        <w:t>). The Company shall telephonically request effectiveness of a Registration Statement as of 5:00 p.m. (New York City time) on a Trading Day. The Company shall promptly notify the Holders via e-mail of the effectiveness of a Registration Statement on the same Trading Day that the Company telephonically confirms effectiveness with the Commission, which shall be the date requested for effectiveness of such Registration Statement. The Company shall, by 9:30 a.m. (New York City time) on the Trading Day after the effective date of such Registration Statement, file a final Prospectus with the Commission as required by Rule 424. Failure to so notify the Holder within one (1) Trading Day of such notification or effectiveness or failure to file a final Prospectus as foresaid shall be deemed an Event under Section 2(d).</w:t>
      </w:r>
      <w:r>
        <w:rPr>
          <w:color w:val="000000"/>
        </w:rPr>
        <w:t xml:space="preserve">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(b)</w:t>
      </w:r>
    </w:p>
    <w:p>
      <w:pPr>
        <w:pStyle w:val="TextBody"/>
        <w:bidi w:val="0"/>
        <w:jc w:val="both"/>
        <w:rPr/>
      </w:pPr>
      <w:r>
        <w:rPr>
          <w:rFonts w:ascii="Times New Roman" w:hAnsi="Times New Roman"/>
          <w:color w:val="000000"/>
          <w:sz w:val="24"/>
        </w:rPr>
        <w:t xml:space="preserve">Notwithstanding the registration obligations set forth in Section 2(a), if the Commission informs the Company that all of the Registrable Securities cannot, as a result of the application of Rule 415, be registered for resale as a secondary offering on a single registration statement, the Company agrees to promptly inform each of the Holders thereof and use its commercially reasonable efforts to file amendments to the Initial Registration Statement as required by the Commission, covering the maximum number of Registrable Securities permitted to be registered by the Commission, on Form S-1 or such other form available to register for resale the Registrable Securities as a secondary offering, subject to the provisions of Section 2(e); with respect to filing on Form S-1 or other appropriate form, and subject to the provisions of Section 2(d) with respect to the payment of liquidated damages;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prior to filing such amendment, the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rFonts w:ascii="Times New Roman" w:hAnsi="Times New Roman"/>
          <w:color w:val="000000"/>
          <w:sz w:val="24"/>
        </w:rPr>
        <w:t>Company shall be obligated to use diligent efforts to advocate with the Commission for the registration of all of the Registrable Securities in accordance with the SEC Guidance, including without limitation, Compliance and Disclosure Interpretation 612.09.</w:t>
      </w:r>
      <w:r>
        <w:rPr>
          <w:color w:val="000000"/>
        </w:rPr>
        <w:t xml:space="preserve">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(c)</w:t>
      </w:r>
    </w:p>
    <w:p>
      <w:pPr>
        <w:pStyle w:val="TextBody"/>
        <w:bidi w:val="0"/>
        <w:jc w:val="both"/>
        <w:rPr>
          <w:rFonts w:ascii="Times New Roman" w:hAnsi="Times New Roman"/>
          <w:color w:val="000000"/>
          <w:sz w:val="24"/>
        </w:rPr>
      </w:pPr>
      <w:r>
        <w:rPr>
          <w:rFonts w:ascii="Times New Roman" w:hAnsi="Times New Roman"/>
          <w:color w:val="000000"/>
          <w:sz w:val="24"/>
        </w:rPr>
        <w:t xml:space="preserve">Notwithstanding any other provision of this Agreement and subject to the payment of liquidated damages pursuant to Section 2(d), if the Commission or any SEC Guidance sets forth a limitation on the number of Registrable Securities permitted to be registered on a particular Registration Statement as a secondary offering (and notwithstanding that the Company used diligent efforts to advocate with the Commission for the registration of all or a greater portion of Registrable Securities), unless otherwise directed in writing by a Holder as to its Registrable Securities, the number of Registrable Securities to be registered on such Registration Statement will be reduced as follows: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jc w:val="both"/>
        <w:rPr>
          <w:rFonts w:ascii="Times New Roman" w:hAnsi="Times New Roman"/>
          <w:color w:val="000000"/>
          <w:sz w:val="24"/>
        </w:rPr>
      </w:pPr>
      <w:r>
        <w:rPr>
          <w:rFonts w:ascii="Times New Roman" w:hAnsi="Times New Roman"/>
          <w:color w:val="000000"/>
          <w:sz w:val="24"/>
        </w:rPr>
        <w:t>First, the Company shall reduce or eliminate any securities to be included other than Registrable Securities;</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b.</w:t>
      </w:r>
    </w:p>
    <w:p>
      <w:pPr>
        <w:pStyle w:val="TextBody"/>
        <w:bidi w:val="0"/>
        <w:jc w:val="both"/>
        <w:rPr>
          <w:rFonts w:ascii="Times New Roman" w:hAnsi="Times New Roman"/>
          <w:color w:val="000000"/>
          <w:sz w:val="24"/>
        </w:rPr>
      </w:pPr>
      <w:r>
        <w:rPr>
          <w:rFonts w:ascii="Times New Roman" w:hAnsi="Times New Roman"/>
          <w:color w:val="000000"/>
          <w:sz w:val="24"/>
        </w:rPr>
        <w:t>Second, the Company shall reduce Registrable Securities represented by Warrant Shares (applied, in the case that some Warrant Shares may be registered, to the Holders on a pro rata basis based on the total number of unregistered Warrant Shares held by such Holders); and</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c.</w:t>
      </w:r>
    </w:p>
    <w:p>
      <w:pPr>
        <w:pStyle w:val="TextBody"/>
        <w:bidi w:val="0"/>
        <w:jc w:val="both"/>
        <w:rPr>
          <w:rFonts w:ascii="Times New Roman" w:hAnsi="Times New Roman"/>
          <w:color w:val="000000"/>
          <w:sz w:val="24"/>
        </w:rPr>
      </w:pPr>
      <w:r>
        <w:rPr>
          <w:rFonts w:ascii="Times New Roman" w:hAnsi="Times New Roman"/>
          <w:color w:val="000000"/>
          <w:sz w:val="24"/>
        </w:rPr>
        <w:t xml:space="preserve">Third, the Company shall reduce Registrable Securities represented by Shares (applied, in the case that some Shares may be registered, to the Holders on a pro rata basis based on the total number of unregistered Shares held by such Holders).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In the event of a cutback hereunder, the Company shall give the Holder at least three (3) Trading Days prior written notice along with the calculations as to such Holder’s allotment. In the event the Company amends the Initial Registration Statement in accordance with the foregoing, the Company will use its best efforts to file with the Commission, as promptly as allowed by the Commission or SEC Guidance provided to the Company or to registrants of securities in general, one or more registration statements on Form S-1 or such other form available to register for resale those Registrable Securities that were not registered for resale on the Initial Registration Statement, as amended, and to use its reasonable best efforts to cause the Commission to declare such registration statement covering the Shares that were not registered for resale on the Initial Registration Statement, as amended, effective as soon as practicable after the date.</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(d)</w:t>
      </w:r>
    </w:p>
    <w:p>
      <w:pPr>
        <w:pStyle w:val="TextBody"/>
        <w:bidi w:val="0"/>
        <w:jc w:val="both"/>
        <w:rPr>
          <w:rFonts w:ascii="Times New Roman" w:hAnsi="Times New Roman"/>
          <w:color w:val="000000"/>
          <w:sz w:val="24"/>
        </w:rPr>
      </w:pPr>
      <w:r>
        <w:rPr>
          <w:rFonts w:ascii="Times New Roman" w:hAnsi="Times New Roman"/>
          <w:color w:val="000000"/>
          <w:sz w:val="24"/>
        </w:rPr>
        <w:t xml:space="preserve">If: (i) the Initial Registration Statement is not filed on or prior to its Filing Date (if the Company files the Initial Registration Statement without affording the Holders the opportunity to review and comment on the same as required by Section 3(a) herein or the Company subsequently withdraws the filing of the Registration Statement, the Company shall be deemed to have not satisfied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rFonts w:ascii="Times New Roman" w:hAnsi="Times New Roman"/>
          <w:color w:val="000000"/>
          <w:sz w:val="24"/>
        </w:rPr>
        <w:t>this clause (i) as of the Filing Date), or (ii) the Company fails to file with the Commission a request for acceleration of a Registration Statement in accordance with Rule 461 promulgated by the Commission pursuant to the Securities Act, within three (3) Trading Days of the date that the Company is notified (orally or in writing, whichever is earlier) by the Commission that such Registration Statement will not be “reviewed” or will not be subject to further review, or (iii) prior to the effective date of a Registration Statement, the Company fails to file a pre-effective amendment and otherwise respond in writing to comments made by the Commission in respect of such Registration Statement within ten (10) calendar days after the receipt of comments by or notice from the Commission that such amendment is required in order for such Registration Statement to be declared effective, or (iv) a Registration Statement registering for resale all of the Registrable Securities is not declared effective by the Commission by the Effectiveness Date of the Initial Registration Statement (provided that, if the Registration Statement does not allow for the resale of Registrable Securities at prevailing market prices (i.e., only allows for fixed price sales), the Company shall have been deemed to have not satisfied this clause) or (v) after the effective date of a Registration Statement, such Registration Statement ceases for any reason to remain continuously effective as to all Registrable Securities included in such Registration Statement, or the Holders are otherwise not permitted to utilize the Prospectus therein to resell such Registrable Securities, for more than fifteen (15) consecutive calendar days or more than an aggregate of twenty five (25) calendar days (which need not be consecutive calendar days) during any 12-month period (any such failure or breach being referred to as an “</w:t>
      </w:r>
      <w:r>
        <w:rPr>
          <w:rFonts w:ascii="Times New Roman" w:hAnsi="Times New Roman"/>
          <w:color w:val="000000"/>
          <w:sz w:val="24"/>
          <w:u w:val="single"/>
        </w:rPr>
        <w:t>Event</w:t>
      </w:r>
      <w:r>
        <w:rPr>
          <w:color w:val="000000"/>
        </w:rPr>
        <w:t>”</w:t>
      </w:r>
      <w:r>
        <w:rPr>
          <w:rFonts w:ascii="Times New Roman" w:hAnsi="Times New Roman"/>
          <w:color w:val="000000"/>
          <w:sz w:val="24"/>
        </w:rPr>
        <w:t>, and for purposes of clauses (i) and (iv), the date on which such Event occurs, and for purpose of clause (ii) the date on which such three (3) Trading Day period is exceeded, and for purpose of clause (iii) the date which such ten (10) calendar day period is exceeded, and for purpose of clause (v) the date on which such or fifteen (15) or twenty five (25) calendar day period, as applicable, is exceeded being referred to as “</w:t>
      </w:r>
      <w:r>
        <w:rPr>
          <w:rFonts w:ascii="Times New Roman" w:hAnsi="Times New Roman"/>
          <w:color w:val="000000"/>
          <w:sz w:val="24"/>
          <w:u w:val="single"/>
        </w:rPr>
        <w:t>Event Date</w:t>
      </w:r>
      <w:r>
        <w:rPr>
          <w:color w:val="000000"/>
        </w:rPr>
        <w:t>”</w:t>
      </w:r>
      <w:r>
        <w:rPr>
          <w:rFonts w:ascii="Times New Roman" w:hAnsi="Times New Roman"/>
          <w:color w:val="000000"/>
          <w:sz w:val="24"/>
        </w:rPr>
        <w:t>), then, in addition to any other rights the Holders may have hereunder or under applicable law, on each such Event Date and on each monthly anniversary of each such Event Date (if the applicable Event shall not have been cured by such date) until the applicable Event is cured, the Company shall pay to each Holder an amount in cash, as partial liquidated damages and not as a penalty, equal to the product of 1.0% multiplied by the aggregate Subscription Amount paid by such Holder pursuant to the Purchase Agreement. The parties agree that the maximum aggregate liquidated damages payable to a Holder under this Agreement shall be 6.0% of the aggregate Subscription Amount paid by such Holder pursuant to the Purchase Agreement. If the Company fails to pay any partial liquidated damages pursuant to this Section in full within seven days after the date payable, the Company will pay interest thereon at a rate of 18% per annum (or such lesser maximum amount that is permitted to be paid by applicable law) to the Holder, accruing daily from the date such partial liquidated damages are due until such amounts, plus all such interest thereon, are paid in full. The partial liquidated damages pursuant to the terms hereof shall apply on a daily pro rata basis for any portion of a month prior to the cure of an Event.</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(e)</w:t>
      </w:r>
    </w:p>
    <w:p>
      <w:pPr>
        <w:pStyle w:val="TextBody"/>
        <w:bidi w:val="0"/>
        <w:jc w:val="both"/>
        <w:rPr>
          <w:rFonts w:ascii="Times New Roman" w:hAnsi="Times New Roman"/>
          <w:color w:val="000000"/>
          <w:sz w:val="24"/>
        </w:rPr>
      </w:pPr>
      <w:r>
        <w:rPr>
          <w:rFonts w:ascii="Times New Roman" w:hAnsi="Times New Roman"/>
          <w:color w:val="000000"/>
          <w:sz w:val="24"/>
        </w:rPr>
        <w:t>If Form S-3 becomes available for the registration of the resale of Registrable Securities hereunder, the Company shall undertake to register the Registrable Securities on Form S-3 as soon as such form is available, provided that the Company shall maintain the effectiveness of the Registration Statement then in effect until such time as a Registration Statement on Form S-3 covering the Registrable Securities has been declared effective by the Commission.</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(f)</w:t>
      </w:r>
    </w:p>
    <w:p>
      <w:pPr>
        <w:pStyle w:val="TextBody"/>
        <w:bidi w:val="0"/>
        <w:jc w:val="both"/>
        <w:rPr>
          <w:rFonts w:ascii="Times New Roman" w:hAnsi="Times New Roman"/>
          <w:color w:val="000000"/>
          <w:sz w:val="24"/>
        </w:rPr>
      </w:pPr>
      <w:r>
        <w:rPr>
          <w:rFonts w:ascii="Times New Roman" w:hAnsi="Times New Roman"/>
          <w:color w:val="000000"/>
          <w:sz w:val="24"/>
        </w:rPr>
        <w:t>Notwithstanding anything to the contrary contained herein, in no event shall the Company be permitted to name any Holder or affiliate of a Holder as any “underwriter” without the prior written consent of such Holder.</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3. </w:t>
      </w:r>
      <w:r>
        <w:rPr>
          <w:rFonts w:ascii="Times New Roman" w:hAnsi="Times New Roman"/>
          <w:color w:val="000000"/>
          <w:sz w:val="24"/>
          <w:u w:val="single"/>
        </w:rPr>
        <w:t>Registration Procedures</w:t>
      </w:r>
      <w:r>
        <w:rPr>
          <w:rFonts w:ascii="Times New Roman" w:hAnsi="Times New Roman"/>
          <w:color w:val="000000"/>
          <w:sz w:val="24"/>
        </w:rPr>
        <w:t>.</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In connection with the Company’s registration obligations hereunder, the Company shall:</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jc w:val="both"/>
        <w:rPr/>
      </w:pPr>
      <w:r>
        <w:rPr>
          <w:rFonts w:ascii="Times New Roman" w:hAnsi="Times New Roman"/>
          <w:color w:val="000000"/>
          <w:sz w:val="24"/>
        </w:rPr>
        <w:t xml:space="preserve">Not less than three (3) Trading Days prior to the filing of each Registration Statement and not less than one (1) Trading Day prior to the filing of any related Prospectus or any amendment or supplement thereto (including any document that would be incorporated or deemed to be incorporated therein by reference) other than solely any amendment to such Registration Statement or related Prospectus which amendment does substantially no more than include therein the information contained in a filed Form 10-K, Form 10-Q or Form 8-K of the Company, the Company shall (i) furnish to each Holder copies of all such documents proposed to be filed, which documents (other than those incorporated or deemed to be incorporated by reference) will be subject to the review of such Holders, and (ii) cause its officers and directors, counsel and independent registered public accountants to respond to such inquiries as shall be necessary, in the reasonable opinion of respective counsel to each Holder, to conduct a reasonable investigation within the meaning of the Securities Act; provided that the Company shall redact any sections of such documents that may contain material non-public information unless the Holder consents in writing to receive such information and agrees to hold it in confidence. The Company shall not file a Registration Statement or any such Prospectus or any amendments or supplements thereto to which the Holders of a majority of the Registrable Securities shall reasonably object in good faith, provided that, the Company is notified of such objection in writing no later than two (2) Trading Days after the Holders have been so furnished copies of a Registration Statement or one (1) Trading Day after the Holders have been so furnished copies of any related Prospectus or amendments or supplements thereto. Each Holder agrees to furnish to the Company a completed questionnaire in the form attached to this Agreement as </w:t>
      </w:r>
      <w:r>
        <w:rPr>
          <w:rFonts w:ascii="Times New Roman" w:hAnsi="Times New Roman"/>
          <w:color w:val="000000"/>
          <w:sz w:val="24"/>
          <w:u w:val="single"/>
        </w:rPr>
        <w:t>Annex C</w:t>
      </w:r>
      <w:r>
        <w:rPr>
          <w:color w:val="000000"/>
        </w:rPr>
        <w:t xml:space="preserve"> </w:t>
      </w:r>
      <w:r>
        <w:rPr>
          <w:rFonts w:ascii="Times New Roman" w:hAnsi="Times New Roman"/>
          <w:color w:val="000000"/>
          <w:sz w:val="24"/>
        </w:rPr>
        <w:t>(a “</w:t>
      </w:r>
      <w:r>
        <w:rPr>
          <w:rFonts w:ascii="Times New Roman" w:hAnsi="Times New Roman"/>
          <w:color w:val="000000"/>
          <w:sz w:val="24"/>
          <w:u w:val="single"/>
        </w:rPr>
        <w:t>Selling Stockholder Questionnaire</w:t>
      </w:r>
      <w:r>
        <w:rPr>
          <w:color w:val="000000"/>
        </w:rPr>
        <w:t>”</w:t>
      </w:r>
      <w:r>
        <w:rPr>
          <w:rFonts w:ascii="Times New Roman" w:hAnsi="Times New Roman"/>
          <w:color w:val="000000"/>
          <w:sz w:val="24"/>
        </w:rPr>
        <w:t>) on a date that is not less than two (2) Trading Days prior to the Filing Date or by the end of the second (2</w:t>
      </w:r>
      <w:r>
        <w:rPr>
          <w:rFonts w:ascii="Times New Roman" w:hAnsi="Times New Roman"/>
          <w:color w:val="000000"/>
          <w:sz w:val="16"/>
        </w:rPr>
        <w:t>nd</w:t>
      </w:r>
      <w:r>
        <w:rPr>
          <w:rFonts w:ascii="Times New Roman" w:hAnsi="Times New Roman"/>
          <w:color w:val="000000"/>
          <w:sz w:val="24"/>
        </w:rPr>
        <w:t xml:space="preserve">) Trading Day following the date on which such Holder receives draft materials in accordance with this Section. </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(b)</w:t>
      </w:r>
    </w:p>
    <w:p>
      <w:pPr>
        <w:pStyle w:val="TextBody"/>
        <w:bidi w:val="0"/>
        <w:jc w:val="both"/>
        <w:rPr>
          <w:rFonts w:ascii="Times New Roman" w:hAnsi="Times New Roman"/>
          <w:color w:val="000000"/>
          <w:sz w:val="24"/>
        </w:rPr>
      </w:pPr>
      <w:r>
        <w:rPr>
          <w:rFonts w:ascii="Times New Roman" w:hAnsi="Times New Roman"/>
          <w:color w:val="000000"/>
          <w:sz w:val="24"/>
        </w:rPr>
        <w:t>(i) Prepare and file with the Commission such amendments, including post-effective amendments, to a Registration Statement and the Prospectus used in connection therewith as may be necessary to keep a Registration Statement continuously effective as to the applicable Registrable Securities for the Effectiveness Period and prepare and file with the Commission such additional Registration Statements in order to register for resale under the Securities Act all of the Registrable Securities, (ii) cause the related Prospectus to be amended or supplemented by any required Prospectus supplement (subject to the terms of this Agreement), and, as so supplemented or amended, to be filed pursuant to Rule 424, (iii) respond as promptly as reasonably possible to any comments received from the Commission with respect to a Registration Statement or any amendment thereto and provide as promptly as reasonably possible to the Holders true and complete copies of all correspondence from and to the Commission relating to a Registration Statement (provided that, the Company shall excise any information contained therein which would constitute material non-public information regarding the Company or any of its Subsidiaries), and (iv) comply in all material respects with the applicable provisions of the Securities Act and the Exchange Act with respect to the disposition of all Registrable Securities covered by a Registration Statement during the applicable period in accordance (subject to the terms of this Agreement) with the intended methods of disposition by the Holders thereof set forth in such Registration Statement as so amended or in such Prospectus as so supplemented.</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(c)</w:t>
      </w:r>
    </w:p>
    <w:p>
      <w:pPr>
        <w:pStyle w:val="TextBody"/>
        <w:bidi w:val="0"/>
        <w:jc w:val="both"/>
        <w:rPr>
          <w:rFonts w:ascii="Times New Roman" w:hAnsi="Times New Roman"/>
          <w:color w:val="000000"/>
          <w:sz w:val="24"/>
        </w:rPr>
      </w:pPr>
      <w:r>
        <w:rPr>
          <w:rFonts w:ascii="Times New Roman" w:hAnsi="Times New Roman"/>
          <w:color w:val="000000"/>
          <w:sz w:val="24"/>
        </w:rPr>
        <w:t xml:space="preserve">If during the Effectiveness Period, the number of Registrable Securities at any time exceeds 100% of the number of shares of Common Stock then registered in a Registration Statement, then the Company shall file as soon as reasonably practicable, but in any case prior to the applicable Filing Date, an additional Registration Statement covering the resale by the Holders of not less than the number of such Registrable Securities.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(d)</w:t>
      </w:r>
    </w:p>
    <w:p>
      <w:pPr>
        <w:pStyle w:val="TextBody"/>
        <w:bidi w:val="0"/>
        <w:jc w:val="both"/>
        <w:rPr>
          <w:rFonts w:ascii="Times New Roman" w:hAnsi="Times New Roman"/>
          <w:color w:val="000000"/>
          <w:sz w:val="24"/>
        </w:rPr>
      </w:pPr>
      <w:r>
        <w:rPr>
          <w:rFonts w:ascii="Times New Roman" w:hAnsi="Times New Roman"/>
          <w:color w:val="000000"/>
          <w:sz w:val="24"/>
        </w:rPr>
        <w:t xml:space="preserve">Notify the Holders of Registrable Securities to be sold (which notice shall, pursuant to clauses (iii) through (vi) hereof, be accompanied by an instruction to suspend the use of the Prospectus until the requisite changes have been made) as promptly as reasonably possible (and, in the case of (i)(A) below, not less than one (1) Trading Day prior to such filing) and (if requested by any such Person) confirm such notice in writing no later than one (1) Trading Day following the day (i)(A) when a Prospectus or any Prospectus supplement or post-effective amendment to a Registration Statement is proposed to be filed, (B) when the Commission notifies the Company whether there will be a “review” of such Registration Statement and whenever the Commission comments in writing on such Registration Statement, and (C) with respect to a Registration Statement or any post-effective amendment, when the same has become effective, (ii) of any request by the Commission or any other federal or state governmental authority for amendments or supplements to a Registration Statement or Prospectus or for additional information, (iii) of the issuance by the Commission or any other federal or state governmental authority of any stop order suspending the effectiveness of a Registration Statement covering any or all of the Registrable Securities or the initiation of any Proceedings for that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rFonts w:ascii="Times New Roman" w:hAnsi="Times New Roman"/>
          <w:color w:val="000000"/>
          <w:sz w:val="24"/>
        </w:rPr>
        <w:t xml:space="preserve">purpose, (iv) of the receipt by the Company of any notification with respect to the suspension of the qualification or exemption from qualification of any of the Registrable Securities for sale in any jurisdiction, or the initiation or threatening of any Proceeding for such purpose, (v) of the occurrence of any event or passage of time that makes the financial statements included in a Registration Statement ineligible for inclusion therein or any statement made in a Registration Statement or Prospectus or any document incorporated or deemed to be incorporated therein by reference untrue in any material respect or that requires any revisions to a Registration Statement, Prospectus or other documents so that, in the case of a Registration Statement or the Prospectus, as the case may be, it will not contain any untrue statement of a material fact or omit to state any material fact required to be stated therein or necessary to make the statements therein, in light of the circumstances under which they were made, not misleading, and (vi) of the occurrence or existence of any pending corporate development with respect to the Company that the Company believes may be material and that, in the determination of the Company, makes it not in the best interest of the Company to allow continued availability of a Registration Statement or Prospectus;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in no event shall any such notice contain any information which would constitute material, non-public information regarding the Company or any of its Subsidiaries, and the Company agrees that the Holders shall not have any duty of confidentiality to the Company or any of its Subsidiaries and shall not have any duty to the Company or any of its Subsidiaries not to trade on the basis of such information.</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(e)</w:t>
      </w:r>
    </w:p>
    <w:p>
      <w:pPr>
        <w:pStyle w:val="TextBody"/>
        <w:bidi w:val="0"/>
        <w:jc w:val="both"/>
        <w:rPr>
          <w:rFonts w:ascii="Times New Roman" w:hAnsi="Times New Roman"/>
          <w:color w:val="000000"/>
          <w:sz w:val="24"/>
        </w:rPr>
      </w:pPr>
      <w:r>
        <w:rPr>
          <w:rFonts w:ascii="Times New Roman" w:hAnsi="Times New Roman"/>
          <w:color w:val="000000"/>
          <w:sz w:val="24"/>
        </w:rPr>
        <w:t>Use its reasonable best efforts to avoid the issuance of, or, if issued, obtain the withdrawal of (i) any order stopping or suspending the effectiveness of a Registration Statement, or (ii) any suspension of the qualification (or exemption from qualification) of any of the Registrable Securities for sale in any jurisdiction, at the earliest practicable moment.</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(f)</w:t>
      </w:r>
    </w:p>
    <w:p>
      <w:pPr>
        <w:pStyle w:val="TextBody"/>
        <w:bidi w:val="0"/>
        <w:jc w:val="both"/>
        <w:rPr>
          <w:rFonts w:ascii="Times New Roman" w:hAnsi="Times New Roman"/>
          <w:color w:val="000000"/>
          <w:sz w:val="24"/>
        </w:rPr>
      </w:pPr>
      <w:r>
        <w:rPr>
          <w:rFonts w:ascii="Times New Roman" w:hAnsi="Times New Roman"/>
          <w:color w:val="000000"/>
          <w:sz w:val="24"/>
        </w:rPr>
        <w:t>Furnish to each Holder, without charge, at least one conformed copy of each such Registration Statement and each amendment thereto, including financial statements and schedules, all documents incorporated or deemed to be incorporated therein by reference to the extent requested by such Person, and all exhibits to the extent requested by such Person (including those previously furnished or incorporated by reference) promptly after the filing of such documents with the Commission, provided that any such item which is available on the EDGAR system (or successor thereto) need not be furnished in physical form.</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(g)</w:t>
      </w:r>
    </w:p>
    <w:p>
      <w:pPr>
        <w:pStyle w:val="TextBody"/>
        <w:bidi w:val="0"/>
        <w:jc w:val="both"/>
        <w:rPr>
          <w:rFonts w:ascii="Times New Roman" w:hAnsi="Times New Roman"/>
          <w:color w:val="000000"/>
          <w:sz w:val="24"/>
        </w:rPr>
      </w:pPr>
      <w:r>
        <w:rPr>
          <w:rFonts w:ascii="Times New Roman" w:hAnsi="Times New Roman"/>
          <w:color w:val="000000"/>
          <w:sz w:val="24"/>
        </w:rPr>
        <w:t>Subject to the terms of this Agreement, the Company hereby consents to the use of such Prospectus and each amendment or supplement thereto by each of the selling Holders in connection with the offering and sale of the Registrable Securities covered by such Prospectus and any amendment or supplement thereto, except after the giving of any notice pursuant to Section 3(d).</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(h)</w:t>
      </w:r>
    </w:p>
    <w:p>
      <w:pPr>
        <w:pStyle w:val="TextBody"/>
        <w:bidi w:val="0"/>
        <w:jc w:val="both"/>
        <w:rPr>
          <w:rFonts w:ascii="Times New Roman" w:hAnsi="Times New Roman"/>
          <w:color w:val="000000"/>
          <w:sz w:val="24"/>
        </w:rPr>
      </w:pPr>
      <w:r>
        <w:rPr>
          <w:rFonts w:ascii="Times New Roman" w:hAnsi="Times New Roman"/>
          <w:color w:val="000000"/>
          <w:sz w:val="24"/>
        </w:rPr>
        <w:t xml:space="preserve">Prior to any resale of Registrable Securities by a Holder, use its commercially reasonable efforts to register or qualify or cooperate with the selling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Holders in connection with the registration or qualification (or exemption from the registration or qualification) of such Registrable Securities for the resale by the Holder under the securities or Blue Sky laws of such jurisdictions within the United States as any Holder reasonably requests in writing, to keep each registration or qualification (or exemption therefrom) effective during the Effectiveness Period and to do any and all other acts or things reasonably necessary to enable the disposition in such jurisdictions of the Registrable Securities covered by each Registration Statement, provided that the Company shall not be required to qualify generally to do business in any jurisdiction where it is not then so qualified, subject the Company to any material tax in any such jurisdiction where it is not then so subject or file a general consent to service of process in any such jurisdiction.</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(i)</w:t>
      </w:r>
    </w:p>
    <w:p>
      <w:pPr>
        <w:pStyle w:val="TextBody"/>
        <w:bidi w:val="0"/>
        <w:jc w:val="both"/>
        <w:rPr>
          <w:rFonts w:ascii="Times New Roman" w:hAnsi="Times New Roman"/>
          <w:color w:val="000000"/>
          <w:sz w:val="24"/>
        </w:rPr>
      </w:pPr>
      <w:r>
        <w:rPr>
          <w:rFonts w:ascii="Times New Roman" w:hAnsi="Times New Roman"/>
          <w:color w:val="000000"/>
          <w:sz w:val="24"/>
        </w:rPr>
        <w:t>If requested by a Holder, cooperate with such Holder to facilitate the timely preparation and delivery of certificates or book-entry statements representing Registrable Securities to be delivered to a transferee pursuant to a Registration Statement, which certificates or book-entry statements shall be free, to the extent permitted by the Purchase Agreement, of all restrictive legends, and to enable such Registrable Securities to be in such denominations and registered in such names as any such Holder may request.</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(j)</w:t>
      </w:r>
    </w:p>
    <w:p>
      <w:pPr>
        <w:pStyle w:val="TextBody"/>
        <w:bidi w:val="0"/>
        <w:jc w:val="both"/>
        <w:rPr>
          <w:rFonts w:ascii="Times New Roman" w:hAnsi="Times New Roman"/>
          <w:color w:val="000000"/>
          <w:sz w:val="24"/>
        </w:rPr>
      </w:pPr>
      <w:r>
        <w:rPr>
          <w:rFonts w:ascii="Times New Roman" w:hAnsi="Times New Roman"/>
          <w:color w:val="000000"/>
          <w:sz w:val="24"/>
        </w:rPr>
        <w:t>Upon the occurrence of any event contemplated by Section 3(d), as promptly as reasonably possible under the circumstances taking into account the Company’s good faith assessment of any adverse consequences to the Company and its stockholders of the premature disclosure of such event, prepare a supplement or amendment, including a post-effective amendment, to a Registration Statement or a supplement to the related Prospectus or any document incorporated or deemed to be incorporated therein by reference, and file any other required document so that, as thereafter delivered, neither a Registration Statement nor such Prospectus will contain an untrue statement of a material fact or omit to state a material fact required to be stated therein or necessary to make the statements therein, in light of the circumstances under which they were made, not misleading. If the Company notifies the Holders in accordance with clauses (iii) through (vi) of Section 3(d) above to suspend the use of any Prospectus until the requisite changes to such Prospectus have been made, then the Holders shall suspend use of such Prospectus. The Company will use its best efforts to ensure that the use of the Prospectus may be resumed as promptly as is practicable. The Company shall be entitled to exercise its right under this Section 3(j) to suspend the availability of a Registration Statement and Prospectus, for the time periods set forth in, and subject to the payment of partial liquidated damages if so required pursuant to Section 2(d).</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(k)</w:t>
      </w:r>
    </w:p>
    <w:p>
      <w:pPr>
        <w:pStyle w:val="TextBody"/>
        <w:bidi w:val="0"/>
        <w:jc w:val="both"/>
        <w:rPr>
          <w:rFonts w:ascii="Times New Roman" w:hAnsi="Times New Roman"/>
          <w:color w:val="000000"/>
          <w:sz w:val="24"/>
        </w:rPr>
      </w:pPr>
      <w:r>
        <w:rPr>
          <w:rFonts w:ascii="Times New Roman" w:hAnsi="Times New Roman"/>
          <w:color w:val="000000"/>
          <w:sz w:val="24"/>
        </w:rPr>
        <w:t xml:space="preserve">Otherwise use commercially reasonable efforts to comply with all applicable rules and regulations of the Commission under the Securities Act and the Exchange Act, including, without limitation, Rule 172 under the Securities Act, file any final Prospectus, including any supplement or amendment thereof, with the Commission pursuant to Rule 424 under the Securities Act, promptly inform the Holders in writing if, at any time during the Effectiveness Period, the Company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does not satisfy the conditions specified in Rule 172 and, as a result thereof, the Holders are required to deliver a Prospectus in connection with any disposition of Registrable Securities and take such other actions as may be reasonably necessary to facilitate the registration of the Registrable Securities hereunder.</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(l)</w:t>
      </w:r>
    </w:p>
    <w:p>
      <w:pPr>
        <w:pStyle w:val="TextBody"/>
        <w:bidi w:val="0"/>
        <w:jc w:val="both"/>
        <w:rPr>
          <w:rFonts w:ascii="Times New Roman" w:hAnsi="Times New Roman"/>
          <w:color w:val="000000"/>
          <w:sz w:val="24"/>
        </w:rPr>
      </w:pPr>
      <w:r>
        <w:rPr>
          <w:rFonts w:ascii="Times New Roman" w:hAnsi="Times New Roman"/>
          <w:color w:val="000000"/>
          <w:sz w:val="24"/>
        </w:rPr>
        <w:t>The Company may require each selling Holder to furnish to the Company a certified statement as to the number of shares of Common Stock beneficially owned by such Holder and, if required by the Commission, the natural persons thereof that have voting and dispositive control over the shares. During any periods that the Company is unable to meet its obligations hereunder with respect to the registration of the Registrable Securities solely because any Holder fails to furnish such information within three Trading Days of the Company’s request, any liquidated damages that are accruing at such time as to such Holder only shall be tolled and any Event that may otherwise occur solely because of such delay shall be suspended as to such Holder only, until such information is delivered to the Company.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4. </w:t>
      </w:r>
      <w:r>
        <w:rPr>
          <w:rFonts w:ascii="Times New Roman" w:hAnsi="Times New Roman"/>
          <w:color w:val="000000"/>
          <w:sz w:val="24"/>
          <w:u w:val="single"/>
        </w:rPr>
        <w:t>Registration Expenses</w:t>
      </w:r>
      <w:r>
        <w:rPr>
          <w:rFonts w:ascii="Times New Roman" w:hAnsi="Times New Roman"/>
          <w:color w:val="000000"/>
          <w:sz w:val="24"/>
        </w:rPr>
        <w:t>. All fees and expenses incident to the performance of or compliance with, this Agreement by the Company shall be borne by the Company whether or not any Registrable Securities are sold pursuant to a Registration Statement. The fees and expenses referred to in the foregoing sentence shall include, without limitation, (i) all registration and filing fees (including, without limitation, fees and expenses of the Company’s counsel and independent registered public accountants) (A) with respect to filings made with the Commission, (B) with respect to filings required to be made with any Trading Market on which the Common Stock is then listed for trading, and (C) in compliance with applicable state securities or Blue Sky laws reasonably agreed to by the Company in writing (including, without limitation, fees and disbursements of counsel for the Company in connection with Blue Sky qualifications or exemptions of the Registrable Securities), (ii) printing expenses (including, without limitation, expenses of printing certificates for Registrable Securities), (iii) messenger, telephone and delivery expenses, (iv) fees and disbursements of counsel for the Company, (v) Securities Act liability insurance, if the Company so desires such insurance, and (vi) fees and expenses of all other Persons retained by the Company in connection with the consummation of the transactions contemplated by this Agreement. In addition, the Company shall be responsible for all of its internal expenses incurred in connection with the consummation of the transactions contemplated by this Agreement (including, without limitation, all salaries and expenses of its officers and employees performing legal or accounting duties), the expense of any annual audit and the fees and expenses incurred in connection with the listing of the Registrable Securities on any securities exchange as required hereunder. In no event shall the Company be responsible for any broker or similar commissions of any Holder or, except to the extent provided for in the Transaction Documents, any legal fees or other costs of the Holders.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5. </w:t>
      </w:r>
      <w:r>
        <w:rPr>
          <w:rFonts w:ascii="Times New Roman" w:hAnsi="Times New Roman"/>
          <w:color w:val="000000"/>
          <w:sz w:val="24"/>
          <w:u w:val="single"/>
        </w:rPr>
        <w:t>Indemnification</w:t>
      </w:r>
      <w:r>
        <w:rPr>
          <w:rFonts w:ascii="Times New Roman" w:hAnsi="Times New Roman"/>
          <w:color w:val="000000"/>
          <w:sz w:val="24"/>
        </w:rPr>
        <w:t>.</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jc w:val="both"/>
        <w:rPr/>
      </w:pPr>
      <w:r>
        <w:rPr>
          <w:rFonts w:ascii="Times New Roman" w:hAnsi="Times New Roman"/>
          <w:color w:val="000000"/>
          <w:sz w:val="24"/>
          <w:u w:val="single"/>
        </w:rPr>
        <w:t>Indemnification by the Company</w:t>
      </w:r>
      <w:r>
        <w:rPr>
          <w:rFonts w:ascii="Times New Roman" w:hAnsi="Times New Roman"/>
          <w:color w:val="000000"/>
          <w:sz w:val="24"/>
        </w:rPr>
        <w:t>. The Company shall, notwithstanding any termination of this Agreement, indemnify and hold harmless each Holder, the officers, directors, members, partners, agents and employees, brokers (including brokers who offer and sell Registrable Securities as principal as a result of a pledge or any failure to perform under a margin call of Common Stock), investment advisors and employees (and any other Persons with a functionally equivalent role of a Person holding such titles, notwithstanding a lack of such title or any other title) of each of them, each Person who controls any such Holder (within the meaning of Section 15 of the Securities Act or Section 20 of the Exchange Act) and the officers, directors, members, stockholders, partners, agents and employees (and any other Persons with a functionally equivalent role of a Person holding such titles, notwithstanding a lack of such title or any other title) of each such controlling Person, to the fullest extent permitted by applicable law, from and against any and all losses, claims, damages, liabilities, costs (including, without limitation, reasonable attorneys’ fees) and expenses (collectively, “</w:t>
      </w:r>
      <w:r>
        <w:rPr>
          <w:rFonts w:ascii="Times New Roman" w:hAnsi="Times New Roman"/>
          <w:color w:val="000000"/>
          <w:sz w:val="24"/>
          <w:u w:val="single"/>
        </w:rPr>
        <w:t>Losses</w:t>
      </w:r>
      <w:r>
        <w:rPr>
          <w:color w:val="000000"/>
        </w:rPr>
        <w:t>”</w:t>
      </w:r>
      <w:r>
        <w:rPr>
          <w:rFonts w:ascii="Times New Roman" w:hAnsi="Times New Roman"/>
          <w:color w:val="000000"/>
          <w:sz w:val="24"/>
        </w:rPr>
        <w:t>), as incurred, arising out of or relating to (1) any untrue or alleged untrue statement of a material fact contained in a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or (2) any violation or alleged violation by the Company of the Securities Act, the Exchange Act or any state securities law, or any rule or regulation thereunder, in connection with the performance of its obligations under this Agreement, except to the extent, but only to the extent, that (i) such untrue statements or omissions are based solely upon information regarding such Holder furnished in writing to the Company by such Holder expressly for use therein, or to the extent that such information relates to such Holder or such Holder’s proposed method of distribution of Registrable Securities and was reviewed and expressly approved in writing by such Holder expressly for use in a Registration Statement, such Prospectus or in any amendment or supplement thereto (it being understood that the Holder has approved Annex A hereto for this purpose) or (ii) in the case of an occurrence of an event of the type specified in Section 3(d)(iii)-(vi), the use by such Holder of an outdated, defective or otherwise unavailable Prospectus after the Company has notified such Holder in writing that the Prospectus is outdated, defective or otherwise unavailable for use by such Holder and prior to the receipt by such Holder of the Advice contemplated in Section 6(c). The Company shall notify the Holders promptly of the institution, threat or assertion of any Proceeding arising from or in connection with the transactions contemplated by this Agreement of which the Company is aware. Such indemnity shall remain in full force and effect regardless of any investigation made by or on behalf of such indemnified person and shall survive the transfer of any Registrable Securities by any of the Holders in accordance with Section 6(f).</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(b)</w:t>
      </w:r>
    </w:p>
    <w:p>
      <w:pPr>
        <w:pStyle w:val="TextBody"/>
        <w:bidi w:val="0"/>
        <w:jc w:val="both"/>
        <w:rPr/>
      </w:pPr>
      <w:r>
        <w:rPr>
          <w:rFonts w:ascii="Times New Roman" w:hAnsi="Times New Roman"/>
          <w:color w:val="000000"/>
          <w:sz w:val="24"/>
          <w:u w:val="single"/>
        </w:rPr>
        <w:t>Indemnification by Holders</w:t>
      </w:r>
      <w:r>
        <w:rPr>
          <w:rFonts w:ascii="Times New Roman" w:hAnsi="Times New Roman"/>
          <w:color w:val="000000"/>
          <w:sz w:val="24"/>
        </w:rPr>
        <w:t xml:space="preserve">. Each Holder shall, severally and not jointly, indemnify and hold harmless the Company, its directors, officers, agents </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and employees, each Person who controls the Company (within the meaning of Section 15 of the Securities Act and Section 20 of the Exchange Act), and the directors, officers, agents or employees of such controlling Persons, to the fullest extent permitted by applicable law, from and against all Losses, as incurred, to the extent arising out of or based solely upon: any untrue or alleged untrue statement of a material fact contained in any Registration Statement, any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(i) to the extent, but only to the extent, that such untrue statement or omission is contained in any information so furnished in writing by such Holder to the Company expressly for inclusion in such Registration Statement or such Prospectus or (ii) to the extent, but only to the extent, that such information relates to such Holder’s information provided in the Selling Stockholder Questionnaire or the proposed method of distribution of Registrable Securities and was reviewed and expressly approved in writing by such Holder expressly for use in a Registration Statement (it being understood that the Holder has approved Annex A hereto for this purpose), such Prospectus or in any amendment or supplement thereto. In no event shall the liability of a selling Holder be greater in amount than the dollar amount of the proceeds (net of all expenses paid by such Holder in connection with any claim relating to this Section 5 and the amount of any damages such Holder has otherwise been required to pay by reason of such untrue statement or omission) received by such Holder upon the sale of the Registrable Securities included in the Registration Statement giving rise to such indemnification obligation.</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(c)</w:t>
      </w:r>
    </w:p>
    <w:p>
      <w:pPr>
        <w:pStyle w:val="TextBody"/>
        <w:bidi w:val="0"/>
        <w:jc w:val="both"/>
        <w:rPr/>
      </w:pPr>
      <w:r>
        <w:rPr>
          <w:rFonts w:ascii="Times New Roman" w:hAnsi="Times New Roman"/>
          <w:color w:val="000000"/>
          <w:sz w:val="24"/>
          <w:u w:val="single"/>
        </w:rPr>
        <w:t>Conduct of Indemnification Proceedings</w:t>
      </w:r>
      <w:r>
        <w:rPr>
          <w:rFonts w:ascii="Times New Roman" w:hAnsi="Times New Roman"/>
          <w:color w:val="000000"/>
          <w:sz w:val="24"/>
        </w:rPr>
        <w:t>. If any Proceeding shall be brought or asserted against any Person entitled to indemnity hereunder (an “</w:t>
      </w:r>
      <w:r>
        <w:rPr>
          <w:rFonts w:ascii="Times New Roman" w:hAnsi="Times New Roman"/>
          <w:color w:val="000000"/>
          <w:sz w:val="24"/>
          <w:u w:val="single"/>
        </w:rPr>
        <w:t>Indemnified Party</w:t>
      </w:r>
      <w:r>
        <w:rPr>
          <w:color w:val="000000"/>
        </w:rPr>
        <w:t>”</w:t>
      </w:r>
      <w:r>
        <w:rPr>
          <w:rFonts w:ascii="Times New Roman" w:hAnsi="Times New Roman"/>
          <w:color w:val="000000"/>
          <w:sz w:val="24"/>
        </w:rPr>
        <w:t>), such Indemnified Party shall promptly notify the Person from whom indemnity is sought (the “</w:t>
      </w:r>
      <w:r>
        <w:rPr>
          <w:rFonts w:ascii="Times New Roman" w:hAnsi="Times New Roman"/>
          <w:color w:val="000000"/>
          <w:sz w:val="24"/>
          <w:u w:val="single"/>
        </w:rPr>
        <w:t>Indemnifying Party</w:t>
      </w:r>
      <w:r>
        <w:rPr>
          <w:color w:val="000000"/>
        </w:rPr>
        <w:t>”</w:t>
      </w:r>
      <w:r>
        <w:rPr>
          <w:rFonts w:ascii="Times New Roman" w:hAnsi="Times New Roman"/>
          <w:color w:val="000000"/>
          <w:sz w:val="24"/>
        </w:rPr>
        <w:t>) in writing, and the Indemnifying Party shall have the right to assume the defense thereof, including the employment of counsel reasonably satisfactory to the Indemnified Party and the payment of all fees and expenses incurred in connection with defense thereof, provided that the failure of any Indemnified Party to give such notice shall not relieve the Indemnifying Party of its obligations or liabilities pursuant to this Agreement, except (and only) to the extent that it shall be finally determined by a court of competent jurisdiction (which determination is not subject to appeal or further review) that such failure shall have materially and adversely prejudiced the Indemnifying Party.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An Indemnified Party shall have the right to employ separate counsel in any such Proceeding and to participate in the defense thereof, but the fees and expenses of such counsel shall be at the expense of such Indemnified Party or Parties unless: (1) the Indemnifying Party has agreed in writing to pay such fees and expenses, (2) the Indemnifying Party shall have failed promptly to assume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defense of such Proceeding and to employ counsel reasonably satisfactory to such Indemnified Party in any such Proceeding, or (3) the named parties to any such Proceeding (including any impleaded parties) include both such Indemnified Party and the Indemnifying Party, and counsel to the Indemnified Party shall reasonably believe that a material conflict of interest is likely to exist if the same counsel were to represent such Indemnified Party and the Indemnifying Party (in which case, if such Indemnified Party notifies the Indemnifying Party in writing that it elects to employ separate counsel at the expense of the Indemnifying Party, the Indemnifying Party shall not have the right to assume the defense thereof and the reasonable fees and expenses of no more than one separate counsel shall be at the expense of the Indemnifying Party). The Indemnifying Party shall not be liable for any settlement of any such Proceeding effected without its written consent, which consent shall not be unreasonably withheld or delayed. No Indemnifying Party shall, without the prior written consent of the Indemnified Party, effect any settlement of any pending Proceeding in respect of which any Indemnified Party is a party, unless such settlement includes an unconditional release of such Indemnified Party from all liability on claims that are the subject matter of such Proceeding.</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Subject to the terms of this Agreement, all reasonable fees and expenses of the Indemnified Party (including reasonable fees and expenses to the extent incurred in connection with investigating or preparing to defend such Proceeding in a manner not inconsistent with this Section) shall be paid to the Indemnified Party, as incurred, within ten Trading Days of written notice thereof to the Indemnifying Party, provided that the Indemnified Party shall promptly reimburse the Indemnifying Party for that portion of such fees and expenses applicable to such actions for which such Indemnified Party is finally determined by a court of competent jurisdiction (which determination is not subject to appeal or further review) not to be entitled to indemnification hereunder.</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(d)</w:t>
      </w:r>
    </w:p>
    <w:p>
      <w:pPr>
        <w:pStyle w:val="TextBody"/>
        <w:bidi w:val="0"/>
        <w:jc w:val="both"/>
        <w:rPr/>
      </w:pPr>
      <w:r>
        <w:rPr>
          <w:rFonts w:ascii="Times New Roman" w:hAnsi="Times New Roman"/>
          <w:color w:val="000000"/>
          <w:sz w:val="24"/>
          <w:u w:val="single"/>
        </w:rPr>
        <w:t>Contribution</w:t>
      </w:r>
      <w:r>
        <w:rPr>
          <w:rFonts w:ascii="Times New Roman" w:hAnsi="Times New Roman"/>
          <w:color w:val="000000"/>
          <w:sz w:val="24"/>
        </w:rPr>
        <w:t xml:space="preserve">. If the indemnification under Section 5(a) or 5(b) is unavailable to an Indemnified Party or insufficient to hold an Indemnified Party harmless for any Losses, then each Indemnifying Party shall contribute to the amount paid or payable by such Indemnified Party, in such proportion as is appropriate to reflect the relative fault of the Indemnifying Party and Indemnified Party in connection with the actions, statements or omissions that resulted in such Losses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of a material fact, has been taken or made by, or relates to information supplied by, such Indemnifying Party or Indemnified Party, and the parties’ relative intent, knowledge, access to information and opportunity to correct or prevent such action, statement or omission. The amount paid or payable by a party as a result of any Losses shall be deemed to include, subject to the limitations set forth in this Agreement, any reasonable attorneys’ or other fees or expenses incurred by such </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party in connection with any Proceeding to the extent such party would have been indemnified for such fees or expenses if the indemnification provided for in this Section was available to such party in accordance with its terms.</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parties hereto agree that it would not be just and equitable if contribution pursuant to this Section 5(d) were determined by pro rata allocation or by any other method of allocation that does not take into account the equitable considerations referred to in the immediately preceding paragraph. In no event shall the contribution obligation of a Holder of Registrable Securities be greater in amount than the dollar amount of the proceeds (net of all expenses paid by such Holder in connection with any claim relating to this Section 5 and the amount of any damages such Holder has otherwise been required to pay by reason of such untrue or alleged untrue statement or omission or alleged omission) received by it upon the sale of the Registrable Securities giving rise to such contribution obligation.</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indemnity and contribution agreements contained in this Section are in addition to any liability that the Indemnifying Parties may have to the Indemnified Parties.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6. </w:t>
      </w:r>
      <w:r>
        <w:rPr>
          <w:rFonts w:ascii="Times New Roman" w:hAnsi="Times New Roman"/>
          <w:color w:val="000000"/>
          <w:sz w:val="24"/>
          <w:u w:val="single"/>
        </w:rPr>
        <w:t>Miscellaneous</w:t>
      </w:r>
      <w:r>
        <w:rPr>
          <w:rFonts w:ascii="Times New Roman" w:hAnsi="Times New Roman"/>
          <w:color w:val="000000"/>
          <w:sz w:val="24"/>
        </w:rPr>
        <w:t>.</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jc w:val="both"/>
        <w:rPr/>
      </w:pPr>
      <w:r>
        <w:rPr>
          <w:rFonts w:ascii="Times New Roman" w:hAnsi="Times New Roman"/>
          <w:color w:val="000000"/>
          <w:sz w:val="24"/>
          <w:u w:val="single"/>
        </w:rPr>
        <w:t>Remedies</w:t>
      </w:r>
      <w:r>
        <w:rPr>
          <w:rFonts w:ascii="Times New Roman" w:hAnsi="Times New Roman"/>
          <w:color w:val="000000"/>
          <w:sz w:val="24"/>
        </w:rPr>
        <w:t>. In the event of a breach by the Company or by a Holder of any of their respective obligations under this Agreement, each Holder or the Company, as the case may be, in addition to being entitled to exercise all rights granted by law and under this Agreement, including recovery of damages, shall be entitled to specific performance of its rights under this Agreement. Each of the Company and each Holder agrees that monetary damages would not provide adequate compensation for any losses incurred by reason of a breach by it of any of the provisions of this Agreement and hereby further agrees that, in the event of any action for specific performance in respect of such breach, it shall not assert or shall waive the defense that a remedy at law would be adequate.</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(b)</w:t>
      </w:r>
    </w:p>
    <w:p>
      <w:pPr>
        <w:pStyle w:val="TextBody"/>
        <w:bidi w:val="0"/>
        <w:jc w:val="both"/>
        <w:rPr/>
      </w:pPr>
      <w:r>
        <w:rPr>
          <w:rFonts w:ascii="Times New Roman" w:hAnsi="Times New Roman"/>
          <w:color w:val="000000"/>
          <w:sz w:val="24"/>
          <w:u w:val="single"/>
        </w:rPr>
        <w:t>No Piggyback on Registrations; Prohibition on Filing Other Registration Statements</w:t>
      </w:r>
      <w:r>
        <w:rPr>
          <w:rFonts w:ascii="Times New Roman" w:hAnsi="Times New Roman"/>
          <w:color w:val="000000"/>
          <w:sz w:val="24"/>
        </w:rPr>
        <w:t>. Except as set forth on Schedule 6(b), neither the Company nor any of its security holders (other than the Holders in such capacity pursuant hereto) may include securities of the Company in any Registration Statements other than the Registrable Securities. The Company shall not file any other registration statements other than the Registration Statement during the prohibition period set forth in Section 4.11(a) of the Purchase Agreement, other than as permitted by Section 4.11(a) of the Purchase Agreement.</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(c)</w:t>
      </w:r>
    </w:p>
    <w:p>
      <w:pPr>
        <w:pStyle w:val="TextBody"/>
        <w:bidi w:val="0"/>
        <w:jc w:val="both"/>
        <w:rPr/>
      </w:pPr>
      <w:r>
        <w:rPr>
          <w:rFonts w:ascii="Times New Roman" w:hAnsi="Times New Roman"/>
          <w:color w:val="000000"/>
          <w:sz w:val="24"/>
          <w:u w:val="single"/>
        </w:rPr>
        <w:t>Discontinued Disposition</w:t>
      </w:r>
      <w:r>
        <w:rPr>
          <w:rFonts w:ascii="Times New Roman" w:hAnsi="Times New Roman"/>
          <w:color w:val="000000"/>
          <w:sz w:val="24"/>
        </w:rPr>
        <w:t>. By its acquisition of Registrable Securities, each Holder agrees that, upon receipt of a notice from the Company of the occurrence of any event of the kind described in Section 3(d)(iii) through (vi), such Holder will forthwith discontinue disposition of such Registrable Securities under a Registration Statement until it is advised in writing (the “</w:t>
      </w:r>
      <w:r>
        <w:rPr>
          <w:rFonts w:ascii="Times New Roman" w:hAnsi="Times New Roman"/>
          <w:color w:val="000000"/>
          <w:sz w:val="24"/>
          <w:u w:val="single"/>
        </w:rPr>
        <w:t>Advice</w:t>
      </w:r>
      <w:r>
        <w:rPr>
          <w:color w:val="000000"/>
        </w:rPr>
        <w:t>”</w:t>
      </w:r>
      <w:r>
        <w:rPr>
          <w:rFonts w:ascii="Times New Roman" w:hAnsi="Times New Roman"/>
          <w:color w:val="000000"/>
          <w:sz w:val="24"/>
        </w:rPr>
        <w:t xml:space="preserve">) by the Company that the use of the applicable </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Prospectus (as it may have been supplemented or amended) may be resumed. The Company will use its best efforts to ensure that the use of the Prospectus may be resumed as promptly as is practicable. The Company agrees and acknowledges that any periods during which the Holder is required to discontinue the disposition of the Registrable Securities hereunder shall be subject to the provisions of Section 2(d).</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(d)</w:t>
      </w:r>
    </w:p>
    <w:p>
      <w:pPr>
        <w:pStyle w:val="TextBody"/>
        <w:bidi w:val="0"/>
        <w:jc w:val="both"/>
        <w:rPr/>
      </w:pPr>
      <w:r>
        <w:rPr>
          <w:rFonts w:ascii="Times New Roman" w:hAnsi="Times New Roman"/>
          <w:color w:val="000000"/>
          <w:sz w:val="24"/>
          <w:u w:val="single"/>
        </w:rPr>
        <w:t>Amendments and Waivers</w:t>
      </w:r>
      <w:r>
        <w:rPr>
          <w:rFonts w:ascii="Times New Roman" w:hAnsi="Times New Roman"/>
          <w:color w:val="000000"/>
          <w:sz w:val="24"/>
        </w:rPr>
        <w:t xml:space="preserve">. The provisions of this Agreement, including the provisions of this sentence, may not be amended, modified or supplemented, and waivers or consents to departures from the provisions hereof may not be given, unless the same shall be in writing and signed by the Company and the Holders of 50.1% or more of the then outstanding Registrable Securities (for purposes of clarification, this includes any Registrable Securities issuable upon exercise or conversion of any security), provided that, if any amendment, modification or waiver disproportionately and adversely impacts a Holder (or group of Holders), the consent of such disproportionately impacted Holder (or group of Holders) shall be required. If a Registration Statement does not register all of the Registrable Securities pursuant to a waiver or amendment done in compliance with the previous sentence, then the number of Registrable Securities to be registered for each Holder shall be reduced pro rata among all Holders and each Holder shall have the right to designate which of its Registrable Securities shall be omitted from such Registration Statement. Notwithstanding the foregoing, a waiver or consent to depart from the provisions hereof with respect to a matter that relates exclusively to the rights of a Holder or some Holders and that does not directly or indirectly affect the rights of other Holders may be given only by such Holder or Holders of all of the Registrable Securities to which such waiver or consent relates;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the provisions of this sentence may not be amended, modified, or supplemented except in accordance with the provisions of the first sentence of this Section 6(d). No consideration shall be offered or paid to any Person to amend or consent to a waiver or modification of any provision of this Agreement unless the same consideration also is offered to all of the parties to this Agreement who continues to hold any of the Registrable Securities.</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(e)</w:t>
      </w:r>
    </w:p>
    <w:p>
      <w:pPr>
        <w:pStyle w:val="TextBody"/>
        <w:bidi w:val="0"/>
        <w:jc w:val="both"/>
        <w:rPr/>
      </w:pPr>
      <w:r>
        <w:rPr>
          <w:rFonts w:ascii="Times New Roman" w:hAnsi="Times New Roman"/>
          <w:color w:val="000000"/>
          <w:sz w:val="24"/>
          <w:u w:val="single"/>
        </w:rPr>
        <w:t>Notices</w:t>
      </w:r>
      <w:r>
        <w:rPr>
          <w:rFonts w:ascii="Times New Roman" w:hAnsi="Times New Roman"/>
          <w:color w:val="000000"/>
          <w:sz w:val="24"/>
        </w:rPr>
        <w:t xml:space="preserve">. Any and all notices or other communications or deliveries required or permitted to be provided hereunder shall be delivered as set forth in the Purchase Agreement.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(f)</w:t>
      </w:r>
    </w:p>
    <w:p>
      <w:pPr>
        <w:pStyle w:val="TextBody"/>
        <w:bidi w:val="0"/>
        <w:jc w:val="both"/>
        <w:rPr/>
      </w:pPr>
      <w:r>
        <w:rPr>
          <w:rFonts w:ascii="Times New Roman" w:hAnsi="Times New Roman"/>
          <w:color w:val="000000"/>
          <w:sz w:val="24"/>
          <w:u w:val="single"/>
        </w:rPr>
        <w:t>Successors and Assigns</w:t>
      </w:r>
      <w:r>
        <w:rPr>
          <w:rFonts w:ascii="Times New Roman" w:hAnsi="Times New Roman"/>
          <w:color w:val="000000"/>
          <w:sz w:val="24"/>
        </w:rPr>
        <w:t>. This Agreement shall inure to the benefit of and be binding upon the successors and permitted assigns of each of the parties and shall inure to the benefit of each Holder. The Company may not assign (except by merger) its rights or obligations hereunder without the prior written consent of all of the Holders of the then outstanding Registrable Securities. Each Holder may assign their respective rights hereunder in the manner and to the Persons as permitted under Section 5.7 of the Purchase Agreement.</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(g)</w:t>
      </w:r>
    </w:p>
    <w:p>
      <w:pPr>
        <w:pStyle w:val="TextBody"/>
        <w:bidi w:val="0"/>
        <w:jc w:val="both"/>
        <w:rPr/>
      </w:pPr>
      <w:r>
        <w:rPr>
          <w:rFonts w:ascii="Times New Roman" w:hAnsi="Times New Roman"/>
          <w:color w:val="000000"/>
          <w:sz w:val="24"/>
          <w:u w:val="single"/>
        </w:rPr>
        <w:t>No Inconsistent Agreements</w:t>
      </w:r>
      <w:r>
        <w:rPr>
          <w:rFonts w:ascii="Times New Roman" w:hAnsi="Times New Roman"/>
          <w:color w:val="000000"/>
          <w:sz w:val="24"/>
        </w:rPr>
        <w:t xml:space="preserve">. Neither the Company nor any of its Subsidiaries has entered, as of the date hereof, nor shall the Company or any of its Subsidiaries, on or after the date of this Agreement, enter into any agreement with respect to its securities, that would have the effect of impairing the rights granted to the Holders in </w:t>
      </w:r>
    </w:p>
    <w:p>
      <w:pPr>
        <w:pStyle w:val="TextBody"/>
        <w:bidi w:val="0"/>
        <w:jc w:val="center"/>
        <w:rPr>
          <w:rFonts w:ascii="Times New Roman" w:hAnsi="Times New Roman"/>
          <w:color w:val="000000"/>
          <w:sz w:val="24"/>
        </w:rPr>
      </w:pPr>
      <w:r>
        <w:rPr>
          <w:rFonts w:ascii="Times New Roman" w:hAnsi="Times New Roman"/>
          <w:color w:val="000000"/>
          <w:sz w:val="24"/>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rFonts w:ascii="Times New Roman" w:hAnsi="Times New Roman"/>
          <w:color w:val="000000"/>
          <w:sz w:val="24"/>
        </w:rPr>
        <w:t xml:space="preserve">this Agreement or otherwise conflicts with the provisions hereof. Except as set forth on </w:t>
      </w:r>
      <w:r>
        <w:rPr>
          <w:rFonts w:ascii="Times New Roman" w:hAnsi="Times New Roman"/>
          <w:color w:val="000000"/>
          <w:sz w:val="24"/>
          <w:u w:val="single"/>
        </w:rPr>
        <w:t>Schedule 3.1(w)</w:t>
      </w:r>
      <w:r>
        <w:rPr>
          <w:color w:val="000000"/>
        </w:rPr>
        <w:t xml:space="preserve"> </w:t>
      </w:r>
      <w:r>
        <w:rPr>
          <w:rFonts w:ascii="Times New Roman" w:hAnsi="Times New Roman"/>
          <w:color w:val="000000"/>
          <w:sz w:val="24"/>
        </w:rPr>
        <w:t>of the Purchase Agreement, neither the Company nor any of its Subsidiaries has previously entered into any agreement granting any registration rights with respect to any of its securities to any Person that have not been satisfied in full.</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(h)</w:t>
      </w:r>
    </w:p>
    <w:p>
      <w:pPr>
        <w:pStyle w:val="TextBody"/>
        <w:bidi w:val="0"/>
        <w:jc w:val="both"/>
        <w:rPr/>
      </w:pPr>
      <w:r>
        <w:rPr>
          <w:rFonts w:ascii="Times New Roman" w:hAnsi="Times New Roman"/>
          <w:color w:val="000000"/>
          <w:sz w:val="24"/>
          <w:u w:val="single"/>
        </w:rPr>
        <w:t>Execution and Counterparts</w:t>
      </w:r>
      <w:r>
        <w:rPr>
          <w:rFonts w:ascii="Times New Roman" w:hAnsi="Times New Roman"/>
          <w:color w:val="000000"/>
          <w:sz w:val="24"/>
        </w:rPr>
        <w:t>.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e-mail delivery of a “.pdf” format data file or any electronic signature complying with the U.S. federal ESIGN Act of 2000 (e.g., www.docusign.com), such signature shall create a valid and binding obligation of the party executing (or on whose behalf such signature is executed) with the same force and effect as if such “.pdf” signature page were an original thereof.</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(i)</w:t>
      </w:r>
    </w:p>
    <w:p>
      <w:pPr>
        <w:pStyle w:val="TextBody"/>
        <w:bidi w:val="0"/>
        <w:jc w:val="both"/>
        <w:rPr/>
      </w:pPr>
      <w:r>
        <w:rPr>
          <w:rFonts w:ascii="Times New Roman" w:hAnsi="Times New Roman"/>
          <w:color w:val="000000"/>
          <w:sz w:val="24"/>
          <w:u w:val="single"/>
        </w:rPr>
        <w:t>Governing Law</w:t>
      </w:r>
      <w:r>
        <w:rPr>
          <w:rFonts w:ascii="Times New Roman" w:hAnsi="Times New Roman"/>
          <w:color w:val="000000"/>
          <w:sz w:val="24"/>
        </w:rPr>
        <w:t>. All questions concerning the construction, validity, enforcement and interpretation of this Agreement shall be determined in accordance with the provisions of the Purchase Agreement.</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(j)</w:t>
      </w:r>
    </w:p>
    <w:p>
      <w:pPr>
        <w:pStyle w:val="TextBody"/>
        <w:bidi w:val="0"/>
        <w:jc w:val="both"/>
        <w:rPr/>
      </w:pPr>
      <w:r>
        <w:rPr>
          <w:rFonts w:ascii="Times New Roman" w:hAnsi="Times New Roman"/>
          <w:color w:val="000000"/>
          <w:sz w:val="24"/>
          <w:u w:val="single"/>
        </w:rPr>
        <w:t>Cumulative Remedies</w:t>
      </w:r>
      <w:r>
        <w:rPr>
          <w:rFonts w:ascii="Times New Roman" w:hAnsi="Times New Roman"/>
          <w:color w:val="000000"/>
          <w:sz w:val="24"/>
        </w:rPr>
        <w:t>. The remedies provided herein are cumulative and not exclusive of any other remedies provided by law.</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(k)</w:t>
      </w:r>
    </w:p>
    <w:p>
      <w:pPr>
        <w:pStyle w:val="TextBody"/>
        <w:bidi w:val="0"/>
        <w:jc w:val="both"/>
        <w:rPr/>
      </w:pPr>
      <w:r>
        <w:rPr>
          <w:rFonts w:ascii="Times New Roman" w:hAnsi="Times New Roman"/>
          <w:color w:val="000000"/>
          <w:sz w:val="24"/>
          <w:u w:val="single"/>
        </w:rPr>
        <w:t>Severability</w:t>
      </w:r>
      <w:r>
        <w:rPr>
          <w:rFonts w:ascii="Times New Roman" w:hAnsi="Times New Roman"/>
          <w:color w:val="000000"/>
          <w:sz w:val="24"/>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(l)</w:t>
      </w:r>
    </w:p>
    <w:p>
      <w:pPr>
        <w:pStyle w:val="TextBody"/>
        <w:bidi w:val="0"/>
        <w:jc w:val="both"/>
        <w:rPr/>
      </w:pPr>
      <w:r>
        <w:rPr>
          <w:rFonts w:ascii="Times New Roman" w:hAnsi="Times New Roman"/>
          <w:color w:val="000000"/>
          <w:sz w:val="24"/>
          <w:u w:val="single"/>
        </w:rPr>
        <w:t>Headings</w:t>
      </w:r>
      <w:r>
        <w:rPr>
          <w:rFonts w:ascii="Times New Roman" w:hAnsi="Times New Roman"/>
          <w:color w:val="000000"/>
          <w:sz w:val="24"/>
        </w:rPr>
        <w:t>. The headings in this Agreement are for convenience only, do not constitute a part of the Agreement and shall not be deemed to limit or affect any of the provisions hereof.</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(m)</w:t>
      </w:r>
    </w:p>
    <w:p>
      <w:pPr>
        <w:pStyle w:val="TextBody"/>
        <w:bidi w:val="0"/>
        <w:jc w:val="both"/>
        <w:rPr/>
      </w:pPr>
      <w:r>
        <w:rPr>
          <w:rFonts w:ascii="Times New Roman" w:hAnsi="Times New Roman"/>
          <w:color w:val="000000"/>
          <w:sz w:val="24"/>
          <w:u w:val="single"/>
        </w:rPr>
        <w:t>Independent Nature of Holders’ Obligations and Rights</w:t>
      </w:r>
      <w:r>
        <w:rPr>
          <w:rFonts w:ascii="Times New Roman" w:hAnsi="Times New Roman"/>
          <w:color w:val="000000"/>
          <w:sz w:val="24"/>
        </w:rPr>
        <w:t xml:space="preserve">. The obligations of each Holder hereunder are several and not joint with the obligations of any other Holder hereunder, and no Holder shall be responsible in any way for the performance of the obligations of any other Holder hereunder. Nothing contained herein or in any other agreement or document delivered at any closing, and no action taken by any Holder pursuant hereto or thereto, shall be deemed to constitute the Holders as a partnership, an association, a joint venture or any other kind of group or entity, or create a presumption that the Holders are in any way acting in concert or as a group or entity with respect to such obligations or the transactions contemplated by this Agreement or any other matters, and </w:t>
      </w:r>
    </w:p>
    <w:p>
      <w:pPr>
        <w:pStyle w:val="TextBody"/>
        <w:bidi w:val="0"/>
        <w:jc w:val="center"/>
        <w:rPr>
          <w:rFonts w:ascii="Times New Roman" w:hAnsi="Times New Roman"/>
          <w:color w:val="000000"/>
          <w:sz w:val="24"/>
        </w:rPr>
      </w:pPr>
      <w:r>
        <w:rPr>
          <w:rFonts w:ascii="Times New Roman" w:hAnsi="Times New Roman"/>
          <w:color w:val="000000"/>
          <w:sz w:val="24"/>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Company acknowledges that the Holders are not acting in concert or as a group, and the Company shall not assert any such claim, with respect to such obligations or transactions. Each Holder shall be entitled to protect and enforce its rights, including without limitation the rights arising out of this Agreement, and it shall not be necessary for any other Holder to be joined as an additional party in any proceeding for such purpose. The use of a single agreement with respect to the obligations of the Company contained in this Agreement was solely in the control of the Company, not the action or decision of any Holder, and was done solely for the convenience of the Company and not because it was required or requested to do so by any Holder. It is expressly understood and agreed that each provision contained in this Agreement is between the Company and a Holder, solely, and not between the Company and the Holders collectively and not between and among Holders.</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w:t>
      </w:r>
    </w:p>
    <w:p>
      <w:pPr>
        <w:pStyle w:val="TextBody"/>
        <w:bidi w:val="0"/>
        <w:spacing w:before="0" w:after="120"/>
        <w:jc w:val="left"/>
        <w:rPr/>
      </w:pPr>
      <w:r>
        <w:rPr/>
        <w:t> </w:t>
      </w:r>
    </w:p>
    <w:p>
      <w:pPr>
        <w:pStyle w:val="Heading2"/>
        <w:bidi w:val="0"/>
        <w:jc w:val="center"/>
        <w:rPr>
          <w:rFonts w:ascii="Times New Roman" w:hAnsi="Times New Roman"/>
          <w:b w:val="false"/>
          <w:i/>
          <w:color w:val="000000"/>
          <w:sz w:val="24"/>
        </w:rPr>
      </w:pPr>
      <w:r>
        <w:rPr>
          <w:rFonts w:ascii="Times New Roman" w:hAnsi="Times New Roman"/>
          <w:b w:val="false"/>
          <w:i/>
          <w:color w:val="000000"/>
          <w:sz w:val="24"/>
        </w:rPr>
        <w:t>(Signature Pages Follow)</w:t>
      </w:r>
    </w:p>
    <w:p>
      <w:pPr>
        <w:pStyle w:val="TextBody"/>
        <w:bidi w:val="0"/>
        <w:jc w:val="center"/>
        <w:rPr>
          <w:rFonts w:ascii="Times New Roman" w:hAnsi="Times New Roman"/>
          <w:color w:val="000000"/>
          <w:sz w:val="24"/>
        </w:rPr>
      </w:pPr>
      <w:r>
        <w:rPr>
          <w:rFonts w:ascii="Times New Roman" w:hAnsi="Times New Roman"/>
          <w:color w:val="000000"/>
          <w:sz w:val="24"/>
        </w:rPr>
        <w:t>18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IN WITNESS WHEREOF, the parties have executed this Registration Rights Agreement as of the date first written above.</w:t>
      </w:r>
    </w:p>
    <w:p>
      <w:pPr>
        <w:pStyle w:val="TextBody"/>
        <w:bidi w:val="0"/>
        <w:jc w:val="left"/>
        <w:rPr/>
      </w:pPr>
      <w:r>
        <w:rPr/>
        <w:t> </w:t>
      </w:r>
    </w:p>
    <w:tbl>
      <w:tblPr>
        <w:tblW w:w="5577" w:type="dxa"/>
        <w:jc w:val="left"/>
        <w:tblInd w:w="0" w:type="dxa"/>
        <w:tblLayout w:type="fixed"/>
        <w:tblCellMar>
          <w:top w:w="28" w:type="dxa"/>
          <w:left w:w="28" w:type="dxa"/>
          <w:bottom w:w="28" w:type="dxa"/>
          <w:right w:w="28" w:type="dxa"/>
        </w:tblCellMar>
      </w:tblPr>
      <w:tblGrid>
        <w:gridCol w:w="161"/>
        <w:gridCol w:w="5416"/>
      </w:tblGrid>
      <w:tr>
        <w:trPr/>
        <w:tc>
          <w:tcPr>
            <w:tcW w:w="161" w:type="dxa"/>
            <w:tcBorders/>
            <w:vAlign w:val="center"/>
          </w:tcPr>
          <w:p>
            <w:pPr>
              <w:pStyle w:val="TableContents"/>
              <w:bidi w:val="0"/>
              <w:spacing w:before="0" w:after="283"/>
              <w:jc w:val="left"/>
              <w:rPr>
                <w:sz w:val="4"/>
                <w:szCs w:val="4"/>
              </w:rPr>
            </w:pPr>
            <w:r>
              <w:rPr>
                <w:sz w:val="4"/>
                <w:szCs w:val="4"/>
              </w:rPr>
            </w:r>
          </w:p>
        </w:tc>
        <w:tc>
          <w:tcPr>
            <w:tcW w:w="541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416" w:type="dxa"/>
            <w:tcBorders/>
            <w:tcMar>
              <w:top w:w="0" w:type="dxa"/>
              <w:left w:w="0" w:type="dxa"/>
              <w:bottom w:w="0" w:type="dxa"/>
              <w:right w:w="0" w:type="dxa"/>
            </w:tcMar>
            <w:vAlign w:val="center"/>
          </w:tcPr>
          <w:p>
            <w:pPr>
              <w:pStyle w:val="TableContents"/>
              <w:bidi w:val="0"/>
              <w:jc w:val="left"/>
              <w:rPr>
                <w:rFonts w:ascii="Times New Roman" w:hAnsi="Times New Roman"/>
                <w:b/>
                <w:caps/>
                <w:color w:val="000000"/>
                <w:sz w:val="24"/>
              </w:rPr>
            </w:pPr>
            <w:r>
              <w:rPr>
                <w:rFonts w:ascii="Times New Roman" w:hAnsi="Times New Roman"/>
                <w:b/>
                <w:caps/>
                <w:color w:val="000000"/>
                <w:sz w:val="24"/>
              </w:rPr>
              <w:t>blaize holdings, inc.</w:t>
            </w:r>
          </w:p>
          <w:p>
            <w:pPr>
              <w:pStyle w:val="TableContents"/>
              <w:bidi w:val="0"/>
              <w:jc w:val="left"/>
              <w:rPr/>
            </w:pPr>
            <w:r>
              <w:rPr/>
              <w:t> </w:t>
            </w:r>
          </w:p>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416" w:type="dxa"/>
            <w:tcBorders/>
            <w:tcMar>
              <w:top w:w="0" w:type="dxa"/>
              <w:left w:w="0" w:type="dxa"/>
              <w:bottom w:w="0" w:type="dxa"/>
              <w:right w:w="0" w:type="dxa"/>
            </w:tcMar>
            <w:vAlign w:val="center"/>
          </w:tcPr>
          <w:p>
            <w:pPr>
              <w:pStyle w:val="TableContents"/>
              <w:bidi w:val="0"/>
              <w:jc w:val="left"/>
              <w:rPr>
                <w:rFonts w:ascii="Times New Roman" w:hAnsi="Times New Roman"/>
                <w:sz w:val="24"/>
              </w:rPr>
            </w:pPr>
            <w:r>
              <w:rPr>
                <w:rFonts w:ascii="Times New Roman" w:hAnsi="Times New Roman"/>
                <w:color w:val="000000"/>
                <w:sz w:val="24"/>
              </w:rPr>
              <w:t xml:space="preserve">By: </w:t>
            </w:r>
            <w:r>
              <w:rPr>
                <w:rFonts w:ascii="Times New Roman" w:hAnsi="Times New Roman"/>
                <w:i/>
                <w:color w:val="000000"/>
                <w:sz w:val="24"/>
                <w:u w:val="single"/>
              </w:rPr>
              <w:t>/s/ Harminder Sehmi________________________</w:t>
            </w:r>
          </w:p>
          <w:p>
            <w:pPr>
              <w:pStyle w:val="TableContents"/>
              <w:bidi w:val="0"/>
              <w:jc w:val="left"/>
              <w:rPr>
                <w:color w:val="000000"/>
              </w:rPr>
            </w:pPr>
            <w:r>
              <w:rPr>
                <w:color w:val="000000"/>
              </w:rPr>
              <w:t>     </w:t>
            </w:r>
            <w:r>
              <w:rPr>
                <w:rFonts w:ascii="Times New Roman" w:hAnsi="Times New Roman"/>
                <w:color w:val="000000"/>
                <w:sz w:val="24"/>
              </w:rPr>
              <w:t>Name: Harminder Sehmi</w:t>
            </w:r>
          </w:p>
          <w:p>
            <w:pPr>
              <w:pStyle w:val="TableContents"/>
              <w:bidi w:val="0"/>
              <w:spacing w:before="0" w:after="283"/>
              <w:jc w:val="left"/>
              <w:rPr>
                <w:color w:val="000000"/>
              </w:rPr>
            </w:pPr>
            <w:r>
              <w:rPr>
                <w:color w:val="000000"/>
              </w:rPr>
              <w:t>     </w:t>
            </w:r>
            <w:r>
              <w:rPr>
                <w:rFonts w:ascii="Times New Roman" w:hAnsi="Times New Roman"/>
                <w:color w:val="000000"/>
                <w:sz w:val="24"/>
              </w:rPr>
              <w:t>Title: Chief Financial Officer</w:t>
            </w:r>
          </w:p>
        </w:tc>
      </w:tr>
    </w:tbl>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[SIGNATURE PAGE OF HOLDERS FOLLOWS]</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caps/>
          <w:color w:val="000000"/>
          <w:sz w:val="24"/>
        </w:rPr>
      </w:pPr>
      <w:r>
        <w:rPr>
          <w:rFonts w:ascii="Times New Roman" w:hAnsi="Times New Roman"/>
          <w:caps/>
          <w:color w:val="000000"/>
          <w:sz w:val="24"/>
        </w:rPr>
        <w:t>[SIGNATURE PAGE OF HOLDERS TO BZAI RRA]</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000000"/>
          <w:sz w:val="24"/>
        </w:rPr>
        <w:t xml:space="preserve">Name of Holder: </w:t>
      </w:r>
      <w:r>
        <w:rPr>
          <w:rFonts w:ascii="Times New Roman" w:hAnsi="Times New Roman"/>
          <w:color w:val="000000"/>
          <w:sz w:val="24"/>
          <w:u w:val="single"/>
        </w:rPr>
        <w:t>Polar Long/Short Master Fund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4"/>
        </w:rPr>
        <w:t>Signature of Authorized Signatory of Holder</w:t>
      </w:r>
      <w:r>
        <w:rPr>
          <w:rFonts w:ascii="Times New Roman" w:hAnsi="Times New Roman"/>
          <w:color w:val="000000"/>
          <w:sz w:val="24"/>
        </w:rPr>
        <w:t xml:space="preserve">: </w:t>
      </w:r>
      <w:r>
        <w:rPr>
          <w:rFonts w:ascii="Times New Roman" w:hAnsi="Times New Roman"/>
          <w:i/>
          <w:color w:val="000000"/>
          <w:sz w:val="24"/>
          <w:u w:val="single"/>
        </w:rPr>
        <w:t>/s/ Andrew Ma /s/ Suraj Rammohan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Name of Authorized Signatory: </w:t>
      </w:r>
      <w:r>
        <w:rPr>
          <w:rFonts w:ascii="Times New Roman" w:hAnsi="Times New Roman"/>
          <w:color w:val="000000"/>
          <w:sz w:val="24"/>
          <w:u w:val="single"/>
        </w:rPr>
        <w:t>Andrew Ma / Suraj Rammohan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Title of Authorized Signatory: </w:t>
      </w:r>
      <w:r>
        <w:rPr>
          <w:rFonts w:ascii="Times New Roman" w:hAnsi="Times New Roman"/>
          <w:color w:val="000000"/>
          <w:sz w:val="24"/>
          <w:u w:val="single"/>
        </w:rPr>
        <w:t>CCO / Director, Legal Polar Asset Management Partners Inc. as Investment Advisor to Polar Long/Short Master Fund</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[SIGNATURE PAGES CONTINUE]</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aps/>
          <w:color w:val="000000"/>
          <w:sz w:val="24"/>
        </w:rPr>
      </w:pPr>
      <w:r>
        <w:rPr>
          <w:rFonts w:ascii="Times New Roman" w:hAnsi="Times New Roman"/>
          <w:caps/>
          <w:color w:val="000000"/>
          <w:sz w:val="24"/>
        </w:rPr>
        <w:t>[SIGNATURE PAGE OF HOLDERS TO BZAI RRA]</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000000"/>
          <w:sz w:val="24"/>
        </w:rPr>
        <w:t xml:space="preserve">Name of Holder: </w:t>
      </w:r>
      <w:r>
        <w:rPr>
          <w:rFonts w:ascii="Times New Roman" w:hAnsi="Times New Roman"/>
          <w:color w:val="000000"/>
          <w:sz w:val="24"/>
          <w:u w:val="single"/>
        </w:rPr>
        <w:t>Polar Multi-Strategy Master Fund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4"/>
        </w:rPr>
        <w:t>Signature of Authorized Signatory of Holder</w:t>
      </w:r>
      <w:r>
        <w:rPr>
          <w:rFonts w:ascii="Times New Roman" w:hAnsi="Times New Roman"/>
          <w:color w:val="000000"/>
          <w:sz w:val="24"/>
        </w:rPr>
        <w:t xml:space="preserve">: </w:t>
      </w:r>
      <w:r>
        <w:rPr>
          <w:rFonts w:ascii="Times New Roman" w:hAnsi="Times New Roman"/>
          <w:i/>
          <w:color w:val="000000"/>
          <w:sz w:val="24"/>
          <w:u w:val="single"/>
        </w:rPr>
        <w:t>/s/ Andrew Ma /s/ Suraj Rammohan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Name of Authorized Signatory: </w:t>
      </w:r>
      <w:r>
        <w:rPr>
          <w:rFonts w:ascii="Times New Roman" w:hAnsi="Times New Roman"/>
          <w:color w:val="000000"/>
          <w:sz w:val="24"/>
          <w:u w:val="single"/>
        </w:rPr>
        <w:t>Andrew Ma / Suraj Rammohan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Title of Authorized Signatory: </w:t>
      </w:r>
      <w:r>
        <w:rPr>
          <w:rFonts w:ascii="Times New Roman" w:hAnsi="Times New Roman"/>
          <w:color w:val="000000"/>
          <w:sz w:val="24"/>
          <w:u w:val="single"/>
        </w:rPr>
        <w:t>CCO / Director, Legal Polar Asset Management Partners Inc. as Investment Advisor to Polar Multi-Strategy Master Fund</w:t>
      </w:r>
    </w:p>
    <w:p>
      <w:pPr>
        <w:pStyle w:val="TextBody"/>
        <w:bidi w:val="0"/>
        <w:jc w:val="center"/>
        <w:rPr>
          <w:rFonts w:ascii="Times New Roman" w:hAnsi="Times New Roman"/>
          <w:color w:val="000000"/>
          <w:sz w:val="24"/>
        </w:rPr>
      </w:pPr>
      <w:r>
        <w:rPr>
          <w:rFonts w:ascii="Times New Roman" w:hAnsi="Times New Roman"/>
          <w:color w:val="000000"/>
          <w:sz w:val="24"/>
        </w:rPr>
        <w:t>21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rFonts w:ascii="Times New Roman" w:hAnsi="Times New Roman"/>
          <w:b/>
          <w:color w:val="000000"/>
          <w:sz w:val="24"/>
          <w:u w:val="single"/>
        </w:rPr>
      </w:pPr>
      <w:r>
        <w:rPr>
          <w:rFonts w:ascii="Times New Roman" w:hAnsi="Times New Roman"/>
          <w:b/>
          <w:color w:val="000000"/>
          <w:sz w:val="24"/>
          <w:u w:val="single"/>
        </w:rPr>
        <w:t>Annex A</w:t>
      </w:r>
    </w:p>
    <w:p>
      <w:pPr>
        <w:pStyle w:val="TextBody"/>
        <w:bidi w:val="0"/>
        <w:jc w:val="center"/>
        <w:rPr/>
      </w:pPr>
      <w:r>
        <w:rPr/>
        <w:t> </w:t>
      </w:r>
    </w:p>
    <w:p>
      <w:pPr>
        <w:pStyle w:val="TextBody"/>
        <w:bidi w:val="0"/>
        <w:jc w:val="center"/>
        <w:rPr>
          <w:rFonts w:ascii="Times New Roman" w:hAnsi="Times New Roman"/>
          <w:color w:val="000000"/>
          <w:sz w:val="24"/>
          <w:u w:val="single"/>
        </w:rPr>
      </w:pPr>
      <w:r>
        <w:rPr>
          <w:rFonts w:ascii="Times New Roman" w:hAnsi="Times New Roman"/>
          <w:color w:val="000000"/>
          <w:sz w:val="24"/>
          <w:u w:val="single"/>
        </w:rPr>
        <w:t>Plan of Distribution</w:t>
      </w:r>
    </w:p>
    <w:p>
      <w:pPr>
        <w:pStyle w:val="TextBody"/>
        <w:bidi w:val="0"/>
        <w:jc w:val="center"/>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Each Selling Stockholder (the “</w:t>
      </w:r>
      <w:r>
        <w:rPr>
          <w:rFonts w:ascii="Times New Roman" w:hAnsi="Times New Roman"/>
          <w:color w:val="000000"/>
          <w:sz w:val="24"/>
          <w:u w:val="single"/>
        </w:rPr>
        <w:t>Selling Stockholders</w:t>
      </w:r>
      <w:r>
        <w:rPr>
          <w:rFonts w:ascii="Times New Roman" w:hAnsi="Times New Roman"/>
          <w:color w:val="000000"/>
          <w:sz w:val="20"/>
        </w:rPr>
        <w:t>”</w:t>
      </w:r>
      <w:r>
        <w:rPr>
          <w:rFonts w:ascii="Times New Roman" w:hAnsi="Times New Roman"/>
          <w:color w:val="000000"/>
          <w:sz w:val="24"/>
        </w:rPr>
        <w:t>) of the securities and any of their donees, pledgees, transferees, assignees and successors-in-interest may, from time to time, sell, transfer or otherwise dispose of any or all of their securities covered hereby on the Nasdaq Global Market or any other stock exchange, market or trading facility on which the securities are traded or in private transactions. These dispositions may be at fixed prices, at prevailing market prices at the time of sale, at prices related to the prevailing market price, at varying prices determined at the time of sale or at negotiated prices. A Selling Stockholder may use any one or more of the following methods when disposing of securities: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ordinary brokerage transactions and transactions in which the broker</w:t>
        <w:noBreakHyphen/>
        <w:t>dealer solicits purchasers;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block trades (which may include crosses) in which the broker</w:t>
        <w:noBreakHyphen/>
        <w:t>dealer will attempt to sell the securities as agent but may position and resell a portion of the block as principal to facilitate the transaction;</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purchases by a broker</w:t>
        <w:noBreakHyphen/>
        <w:t>dealer as principal and resale by the broker</w:t>
        <w:noBreakHyphen/>
        <w:t>dealer for its account;</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an exchange distribution in accordance with the rules of the applicable exchange and/or secondary distributions;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directly to purchasers, including through a specific bidding, auction or other process in privately negotiated transactions;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settlement of short sales; </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through the writing or settlement of options or other hedging transactions, whether through an options exchange or otherwise; </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 transactions through broker</w:t>
        <w:noBreakHyphen/>
        <w:t>dealers that agree with the Selling Stockholders to sell a specified number of such securities at a stipulated price per security;</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through the distribution of the shares of common stock by any Selling Stockholder to its employees, partners (including limited partners), members or stockholders;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through delayed delivery requirements; </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combination of any such methods of sale; or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any other method permitted pursuant to applicable law.</w:t>
      </w:r>
    </w:p>
    <w:p>
      <w:pPr>
        <w:pStyle w:val="TextBody"/>
        <w:bidi w:val="0"/>
        <w:spacing w:before="0" w:after="240"/>
        <w:jc w:val="both"/>
        <w:rPr>
          <w:rFonts w:ascii="Times New Roman" w:hAnsi="Times New Roman"/>
          <w:sz w:val="20"/>
        </w:rPr>
      </w:pPr>
      <w:r>
        <w:rPr>
          <w:rFonts w:ascii="Times New Roman" w:hAnsi="Times New Roman"/>
          <w:color w:val="000000"/>
          <w:sz w:val="24"/>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of 1933, as amended (the “Securities Act”), amending the list of selling stockholders to include the pledgee, transferee or other successors in interest as selling stockholders under this prospectus. The Selling Stockholders also may transfer the shares of common stock in other circumstances, in which case the transferees, pledgees or other successors in interest will be the selling beneficial owners for purposes of this prospectus.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Selling Stockholders may also sell securities under Rule 144 or any other exemption from registration under the Securities Act, if available, rather than under this prospectus.</w:t>
      </w:r>
    </w:p>
    <w:p>
      <w:pPr>
        <w:pStyle w:val="TextBody"/>
        <w:bidi w:val="0"/>
        <w:spacing w:before="0" w:after="240"/>
        <w:jc w:val="both"/>
        <w:rPr>
          <w:rFonts w:ascii="Times New Roman" w:hAnsi="Times New Roman"/>
          <w:sz w:val="20"/>
        </w:rPr>
      </w:pPr>
      <w:r>
        <w:rPr>
          <w:rFonts w:ascii="Times New Roman" w:hAnsi="Times New Roman"/>
          <w:color w:val="000000"/>
          <w:sz w:val="24"/>
        </w:rPr>
        <w:t>Broker</w:t>
        <w:noBreakHyphen/>
        <w:t>dealers engaged by the Selling Stockholders may arrange for other brokers</w:t>
        <w:noBreakHyphen/>
        <w:t>dealers to participate in sales. Broker</w:t>
        <w:noBreakHyphen/>
        <w:t>dealers may receive commissions or discounts from the Selling Stockholders (or, if any broker</w:t>
        <w:noBreakHyphen/>
        <w:t>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their short positions, or loan or pledge the securities to broker-dealers that in turn may sell these securities. The Selling Stockholders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pStyle w:val="TextBody"/>
        <w:bidi w:val="0"/>
        <w:spacing w:before="0" w:after="240"/>
        <w:jc w:val="both"/>
        <w:rPr>
          <w:rFonts w:ascii="Times New Roman" w:hAnsi="Times New Roman"/>
          <w:sz w:val="20"/>
        </w:rPr>
      </w:pPr>
      <w:r>
        <w:rPr>
          <w:rFonts w:ascii="Times New Roman" w:hAnsi="Times New Roman"/>
          <w:color w:val="000000"/>
          <w:sz w:val="24"/>
        </w:rPr>
        <w:t>The Selling Stockholders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Stockholder has informed the Company that it does not have any written or oral agreement or understanding, directly or indirectly, with any person to distribute the securities.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The Company is required to pay certain fees and expenses incurred by the Company incident to the registration of the securities. The Company has agreed to indemnify the Selling Stockholders against certain losses, claims, damages and liabilities, including liabilities under the Securities Act.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We agreed to keep this prospectus effective until the earlier of (i) the date on which the securities may be resold by the Selling Stockholders without registration and without regard to any volume or manner-of-sale limitations by reason of Rule 144, without the requirement for the Company to be in compliance with the current public information under Rule 144 under the Securities Act or any other rule of similar effect or (ii) all of the securities have been disposed of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pStyle w:val="TextBody"/>
        <w:bidi w:val="0"/>
        <w:spacing w:before="0" w:after="240"/>
        <w:jc w:val="both"/>
        <w:rPr>
          <w:rFonts w:ascii="Times New Roman" w:hAnsi="Times New Roman"/>
          <w:sz w:val="20"/>
        </w:rPr>
      </w:pPr>
      <w:r>
        <w:rPr>
          <w:rFonts w:ascii="Times New Roman" w:hAnsi="Times New Roman"/>
          <w:color w:val="000000"/>
          <w:sz w:val="24"/>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 The Selling Stockholders may indemnify any broker-dealer that participates in transactions involving the sale of the shares against certain liabilities, including liabilities arising under the Securities Act.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SELLING SHAREHOLDERS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common stock being offered by the selling shareholders are those previously issued to the selling shareholders, and those issuable to the selling shareholders, upon exercise of the warrants. For additional information regarding the issuances of those shares of common stock and warrants, see “Private Placement of Shares of Common Stock and Warrants” above. We are registering the shares of common stock in order to permit the selling shareholders to offer the shares for resale from time to time. Except for the ownership of the shares of common stock and the warrants, the selling shareholders have not had any material relationship with us within the past three years.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table below lists the selling shareholders and other information regarding the beneficial ownership of the shares of common stock by each of the selling shareholders. The second column lists the number of shares of common stock beneficially owned by each selling shareholder, based on its ownership of the shares of common stock and warrants, as of ________, 20__, assuming exercise of the warrants held by the selling shareholders on that date, without regard to any limitations on exercises.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third column lists the shares of common stock being offered by this prospectus by the selling shareholders.</w:t>
      </w:r>
    </w:p>
    <w:p>
      <w:pPr>
        <w:pStyle w:val="TextBody"/>
        <w:bidi w:val="0"/>
        <w:spacing w:before="0" w:after="240"/>
        <w:jc w:val="both"/>
        <w:rPr>
          <w:rFonts w:ascii="Times New Roman" w:hAnsi="Times New Roman"/>
          <w:sz w:val="20"/>
        </w:rPr>
      </w:pPr>
      <w:r>
        <w:rPr>
          <w:rFonts w:ascii="Times New Roman" w:hAnsi="Times New Roman"/>
          <w:color w:val="000000"/>
          <w:sz w:val="24"/>
        </w:rPr>
        <w:t>In accordance with the terms of a registration rights agreement with the selling shareholders, this prospectus generally covers the resale of the sum of (i) the number of shares of common stock issued to the selling shareholders in the “Private Placement of Shares of Common Stock and Warrants” described above and (ii) the maximum number of shares of common stock issuable upon exercise of the related warrants, determined as if the outstanding warrants were exercised in full as of the trading day immediately preceding the date this registration statement was initially filed with the SEC, each as of the trading day immediately preceding the applicable date of determination and all subject to adjustment as provided in the registration right agreement, without regard to any limitations on the exercise of the warrants.</w:t>
      </w:r>
      <w:r>
        <w:rPr>
          <w:rFonts w:ascii="Times New Roman" w:hAnsi="Times New Roman"/>
          <w:color w:val="000000"/>
          <w:sz w:val="20"/>
        </w:rPr>
        <w:t xml:space="preserve"> </w:t>
      </w:r>
      <w:r>
        <w:rPr>
          <w:rFonts w:ascii="Times New Roman" w:hAnsi="Times New Roman"/>
          <w:color w:val="000000"/>
          <w:sz w:val="24"/>
        </w:rPr>
        <w:t>The fourth column assumes the sale of all of the shares offered by the selling shareholders pursuant to this prospectus.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Under the terms of the warrants [and other warrants held by selling shareholders], a selling shareholder may not exercise [the] [any such] warrants to the extent such exercise would cause such selling shareholder, together with its affiliates and attribution parties, to beneficially own a number of shares of common stock which would exceed 4.99% or 9.99%, as applicable, of our then outstanding common stock following such exercise, excluding for purposes of such determination shares of common stock issuable upon exercise of such warrants which have not been exercised. The number of shares in the second and fourth columns do not reflect this limitation. The selling shareholders may sell all, some or none of their shares in this offering. See "Plan of Distribution."</w:t>
      </w:r>
    </w:p>
    <w:p>
      <w:pPr>
        <w:pStyle w:val="TextBody"/>
        <w:bidi w:val="0"/>
        <w:spacing w:before="0" w:after="24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73"/>
        <w:gridCol w:w="2599"/>
        <w:gridCol w:w="3481"/>
        <w:gridCol w:w="2552"/>
      </w:tblGrid>
      <w:tr>
        <w:trPr/>
        <w:tc>
          <w:tcPr>
            <w:tcW w:w="1573" w:type="dxa"/>
            <w:tcBorders/>
            <w:vAlign w:val="center"/>
          </w:tcPr>
          <w:p>
            <w:pPr>
              <w:pStyle w:val="TableContents"/>
              <w:bidi w:val="0"/>
              <w:spacing w:before="0" w:after="283"/>
              <w:jc w:val="left"/>
              <w:rPr>
                <w:sz w:val="4"/>
                <w:szCs w:val="4"/>
              </w:rPr>
            </w:pPr>
            <w:r>
              <w:rPr>
                <w:sz w:val="4"/>
                <w:szCs w:val="4"/>
              </w:rPr>
            </w:r>
          </w:p>
        </w:tc>
        <w:tc>
          <w:tcPr>
            <w:tcW w:w="2599"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jc w:val="left"/>
              <w:rPr>
                <w:sz w:val="4"/>
                <w:szCs w:val="4"/>
              </w:rPr>
            </w:pPr>
            <w:r>
              <w:rPr>
                <w:sz w:val="4"/>
                <w:szCs w:val="4"/>
              </w:rPr>
            </w:r>
          </w:p>
        </w:tc>
      </w:tr>
      <w:tr>
        <w:trPr/>
        <w:tc>
          <w:tcPr>
            <w:tcW w:w="1573"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4"/>
              </w:rPr>
            </w:pPr>
            <w:r>
              <w:rPr>
                <w:rFonts w:ascii="Times New Roman" w:hAnsi="Times New Roman"/>
                <w:color w:val="000000"/>
                <w:sz w:val="24"/>
              </w:rPr>
              <w:br/>
            </w:r>
            <w:r>
              <w:rPr>
                <w:rFonts w:ascii="Times New Roman" w:hAnsi="Times New Roman"/>
                <w:b/>
                <w:color w:val="000000"/>
                <w:sz w:val="16"/>
              </w:rPr>
              <w:br/>
            </w:r>
            <w:r>
              <w:rPr>
                <w:rFonts w:ascii="Times New Roman" w:hAnsi="Times New Roman"/>
                <w:b/>
                <w:color w:val="000000"/>
                <w:sz w:val="16"/>
                <w:u w:val="single"/>
              </w:rPr>
              <w:t>Name of Selling Shareholder</w:t>
            </w:r>
          </w:p>
        </w:tc>
        <w:tc>
          <w:tcPr>
            <w:tcW w:w="2599"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b/>
                <w:color w:val="000000"/>
                <w:sz w:val="16"/>
                <w:u w:val="single"/>
              </w:rPr>
            </w:pPr>
            <w:r>
              <w:rPr>
                <w:rFonts w:ascii="Times New Roman" w:hAnsi="Times New Roman"/>
                <w:b/>
                <w:color w:val="000000"/>
                <w:sz w:val="16"/>
                <w:u w:val="single"/>
              </w:rPr>
              <w:t>Number of shares of Common Stock Owned Prior to Offering</w:t>
            </w:r>
          </w:p>
        </w:tc>
        <w:tc>
          <w:tcPr>
            <w:tcW w:w="3481"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b/>
                <w:color w:val="000000"/>
                <w:sz w:val="16"/>
                <w:u w:val="single"/>
              </w:rPr>
            </w:pPr>
            <w:r>
              <w:rPr>
                <w:rFonts w:ascii="Times New Roman" w:hAnsi="Times New Roman"/>
                <w:b/>
                <w:color w:val="000000"/>
                <w:sz w:val="16"/>
                <w:u w:val="single"/>
              </w:rPr>
              <w:t>Maximum Number of shares of Common Stock to be Sold Pursuant to this Prospectus</w:t>
            </w:r>
          </w:p>
        </w:tc>
        <w:tc>
          <w:tcPr>
            <w:tcW w:w="2552"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b/>
                <w:color w:val="000000"/>
                <w:sz w:val="16"/>
                <w:u w:val="single"/>
              </w:rPr>
            </w:pPr>
            <w:r>
              <w:rPr>
                <w:rFonts w:ascii="Times New Roman" w:hAnsi="Times New Roman"/>
                <w:b/>
                <w:color w:val="000000"/>
                <w:sz w:val="16"/>
                <w:u w:val="single"/>
              </w:rPr>
              <w:t>Number of shares of Common Stock Owned After Offering</w:t>
            </w:r>
          </w:p>
        </w:tc>
      </w:tr>
    </w:tbl>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right"/>
        <w:rPr>
          <w:rFonts w:ascii="Times New Roman" w:hAnsi="Times New Roman"/>
          <w:b/>
          <w:color w:val="000000"/>
          <w:sz w:val="24"/>
        </w:rPr>
      </w:pPr>
      <w:r>
        <w:rPr>
          <w:rFonts w:ascii="Times New Roman" w:hAnsi="Times New Roman"/>
          <w:b/>
          <w:color w:val="000000"/>
          <w:sz w:val="24"/>
        </w:rPr>
        <w:t>Annex C</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blaize holdings, inc.</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Selling Stockholder Notice and Questionnaire</w:t>
      </w:r>
    </w:p>
    <w:p>
      <w:pPr>
        <w:pStyle w:val="TextBody"/>
        <w:bidi w:val="0"/>
        <w:spacing w:before="0" w:after="240"/>
        <w:jc w:val="both"/>
        <w:rPr>
          <w:rFonts w:ascii="Times New Roman" w:hAnsi="Times New Roman"/>
          <w:sz w:val="20"/>
        </w:rPr>
      </w:pPr>
      <w:r>
        <w:rPr>
          <w:rFonts w:ascii="Times New Roman" w:hAnsi="Times New Roman"/>
          <w:color w:val="000000"/>
          <w:sz w:val="24"/>
        </w:rPr>
        <w:t>The undersigned beneficial owner of common stock (the “</w:t>
      </w:r>
      <w:r>
        <w:rPr>
          <w:rFonts w:ascii="Times New Roman" w:hAnsi="Times New Roman"/>
          <w:color w:val="000000"/>
          <w:sz w:val="24"/>
          <w:u w:val="single"/>
        </w:rPr>
        <w:t>Registrable Securities</w:t>
      </w:r>
      <w:r>
        <w:rPr>
          <w:rFonts w:ascii="Times New Roman" w:hAnsi="Times New Roman"/>
          <w:color w:val="000000"/>
          <w:sz w:val="20"/>
        </w:rPr>
        <w:t>”</w:t>
      </w:r>
      <w:r>
        <w:rPr>
          <w:rFonts w:ascii="Times New Roman" w:hAnsi="Times New Roman"/>
          <w:color w:val="000000"/>
          <w:sz w:val="24"/>
        </w:rPr>
        <w:t xml:space="preserve">) of </w:t>
      </w:r>
      <w:r>
        <w:rPr>
          <w:rFonts w:ascii="Times New Roman" w:hAnsi="Times New Roman"/>
          <w:color w:val="000000"/>
          <w:sz w:val="22"/>
        </w:rPr>
        <w:t xml:space="preserve">Blaize Holdings, Inc., a Delaware corporation </w:t>
      </w:r>
      <w:r>
        <w:rPr>
          <w:rFonts w:ascii="Times New Roman" w:hAnsi="Times New Roman"/>
          <w:color w:val="000000"/>
          <w:sz w:val="24"/>
        </w:rPr>
        <w:t>(the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understands that the Company has filed or intends to file with the Securities and Exchange Commission (the “</w:t>
      </w:r>
      <w:r>
        <w:rPr>
          <w:rFonts w:ascii="Times New Roman" w:hAnsi="Times New Roman"/>
          <w:color w:val="000000"/>
          <w:sz w:val="24"/>
          <w:u w:val="single"/>
        </w:rPr>
        <w:t>Commission</w:t>
      </w:r>
      <w:r>
        <w:rPr>
          <w:rFonts w:ascii="Times New Roman" w:hAnsi="Times New Roman"/>
          <w:color w:val="000000"/>
          <w:sz w:val="20"/>
        </w:rPr>
        <w:t>”</w:t>
      </w:r>
      <w:r>
        <w:rPr>
          <w:rFonts w:ascii="Times New Roman" w:hAnsi="Times New Roman"/>
          <w:color w:val="000000"/>
          <w:sz w:val="24"/>
        </w:rPr>
        <w:t>) a registration statement (the “</w:t>
      </w:r>
      <w:r>
        <w:rPr>
          <w:rFonts w:ascii="Times New Roman" w:hAnsi="Times New Roman"/>
          <w:color w:val="000000"/>
          <w:sz w:val="24"/>
          <w:u w:val="single"/>
        </w:rPr>
        <w:t>Registration Statement</w:t>
      </w:r>
      <w:r>
        <w:rPr>
          <w:rFonts w:ascii="Times New Roman" w:hAnsi="Times New Roman"/>
          <w:color w:val="000000"/>
          <w:sz w:val="20"/>
        </w:rPr>
        <w:t>”</w:t>
      </w:r>
      <w:r>
        <w:rPr>
          <w:rFonts w:ascii="Times New Roman" w:hAnsi="Times New Roman"/>
          <w:color w:val="000000"/>
          <w:sz w:val="24"/>
        </w:rPr>
        <w:t>) for the registration and resale under Rule 415 of the Securities Act of 1933, as amended (the “</w:t>
      </w:r>
      <w:r>
        <w:rPr>
          <w:rFonts w:ascii="Times New Roman" w:hAnsi="Times New Roman"/>
          <w:color w:val="000000"/>
          <w:sz w:val="24"/>
          <w:u w:val="single"/>
        </w:rPr>
        <w:t>Securities Act</w:t>
      </w:r>
      <w:r>
        <w:rPr>
          <w:rFonts w:ascii="Times New Roman" w:hAnsi="Times New Roman"/>
          <w:color w:val="000000"/>
          <w:sz w:val="20"/>
        </w:rPr>
        <w:t>”</w:t>
      </w:r>
      <w:r>
        <w:rPr>
          <w:rFonts w:ascii="Times New Roman" w:hAnsi="Times New Roman"/>
          <w:color w:val="000000"/>
          <w:sz w:val="24"/>
        </w:rPr>
        <w:t>), of the Registrable Securities, in accordance with the terms of the Registration Rights Agreement (the “</w:t>
      </w:r>
      <w:r>
        <w:rPr>
          <w:rFonts w:ascii="Times New Roman" w:hAnsi="Times New Roman"/>
          <w:color w:val="000000"/>
          <w:sz w:val="24"/>
          <w:u w:val="single"/>
        </w:rPr>
        <w:t>Registration Rights Agreement</w:t>
      </w:r>
      <w:r>
        <w:rPr>
          <w:rFonts w:ascii="Times New Roman" w:hAnsi="Times New Roman"/>
          <w:color w:val="000000"/>
          <w:sz w:val="20"/>
        </w:rPr>
        <w:t>”</w:t>
      </w:r>
      <w:r>
        <w:rPr>
          <w:rFonts w:ascii="Times New Roman" w:hAnsi="Times New Roman"/>
          <w:color w:val="000000"/>
          <w:sz w:val="24"/>
        </w:rPr>
        <w:t>) to which this document is annexed. A copy of the Registration Rights Agreement is available from the Company upon request at the address set forth below. All capitalized terms not otherwise defined herein shall have the meanings ascribed thereto in the Registration Rights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Certain legal consequences arise from being named as a selling stockholder in the Registration Statement and the related prospectus. Accordingly, holders and beneficial owners of Registrable Securities are advised to consult their own securities law counsel regarding the consequences of being named or not being named as a selling stockholder in the Registration Statement and the related prospectus.</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NOTICE</w:t>
      </w:r>
    </w:p>
    <w:p>
      <w:pPr>
        <w:pStyle w:val="TextBody"/>
        <w:bidi w:val="0"/>
        <w:spacing w:before="0" w:after="240"/>
        <w:jc w:val="both"/>
        <w:rPr>
          <w:rFonts w:ascii="Times New Roman" w:hAnsi="Times New Roman"/>
          <w:sz w:val="20"/>
        </w:rPr>
      </w:pPr>
      <w:r>
        <w:rPr>
          <w:rFonts w:ascii="Times New Roman" w:hAnsi="Times New Roman"/>
          <w:color w:val="000000"/>
          <w:sz w:val="24"/>
        </w:rPr>
        <w:t>The undersigned beneficial owner (the “</w:t>
      </w:r>
      <w:r>
        <w:rPr>
          <w:rFonts w:ascii="Times New Roman" w:hAnsi="Times New Roman"/>
          <w:color w:val="000000"/>
          <w:sz w:val="24"/>
          <w:u w:val="single"/>
        </w:rPr>
        <w:t>Selling Stockholder</w:t>
      </w:r>
      <w:r>
        <w:rPr>
          <w:rFonts w:ascii="Times New Roman" w:hAnsi="Times New Roman"/>
          <w:color w:val="000000"/>
          <w:sz w:val="20"/>
        </w:rPr>
        <w:t>”</w:t>
      </w:r>
      <w:r>
        <w:rPr>
          <w:rFonts w:ascii="Times New Roman" w:hAnsi="Times New Roman"/>
          <w:color w:val="000000"/>
          <w:sz w:val="24"/>
        </w:rPr>
        <w:t>) of Registrable Securities hereby elects to include the Registrable Securities owned by it in the Registration Statement.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undersigned hereby provides the following information to the Company and represents and warrants that such information is accurate:</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QUESTIONNAIRE</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1. Name.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Full Legal Name of Selling Stockholder</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r>
      <w:tr>
        <w:trPr/>
        <w:tc>
          <w:tcPr>
            <w:tcW w:w="206"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Full Legal Name of Registered Holder (if not the same as (a) above) through which Registrable Securities are held:</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r>
      <w:tr>
        <w:trPr/>
        <w:tc>
          <w:tcPr>
            <w:tcW w:w="206"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Full Legal Name of Natural Control Person (which means a natural person who directly or indirectly alone or with others has power to vote or dispose of the securities covered by this Questionnaire):</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r>
      <w:tr>
        <w:trPr/>
        <w:tc>
          <w:tcPr>
            <w:tcW w:w="206"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spacing w:before="0" w:after="240"/>
        <w:jc w:val="left"/>
        <w:rPr/>
      </w:pPr>
      <w:r>
        <w:rPr/>
        <w:t>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2. Address for Notices to Selling Stockholder:</w:t>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sz w:val="4"/>
                <w:szCs w:val="4"/>
              </w:rPr>
            </w:pPr>
            <w:r>
              <w:rPr>
                <w:sz w:val="4"/>
                <w:szCs w:val="4"/>
              </w:rPr>
            </w:r>
          </w:p>
        </w:tc>
      </w:tr>
      <w:tr>
        <w:trPr/>
        <w:tc>
          <w:tcPr>
            <w:tcW w:w="84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84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84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84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Telephone: ___________________________________________________________ </w:t>
            </w:r>
          </w:p>
        </w:tc>
      </w:tr>
      <w:tr>
        <w:trPr/>
        <w:tc>
          <w:tcPr>
            <w:tcW w:w="84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E-Mail:_______________________________________________________________</w:t>
            </w:r>
          </w:p>
        </w:tc>
      </w:tr>
      <w:tr>
        <w:trPr/>
        <w:tc>
          <w:tcPr>
            <w:tcW w:w="84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Contact Person: ________________________________________________________</w:t>
            </w:r>
          </w:p>
        </w:tc>
      </w:tr>
    </w:tbl>
    <w:p>
      <w:pPr>
        <w:pStyle w:val="TextBody"/>
        <w:bidi w:val="0"/>
        <w:spacing w:before="0" w:after="240"/>
        <w:jc w:val="left"/>
        <w:rPr>
          <w:rFonts w:ascii="Times New Roman" w:hAnsi="Times New Roman"/>
          <w:sz w:val="20"/>
        </w:rPr>
      </w:pPr>
      <w:r>
        <w:rPr>
          <w:rFonts w:ascii="Times New Roman" w:hAnsi="Times New Roman"/>
          <w:color w:val="000000"/>
          <w:sz w:val="24"/>
        </w:rPr>
        <w:br/>
      </w:r>
      <w:r>
        <w:rPr>
          <w:rFonts w:ascii="Times New Roman" w:hAnsi="Times New Roman"/>
          <w:b/>
          <w:color w:val="000000"/>
          <w:sz w:val="24"/>
        </w:rPr>
        <w:t>3. Broker-Dealer Status: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Are you a broker-dealer?</w:t>
      </w:r>
    </w:p>
    <w:p>
      <w:pPr>
        <w:pStyle w:val="TextBody"/>
        <w:bidi w:val="0"/>
        <w:spacing w:before="0" w:after="240"/>
        <w:jc w:val="center"/>
        <w:rPr>
          <w:rFonts w:ascii="Times New Roman" w:hAnsi="Times New Roman"/>
          <w:sz w:val="20"/>
        </w:rPr>
      </w:pPr>
      <w:r>
        <w:rPr>
          <w:rFonts w:ascii="Times New Roman" w:hAnsi="Times New Roman"/>
          <w:color w:val="000000"/>
          <w:sz w:val="24"/>
        </w:rPr>
        <w:t>Yes ☐ No ☐</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If “yes” to Section 3(a), did you receive your Registrable Securities as compensation for investment banking services to the Company?</w:t>
      </w:r>
    </w:p>
    <w:p>
      <w:pPr>
        <w:pStyle w:val="TextBody"/>
        <w:bidi w:val="0"/>
        <w:spacing w:before="0" w:after="240"/>
        <w:jc w:val="center"/>
        <w:rPr>
          <w:rFonts w:ascii="Times New Roman" w:hAnsi="Times New Roman"/>
          <w:sz w:val="20"/>
        </w:rPr>
      </w:pPr>
      <w:r>
        <w:rPr>
          <w:rFonts w:ascii="Times New Roman" w:hAnsi="Times New Roman"/>
          <w:color w:val="000000"/>
          <w:sz w:val="24"/>
        </w:rPr>
        <w:t>Yes ☐ No ☐</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Note: If “no” to Section 3(b), the Commission’s staff has indicated that you should be identified as an underwriter in the Registration Statement.</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Are you an affiliate of a broker-dealer?</w:t>
      </w:r>
    </w:p>
    <w:p>
      <w:pPr>
        <w:pStyle w:val="TextBody"/>
        <w:bidi w:val="0"/>
        <w:spacing w:before="0" w:after="240"/>
        <w:jc w:val="center"/>
        <w:rPr>
          <w:rFonts w:ascii="Times New Roman" w:hAnsi="Times New Roman"/>
          <w:sz w:val="20"/>
        </w:rPr>
      </w:pPr>
      <w:r>
        <w:rPr>
          <w:rFonts w:ascii="Times New Roman" w:hAnsi="Times New Roman"/>
          <w:color w:val="000000"/>
          <w:sz w:val="24"/>
        </w:rPr>
        <w:t>Yes ☐ No ☐</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If you are an affiliate of a broker-dealer, do you certify that you purchased the Registrable Securities in the ordinary course of business, and at the time of the purchase of the Registrable Securities to be resold, you had no agreements or understandings, directly or indirectly, with any person to distribute the Registrable Securities?</w:t>
      </w:r>
    </w:p>
    <w:p>
      <w:pPr>
        <w:pStyle w:val="TextBody"/>
        <w:bidi w:val="0"/>
        <w:spacing w:before="0" w:after="240"/>
        <w:jc w:val="center"/>
        <w:rPr>
          <w:rFonts w:ascii="Times New Roman" w:hAnsi="Times New Roman"/>
          <w:sz w:val="20"/>
        </w:rPr>
      </w:pPr>
      <w:r>
        <w:rPr>
          <w:rFonts w:ascii="Times New Roman" w:hAnsi="Times New Roman"/>
          <w:color w:val="000000"/>
          <w:sz w:val="24"/>
        </w:rPr>
        <w:t>Yes ☐ No ☐</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Note: If “no” to Section 3(d), the Commission’s staff has indicated that you should be identified as an underwriter in the Registration Statement.</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4. Beneficial Ownership of Securities of the Company Owned by the Selling Stockholder.</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Except as set forth below in this Item 4, the undersigned is not the beneficial or registered owner of any securities of the Company other than the securities issuable pursuant to the Purchase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Type and Amount of other securities beneficially owned by the Selling Stockholder:</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0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0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4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5. Relationships with the Company:</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Except as set forth below, neither the undersigned nor any of its affiliates, officers, directors or principal equity holders (owners of 5% of more of the equity securities of the undersigned) has held any position or office or has had any other material relationship with the Company (or its predecessors or affiliates) during the past three years.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State any exceptions here:</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0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0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24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undersigned acknowledge that the Securities Act and the rules and regulation promulgated thereunder may require the undersigned to promptly notify the Company of any material inaccuracies or changes in the information provided herein that may occur subsequent to the date hereof at any time as long as the undersigned holds Registrable Securities (as defined in the Registration Rights Agreement). In the absence of any such notification, the Company shall be entitled to continue to rely on the accuracy of the information in this Notice and Questionnaire.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By signing below, the undersigned consents to the disclosure of the information contained herein in its answers to Items 1 through 5 and the inclusion of such information in the Registration Statement and the related prospectus </w:t>
      </w:r>
      <w:r>
        <w:rPr>
          <w:rFonts w:ascii="Times New Roman" w:hAnsi="Times New Roman"/>
          <w:color w:val="000000"/>
          <w:sz w:val="22"/>
        </w:rPr>
        <w:t>and any amendments or supplements thereto</w:t>
      </w:r>
      <w:r>
        <w:rPr>
          <w:rFonts w:ascii="Times New Roman" w:hAnsi="Times New Roman"/>
          <w:color w:val="000000"/>
          <w:sz w:val="24"/>
        </w:rPr>
        <w:t>. The undersigned understands that such information will be relied upon by the Company in connection with the preparation or amendment of the Registration Statement and the related prospectus and any amendments or supplements thereto.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WITNESS WHEREOF the undersigned, by authority duly given, has caused this Notice and Questionnaire to be executed and delivered either in person or by its duly authorized agent.</w:t>
      </w:r>
    </w:p>
    <w:tbl>
      <w:tblPr>
        <w:tblW w:w="8447" w:type="dxa"/>
        <w:jc w:val="left"/>
        <w:tblInd w:w="0" w:type="dxa"/>
        <w:tblLayout w:type="fixed"/>
        <w:tblCellMar>
          <w:top w:w="28" w:type="dxa"/>
          <w:left w:w="28" w:type="dxa"/>
          <w:bottom w:w="28" w:type="dxa"/>
          <w:right w:w="28" w:type="dxa"/>
        </w:tblCellMar>
      </w:tblPr>
      <w:tblGrid>
        <w:gridCol w:w="3811"/>
        <w:gridCol w:w="4636"/>
      </w:tblGrid>
      <w:tr>
        <w:trPr/>
        <w:tc>
          <w:tcPr>
            <w:tcW w:w="3811" w:type="dxa"/>
            <w:tcBorders/>
            <w:vAlign w:val="center"/>
          </w:tcPr>
          <w:p>
            <w:pPr>
              <w:pStyle w:val="TableContents"/>
              <w:bidi w:val="0"/>
              <w:spacing w:before="0" w:after="283"/>
              <w:jc w:val="left"/>
              <w:rPr>
                <w:sz w:val="4"/>
                <w:szCs w:val="4"/>
              </w:rPr>
            </w:pPr>
            <w:r>
              <w:rPr>
                <w:sz w:val="4"/>
                <w:szCs w:val="4"/>
              </w:rPr>
            </w:r>
          </w:p>
        </w:tc>
        <w:tc>
          <w:tcPr>
            <w:tcW w:w="4636" w:type="dxa"/>
            <w:tcBorders/>
            <w:vAlign w:val="center"/>
          </w:tcPr>
          <w:p>
            <w:pPr>
              <w:pStyle w:val="TableContents"/>
              <w:bidi w:val="0"/>
              <w:spacing w:before="0" w:after="283"/>
              <w:jc w:val="left"/>
              <w:rPr>
                <w:sz w:val="4"/>
                <w:szCs w:val="4"/>
              </w:rPr>
            </w:pPr>
            <w:r>
              <w:rPr>
                <w:sz w:val="4"/>
                <w:szCs w:val="4"/>
              </w:rPr>
            </w:r>
          </w:p>
        </w:tc>
      </w:tr>
      <w:tr>
        <w:trPr/>
        <w:tc>
          <w:tcPr>
            <w:tcW w:w="3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Date: __________________________</w:t>
            </w:r>
          </w:p>
        </w:tc>
        <w:tc>
          <w:tcPr>
            <w:tcW w:w="4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Beneficial Owner: ______________________</w:t>
            </w:r>
          </w:p>
        </w:tc>
      </w:tr>
      <w:tr>
        <w:trPr/>
        <w:tc>
          <w:tcPr>
            <w:tcW w:w="3811" w:type="dxa"/>
            <w:tcBorders/>
            <w:tcMar>
              <w:top w:w="0" w:type="dxa"/>
              <w:left w:w="0" w:type="dxa"/>
              <w:bottom w:w="0" w:type="dxa"/>
              <w:right w:w="0" w:type="dxa"/>
            </w:tcMar>
            <w:vAlign w:val="center"/>
          </w:tcPr>
          <w:p>
            <w:pPr>
              <w:pStyle w:val="TableContents"/>
              <w:bidi w:val="0"/>
              <w:spacing w:before="0" w:after="283"/>
              <w:jc w:val="left"/>
              <w:rPr/>
            </w:pPr>
            <w:r>
              <w:rPr/>
              <w:t> </w:t>
            </w:r>
          </w:p>
        </w:tc>
        <w:tc>
          <w:tcPr>
            <w:tcW w:w="4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4"/>
              </w:rPr>
              <w:t>By: _________________________________</w:t>
            </w:r>
            <w:r>
              <w:rPr>
                <w:rFonts w:ascii="Times New Roman" w:hAnsi="Times New Roman"/>
                <w:color w:val="000000"/>
                <w:sz w:val="22"/>
              </w:rPr>
              <w:t>_</w:t>
            </w:r>
          </w:p>
        </w:tc>
      </w:tr>
      <w:tr>
        <w:trPr/>
        <w:tc>
          <w:tcPr>
            <w:tcW w:w="3811" w:type="dxa"/>
            <w:tcBorders/>
            <w:tcMar>
              <w:top w:w="0" w:type="dxa"/>
              <w:left w:w="0" w:type="dxa"/>
              <w:bottom w:w="0" w:type="dxa"/>
              <w:right w:w="0" w:type="dxa"/>
            </w:tcMar>
            <w:vAlign w:val="center"/>
          </w:tcPr>
          <w:p>
            <w:pPr>
              <w:pStyle w:val="TableContents"/>
              <w:bidi w:val="0"/>
              <w:spacing w:before="0" w:after="283"/>
              <w:ind w:left="0" w:right="0" w:firstLine="432"/>
              <w:jc w:val="left"/>
              <w:rPr/>
            </w:pPr>
            <w:r>
              <w:rPr/>
              <w:t> </w:t>
            </w:r>
          </w:p>
        </w:tc>
        <w:tc>
          <w:tcPr>
            <w:tcW w:w="4636" w:type="dxa"/>
            <w:tcBorders/>
            <w:tcMar>
              <w:top w:w="0" w:type="dxa"/>
              <w:left w:w="0" w:type="dxa"/>
              <w:bottom w:w="0" w:type="dxa"/>
              <w:right w:w="0" w:type="dxa"/>
            </w:tcMar>
            <w:vAlign w:val="center"/>
          </w:tcPr>
          <w:p>
            <w:pPr>
              <w:pStyle w:val="TableContents"/>
              <w:bidi w:val="0"/>
              <w:spacing w:before="0" w:after="283"/>
              <w:ind w:left="0" w:right="0" w:firstLine="432"/>
              <w:jc w:val="left"/>
              <w:rPr>
                <w:rFonts w:ascii="Times New Roman" w:hAnsi="Times New Roman"/>
                <w:color w:val="000000"/>
                <w:sz w:val="24"/>
              </w:rPr>
            </w:pPr>
            <w:r>
              <w:rPr>
                <w:rFonts w:ascii="Times New Roman" w:hAnsi="Times New Roman"/>
                <w:color w:val="000000"/>
                <w:sz w:val="24"/>
              </w:rPr>
              <w:t>Name:</w:t>
            </w:r>
          </w:p>
        </w:tc>
      </w:tr>
      <w:tr>
        <w:trPr/>
        <w:tc>
          <w:tcPr>
            <w:tcW w:w="3811" w:type="dxa"/>
            <w:tcBorders/>
            <w:tcMar>
              <w:top w:w="0" w:type="dxa"/>
              <w:left w:w="0" w:type="dxa"/>
              <w:bottom w:w="0" w:type="dxa"/>
              <w:right w:w="0" w:type="dxa"/>
            </w:tcMar>
            <w:vAlign w:val="center"/>
          </w:tcPr>
          <w:p>
            <w:pPr>
              <w:pStyle w:val="TableContents"/>
              <w:bidi w:val="0"/>
              <w:spacing w:before="0" w:after="283"/>
              <w:ind w:left="0" w:right="0" w:firstLine="432"/>
              <w:jc w:val="left"/>
              <w:rPr/>
            </w:pPr>
            <w:r>
              <w:rPr/>
              <w:t> </w:t>
            </w:r>
          </w:p>
        </w:tc>
        <w:tc>
          <w:tcPr>
            <w:tcW w:w="4636" w:type="dxa"/>
            <w:tcBorders/>
            <w:tcMar>
              <w:top w:w="0" w:type="dxa"/>
              <w:left w:w="0" w:type="dxa"/>
              <w:bottom w:w="0" w:type="dxa"/>
              <w:right w:w="0" w:type="dxa"/>
            </w:tcMar>
            <w:vAlign w:val="center"/>
          </w:tcPr>
          <w:p>
            <w:pPr>
              <w:pStyle w:val="TableContents"/>
              <w:bidi w:val="0"/>
              <w:spacing w:before="0" w:after="283"/>
              <w:ind w:left="0" w:right="0" w:firstLine="432"/>
              <w:jc w:val="left"/>
              <w:rPr>
                <w:rFonts w:ascii="Times New Roman" w:hAnsi="Times New Roman"/>
                <w:color w:val="000000"/>
                <w:sz w:val="24"/>
              </w:rPr>
            </w:pPr>
            <w:r>
              <w:rPr>
                <w:rFonts w:ascii="Times New Roman" w:hAnsi="Times New Roman"/>
                <w:color w:val="000000"/>
                <w:sz w:val="24"/>
              </w:rPr>
              <w:t>Title:</w:t>
            </w:r>
          </w:p>
        </w:tc>
      </w:tr>
    </w:tbl>
    <w:p>
      <w:pPr>
        <w:pStyle w:val="TextBody"/>
        <w:bidi w:val="0"/>
        <w:jc w:val="left"/>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PLEASE EMAIL A .PDF COPY OF THE COMPLETED AND EXECUTED NOTICE AND QUESTIONNAIRE TO:</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Federico Benvenutto</w:t>
      </w:r>
    </w:p>
    <w:p>
      <w:pPr>
        <w:pStyle w:val="TextBody"/>
        <w:bidi w:val="0"/>
        <w:jc w:val="both"/>
        <w:rPr>
          <w:rFonts w:ascii="Times New Roman" w:hAnsi="Times New Roman"/>
          <w:color w:val="000000"/>
          <w:sz w:val="24"/>
        </w:rPr>
      </w:pPr>
      <w:r>
        <w:rPr>
          <w:rFonts w:ascii="Times New Roman" w:hAnsi="Times New Roman"/>
          <w:color w:val="000000"/>
          <w:sz w:val="24"/>
        </w:rPr>
        <w:t>Faegre Drinker Biddle &amp; Reath LLP</w:t>
      </w:r>
    </w:p>
    <w:p>
      <w:pPr>
        <w:pStyle w:val="TextBody"/>
        <w:bidi w:val="0"/>
        <w:jc w:val="both"/>
        <w:rPr>
          <w:rFonts w:ascii="Times New Roman" w:hAnsi="Times New Roman"/>
          <w:color w:val="000000"/>
          <w:sz w:val="24"/>
        </w:rPr>
      </w:pPr>
      <w:r>
        <w:rPr>
          <w:rFonts w:ascii="Times New Roman" w:hAnsi="Times New Roman"/>
          <w:color w:val="000000"/>
          <w:sz w:val="24"/>
        </w:rPr>
        <w:t>federico.benvenutto@faegredrinker.com</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7" w:name="bzai-ex31_1.htm"/>
      <w:bookmarkStart w:id="28" w:name="ksbzaiex31_1"/>
      <w:bookmarkEnd w:id="27"/>
      <w:bookmarkEnd w:id="28"/>
      <w:r>
        <w:rPr>
          <w:rFonts w:ascii="Times New Roman" w:hAnsi="Times New Roman"/>
          <w:b/>
          <w:color w:val="000000"/>
          <w:sz w:val="20"/>
        </w:rPr>
        <w:t>Exhibit 31.1</w:t>
      </w:r>
      <w:r>
        <w:br w:type="page"/>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EXECUTIVE OFFICER UNDER SECTION 302 OF</w:t>
      </w:r>
    </w:p>
    <w:p>
      <w:pPr>
        <w:pStyle w:val="TextBody"/>
        <w:bidi w:val="0"/>
        <w:jc w:val="center"/>
        <w:rPr>
          <w:rFonts w:ascii="Times New Roman" w:hAnsi="Times New Roman"/>
          <w:b/>
          <w:color w:val="000000"/>
          <w:sz w:val="20"/>
        </w:rPr>
      </w:pPr>
      <w:r>
        <w:rPr>
          <w:rFonts w:ascii="Times New Roman" w:hAnsi="Times New Roman"/>
          <w:b/>
          <w:color w:val="000000"/>
          <w:sz w:val="20"/>
        </w:rPr>
        <w:t>THE SARBANES-OXLEY ACT OF 2002</w:t>
      </w:r>
    </w:p>
    <w:p>
      <w:pPr>
        <w:pStyle w:val="TextBody"/>
        <w:bidi w:val="0"/>
        <w:jc w:val="center"/>
        <w:rPr/>
      </w:pPr>
      <w:r>
        <w:rPr/>
        <w:t> </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I, Dinakar Munagala, certify that: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rFonts w:ascii="Times New Roman" w:hAnsi="Times New Roman"/>
          <w:color w:val="000000"/>
          <w:sz w:val="20"/>
        </w:rPr>
      </w:pPr>
      <w:r>
        <w:rPr>
          <w:rFonts w:ascii="Times New Roman" w:hAnsi="Times New Roman"/>
          <w:color w:val="000000"/>
          <w:sz w:val="20"/>
        </w:rPr>
        <w:t>I have reviewed this Quarterly Report of Blaize Holdings, Inc. on Form 10-Q for the fiscal quarter ended September 30, 2025 (the “Quarterly Report”);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4.</w:t>
      </w:r>
    </w:p>
    <w:p>
      <w:pPr>
        <w:pStyle w:val="TextBody"/>
        <w:bidi w:val="0"/>
        <w:jc w:val="both"/>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for the registrant and have:</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w:t>
      </w:r>
    </w:p>
    <w:p>
      <w:pPr>
        <w:pStyle w:val="TextBody"/>
        <w:bidi w:val="0"/>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w:t>
      </w:r>
    </w:p>
    <w:p>
      <w:pPr>
        <w:pStyle w:val="TextBody"/>
        <w:bidi w:val="0"/>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5.</w:t>
      </w:r>
    </w:p>
    <w:p>
      <w:pPr>
        <w:pStyle w:val="TextBody"/>
        <w:bidi w:val="0"/>
        <w:jc w:val="both"/>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5133" w:type="dxa"/>
        <w:jc w:val="left"/>
        <w:tblInd w:w="0" w:type="dxa"/>
        <w:tblLayout w:type="fixed"/>
        <w:tblCellMar>
          <w:top w:w="28" w:type="dxa"/>
          <w:left w:w="28" w:type="dxa"/>
          <w:bottom w:w="28" w:type="dxa"/>
          <w:right w:w="28" w:type="dxa"/>
        </w:tblCellMar>
      </w:tblPr>
      <w:tblGrid>
        <w:gridCol w:w="2206"/>
        <w:gridCol w:w="451"/>
        <w:gridCol w:w="2476"/>
      </w:tblGrid>
      <w:tr>
        <w:trPr/>
        <w:tc>
          <w:tcPr>
            <w:tcW w:w="220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360" w:after="283"/>
              <w:jc w:val="left"/>
              <w:rPr>
                <w:rFonts w:ascii="Times New Roman" w:hAnsi="Times New Roman"/>
                <w:color w:val="000000"/>
                <w:sz w:val="20"/>
              </w:rPr>
            </w:pPr>
            <w:r>
              <w:rPr>
                <w:rFonts w:ascii="Times New Roman" w:hAnsi="Times New Roman"/>
                <w:color w:val="000000"/>
                <w:sz w:val="20"/>
              </w:rPr>
              <w:t>Date: November 13, 2025</w:t>
            </w:r>
          </w:p>
        </w:tc>
        <w:tc>
          <w:tcPr>
            <w:tcW w:w="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24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Dinakar Munagala</w:t>
            </w:r>
          </w:p>
        </w:tc>
      </w:tr>
      <w:tr>
        <w:trP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Dinakar Munagala</w:t>
            </w:r>
          </w:p>
        </w:tc>
      </w:tr>
      <w:tr>
        <w:trP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9" w:name="bzai-ex31_2.htm"/>
      <w:bookmarkStart w:id="30" w:name="ksbzaiex31_2"/>
      <w:bookmarkEnd w:id="29"/>
      <w:bookmarkEnd w:id="30"/>
      <w:r>
        <w:rPr>
          <w:rFonts w:ascii="Times New Roman" w:hAnsi="Times New Roman"/>
          <w:b/>
          <w:color w:val="000000"/>
          <w:sz w:val="20"/>
        </w:rPr>
        <w:t>Exhibit 31.2</w:t>
      </w:r>
      <w:r>
        <w:br w:type="page"/>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FINANCIAL OFFICER UNDER SECTION 302 OF</w:t>
      </w:r>
    </w:p>
    <w:p>
      <w:pPr>
        <w:pStyle w:val="TextBody"/>
        <w:bidi w:val="0"/>
        <w:jc w:val="center"/>
        <w:rPr>
          <w:rFonts w:ascii="Times New Roman" w:hAnsi="Times New Roman"/>
          <w:b/>
          <w:color w:val="000000"/>
          <w:sz w:val="20"/>
        </w:rPr>
      </w:pPr>
      <w:r>
        <w:rPr>
          <w:rFonts w:ascii="Times New Roman" w:hAnsi="Times New Roman"/>
          <w:b/>
          <w:color w:val="000000"/>
          <w:sz w:val="20"/>
        </w:rPr>
        <w:t>THE SARBANES-OXLEY ACT OF 2002</w:t>
      </w:r>
    </w:p>
    <w:p>
      <w:pPr>
        <w:pStyle w:val="TextBody"/>
        <w:bidi w:val="0"/>
        <w:jc w:val="center"/>
        <w:rPr/>
      </w:pPr>
      <w:r>
        <w:rPr/>
        <w:t> </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I, Harminder Sehmi, certify that: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rFonts w:ascii="Times New Roman" w:hAnsi="Times New Roman"/>
          <w:color w:val="000000"/>
          <w:sz w:val="20"/>
        </w:rPr>
      </w:pPr>
      <w:r>
        <w:rPr>
          <w:rFonts w:ascii="Times New Roman" w:hAnsi="Times New Roman"/>
          <w:color w:val="000000"/>
          <w:sz w:val="20"/>
        </w:rPr>
        <w:t>I have reviewed this Quarterly Report of Blaize Holdings, Inc. on Form 10-Q for the fiscal quarter ended September 30, 2025 (the “Quarterly Report”);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4.</w:t>
      </w:r>
    </w:p>
    <w:p>
      <w:pPr>
        <w:pStyle w:val="TextBody"/>
        <w:bidi w:val="0"/>
        <w:jc w:val="both"/>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for the registrant and have:</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w:t>
      </w:r>
    </w:p>
    <w:p>
      <w:pPr>
        <w:pStyle w:val="TextBody"/>
        <w:bidi w:val="0"/>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w:t>
      </w:r>
    </w:p>
    <w:p>
      <w:pPr>
        <w:pStyle w:val="TextBody"/>
        <w:bidi w:val="0"/>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5.</w:t>
      </w:r>
    </w:p>
    <w:p>
      <w:pPr>
        <w:pStyle w:val="TextBody"/>
        <w:bidi w:val="0"/>
        <w:jc w:val="both"/>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6378" w:type="dxa"/>
        <w:jc w:val="left"/>
        <w:tblInd w:w="0" w:type="dxa"/>
        <w:tblLayout w:type="fixed"/>
        <w:tblCellMar>
          <w:top w:w="28" w:type="dxa"/>
          <w:left w:w="28" w:type="dxa"/>
          <w:bottom w:w="28" w:type="dxa"/>
          <w:right w:w="28" w:type="dxa"/>
        </w:tblCellMar>
      </w:tblPr>
      <w:tblGrid>
        <w:gridCol w:w="2206"/>
        <w:gridCol w:w="406"/>
        <w:gridCol w:w="3766"/>
      </w:tblGrid>
      <w:tr>
        <w:trPr/>
        <w:tc>
          <w:tcPr>
            <w:tcW w:w="22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360" w:after="283"/>
              <w:jc w:val="left"/>
              <w:rPr>
                <w:rFonts w:ascii="Times New Roman" w:hAnsi="Times New Roman"/>
                <w:color w:val="000000"/>
                <w:sz w:val="20"/>
              </w:rPr>
            </w:pPr>
            <w:r>
              <w:rPr>
                <w:rFonts w:ascii="Times New Roman" w:hAnsi="Times New Roman"/>
                <w:color w:val="000000"/>
                <w:sz w:val="20"/>
              </w:rPr>
              <w:t>Date: November 13, 2025</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Harminder Sehmi</w:t>
            </w:r>
          </w:p>
        </w:tc>
      </w:tr>
      <w:tr>
        <w:trP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Harminder Sehmi</w:t>
            </w:r>
          </w:p>
        </w:tc>
      </w:tr>
      <w:tr>
        <w:trP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1" w:name="bzai-ex32_1.htm"/>
      <w:bookmarkStart w:id="32" w:name="ksbzaiex32_1"/>
      <w:bookmarkEnd w:id="31"/>
      <w:bookmarkEnd w:id="32"/>
      <w:r>
        <w:rPr>
          <w:rFonts w:ascii="Times New Roman" w:hAnsi="Times New Roman"/>
          <w:b/>
          <w:color w:val="000000"/>
          <w:sz w:val="20"/>
        </w:rPr>
        <w:t>Exhibit 32.1</w:t>
      </w:r>
      <w:r>
        <w:br w:type="page"/>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906 OF THE SARBANES-OXLEY ACT OF 2002</w:t>
      </w:r>
    </w:p>
    <w:p>
      <w:pPr>
        <w:pStyle w:val="TextBody"/>
        <w:bidi w:val="0"/>
        <w:jc w:val="center"/>
        <w:rPr/>
      </w:pPr>
      <w:r>
        <w:rPr/>
        <w:t> </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I, Dinakar Munagala, certify pursuant to 18 U.S.C. Section 1350, as adopted pursuant to Section 906 of the Sarbanes-Oxley Act of 2002, that: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rFonts w:ascii="Times New Roman" w:hAnsi="Times New Roman"/>
          <w:color w:val="000000"/>
          <w:sz w:val="20"/>
        </w:rPr>
      </w:pPr>
      <w:r>
        <w:rPr>
          <w:rFonts w:ascii="Times New Roman" w:hAnsi="Times New Roman"/>
          <w:color w:val="000000"/>
          <w:sz w:val="20"/>
        </w:rPr>
        <w:t>the Quarterly Report of Blaize Holdings, Inc. on Form 10-Q for the fiscal quarter ended September 30, 2025 (the “Quarterly Report”) fully complies with the requirements of Section 13(a) or 15(d) of the Securities Exchange Act of 1934; and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information contained in the Quarterly Report fairly presents, in all material respects, the financial condition and results of operations of Blaize Holdings, Inc. for the periods presented therein.</w:t>
      </w:r>
    </w:p>
    <w:tbl>
      <w:tblPr>
        <w:tblW w:w="5088" w:type="dxa"/>
        <w:jc w:val="left"/>
        <w:tblInd w:w="0" w:type="dxa"/>
        <w:tblLayout w:type="fixed"/>
        <w:tblCellMar>
          <w:top w:w="28" w:type="dxa"/>
          <w:left w:w="28" w:type="dxa"/>
          <w:bottom w:w="28" w:type="dxa"/>
          <w:right w:w="28" w:type="dxa"/>
        </w:tblCellMar>
      </w:tblPr>
      <w:tblGrid>
        <w:gridCol w:w="2206"/>
        <w:gridCol w:w="406"/>
        <w:gridCol w:w="2476"/>
      </w:tblGrid>
      <w:tr>
        <w:trPr/>
        <w:tc>
          <w:tcPr>
            <w:tcW w:w="22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360" w:after="283"/>
              <w:jc w:val="left"/>
              <w:rPr>
                <w:rFonts w:ascii="Times New Roman" w:hAnsi="Times New Roman"/>
                <w:color w:val="000000"/>
                <w:sz w:val="20"/>
              </w:rPr>
            </w:pPr>
            <w:r>
              <w:rPr>
                <w:rFonts w:ascii="Times New Roman" w:hAnsi="Times New Roman"/>
                <w:color w:val="000000"/>
                <w:sz w:val="20"/>
              </w:rPr>
              <w:t>Date: November 13, 2025</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7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Dinakar Munagala</w:t>
            </w:r>
          </w:p>
        </w:tc>
      </w:tr>
      <w:tr>
        <w:trP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Dinakar Munagala</w:t>
            </w:r>
          </w:p>
        </w:tc>
      </w:tr>
      <w:tr>
        <w:trP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3" w:name="bzai-ex32_2.htm"/>
      <w:bookmarkStart w:id="34" w:name="ksbzaiex32_2"/>
      <w:bookmarkEnd w:id="33"/>
      <w:bookmarkEnd w:id="34"/>
      <w:r>
        <w:rPr>
          <w:rFonts w:ascii="Times New Roman" w:hAnsi="Times New Roman"/>
          <w:b/>
          <w:color w:val="000000"/>
          <w:sz w:val="20"/>
        </w:rPr>
        <w:t>Exhibit 32.2</w:t>
      </w:r>
      <w:r>
        <w:br w:type="page"/>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906 OF THE SARBANES-OXLEY ACT OF 2002</w:t>
      </w:r>
    </w:p>
    <w:p>
      <w:pPr>
        <w:pStyle w:val="TextBody"/>
        <w:bidi w:val="0"/>
        <w:jc w:val="center"/>
        <w:rPr/>
      </w:pPr>
      <w:r>
        <w:rPr/>
        <w:t> </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I, Harminder Sehmi, certify pursuant to 18 U.S.C. Section 1350, as adopted pursuant to Section 906 of the Sarbanes-Oxley Act of 2002, that: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rFonts w:ascii="Times New Roman" w:hAnsi="Times New Roman"/>
          <w:color w:val="000000"/>
          <w:sz w:val="20"/>
        </w:rPr>
      </w:pPr>
      <w:r>
        <w:rPr>
          <w:rFonts w:ascii="Times New Roman" w:hAnsi="Times New Roman"/>
          <w:color w:val="000000"/>
          <w:sz w:val="20"/>
        </w:rPr>
        <w:t>the Quarterly Report of Blaize Holdings, Inc. on Form 10-Q for the fiscal quarter ended September 30, 2025 (the “Quarterly Report”) fully complies with the requirements of Section 13(a) or 15(d) of the Securities Exchange Act of 1934; and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information contained in the Quarterly Report fairly presents, in all material respects, the financial condition and results of operations of Blaize Holdings, Inc. for the periods presented therein.</w:t>
      </w:r>
    </w:p>
    <w:tbl>
      <w:tblPr>
        <w:tblW w:w="6378" w:type="dxa"/>
        <w:jc w:val="left"/>
        <w:tblInd w:w="0" w:type="dxa"/>
        <w:tblLayout w:type="fixed"/>
        <w:tblCellMar>
          <w:top w:w="28" w:type="dxa"/>
          <w:left w:w="28" w:type="dxa"/>
          <w:bottom w:w="28" w:type="dxa"/>
          <w:right w:w="28" w:type="dxa"/>
        </w:tblCellMar>
      </w:tblPr>
      <w:tblGrid>
        <w:gridCol w:w="2206"/>
        <w:gridCol w:w="406"/>
        <w:gridCol w:w="3766"/>
      </w:tblGrid>
      <w:tr>
        <w:trPr/>
        <w:tc>
          <w:tcPr>
            <w:tcW w:w="22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360" w:after="283"/>
              <w:jc w:val="left"/>
              <w:rPr>
                <w:rFonts w:ascii="Times New Roman" w:hAnsi="Times New Roman"/>
                <w:color w:val="000000"/>
                <w:sz w:val="20"/>
              </w:rPr>
            </w:pPr>
            <w:r>
              <w:rPr>
                <w:rFonts w:ascii="Times New Roman" w:hAnsi="Times New Roman"/>
                <w:color w:val="000000"/>
                <w:sz w:val="20"/>
              </w:rPr>
              <w:t>Date: November 13, 2025</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Harminder Sehmi</w:t>
            </w:r>
          </w:p>
        </w:tc>
      </w:tr>
      <w:tr>
        <w:trP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Harminder Sehmi</w:t>
            </w:r>
          </w:p>
        </w:tc>
      </w:tr>
      <w:tr>
        <w:trP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71638/000119312525008517/d903961dex31.htm" TargetMode="External"/><Relationship Id="rId3" Type="http://schemas.openxmlformats.org/officeDocument/2006/relationships/hyperlink" Target="https://www.sec.gov/Archives/edgar/data/1871638/000119312525008517/d903961dex32.htm" TargetMode="External"/><Relationship Id="rId4" Type="http://schemas.openxmlformats.org/officeDocument/2006/relationships/hyperlink" Target="https://www.sec.gov/Archives/edgar/data/1871638/000119312525194046/d99229dex101.htm" TargetMode="External"/><Relationship Id="rId5" Type="http://schemas.openxmlformats.org/officeDocument/2006/relationships/hyperlink" Target="https://www.sec.gov/Archives/edgar/data/1871638/000119312525158997/d13627dex101.htm" TargetMode="External"/><Relationship Id="rId6" Type="http://schemas.openxmlformats.org/officeDocument/2006/relationships/hyperlink" Target="https://www.sec.gov/Archives/edgar/data/1871638/000119312525158997/d13627dex10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81278</Words>
  <Characters>436653</Characters>
  <CharactersWithSpaces>519648</CharactersWithSpaces>
  <Paragraphs>10447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