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Dinakar Munagala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Blaize Holdings, Inc., 4659 Golden Foothill Parkway, Suite 206</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El Dorado Hills, CA, 95762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(916) 347-0050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Dinakar Munagala</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5,724,735.00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5,724,735.00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5,724,735.00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(the "Schedule 13D") relates to the shares of Common stock, par value $0.0001 per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 (the "Common Stock"), of Blaize Holdings, Inc. a Delaware corporation (the "Issuer"), whose principal</w:t>
      </w:r>
    </w:p>
    <w:p>
      <w:pPr>
        <w:spacing w:after="0" w:line="1" w:lineRule="exact"/>
        <w:rPr>
          <w:sz w:val="20"/>
          <w:szCs w:val="20"/>
          <w:color w:val="auto"/>
        </w:rPr>
      </w:pPr>
    </w:p>
    <w:p>
      <w:pPr>
        <w:ind w:right="1560" w:firstLine="952"/>
        <w:spacing w:after="0" w:line="283" w:lineRule="auto"/>
        <w:rPr>
          <w:sz w:val="20"/>
          <w:szCs w:val="20"/>
          <w:color w:val="auto"/>
        </w:rPr>
      </w:pPr>
      <w:r>
        <w:rPr>
          <w:rFonts w:ascii="Times New Roman" w:cs="Times New Roman" w:eastAsia="Times New Roman" w:hAnsi="Times New Roman"/>
          <w:sz w:val="22"/>
          <w:szCs w:val="22"/>
          <w:color w:val="auto"/>
        </w:rPr>
        <w:t>executive office is located at 4659 Golden Foothill Parkway, Suite 206, El Dorado Hills, CA 95762. Item 2. Identity and Background</w:t>
      </w: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Schedule 13D is filed by Dinakar Munagala (the "Reporting Person").</w:t>
      </w:r>
    </w:p>
    <w:p>
      <w:pPr>
        <w:spacing w:after="0" w:line="44"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address is c/o Blaize Holdings, Inc., 4659 Golden Foothill Parkway, Suite 206, El Dorado Hills, CA 95762.</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the Chief Executive Officer and a director of the Issuer.</w:t>
      </w:r>
    </w:p>
    <w:p>
      <w:pPr>
        <w:spacing w:after="0" w:line="44" w:lineRule="exact"/>
        <w:rPr>
          <w:rFonts w:ascii="Times New Roman" w:cs="Times New Roman" w:eastAsia="Times New Roman" w:hAnsi="Times New Roman"/>
          <w:sz w:val="22"/>
          <w:szCs w:val="22"/>
          <w:color w:val="auto"/>
        </w:rPr>
      </w:pPr>
    </w:p>
    <w:p>
      <w:pPr>
        <w:ind w:left="920" w:right="1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right="520" w:hanging="912"/>
        <w:spacing w:after="0" w:line="282"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five years, the Reporting Person has not been a party to a civil proceeding of a judicial or administrative body of competent jurisdiction and as a result of such proceeding was or is subject to a judgment,</w:t>
      </w:r>
    </w:p>
    <w:p>
      <w:pPr>
        <w:sectPr>
          <w:pgSz w:w="11900" w:h="16838" w:orient="portrait"/>
          <w:cols w:equalWidth="0" w:num="1">
            <w:col w:w="11160"/>
          </w:cols>
          <w:pgMar w:left="360" w:top="111" w:right="379" w:bottom="0" w:gutter="0" w:footer="0" w:header="0"/>
          <w:type w:val="continuous"/>
        </w:sectPr>
      </w:pPr>
    </w:p>
    <w:bookmarkStart w:id="2" w:name="page3"/>
    <w:bookmarkEnd w:id="2"/>
    <w:p>
      <w:pPr>
        <w:spacing w:after="0" w:line="8" w:lineRule="exact"/>
        <w:rPr>
          <w:sz w:val="20"/>
          <w:szCs w:val="20"/>
          <w:color w:val="auto"/>
        </w:rPr>
      </w:pPr>
    </w:p>
    <w:p>
      <w:pPr>
        <w:ind w:left="920" w:right="220"/>
        <w:spacing w:after="0" w:line="256" w:lineRule="auto"/>
        <w:rPr>
          <w:sz w:val="20"/>
          <w:szCs w:val="20"/>
          <w:color w:val="auto"/>
        </w:rPr>
      </w:pPr>
      <w:r>
        <w:rPr>
          <w:rFonts w:ascii="Times New Roman" w:cs="Times New Roman" w:eastAsia="Times New Roman" w:hAnsi="Times New Roman"/>
          <w:sz w:val="22"/>
          <w:szCs w:val="22"/>
          <w:color w:val="auto"/>
        </w:rPr>
        <w:t>decree or final order enjoining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ind w:right="5480" w:firstLine="8"/>
        <w:spacing w:after="0" w:line="295" w:lineRule="auto"/>
        <w:tabs>
          <w:tab w:leader="none" w:pos="91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 is a citizen of the United States. Item 3. Source and Amount of Funds or Other Consideration</w:t>
      </w: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The securities reported herein were received as part of the Issuer's Business Combination (as defined below),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The Business Combination closed on January 13, 2025 (the "Closing Date"). In addition, the Reporting Person has acquired beneficial ownership of shares of Common Stock as a result of the vesting of equity awards granted to the Reporting Person in consideration for his service as Chief Executive Officer and a director of the Issuer.</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Business Combination On the Closing Date, pursuant to the Merger Agreement, BurTech Merger Sub Inc. was merged with and into Legacy Blaize, with Legacy Blaize surviving the merger as a wholly owned subsidiary of the Issuer (the "Business Combination"). As a result of the Business Combination, each share of Legacy Blaize preferred stock and common stock was converted into the right to receive approximately 0.78 shares of Common Stock. Certain securities of Legacy Blaize were automatically converted into the right to receive stock options of the Issuer as set forth in the Merger Agreement. Additionally, certain equity holders, including the Reporting Person, received earn-out shares, each of which represents a contingent right to receive one share of Common Stock if the trading price of the Issuer's Common Stock exceeds certain thresholds as set forth in the Merger Agreement. Lock-Up Agreement In connection with the Business Combination, the Issuer entered into lock-up agreements (the "Lock-up Agreement") with certain investors of the Issuer, including the Reporting Person, in each case, restricting the transfer of Common Stock and any shares of Issuer Common Stock issuable upon the exercise or settlement, as applicable, of options to purchase the Issuer's Common Stock or RSUs held by it immediately after the effective time of the Business Combination from and after the Closing Date. The restrictions under the Lock-up Agreement began at the Closing Date and end on the date that is 180 days after the Closing Date, subject to early release provisions as set forth in the Lock-up Agreement. Registration Rights Agreement On the Closing Date, the Issuer and certain investors of the Issuer, including the Reporting Person, entered into an amended registration rights agreement (the "Registration Rights Agreement"), pursuant to which the Issuer agreed to register for resale certain shares of the Issuer's Common Stock and other equity securities of the Issuer. Additionally, the Registration Rights Agreement provides for customary "demand" and "piggyback" registration rights for certain stockholders. The foregoing description of the Lock-Up Agreement and Registration Rights Agreement do not purport to be complete and are qualified in their entirety by reference to the full text of such agreement, which are attached as exhibits to this Schedule 13D and incorporated herein by reference General The Reporting Person acquired the securities described in this Schedule 13D in connection with the closing of the Business Combination and intends to review his investments in the Issuer on a continuing basis.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Subject to the Lock-Up Agreement, the Reporting Person may acquire additional securities of the Issuer, or retain or sell all or a portion of the securities then held, in the open market or in privately negotiated transactions. In addition, the Reporting Person, including in his capacity as Chief Executive Officer and a director of the Issuer, may engage in discussions with management, the Board, other securityholders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consideration of such matters, the Reporting Person may retain consultants and advisors and may enter into discussions with potential sources of capital and other third parties. The Reporting Person may exchange information with any such persons pursuant to appropriate confidentiality or similar agreements. The Reporting Person will likely take some or all of the foregoing steps at preliminary stages in his consideration of various possible courses of action before forming any intention to pursue any particular plan or direction. Other than as described above, the Reporting Person does not currently have any plans or proposals that relate to, or would result in, any of the matters listed in Items 4(a)-(j) of Schedule 13D, although, depending on the factors discussed herein, the Reporting Person may change his purpose or formulate different plans or proposals with respect thereto at any time.</w:t>
      </w:r>
    </w:p>
    <w:p>
      <w:pPr>
        <w:spacing w:after="0" w:line="2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 to this Schedule 13D is incorporated herein by reference. The securities reported herein include (i) 553,422 shares of Common Stock and (ii) 5,171,313 shares of Common Stock underlying</w:t>
      </w:r>
    </w:p>
    <w:p>
      <w:pPr>
        <w:spacing w:after="0" w:line="1" w:lineRule="exact"/>
        <w:rPr>
          <w:sz w:val="20"/>
          <w:szCs w:val="20"/>
          <w:color w:val="auto"/>
        </w:rPr>
      </w:pPr>
    </w:p>
    <w:p>
      <w:pPr>
        <w:ind w:left="920" w:right="6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 which are vested or are expected to vest within 60 days of the date of this filing. The ownership percentage set forth herein is based on 101,682,422 shares of Common Stock outstanding as of the date of this filing. The information herein excludes 1,371,303 earn-out shares held by the Reporting Person.</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Items 3 and 4 above, during the past 60 days, the Reporting Person has not effected any</w:t>
      </w:r>
    </w:p>
    <w:p>
      <w:pPr>
        <w:sectPr>
          <w:pgSz w:w="11900" w:h="16847" w:orient="portrait"/>
          <w:cols w:equalWidth="0" w:num="1">
            <w:col w:w="11100"/>
          </w:cols>
          <w:pgMar w:left="360" w:top="111" w:right="43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transactions in the Common Stock.</w:t>
      </w:r>
    </w:p>
    <w:p>
      <w:pPr>
        <w:spacing w:after="0" w:line="45"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Item 4 above summarizes certain provisions of the Registration Rights Agreement and Lock-up Agreement and are incorporated herein by reference. A copy of each such agreement is attached as an exhibit to this Schedule 13D and is incorporated herein by reference. Except as set forth herein, Reporting Person does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60"/>
        <w:spacing w:after="0" w:line="246" w:lineRule="auto"/>
        <w:rPr>
          <w:sz w:val="20"/>
          <w:szCs w:val="20"/>
          <w:color w:val="auto"/>
        </w:rPr>
      </w:pPr>
      <w:r>
        <w:rPr>
          <w:rFonts w:ascii="Times New Roman" w:cs="Times New Roman" w:eastAsia="Times New Roman" w:hAnsi="Times New Roman"/>
          <w:sz w:val="21"/>
          <w:szCs w:val="21"/>
          <w:color w:val="auto"/>
        </w:rPr>
        <w:t>Exhibit 1: Amended and Restated Registration Rights Agreement, dated as of January 13, 2025, by and among the Issuer, certain stockholders of the Issuer named therein and certain stockholders of Legacy Blaize named therein (incorporated by reference to Exhibit 10.1 to the Issuer's Current Report on Form 8-K filed with the Securities and Exchange Commission on January 17, 2025). Exhibit 2: Lock-Up Agreement, dated as of January 13, 2025, by and among the Issuer and certain stockholders of Legacy Blaize named therein (incorporated by reference to Exhibit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10.12 to the Issuer's Current Report on Form 8-K filed with the Securities and Exchange Commission on January 17,</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2025).</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Dinakar Munagala</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Dinakar Munagala</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Dinakar Munagala</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6"/>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2025-07-11T15:35:17Z</dcterms:created>
  <dcterms:modified xsi:type="dcterms:W3CDTF">2025-07-11T15:35:17Z</dcterms:modified>
</cp:coreProperties>
</file>