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3880" w:right="1580" w:hanging="3859"/>
        <w:spacing w:after="0" w:line="33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7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001-41139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4"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88"/>
        </w:trPr>
        <w:tc>
          <w:tcPr>
            <w:tcW w:w="4880" w:type="dxa"/>
            <w:vAlign w:val="bottom"/>
          </w:tcPr>
          <w:p>
            <w:pPr>
              <w:jc w:val="center"/>
              <w:ind w:right="135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520" w:type="dxa"/>
            <w:vAlign w:val="bottom"/>
          </w:tcPr>
          <w:p>
            <w:pPr>
              <w:spacing w:after="0"/>
              <w:rPr>
                <w:sz w:val="22"/>
                <w:szCs w:val="22"/>
                <w:color w:val="auto"/>
              </w:rPr>
            </w:pPr>
          </w:p>
        </w:tc>
      </w:t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35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8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7"/>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279"/>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4"/>
                <w:szCs w:val="24"/>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26"/>
        </w:trPr>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81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6, 2025, the registrant had 102,620,190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 w:name="page2"/>
    <w:bookmarkEnd w:id="1"/>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260" w:type="dxa"/>
            <w:vAlign w:val="bottom"/>
          </w:tcPr>
          <w:p>
            <w:pPr>
              <w:spacing w:after="0"/>
              <w:rPr>
                <w:sz w:val="17"/>
                <w:szCs w:val="17"/>
                <w:color w:val="auto"/>
              </w:rPr>
            </w:pPr>
          </w:p>
        </w:tc>
        <w:tc>
          <w:tcPr>
            <w:tcW w:w="988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880" w:type="dxa"/>
            <w:vAlign w:val="bottom"/>
            <w:gridSpan w:val="7"/>
          </w:tcPr>
          <w:p>
            <w:pPr>
              <w:ind w:left="320"/>
              <w:spacing w:after="0" w:line="196"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2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40" w:type="dxa"/>
            <w:vAlign w:val="bottom"/>
            <w:tcBorders>
              <w:bottom w:val="single" w:sz="8" w:color="0000EE"/>
            </w:tcBorders>
            <w:gridSpan w:val="2"/>
          </w:tcPr>
          <w:p>
            <w:pPr>
              <w:spacing w:after="0" w:line="162" w:lineRule="exact"/>
              <w:rPr>
                <w:sz w:val="20"/>
                <w:szCs w:val="20"/>
                <w:color w:val="auto"/>
              </w:rPr>
            </w:pPr>
            <w:r>
              <w:rPr>
                <w:rFonts w:ascii="Times New Roman" w:cs="Times New Roman" w:eastAsia="Times New Roman" w:hAnsi="Times New Roman"/>
                <w:sz w:val="16"/>
                <w:szCs w:val="16"/>
                <w:color w:val="0000FF"/>
              </w:rPr>
              <w:t>Condensed Consolidated Balance Sheets as of June 30, 2025 and December 31, 2024 (unaudited)</w:t>
            </w:r>
          </w:p>
        </w:tc>
        <w:tc>
          <w:tcPr>
            <w:tcW w:w="3140" w:type="dxa"/>
            <w:vAlign w:val="bottom"/>
            <w:gridSpan w:val="4"/>
          </w:tcPr>
          <w:p>
            <w:pPr>
              <w:spacing w:after="0"/>
              <w:rPr>
                <w:sz w:val="15"/>
                <w:szCs w:val="15"/>
                <w:color w:val="auto"/>
              </w:rPr>
            </w:pPr>
          </w:p>
        </w:tc>
        <w:tc>
          <w:tcPr>
            <w:tcW w:w="4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4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Operations for the three and six months ended June 30, 2025 and 2024 (unaudited)</w:t>
            </w:r>
          </w:p>
        </w:tc>
        <w:tc>
          <w:tcPr>
            <w:tcW w:w="1540" w:type="dxa"/>
            <w:vAlign w:val="bottom"/>
            <w:gridSpan w:val="2"/>
          </w:tcPr>
          <w:p>
            <w:pPr>
              <w:spacing w:after="0"/>
              <w:rPr>
                <w:sz w:val="17"/>
                <w:szCs w:val="17"/>
                <w:color w:val="auto"/>
              </w:rPr>
            </w:pP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Stockholders’ Equity (Deficit) for the three and six months ended June 30, 2025 and 2024 (unaudited)</w:t>
            </w:r>
          </w:p>
        </w:tc>
        <w:tc>
          <w:tcPr>
            <w:tcW w:w="2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8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Cash Flows for the six months ended June 30, 2025 and 2024 (unaudited)</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2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Notes to the Condensed Consolidated Financial Statements (unaudited)</w:t>
            </w:r>
          </w:p>
        </w:tc>
        <w:tc>
          <w:tcPr>
            <w:tcW w:w="2720" w:type="dxa"/>
            <w:vAlign w:val="bottom"/>
            <w:tcBorders>
              <w:top w:val="single" w:sz="8" w:color="0000FF"/>
            </w:tcBorders>
            <w:gridSpan w:val="2"/>
          </w:tcPr>
          <w:p>
            <w:pPr>
              <w:spacing w:after="0"/>
              <w:rPr>
                <w:sz w:val="17"/>
                <w:szCs w:val="17"/>
                <w:color w:val="auto"/>
              </w:rPr>
            </w:pPr>
          </w:p>
        </w:tc>
        <w:tc>
          <w:tcPr>
            <w:tcW w:w="2140" w:type="dxa"/>
            <w:vAlign w:val="bottom"/>
            <w:gridSpan w:val="3"/>
          </w:tcPr>
          <w:p>
            <w:pPr>
              <w:spacing w:after="0"/>
              <w:rPr>
                <w:sz w:val="17"/>
                <w:szCs w:val="17"/>
                <w:color w:val="auto"/>
              </w:rPr>
            </w:pP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9"/>
        </w:trPr>
        <w:tc>
          <w:tcPr>
            <w:tcW w:w="2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8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880" w:type="dxa"/>
            <w:vAlign w:val="bottom"/>
            <w:gridSpan w:val="7"/>
          </w:tcPr>
          <w:p>
            <w:pPr>
              <w:ind w:left="320"/>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880" w:type="dxa"/>
            <w:vAlign w:val="bottom"/>
            <w:gridSpan w:val="7"/>
          </w:tcPr>
          <w:p>
            <w:pPr>
              <w:ind w:left="320"/>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80" w:type="dxa"/>
            <w:vAlign w:val="bottom"/>
          </w:tcPr>
          <w:p>
            <w:pPr>
              <w:spacing w:after="0"/>
              <w:rPr>
                <w:sz w:val="17"/>
                <w:szCs w:val="17"/>
                <w:color w:val="auto"/>
              </w:rPr>
            </w:pPr>
          </w:p>
        </w:tc>
      </w:tr>
      <w:tr>
        <w:trPr>
          <w:trHeight w:val="196"/>
        </w:trPr>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460" w:type="dxa"/>
            <w:vAlign w:val="bottom"/>
            <w:gridSpan w:val="2"/>
          </w:tcPr>
          <w:p>
            <w:pPr>
              <w:spacing w:after="0"/>
              <w:rPr>
                <w:sz w:val="17"/>
                <w:szCs w:val="17"/>
                <w:color w:val="auto"/>
              </w:rPr>
            </w:pP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3"/>
          </w:tcPr>
          <w:p>
            <w:pPr>
              <w:spacing w:after="0"/>
              <w:rPr>
                <w:sz w:val="17"/>
                <w:szCs w:val="17"/>
                <w:color w:val="auto"/>
              </w:rPr>
            </w:pP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Unregistered Sales of Equity Securities and Use of Proceeds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44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5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31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442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93"/>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w w:val="88"/>
              </w:rPr>
              <w:t>2</w:t>
            </w:r>
          </w:p>
        </w:tc>
      </w:tr>
      <w:tr>
        <w:trPr>
          <w:trHeight w:val="507"/>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7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2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3"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6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16"/>
                <w:szCs w:val="16"/>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87"/>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 held in escrow</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 related party, net (Note 15)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 loan (Note 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Advances from related party (Note 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June 30,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and December 31, 2024, respectively, 98,881,933 and 48,376,052 shares issued and outstanding as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June 30, 2025 and December 31, 2024,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(606,601)</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-4208145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-2253615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-1696720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15"/>
                <w:szCs w:val="15"/>
                <w:color w:val="auto"/>
              </w:rPr>
            </w:pPr>
          </w:p>
        </w:tc>
        <w:tc>
          <w:tcPr>
            <w:tcW w:w="27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 - related party (Note 15)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 - related party (Note 15)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(11,135)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(19,272)</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unissued shares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(29,550)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(12,022)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(177,149)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(28,603)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(29,589)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(12,153)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(177,350)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(28,896)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97"/>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104,588,373</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13,623,106</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98,374,632</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13,618,188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-2442210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-2442210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-2442210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-1062355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-1062355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-1062355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-496570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-496570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jc w:val="cente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(Unaudited)</w:t>
      </w:r>
    </w:p>
    <w:tbl>
      <w:tblPr>
        <w:tblLayout w:type="fixed"/>
        <w:tblInd w:w="0" w:type="dxa"/>
        <w:tblCellMar>
          <w:top w:w="0" w:type="dxa"/>
          <w:left w:w="0" w:type="dxa"/>
          <w:bottom w:w="0" w:type="dxa"/>
          <w:right w:w="0" w:type="dxa"/>
        </w:tblCellMar>
      </w:tblPr>
      <w:tr>
        <w:trPr>
          <w:trHeight w:val="123"/>
        </w:trPr>
        <w:tc>
          <w:tcPr>
            <w:tcW w:w="2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8"/>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rPr>
              <w:t>Redeemable Convertible</w:t>
            </w:r>
          </w:p>
        </w:tc>
        <w:tc>
          <w:tcPr>
            <w:tcW w:w="120" w:type="dxa"/>
            <w:vAlign w:val="bottom"/>
          </w:tcPr>
          <w:p>
            <w:pPr>
              <w:spacing w:after="0"/>
              <w:rPr>
                <w:sz w:val="10"/>
                <w:szCs w:val="10"/>
                <w:color w:val="auto"/>
              </w:rPr>
            </w:pPr>
          </w:p>
        </w:tc>
        <w:tc>
          <w:tcPr>
            <w:tcW w:w="1380" w:type="dxa"/>
            <w:vAlign w:val="bottom"/>
            <w:gridSpan w:val="9"/>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 Subject</w:t>
            </w: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15"/>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 Equity/(Deficit)</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8"/>
          </w:tcPr>
          <w:p>
            <w:pPr>
              <w:jc w:val="right"/>
              <w:ind w:right="420"/>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8"/>
                <w:szCs w:val="8"/>
                <w:color w:val="auto"/>
              </w:rPr>
            </w:pPr>
          </w:p>
        </w:tc>
        <w:tc>
          <w:tcPr>
            <w:tcW w:w="1380" w:type="dxa"/>
            <w:vAlign w:val="bottom"/>
            <w:gridSpan w:val="9"/>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6"/>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5"/>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w:t>
            </w:r>
          </w:p>
        </w:tc>
        <w:tc>
          <w:tcPr>
            <w:tcW w:w="740" w:type="dxa"/>
            <w:vAlign w:val="bottom"/>
            <w:gridSpan w:val="5"/>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Accumulat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8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6"/>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6"/>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40" w:type="dxa"/>
            <w:vAlign w:val="bottom"/>
          </w:tcPr>
          <w:p>
            <w:pPr>
              <w:spacing w:after="0"/>
              <w:rPr>
                <w:sz w:val="10"/>
                <w:szCs w:val="10"/>
                <w:color w:val="auto"/>
              </w:rPr>
            </w:pPr>
          </w:p>
        </w:tc>
        <w:tc>
          <w:tcPr>
            <w:tcW w:w="700" w:type="dxa"/>
            <w:vAlign w:val="bottom"/>
            <w:gridSpan w:val="5"/>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der Note</w:t>
            </w:r>
          </w:p>
        </w:tc>
        <w:tc>
          <w:tcPr>
            <w:tcW w:w="140" w:type="dxa"/>
            <w:vAlign w:val="bottom"/>
          </w:tcPr>
          <w:p>
            <w:pPr>
              <w:spacing w:after="0"/>
              <w:rPr>
                <w:sz w:val="10"/>
                <w:szCs w:val="10"/>
                <w:color w:val="auto"/>
              </w:rPr>
            </w:pPr>
          </w:p>
        </w:tc>
        <w:tc>
          <w:tcPr>
            <w:tcW w:w="600" w:type="dxa"/>
            <w:vAlign w:val="bottom"/>
            <w:gridSpan w:val="4"/>
          </w:tcPr>
          <w:p>
            <w:pPr>
              <w:jc w:val="right"/>
              <w:ind w:right="440"/>
              <w:spacing w:after="0" w:line="124" w:lineRule="exact"/>
              <w:rPr>
                <w:sz w:val="20"/>
                <w:szCs w:val="20"/>
                <w:color w:val="auto"/>
              </w:rPr>
            </w:pPr>
            <w:r>
              <w:rPr>
                <w:rFonts w:ascii="Times New Roman" w:cs="Times New Roman" w:eastAsia="Times New Roman" w:hAnsi="Times New Roman"/>
                <w:sz w:val="11"/>
                <w:szCs w:val="11"/>
                <w:b w:val="1"/>
                <w:bCs w:val="1"/>
                <w:color w:val="auto"/>
              </w:rPr>
              <w:t>ed</w:t>
            </w:r>
          </w:p>
        </w:tc>
        <w:tc>
          <w:tcPr>
            <w:tcW w:w="80" w:type="dxa"/>
            <w:vAlign w:val="bottom"/>
          </w:tcPr>
          <w:p>
            <w:pPr>
              <w:spacing w:after="0"/>
              <w:rPr>
                <w:sz w:val="10"/>
                <w:szCs w:val="10"/>
                <w:color w:val="auto"/>
              </w:rPr>
            </w:pPr>
          </w:p>
        </w:tc>
        <w:tc>
          <w:tcPr>
            <w:tcW w:w="900" w:type="dxa"/>
            <w:vAlign w:val="bottom"/>
            <w:gridSpan w:val="3"/>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3"/>
          </w:tcPr>
          <w:p>
            <w:pPr>
              <w:jc w:val="right"/>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4"/>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6"/>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40" w:type="dxa"/>
            <w:vAlign w:val="bottom"/>
          </w:tcPr>
          <w:p>
            <w:pPr>
              <w:spacing w:after="0"/>
              <w:rPr>
                <w:sz w:val="8"/>
                <w:szCs w:val="8"/>
                <w:color w:val="auto"/>
              </w:rPr>
            </w:pPr>
          </w:p>
        </w:tc>
        <w:tc>
          <w:tcPr>
            <w:tcW w:w="700" w:type="dxa"/>
            <w:vAlign w:val="bottom"/>
            <w:gridSpan w:val="5"/>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Receivabl</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gridSpan w:val="2"/>
            <w:vMerge w:val="restart"/>
          </w:tcPr>
          <w:p>
            <w:pPr>
              <w:spacing w:after="0"/>
              <w:rPr>
                <w:sz w:val="7"/>
                <w:szCs w:val="7"/>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unt</w:t>
            </w:r>
          </w:p>
        </w:tc>
        <w:tc>
          <w:tcPr>
            <w:tcW w:w="120" w:type="dxa"/>
            <w:vAlign w:val="bottom"/>
          </w:tcPr>
          <w:p>
            <w:pPr>
              <w:spacing w:after="0"/>
              <w:rPr>
                <w:sz w:val="7"/>
                <w:szCs w:val="7"/>
                <w:color w:val="auto"/>
              </w:rPr>
            </w:pPr>
          </w:p>
        </w:tc>
        <w:tc>
          <w:tcPr>
            <w:tcW w:w="48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restart"/>
          </w:tcPr>
          <w:p>
            <w:pPr>
              <w:jc w:val="center"/>
              <w:ind w:right="234"/>
              <w:spacing w:after="0"/>
              <w:rPr>
                <w:sz w:val="20"/>
                <w:szCs w:val="20"/>
                <w:color w:val="auto"/>
              </w:rPr>
            </w:pPr>
            <w:r>
              <w:rPr>
                <w:rFonts w:ascii="Times New Roman" w:cs="Times New Roman" w:eastAsia="Times New Roman" w:hAnsi="Times New Roman"/>
                <w:sz w:val="11"/>
                <w:szCs w:val="11"/>
                <w:b w:val="1"/>
                <w:bCs w:val="1"/>
                <w:color w:val="auto"/>
              </w:rPr>
              <w:t>e</w:t>
            </w:r>
          </w:p>
        </w:tc>
        <w:tc>
          <w:tcPr>
            <w:tcW w:w="120" w:type="dxa"/>
            <w:vAlign w:val="bottom"/>
            <w:gridSpan w:val="2"/>
            <w:vMerge w:val="restart"/>
          </w:tcPr>
          <w:p>
            <w:pPr>
              <w:spacing w:after="0"/>
              <w:rPr>
                <w:sz w:val="7"/>
                <w:szCs w:val="7"/>
                <w:color w:val="auto"/>
              </w:rPr>
            </w:pPr>
          </w:p>
        </w:tc>
        <w:tc>
          <w:tcPr>
            <w:tcW w:w="6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gridSpan w:val="2"/>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5"/>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40" w:type="dxa"/>
            <w:vAlign w:val="bottom"/>
            <w:tcBorders>
              <w:bottom w:val="single" w:sz="8" w:color="auto"/>
            </w:tcBorders>
            <w:gridSpan w:val="4"/>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CFF0FC"/>
          </w:tcPr>
          <w:p>
            <w:pPr>
              <w:spacing w:after="0"/>
              <w:rPr>
                <w:sz w:val="10"/>
                <w:szCs w:val="10"/>
                <w:color w:val="auto"/>
              </w:rPr>
            </w:pPr>
          </w:p>
        </w:tc>
        <w:tc>
          <w:tcPr>
            <w:tcW w:w="780" w:type="dxa"/>
            <w:vAlign w:val="bottom"/>
            <w:gridSpan w:val="3"/>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34,712,52</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173,3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14"/>
              <w:spacing w:after="0" w:line="126" w:lineRule="exact"/>
              <w:rPr>
                <w:sz w:val="20"/>
                <w:szCs w:val="20"/>
                <w:color w:val="auto"/>
              </w:rPr>
            </w:pPr>
            <w:r>
              <w:rPr>
                <w:rFonts w:ascii="Times New Roman" w:cs="Times New Roman" w:eastAsia="Times New Roman" w:hAnsi="Times New Roman"/>
                <w:sz w:val="13"/>
                <w:szCs w:val="13"/>
                <w:b w:val="1"/>
                <w:bCs w:val="1"/>
                <w:color w:val="auto"/>
              </w:rPr>
              <w:t>13,663,52</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55"/>
              <w:spacing w:after="0" w:line="126" w:lineRule="exact"/>
              <w:rPr>
                <w:sz w:val="20"/>
                <w:szCs w:val="20"/>
                <w:color w:val="auto"/>
              </w:rPr>
            </w:pPr>
            <w:r>
              <w:rPr>
                <w:rFonts w:ascii="Times New Roman" w:cs="Times New Roman" w:eastAsia="Times New Roman" w:hAnsi="Times New Roman"/>
                <w:sz w:val="13"/>
                <w:szCs w:val="13"/>
                <w:b w:val="1"/>
                <w:bCs w:val="1"/>
                <w:color w:val="auto"/>
              </w:rPr>
              <w:t>96,8</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ind w:right="14"/>
              <w:spacing w:after="0" w:line="126" w:lineRule="exact"/>
              <w:rPr>
                <w:sz w:val="20"/>
                <w:szCs w:val="20"/>
                <w:color w:val="auto"/>
              </w:rPr>
            </w:pPr>
            <w:r>
              <w:rPr>
                <w:rFonts w:ascii="Times New Roman" w:cs="Times New Roman" w:eastAsia="Times New Roman" w:hAnsi="Times New Roman"/>
                <w:sz w:val="13"/>
                <w:szCs w:val="13"/>
                <w:b w:val="1"/>
                <w:bCs w:val="1"/>
                <w:color w:val="auto"/>
              </w:rPr>
              <w:t>(429,25</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shd w:val="clear" w:color="auto" w:fill="CFF0FC"/>
          </w:tcPr>
          <w:p>
            <w:pPr>
              <w:spacing w:after="0"/>
              <w:rPr>
                <w:sz w:val="14"/>
                <w:szCs w:val="14"/>
                <w:color w:val="auto"/>
              </w:rPr>
            </w:pPr>
          </w:p>
        </w:tc>
        <w:tc>
          <w:tcPr>
            <w:tcW w:w="50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87</w:t>
            </w:r>
          </w:p>
        </w:tc>
        <w:tc>
          <w:tcPr>
            <w:tcW w:w="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4"/>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145,441</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(34,712,5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(173,3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34,712,52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55"/>
              <w:spacing w:after="0" w:line="136"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173,342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shd w:val="clear" w:color="auto" w:fill="CFF0FC"/>
          </w:tcPr>
          <w:p>
            <w:pPr>
              <w:spacing w:after="0"/>
              <w:rPr>
                <w:sz w:val="11"/>
                <w:szCs w:val="11"/>
                <w:color w:val="auto"/>
              </w:rPr>
            </w:pPr>
          </w:p>
        </w:tc>
        <w:tc>
          <w:tcPr>
            <w:tcW w:w="780" w:type="dxa"/>
            <w:vAlign w:val="bottom"/>
            <w:tcBorders>
              <w:top w:val="single" w:sz="8" w:color="auto"/>
            </w:tcBorders>
            <w:gridSpan w:val="3"/>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580" w:type="dxa"/>
            <w:vAlign w:val="bottom"/>
            <w:tcBorders>
              <w:top w:val="single" w:sz="8" w:color="auto"/>
            </w:tcBorders>
            <w:gridSpan w:val="4"/>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tcBorders>
              <w:top w:val="single" w:sz="8" w:color="auto"/>
            </w:tcBorders>
            <w:gridSpan w:val="3"/>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780" w:type="dxa"/>
            <w:vAlign w:val="bottom"/>
            <w:tcBorders>
              <w:top w:val="single" w:sz="8" w:color="auto"/>
            </w:tcBorders>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48,376,05</w:t>
            </w:r>
          </w:p>
        </w:tc>
        <w:tc>
          <w:tcPr>
            <w:tcW w:w="120" w:type="dxa"/>
            <w:vAlign w:val="bottom"/>
            <w:shd w:val="clear" w:color="auto" w:fill="CFF0FC"/>
          </w:tcPr>
          <w:p>
            <w:pPr>
              <w:spacing w:after="0"/>
              <w:rPr>
                <w:sz w:val="11"/>
                <w:szCs w:val="11"/>
                <w:color w:val="auto"/>
              </w:rPr>
            </w:pPr>
          </w:p>
        </w:tc>
        <w:tc>
          <w:tcPr>
            <w:tcW w:w="380" w:type="dxa"/>
            <w:vAlign w:val="bottom"/>
            <w:tcBorders>
              <w:top w:val="single" w:sz="8" w:color="auto"/>
            </w:tcBorders>
            <w:gridSpan w:val="4"/>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tcBorders>
              <w:top w:val="single" w:sz="8" w:color="auto"/>
            </w:tcBorders>
            <w:gridSpan w:val="2"/>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tcBorders>
              <w:top w:val="single" w:sz="8" w:color="auto"/>
            </w:tcBorders>
            <w:gridSpan w:val="5"/>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tcBorders>
              <w:top w:val="single" w:sz="8" w:color="auto"/>
            </w:tcBorders>
            <w:gridSpan w:val="7"/>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58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gridSpan w:val="2"/>
            <w:shd w:val="clear" w:color="auto" w:fill="CFF0FC"/>
          </w:tcPr>
          <w:p>
            <w:pPr>
              <w:spacing w:after="0"/>
              <w:rPr>
                <w:sz w:val="11"/>
                <w:szCs w:val="11"/>
                <w:color w:val="auto"/>
              </w:rPr>
            </w:pPr>
          </w:p>
        </w:tc>
        <w:tc>
          <w:tcPr>
            <w:tcW w:w="640" w:type="dxa"/>
            <w:vAlign w:val="bottom"/>
            <w:tcBorders>
              <w:top w:val="single" w:sz="8" w:color="auto"/>
            </w:tcBorders>
            <w:gridSpan w:val="4"/>
            <w:shd w:val="clear" w:color="auto" w:fill="CFF0FC"/>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(429,25</w:t>
            </w:r>
          </w:p>
        </w:tc>
        <w:tc>
          <w:tcPr>
            <w:tcW w:w="100" w:type="dxa"/>
            <w:vAlign w:val="bottom"/>
            <w:shd w:val="clear" w:color="auto" w:fill="CFF0FC"/>
          </w:tcPr>
          <w:p>
            <w:pPr>
              <w:spacing w:after="0"/>
              <w:rPr>
                <w:sz w:val="11"/>
                <w:szCs w:val="11"/>
                <w:color w:val="auto"/>
              </w:rPr>
            </w:pPr>
          </w:p>
        </w:tc>
        <w:tc>
          <w:tcPr>
            <w:tcW w:w="980" w:type="dxa"/>
            <w:vAlign w:val="bottom"/>
            <w:tcBorders>
              <w:top w:val="single" w:sz="8" w:color="auto"/>
            </w:tcBorders>
            <w:gridSpan w:val="4"/>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gridSpan w:val="4"/>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318,783</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6"/>
        </w:trPr>
        <w:tc>
          <w:tcPr>
            <w:tcW w:w="11240" w:type="dxa"/>
            <w:vAlign w:val="bottom"/>
            <w:gridSpan w:val="60"/>
          </w:tcPr>
          <w:p>
            <w:pPr>
              <w:jc w:val="right"/>
              <w:ind w:right="11240"/>
              <w:spacing w:after="0"/>
              <w:rPr>
                <w:sz w:val="20"/>
                <w:szCs w:val="20"/>
                <w:color w:val="auto"/>
              </w:rPr>
            </w:pPr>
            <w:r>
              <w:rPr>
                <w:rFonts w:ascii="Times New Roman" w:cs="Times New Roman" w:eastAsia="Times New Roman" w:hAnsi="Times New Roman"/>
                <w:sz w:val="13"/>
                <w:szCs w:val="13"/>
                <w:color w:val="auto"/>
              </w:rPr>
              <w:t>31,433,25</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314,331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exercise of warrants</w:t>
            </w:r>
          </w:p>
        </w:tc>
        <w:tc>
          <w:tcPr>
            <w:tcW w:w="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7,505,657</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gridSpan w:val="4"/>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75,056</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960" w:type="dxa"/>
            <w:vAlign w:val="bottom"/>
            <w:gridSpan w:val="16"/>
          </w:tcPr>
          <w:p>
            <w:pPr>
              <w:jc w:val="right"/>
              <w:ind w:right="4905"/>
              <w:spacing w:after="0"/>
              <w:rPr>
                <w:sz w:val="20"/>
                <w:szCs w:val="20"/>
                <w:color w:val="auto"/>
              </w:rPr>
            </w:pPr>
            <w:r>
              <w:rPr>
                <w:rFonts w:ascii="Times New Roman" w:cs="Times New Roman" w:eastAsia="Times New Roman" w:hAnsi="Times New Roman"/>
                <w:sz w:val="13"/>
                <w:szCs w:val="13"/>
                <w:color w:val="auto"/>
              </w:rPr>
              <w:t>2,854,24</w:t>
            </w:r>
          </w:p>
        </w:tc>
        <w:tc>
          <w:tcPr>
            <w:tcW w:w="460" w:type="dxa"/>
            <w:vAlign w:val="bottom"/>
            <w:gridSpan w:val="4"/>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5820" w:type="dxa"/>
            <w:vAlign w:val="bottom"/>
            <w:gridSpan w:val="40"/>
          </w:tcPr>
          <w:p>
            <w:pPr>
              <w:jc w:val="right"/>
              <w:ind w:right="5160"/>
              <w:spacing w:after="0" w:line="136" w:lineRule="exact"/>
              <w:rPr>
                <w:sz w:val="20"/>
                <w:szCs w:val="20"/>
                <w:color w:val="auto"/>
              </w:rPr>
            </w:pPr>
            <w:r>
              <w:rPr>
                <w:rFonts w:ascii="Times New Roman" w:cs="Times New Roman" w:eastAsia="Times New Roman" w:hAnsi="Times New Roman"/>
                <w:sz w:val="13"/>
                <w:szCs w:val="13"/>
                <w:color w:val="auto"/>
              </w:rPr>
              <w:t>11,408,95</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and PIPE financing</w:t>
            </w: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(117,411)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(8,754)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Payment of Shareholder note receivable</w:t>
            </w:r>
          </w:p>
        </w:tc>
        <w:tc>
          <w:tcPr>
            <w:tcW w:w="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200</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104,255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of common stock warrants</w:t>
            </w:r>
          </w:p>
        </w:tc>
        <w:tc>
          <w:tcPr>
            <w:tcW w:w="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920" w:type="dxa"/>
            <w:vAlign w:val="bottom"/>
            <w:gridSpan w:val="10"/>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 to</w:t>
            </w:r>
          </w:p>
        </w:tc>
        <w:tc>
          <w:tcPr>
            <w:tcW w:w="1040" w:type="dxa"/>
            <w:vAlign w:val="bottom"/>
            <w:gridSpan w:val="6"/>
            <w:shd w:val="clear" w:color="auto" w:fill="CFF0FC"/>
          </w:tcPr>
          <w:p>
            <w:pPr>
              <w:jc w:val="right"/>
              <w:ind w:right="285"/>
              <w:spacing w:after="0" w:line="136" w:lineRule="exact"/>
              <w:rPr>
                <w:sz w:val="20"/>
                <w:szCs w:val="20"/>
                <w:color w:val="auto"/>
              </w:rPr>
            </w:pPr>
            <w:r>
              <w:rPr>
                <w:rFonts w:ascii="Times New Roman" w:cs="Times New Roman" w:eastAsia="Times New Roman" w:hAnsi="Times New Roman"/>
                <w:sz w:val="13"/>
                <w:szCs w:val="13"/>
                <w:color w:val="auto"/>
              </w:rPr>
              <w:t>(2,800,4</w:t>
            </w:r>
          </w:p>
        </w:tc>
        <w:tc>
          <w:tcPr>
            <w:tcW w:w="6280" w:type="dxa"/>
            <w:vAlign w:val="bottom"/>
            <w:gridSpan w:val="44"/>
            <w:shd w:val="clear" w:color="auto" w:fill="CFF0FC"/>
          </w:tcPr>
          <w:p>
            <w:pPr>
              <w:jc w:val="right"/>
              <w:ind w:right="6060"/>
              <w:spacing w:after="0" w:line="136" w:lineRule="exact"/>
              <w:rPr>
                <w:sz w:val="20"/>
                <w:szCs w:val="20"/>
                <w:color w:val="auto"/>
              </w:rPr>
            </w:pPr>
            <w:r>
              <w:rPr>
                <w:rFonts w:ascii="Times New Roman" w:cs="Times New Roman" w:eastAsia="Times New Roman" w:hAnsi="Times New Roman"/>
                <w:sz w:val="13"/>
                <w:szCs w:val="13"/>
                <w:color w:val="auto"/>
                <w:w w:val="96"/>
              </w:rPr>
              <w:t>(33,</w:t>
            </w: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possible redemption</w:t>
            </w:r>
          </w:p>
        </w:tc>
        <w:tc>
          <w:tcPr>
            <w:tcW w:w="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157)</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1240" w:type="dxa"/>
            <w:vAlign w:val="bottom"/>
            <w:gridSpan w:val="60"/>
          </w:tcPr>
          <w:p>
            <w:pPr>
              <w:jc w:val="right"/>
              <w:ind w:right="1124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(53,753)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53,753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gridSpan w:val="4"/>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18,606</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0"/>
          </w:tcPr>
          <w:p>
            <w:pPr>
              <w:jc w:val="right"/>
              <w:ind w:right="11240"/>
              <w:spacing w:after="0"/>
              <w:rPr>
                <w:sz w:val="20"/>
                <w:szCs w:val="20"/>
                <w:color w:val="auto"/>
              </w:rPr>
            </w:pPr>
            <w:r>
              <w:rPr>
                <w:rFonts w:ascii="Times New Roman" w:cs="Times New Roman" w:eastAsia="Times New Roman" w:hAnsi="Times New Roman"/>
                <w:sz w:val="13"/>
                <w:szCs w:val="13"/>
                <w:color w:val="auto"/>
              </w:rPr>
              <w:t>(177,35</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(177,350)</w:t>
            </w:r>
          </w:p>
        </w:tc>
        <w:tc>
          <w:tcPr>
            <w:tcW w:w="0" w:type="dxa"/>
            <w:vAlign w:val="bottom"/>
          </w:tcPr>
          <w:p>
            <w:pPr>
              <w:spacing w:after="0"/>
              <w:rPr>
                <w:sz w:val="1"/>
                <w:szCs w:val="1"/>
                <w:color w:val="auto"/>
              </w:rPr>
            </w:pPr>
          </w:p>
        </w:tc>
      </w:tr>
      <w:tr>
        <w:trPr>
          <w:trHeight w:val="125"/>
        </w:trPr>
        <w:tc>
          <w:tcPr>
            <w:tcW w:w="2460" w:type="dxa"/>
            <w:vAlign w:val="bottom"/>
            <w:shd w:val="clear" w:color="auto" w:fill="CFF0FC"/>
          </w:tcPr>
          <w:p>
            <w:pPr>
              <w:spacing w:after="0"/>
              <w:rPr>
                <w:sz w:val="10"/>
                <w:szCs w:val="10"/>
                <w:color w:val="auto"/>
              </w:rPr>
            </w:pPr>
          </w:p>
        </w:tc>
        <w:tc>
          <w:tcPr>
            <w:tcW w:w="780" w:type="dxa"/>
            <w:vAlign w:val="bottom"/>
            <w:tcBorders>
              <w:top w:val="single" w:sz="8" w:color="auto"/>
            </w:tcBorders>
            <w:gridSpan w:val="3"/>
            <w:shd w:val="clear" w:color="auto" w:fill="CFF0FC"/>
          </w:tcPr>
          <w:p>
            <w:pPr>
              <w:spacing w:after="0"/>
              <w:rPr>
                <w:sz w:val="10"/>
                <w:szCs w:val="10"/>
                <w:color w:val="auto"/>
              </w:rPr>
            </w:pPr>
          </w:p>
        </w:tc>
        <w:tc>
          <w:tcPr>
            <w:tcW w:w="10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4"/>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top w:val="single" w:sz="8" w:color="auto"/>
            </w:tcBorders>
            <w:gridSpan w:val="3"/>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tcBorders>
              <w:top w:val="single" w:sz="8" w:color="auto"/>
            </w:tcBorders>
            <w:gridSpan w:val="3"/>
            <w:shd w:val="clear" w:color="auto" w:fill="CFF0FC"/>
          </w:tcPr>
          <w:p>
            <w:pPr>
              <w:spacing w:after="0"/>
              <w:rPr>
                <w:sz w:val="10"/>
                <w:szCs w:val="10"/>
                <w:color w:val="auto"/>
              </w:rPr>
            </w:pPr>
          </w:p>
        </w:tc>
        <w:tc>
          <w:tcPr>
            <w:tcW w:w="100" w:type="dxa"/>
            <w:vAlign w:val="bottom"/>
            <w:gridSpan w:val="2"/>
            <w:shd w:val="clear" w:color="auto" w:fill="CFF0FC"/>
          </w:tcPr>
          <w:p>
            <w:pPr>
              <w:spacing w:after="0"/>
              <w:rPr>
                <w:sz w:val="10"/>
                <w:szCs w:val="10"/>
                <w:color w:val="auto"/>
              </w:rPr>
            </w:pPr>
          </w:p>
        </w:tc>
        <w:tc>
          <w:tcPr>
            <w:tcW w:w="780" w:type="dxa"/>
            <w:vAlign w:val="bottom"/>
            <w:tcBorders>
              <w:top w:val="single" w:sz="8" w:color="auto"/>
            </w:tcBorders>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98,881,93</w:t>
            </w:r>
          </w:p>
        </w:tc>
        <w:tc>
          <w:tcPr>
            <w:tcW w:w="120" w:type="dxa"/>
            <w:vAlign w:val="bottom"/>
            <w:shd w:val="clear" w:color="auto" w:fill="CFF0FC"/>
          </w:tcPr>
          <w:p>
            <w:pPr>
              <w:spacing w:after="0"/>
              <w:rPr>
                <w:sz w:val="10"/>
                <w:szCs w:val="10"/>
                <w:color w:val="auto"/>
              </w:rPr>
            </w:pPr>
          </w:p>
        </w:tc>
        <w:tc>
          <w:tcPr>
            <w:tcW w:w="380" w:type="dxa"/>
            <w:vAlign w:val="bottom"/>
            <w:tcBorders>
              <w:top w:val="single" w:sz="8" w:color="auto"/>
            </w:tcBorders>
            <w:gridSpan w:val="4"/>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top w:val="single" w:sz="8" w:color="auto"/>
            </w:tcBorders>
            <w:gridSpan w:val="2"/>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tcBorders>
              <w:top w:val="single" w:sz="8" w:color="auto"/>
            </w:tcBorders>
            <w:gridSpan w:val="5"/>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tcBorders>
              <w:top w:val="single" w:sz="8" w:color="auto"/>
            </w:tcBorders>
            <w:gridSpan w:val="7"/>
            <w:shd w:val="clear" w:color="auto" w:fill="CFF0FC"/>
          </w:tcPr>
          <w:p>
            <w:pPr>
              <w:spacing w:after="0"/>
              <w:rPr>
                <w:sz w:val="10"/>
                <w:szCs w:val="10"/>
                <w:color w:val="auto"/>
              </w:rPr>
            </w:pPr>
          </w:p>
        </w:tc>
        <w:tc>
          <w:tcPr>
            <w:tcW w:w="10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3"/>
            <w:shd w:val="clear" w:color="auto" w:fill="CFF0FC"/>
          </w:tcPr>
          <w:p>
            <w:pPr>
              <w:spacing w:after="0"/>
              <w:rPr>
                <w:sz w:val="10"/>
                <w:szCs w:val="10"/>
                <w:color w:val="auto"/>
              </w:rPr>
            </w:pPr>
          </w:p>
        </w:tc>
        <w:tc>
          <w:tcPr>
            <w:tcW w:w="120" w:type="dxa"/>
            <w:vAlign w:val="bottom"/>
            <w:gridSpan w:val="2"/>
            <w:shd w:val="clear" w:color="auto" w:fill="CFF0FC"/>
          </w:tcPr>
          <w:p>
            <w:pPr>
              <w:spacing w:after="0"/>
              <w:rPr>
                <w:sz w:val="10"/>
                <w:szCs w:val="10"/>
                <w:color w:val="auto"/>
              </w:rPr>
            </w:pPr>
          </w:p>
        </w:tc>
        <w:tc>
          <w:tcPr>
            <w:tcW w:w="640" w:type="dxa"/>
            <w:vAlign w:val="bottom"/>
            <w:tcBorders>
              <w:top w:val="single" w:sz="8" w:color="auto"/>
            </w:tcBorders>
            <w:gridSpan w:val="4"/>
            <w:shd w:val="clear" w:color="auto" w:fill="CFF0FC"/>
          </w:tcPr>
          <w:p>
            <w:pPr>
              <w:jc w:val="right"/>
              <w:ind w:right="81"/>
              <w:spacing w:after="0" w:line="126" w:lineRule="exact"/>
              <w:rPr>
                <w:sz w:val="20"/>
                <w:szCs w:val="20"/>
                <w:color w:val="auto"/>
              </w:rPr>
            </w:pPr>
            <w:r>
              <w:rPr>
                <w:rFonts w:ascii="Times New Roman" w:cs="Times New Roman" w:eastAsia="Times New Roman" w:hAnsi="Times New Roman"/>
                <w:sz w:val="13"/>
                <w:szCs w:val="13"/>
                <w:b w:val="1"/>
                <w:bCs w:val="1"/>
                <w:color w:val="auto"/>
              </w:rPr>
              <w:t>(606,60</w:t>
            </w:r>
          </w:p>
        </w:tc>
        <w:tc>
          <w:tcPr>
            <w:tcW w:w="100" w:type="dxa"/>
            <w:vAlign w:val="bottom"/>
            <w:shd w:val="clear" w:color="auto" w:fill="CFF0FC"/>
          </w:tcPr>
          <w:p>
            <w:pPr>
              <w:spacing w:after="0"/>
              <w:rPr>
                <w:sz w:val="10"/>
                <w:szCs w:val="10"/>
                <w:color w:val="auto"/>
              </w:rPr>
            </w:pPr>
          </w:p>
        </w:tc>
        <w:tc>
          <w:tcPr>
            <w:tcW w:w="980" w:type="dxa"/>
            <w:vAlign w:val="bottom"/>
            <w:tcBorders>
              <w:top w:val="single" w:sz="8" w:color="auto"/>
            </w:tcBorders>
            <w:gridSpan w:val="4"/>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gridSpan w:val="3"/>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gridSpan w:val="2"/>
            <w:shd w:val="clear" w:color="auto" w:fill="CFF0FC"/>
          </w:tcPr>
          <w:p>
            <w:pPr>
              <w:jc w:val="right"/>
              <w:ind w:righ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gridSpan w:val="2"/>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14"/>
              <w:spacing w:after="0" w:line="146" w:lineRule="exact"/>
              <w:rPr>
                <w:sz w:val="20"/>
                <w:szCs w:val="20"/>
                <w:color w:val="auto"/>
              </w:rPr>
            </w:pPr>
            <w:r>
              <w:rPr>
                <w:rFonts w:ascii="Times New Roman" w:cs="Times New Roman" w:eastAsia="Times New Roman" w:hAnsi="Times New Roman"/>
                <w:sz w:val="13"/>
                <w:szCs w:val="13"/>
                <w:b w:val="1"/>
                <w:bCs w:val="1"/>
                <w:color w:val="auto"/>
              </w:rPr>
              <w:t>3</w:t>
            </w: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gridSpan w:val="3"/>
            <w:shd w:val="clear" w:color="auto" w:fill="CFF0FC"/>
          </w:tcPr>
          <w:p>
            <w:pPr>
              <w:jc w:val="right"/>
              <w:ind w:right="33"/>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55"/>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gridSpan w:val="4"/>
            <w:shd w:val="clear" w:color="auto" w:fill="CFF0FC"/>
          </w:tcPr>
          <w:p>
            <w:pPr>
              <w:jc w:val="right"/>
              <w:ind w:right="34"/>
              <w:spacing w:after="0" w:line="146" w:lineRule="exact"/>
              <w:rPr>
                <w:sz w:val="20"/>
                <w:szCs w:val="20"/>
                <w:color w:val="auto"/>
              </w:rPr>
            </w:pPr>
            <w:r>
              <w:rPr>
                <w:rFonts w:ascii="Times New Roman" w:cs="Times New Roman" w:eastAsia="Times New Roman" w:hAnsi="Times New Roman"/>
                <w:sz w:val="13"/>
                <w:szCs w:val="13"/>
                <w:b w:val="1"/>
                <w:bCs w:val="1"/>
                <w:color w:val="auto"/>
              </w:rPr>
              <w:t>610,335</w:t>
            </w:r>
          </w:p>
        </w:tc>
        <w:tc>
          <w:tcPr>
            <w:tcW w:w="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gridSpan w:val="3"/>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 (8,554)</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2"/>
            <w:shd w:val="clear" w:color="auto" w:fill="CFF0FC"/>
          </w:tcPr>
          <w:p>
            <w:pPr>
              <w:jc w:val="right"/>
              <w:ind w:right="80"/>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500" w:type="dxa"/>
            <w:vAlign w:val="bottom"/>
            <w:gridSpan w:val="10"/>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Deficit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8"/>
          </w:tcPr>
          <w:p>
            <w:pPr>
              <w:jc w:val="right"/>
              <w:ind w:right="480"/>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440" w:type="dxa"/>
            <w:vAlign w:val="bottom"/>
            <w:gridSpan w:val="9"/>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5"/>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10"/>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4"/>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Additiona</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Sharehold</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w:t>
            </w: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35"/>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10"/>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er Note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240" w:type="dxa"/>
            <w:vAlign w:val="bottom"/>
            <w:gridSpan w:val="2"/>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4"/>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w:t>
            </w:r>
          </w:p>
        </w:tc>
        <w:tc>
          <w:tcPr>
            <w:tcW w:w="240" w:type="dxa"/>
            <w:vAlign w:val="bottom"/>
            <w:gridSpan w:val="2"/>
            <w:vMerge w:val="restart"/>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restart"/>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nt</w:t>
            </w:r>
          </w:p>
        </w:tc>
        <w:tc>
          <w:tcPr>
            <w:tcW w:w="2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nt</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restart"/>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restart"/>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gridSpan w:val="2"/>
            <w:vMerge w:val="restart"/>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960" w:type="dxa"/>
            <w:vAlign w:val="bottom"/>
            <w:gridSpan w:val="6"/>
            <w:shd w:val="clear" w:color="auto" w:fill="CFF0FC"/>
          </w:tcPr>
          <w:p>
            <w:pPr>
              <w:jc w:val="right"/>
              <w:ind w:right="319"/>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4860" w:type="dxa"/>
            <w:vAlign w:val="bottom"/>
            <w:gridSpan w:val="35"/>
            <w:shd w:val="clear" w:color="auto" w:fill="CFF0FC"/>
          </w:tcPr>
          <w:p>
            <w:pPr>
              <w:jc w:val="right"/>
              <w:ind w:right="4559"/>
              <w:spacing w:after="0" w:line="129" w:lineRule="exact"/>
              <w:rPr>
                <w:sz w:val="20"/>
                <w:szCs w:val="20"/>
                <w:color w:val="auto"/>
              </w:rPr>
            </w:pPr>
            <w:r>
              <w:rPr>
                <w:rFonts w:ascii="Times New Roman" w:cs="Times New Roman" w:eastAsia="Times New Roman" w:hAnsi="Times New Roman"/>
                <w:sz w:val="13"/>
                <w:szCs w:val="13"/>
                <w:color w:val="auto"/>
                <w:w w:val="96"/>
              </w:rPr>
              <w:t>173,</w:t>
            </w:r>
          </w:p>
        </w:tc>
        <w:tc>
          <w:tcPr>
            <w:tcW w:w="1440" w:type="dxa"/>
            <w:vAlign w:val="bottom"/>
            <w:gridSpan w:val="11"/>
            <w:shd w:val="clear" w:color="auto" w:fill="CFF0FC"/>
          </w:tcPr>
          <w:p>
            <w:pPr>
              <w:jc w:val="right"/>
              <w:ind w:right="980"/>
              <w:spacing w:after="0" w:line="129" w:lineRule="exact"/>
              <w:rPr>
                <w:sz w:val="20"/>
                <w:szCs w:val="20"/>
                <w:color w:val="auto"/>
              </w:rPr>
            </w:pPr>
            <w:r>
              <w:rPr>
                <w:rFonts w:ascii="Times New Roman" w:cs="Times New Roman" w:eastAsia="Times New Roman" w:hAnsi="Times New Roman"/>
                <w:sz w:val="13"/>
                <w:szCs w:val="13"/>
                <w:color w:val="auto"/>
              </w:rPr>
              <w:t>141,4</w:t>
            </w:r>
          </w:p>
        </w:tc>
        <w:tc>
          <w:tcPr>
            <w:tcW w:w="1520" w:type="dxa"/>
            <w:vAlign w:val="bottom"/>
            <w:gridSpan w:val="7"/>
            <w:shd w:val="clear" w:color="auto" w:fill="CFF0FC"/>
          </w:tcPr>
          <w:p>
            <w:pPr>
              <w:jc w:val="right"/>
              <w:ind w:right="1140"/>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61"/>
        </w:trPr>
        <w:tc>
          <w:tcPr>
            <w:tcW w:w="2460" w:type="dxa"/>
            <w:vAlign w:val="bottom"/>
            <w:vMerge w:val="continue"/>
            <w:shd w:val="clear" w:color="auto" w:fill="CFF0FC"/>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80" w:type="dxa"/>
            <w:vAlign w:val="bottom"/>
            <w:shd w:val="clear" w:color="auto" w:fill="CFF0FC"/>
          </w:tcPr>
          <w:p>
            <w:pPr>
              <w:spacing w:after="0"/>
              <w:rPr>
                <w:sz w:val="14"/>
                <w:szCs w:val="14"/>
                <w:color w:val="auto"/>
              </w:rPr>
            </w:pPr>
          </w:p>
        </w:tc>
        <w:tc>
          <w:tcPr>
            <w:tcW w:w="1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40" w:type="dxa"/>
            <w:vAlign w:val="bottom"/>
            <w:shd w:val="clear" w:color="auto" w:fill="CFF0FC"/>
          </w:tcPr>
          <w:p>
            <w:pPr>
              <w:spacing w:after="0"/>
              <w:rPr>
                <w:sz w:val="14"/>
                <w:szCs w:val="14"/>
                <w:color w:val="auto"/>
              </w:rPr>
            </w:pPr>
          </w:p>
        </w:tc>
        <w:tc>
          <w:tcPr>
            <w:tcW w:w="2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shd w:val="clear" w:color="auto" w:fill="CFF0FC"/>
          </w:tcPr>
          <w:p>
            <w:pPr>
              <w:jc w:val="center"/>
              <w:ind w:left="1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6"/>
        </w:trPr>
        <w:tc>
          <w:tcPr>
            <w:tcW w:w="11240" w:type="dxa"/>
            <w:vAlign w:val="bottom"/>
            <w:gridSpan w:val="60"/>
          </w:tcPr>
          <w:p>
            <w:pPr>
              <w:jc w:val="right"/>
              <w:ind w:right="1124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3420" w:type="dxa"/>
            <w:vAlign w:val="bottom"/>
            <w:gridSpan w:val="7"/>
          </w:tcPr>
          <w:p>
            <w:pPr>
              <w:jc w:val="right"/>
              <w:ind w:right="3359"/>
              <w:spacing w:after="0"/>
              <w:rPr>
                <w:sz w:val="20"/>
                <w:szCs w:val="20"/>
                <w:color w:val="auto"/>
              </w:rPr>
            </w:pPr>
            <w:r>
              <w:rPr>
                <w:rFonts w:ascii="Times New Roman" w:cs="Times New Roman" w:eastAsia="Times New Roman" w:hAnsi="Times New Roman"/>
                <w:sz w:val="13"/>
                <w:szCs w:val="13"/>
                <w:color w:val="auto"/>
              </w:rPr>
              <w:t>(34,712</w:t>
            </w:r>
          </w:p>
        </w:tc>
        <w:tc>
          <w:tcPr>
            <w:tcW w:w="4860" w:type="dxa"/>
            <w:vAlign w:val="bottom"/>
            <w:gridSpan w:val="35"/>
          </w:tcPr>
          <w:p>
            <w:pPr>
              <w:jc w:val="right"/>
              <w:ind w:right="4559"/>
              <w:spacing w:after="0"/>
              <w:rPr>
                <w:sz w:val="20"/>
                <w:szCs w:val="20"/>
                <w:color w:val="auto"/>
              </w:rPr>
            </w:pPr>
            <w:r>
              <w:rPr>
                <w:rFonts w:ascii="Times New Roman" w:cs="Times New Roman" w:eastAsia="Times New Roman" w:hAnsi="Times New Roman"/>
                <w:sz w:val="13"/>
                <w:szCs w:val="13"/>
                <w:color w:val="auto"/>
                <w:w w:val="96"/>
              </w:rPr>
              <w:t>3,34</w:t>
            </w:r>
          </w:p>
        </w:tc>
        <w:tc>
          <w:tcPr>
            <w:tcW w:w="2960" w:type="dxa"/>
            <w:vAlign w:val="bottom"/>
            <w:gridSpan w:val="18"/>
          </w:tcPr>
          <w:p>
            <w:pPr>
              <w:jc w:val="right"/>
              <w:ind w:right="2560"/>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4"/>
                <w:szCs w:val="14"/>
                <w:color w:val="auto"/>
              </w:rPr>
            </w:pP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gridSpan w:val="2"/>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gridSpan w:val="3"/>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800" w:type="dxa"/>
            <w:vAlign w:val="bottom"/>
            <w:tcBorders>
              <w:top w:val="single" w:sz="8" w:color="auto"/>
            </w:tcBorders>
            <w:gridSpan w:val="2"/>
            <w:shd w:val="clear" w:color="auto" w:fill="CFF0FC"/>
          </w:tcPr>
          <w:p>
            <w:pPr>
              <w:spacing w:after="0"/>
              <w:rPr>
                <w:sz w:val="11"/>
                <w:szCs w:val="11"/>
                <w:color w:val="auto"/>
              </w:rPr>
            </w:pPr>
          </w:p>
        </w:tc>
        <w:tc>
          <w:tcPr>
            <w:tcW w:w="220" w:type="dxa"/>
            <w:vAlign w:val="bottom"/>
            <w:gridSpan w:val="3"/>
            <w:shd w:val="clear" w:color="auto" w:fill="CFF0FC"/>
          </w:tcPr>
          <w:p>
            <w:pPr>
              <w:spacing w:after="0"/>
              <w:rPr>
                <w:sz w:val="11"/>
                <w:szCs w:val="11"/>
                <w:color w:val="auto"/>
              </w:rPr>
            </w:pPr>
          </w:p>
        </w:tc>
        <w:tc>
          <w:tcPr>
            <w:tcW w:w="300" w:type="dxa"/>
            <w:vAlign w:val="bottom"/>
            <w:tcBorders>
              <w:top w:val="single" w:sz="8" w:color="auto"/>
            </w:tcBorders>
            <w:gridSpan w:val="2"/>
            <w:shd w:val="clear" w:color="auto" w:fill="CFF0FC"/>
          </w:tcPr>
          <w:p>
            <w:pPr>
              <w:spacing w:after="0"/>
              <w:rPr>
                <w:sz w:val="11"/>
                <w:szCs w:val="11"/>
                <w:color w:val="auto"/>
              </w:rPr>
            </w:pPr>
          </w:p>
        </w:tc>
        <w:tc>
          <w:tcPr>
            <w:tcW w:w="220" w:type="dxa"/>
            <w:vAlign w:val="bottom"/>
            <w:gridSpan w:val="3"/>
            <w:shd w:val="clear" w:color="auto" w:fill="CFF0FC"/>
          </w:tcPr>
          <w:p>
            <w:pPr>
              <w:spacing w:after="0"/>
              <w:rPr>
                <w:sz w:val="11"/>
                <w:szCs w:val="11"/>
                <w:color w:val="auto"/>
              </w:rPr>
            </w:pPr>
          </w:p>
        </w:tc>
        <w:tc>
          <w:tcPr>
            <w:tcW w:w="54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340" w:type="dxa"/>
            <w:vAlign w:val="bottom"/>
            <w:tcBorders>
              <w:top w:val="single" w:sz="8" w:color="auto"/>
            </w:tcBorders>
            <w:gridSpan w:val="4"/>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600" w:type="dxa"/>
            <w:vAlign w:val="bottom"/>
            <w:tcBorders>
              <w:top w:val="single" w:sz="8" w:color="auto"/>
            </w:tcBorders>
            <w:gridSpan w:val="3"/>
            <w:shd w:val="clear" w:color="auto" w:fill="CFF0FC"/>
          </w:tcPr>
          <w:p>
            <w:pPr>
              <w:jc w:val="right"/>
              <w:ind w:right="534"/>
              <w:spacing w:after="0"/>
              <w:rPr>
                <w:sz w:val="20"/>
                <w:szCs w:val="20"/>
                <w:color w:val="auto"/>
              </w:rPr>
            </w:pPr>
            <w:r>
              <w:rPr>
                <w:rFonts w:ascii="Times New Roman" w:cs="Times New Roman" w:eastAsia="Times New Roman" w:hAnsi="Times New Roman"/>
                <w:sz w:val="13"/>
                <w:szCs w:val="13"/>
                <w:color w:val="auto"/>
              </w:rPr>
              <w:t>314,8</w:t>
            </w:r>
          </w:p>
        </w:tc>
        <w:tc>
          <w:tcPr>
            <w:tcW w:w="220" w:type="dxa"/>
            <w:vAlign w:val="bottom"/>
            <w:gridSpan w:val="4"/>
            <w:shd w:val="clear" w:color="auto" w:fill="CFF0FC"/>
          </w:tcPr>
          <w:p>
            <w:pPr>
              <w:spacing w:after="0"/>
              <w:rPr>
                <w:sz w:val="11"/>
                <w:szCs w:val="11"/>
                <w:color w:val="auto"/>
              </w:rPr>
            </w:pPr>
          </w:p>
        </w:tc>
        <w:tc>
          <w:tcPr>
            <w:tcW w:w="52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460" w:type="dxa"/>
            <w:vAlign w:val="bottom"/>
            <w:tcBorders>
              <w:top w:val="single" w:sz="8" w:color="auto"/>
            </w:tcBorders>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3"/>
                <w:szCs w:val="13"/>
                <w:color w:val="auto"/>
              </w:rPr>
              <w:t>(368,</w:t>
            </w:r>
          </w:p>
        </w:tc>
        <w:tc>
          <w:tcPr>
            <w:tcW w:w="220" w:type="dxa"/>
            <w:vAlign w:val="bottom"/>
            <w:gridSpan w:val="3"/>
            <w:shd w:val="clear" w:color="auto" w:fill="CFF0FC"/>
          </w:tcPr>
          <w:p>
            <w:pPr>
              <w:spacing w:after="0"/>
              <w:rPr>
                <w:sz w:val="11"/>
                <w:szCs w:val="11"/>
                <w:color w:val="auto"/>
              </w:rPr>
            </w:pPr>
          </w:p>
        </w:tc>
        <w:tc>
          <w:tcPr>
            <w:tcW w:w="800" w:type="dxa"/>
            <w:vAlign w:val="bottom"/>
            <w:tcBorders>
              <w:top w:val="single" w:sz="8" w:color="auto"/>
            </w:tcBorders>
            <w:gridSpan w:val="2"/>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48,325,794</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056)</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4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0"/>
          </w:tcPr>
          <w:p>
            <w:pPr>
              <w:jc w:val="right"/>
              <w:ind w:right="11240"/>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(28,896)</w:t>
            </w:r>
          </w:p>
        </w:tc>
        <w:tc>
          <w:tcPr>
            <w:tcW w:w="0" w:type="dxa"/>
            <w:vAlign w:val="bottom"/>
          </w:tcPr>
          <w:p>
            <w:pPr>
              <w:spacing w:after="0"/>
              <w:rPr>
                <w:sz w:val="1"/>
                <w:szCs w:val="1"/>
                <w:color w:val="auto"/>
              </w:rPr>
            </w:pPr>
          </w:p>
        </w:tc>
      </w:tr>
      <w:tr>
        <w:trPr>
          <w:trHeight w:val="125"/>
        </w:trPr>
        <w:tc>
          <w:tcPr>
            <w:tcW w:w="248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2"/>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800" w:type="dxa"/>
            <w:vAlign w:val="bottom"/>
            <w:tcBorders>
              <w:top w:val="single" w:sz="8" w:color="auto"/>
            </w:tcBorders>
            <w:gridSpan w:val="2"/>
            <w:shd w:val="clear" w:color="auto" w:fill="CFF0FC"/>
          </w:tcPr>
          <w:p>
            <w:pPr>
              <w:spacing w:after="0"/>
              <w:rPr>
                <w:sz w:val="10"/>
                <w:szCs w:val="10"/>
                <w:color w:val="auto"/>
              </w:rPr>
            </w:pPr>
          </w:p>
        </w:tc>
        <w:tc>
          <w:tcPr>
            <w:tcW w:w="220" w:type="dxa"/>
            <w:vAlign w:val="bottom"/>
            <w:gridSpan w:val="3"/>
            <w:shd w:val="clear" w:color="auto" w:fill="CFF0FC"/>
          </w:tcPr>
          <w:p>
            <w:pPr>
              <w:spacing w:after="0"/>
              <w:rPr>
                <w:sz w:val="10"/>
                <w:szCs w:val="10"/>
                <w:color w:val="auto"/>
              </w:rPr>
            </w:pPr>
          </w:p>
        </w:tc>
        <w:tc>
          <w:tcPr>
            <w:tcW w:w="300" w:type="dxa"/>
            <w:vAlign w:val="bottom"/>
            <w:tcBorders>
              <w:top w:val="single" w:sz="8" w:color="auto"/>
            </w:tcBorders>
            <w:gridSpan w:val="2"/>
            <w:shd w:val="clear" w:color="auto" w:fill="CFF0FC"/>
          </w:tcPr>
          <w:p>
            <w:pPr>
              <w:spacing w:after="0"/>
              <w:rPr>
                <w:sz w:val="10"/>
                <w:szCs w:val="10"/>
                <w:color w:val="auto"/>
              </w:rPr>
            </w:pPr>
          </w:p>
        </w:tc>
        <w:tc>
          <w:tcPr>
            <w:tcW w:w="220" w:type="dxa"/>
            <w:vAlign w:val="bottom"/>
            <w:gridSpan w:val="3"/>
            <w:shd w:val="clear" w:color="auto" w:fill="CFF0FC"/>
          </w:tcPr>
          <w:p>
            <w:pPr>
              <w:spacing w:after="0"/>
              <w:rPr>
                <w:sz w:val="10"/>
                <w:szCs w:val="10"/>
                <w:color w:val="auto"/>
              </w:rPr>
            </w:pPr>
          </w:p>
        </w:tc>
        <w:tc>
          <w:tcPr>
            <w:tcW w:w="540" w:type="dxa"/>
            <w:vAlign w:val="bottom"/>
            <w:tcBorders>
              <w:top w:val="single" w:sz="8" w:color="auto"/>
            </w:tcBorders>
            <w:gridSpan w:val="3"/>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34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3"/>
            <w:shd w:val="clear" w:color="auto" w:fill="CFF0FC"/>
          </w:tcPr>
          <w:p>
            <w:pPr>
              <w:spacing w:after="0"/>
              <w:rPr>
                <w:sz w:val="10"/>
                <w:szCs w:val="10"/>
                <w:color w:val="auto"/>
              </w:rPr>
            </w:pPr>
          </w:p>
        </w:tc>
        <w:tc>
          <w:tcPr>
            <w:tcW w:w="480" w:type="dxa"/>
            <w:vAlign w:val="bottom"/>
            <w:tcBorders>
              <w:top w:val="single" w:sz="8" w:color="auto"/>
            </w:tcBorders>
            <w:gridSpan w:val="2"/>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gridSpan w:val="4"/>
            <w:shd w:val="clear" w:color="auto" w:fill="CFF0FC"/>
          </w:tcPr>
          <w:p>
            <w:pPr>
              <w:spacing w:after="0"/>
              <w:rPr>
                <w:sz w:val="10"/>
                <w:szCs w:val="10"/>
                <w:color w:val="auto"/>
              </w:rPr>
            </w:pPr>
          </w:p>
        </w:tc>
        <w:tc>
          <w:tcPr>
            <w:tcW w:w="520" w:type="dxa"/>
            <w:vAlign w:val="bottom"/>
            <w:tcBorders>
              <w:top w:val="single" w:sz="8" w:color="auto"/>
            </w:tcBorders>
            <w:gridSpan w:val="3"/>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460" w:type="dxa"/>
            <w:vAlign w:val="bottom"/>
            <w:tcBorders>
              <w:top w:val="single" w:sz="8" w:color="auto"/>
            </w:tcBorders>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(396,</w:t>
            </w:r>
          </w:p>
        </w:tc>
        <w:tc>
          <w:tcPr>
            <w:tcW w:w="220" w:type="dxa"/>
            <w:vAlign w:val="bottom"/>
            <w:gridSpan w:val="3"/>
            <w:shd w:val="clear" w:color="auto" w:fill="CFF0FC"/>
          </w:tcPr>
          <w:p>
            <w:pPr>
              <w:spacing w:after="0"/>
              <w:rPr>
                <w:sz w:val="10"/>
                <w:szCs w:val="10"/>
                <w:color w:val="auto"/>
              </w:rPr>
            </w:pPr>
          </w:p>
        </w:tc>
        <w:tc>
          <w:tcPr>
            <w:tcW w:w="800" w:type="dxa"/>
            <w:vAlign w:val="bottom"/>
            <w:tcBorders>
              <w:top w:val="single" w:sz="8" w:color="auto"/>
            </w:tcBorders>
            <w:gridSpan w:val="2"/>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gridSpan w:val="2"/>
            <w:shd w:val="clear" w:color="auto" w:fill="CFF0FC"/>
          </w:tcPr>
          <w:p>
            <w:pPr>
              <w:ind w:left="30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952</w:t>
            </w:r>
          </w:p>
        </w:tc>
        <w:tc>
          <w:tcPr>
            <w:tcW w:w="1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-1971040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-1953895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-1971040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-1953895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-1971040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-1953895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-1971040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-1953895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-1971040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-1953895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-1971040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-1953895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-1971040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-1953895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-1971040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-1953895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-1971040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-1953895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-1953895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-1971040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-1953895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580" w:right="1900" w:hanging="3289"/>
        <w:spacing w:after="0" w:line="329" w:lineRule="auto"/>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1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6"/>
              </w:rPr>
              <w:t>Stockholder's Equity/(Deficit)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10"/>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 Subject</w:t>
            </w: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1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6"/>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gridSpan w:val="10"/>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6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4"/>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580" w:type="dxa"/>
            <w:vAlign w:val="bottom"/>
            <w:gridSpan w:val="5"/>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6"/>
              </w:rPr>
              <w:t>Accumula</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3"/>
          </w:tcPr>
          <w:p>
            <w:pPr>
              <w:jc w:val="center"/>
              <w:ind w:right="4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Note</w:t>
            </w:r>
          </w:p>
        </w:tc>
        <w:tc>
          <w:tcPr>
            <w:tcW w:w="160" w:type="dxa"/>
            <w:vAlign w:val="bottom"/>
          </w:tcPr>
          <w:p>
            <w:pPr>
              <w:spacing w:after="0"/>
              <w:rPr>
                <w:sz w:val="10"/>
                <w:szCs w:val="10"/>
                <w:color w:val="auto"/>
              </w:rPr>
            </w:pPr>
          </w:p>
        </w:tc>
        <w:tc>
          <w:tcPr>
            <w:tcW w:w="1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99"/>
        </w:trPr>
        <w:tc>
          <w:tcPr>
            <w:tcW w:w="23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4"/>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4"/>
          </w:tcPr>
          <w:p>
            <w:pPr>
              <w:jc w:val="center"/>
              <w:ind w:right="53"/>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tcPr>
          <w:p>
            <w:pPr>
              <w:spacing w:after="0"/>
              <w:rPr>
                <w:sz w:val="7"/>
                <w:szCs w:val="7"/>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7"/>
                <w:szCs w:val="7"/>
                <w:color w:val="auto"/>
              </w:rPr>
            </w:pPr>
          </w:p>
        </w:tc>
        <w:tc>
          <w:tcPr>
            <w:tcW w:w="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4"/>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5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5"/>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5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3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2,854,2</w:t>
            </w:r>
          </w:p>
        </w:tc>
        <w:tc>
          <w:tcPr>
            <w:tcW w:w="220" w:type="dxa"/>
            <w:vAlign w:val="bottom"/>
            <w:shd w:val="clear" w:color="auto" w:fill="CFF0FC"/>
          </w:tcPr>
          <w:p>
            <w:pPr>
              <w:spacing w:after="0"/>
              <w:rPr>
                <w:sz w:val="10"/>
                <w:szCs w:val="10"/>
                <w:color w:val="auto"/>
              </w:rPr>
            </w:pPr>
          </w:p>
        </w:tc>
        <w:tc>
          <w:tcPr>
            <w:tcW w:w="480" w:type="dxa"/>
            <w:vAlign w:val="bottom"/>
            <w:tcBorders>
              <w:top w:val="single" w:sz="8" w:color="auto"/>
            </w:tcBorders>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33,06</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tcBorders>
              <w:top w:val="single" w:sz="8" w:color="auto"/>
            </w:tcBorders>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98,818,</w:t>
            </w: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(577,0</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FF0FC"/>
          </w:tcPr>
          <w:p>
            <w:pPr>
              <w:spacing w:after="0"/>
              <w:rPr>
                <w:sz w:val="14"/>
                <w:szCs w:val="14"/>
                <w:color w:val="auto"/>
              </w:rPr>
            </w:pPr>
          </w:p>
        </w:tc>
        <w:tc>
          <w:tcPr>
            <w:tcW w:w="4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2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874</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$ 10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3"/>
            <w:shd w:val="clear" w:color="auto" w:fill="CFF0FC"/>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602,266</w:t>
            </w:r>
          </w:p>
        </w:tc>
        <w:tc>
          <w:tcPr>
            <w:tcW w:w="1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(8,554)</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16,710</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100" w:type="dxa"/>
            <w:vAlign w:val="bottom"/>
          </w:tcPr>
          <w:p>
            <w:pPr>
              <w:spacing w:after="0"/>
              <w:rPr>
                <w:sz w:val="12"/>
                <w:szCs w:val="12"/>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9,306</w:t>
            </w:r>
          </w:p>
        </w:tc>
        <w:tc>
          <w:tcPr>
            <w:tcW w:w="2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740" w:type="dxa"/>
            <w:vAlign w:val="bottom"/>
            <w:gridSpan w:val="12"/>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w:t>
            </w:r>
          </w:p>
        </w:tc>
        <w:tc>
          <w:tcPr>
            <w:tcW w:w="720" w:type="dxa"/>
            <w:vAlign w:val="bottom"/>
            <w:gridSpan w:val="4"/>
          </w:tcPr>
          <w:p>
            <w:pPr>
              <w:jc w:val="right"/>
              <w:ind w:right="153"/>
              <w:spacing w:after="0" w:line="136" w:lineRule="exact"/>
              <w:rPr>
                <w:sz w:val="20"/>
                <w:szCs w:val="20"/>
                <w:color w:val="auto"/>
              </w:rPr>
            </w:pPr>
            <w:r>
              <w:rPr>
                <w:rFonts w:ascii="Times New Roman" w:cs="Times New Roman" w:eastAsia="Times New Roman" w:hAnsi="Times New Roman"/>
                <w:sz w:val="13"/>
                <w:szCs w:val="13"/>
                <w:color w:val="auto"/>
              </w:rPr>
              <w:t>(2,800,</w:t>
            </w:r>
          </w:p>
        </w:tc>
        <w:tc>
          <w:tcPr>
            <w:tcW w:w="6780" w:type="dxa"/>
            <w:vAlign w:val="bottom"/>
            <w:gridSpan w:val="46"/>
          </w:tcPr>
          <w:p>
            <w:pPr>
              <w:jc w:val="right"/>
              <w:ind w:right="6320"/>
              <w:spacing w:after="0" w:line="136" w:lineRule="exact"/>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61"/>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 possible redemption</w:t>
            </w: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4"/>
          </w:tcPr>
          <w:p>
            <w:pPr>
              <w:jc w:val="right"/>
              <w:ind w:right="93"/>
              <w:spacing w:after="0"/>
              <w:rPr>
                <w:sz w:val="20"/>
                <w:szCs w:val="20"/>
                <w:color w:val="auto"/>
              </w:rPr>
            </w:pPr>
            <w:r>
              <w:rPr>
                <w:rFonts w:ascii="Times New Roman" w:cs="Times New Roman" w:eastAsia="Times New Roman" w:hAnsi="Times New Roman"/>
                <w:sz w:val="13"/>
                <w:szCs w:val="13"/>
                <w:color w:val="auto"/>
              </w:rPr>
              <w:t>489)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4"/>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(53,753)</w:t>
            </w:r>
          </w:p>
        </w:tc>
        <w:tc>
          <w:tcPr>
            <w:tcW w:w="640" w:type="dxa"/>
            <w:vAlign w:val="bottom"/>
            <w:gridSpan w:val="5"/>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(507)</w:t>
            </w:r>
          </w:p>
        </w:tc>
        <w:tc>
          <w:tcPr>
            <w:tcW w:w="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53,753</w:t>
            </w:r>
          </w:p>
        </w:tc>
        <w:tc>
          <w:tcPr>
            <w:tcW w:w="2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2"/>
            <w:shd w:val="clear" w:color="auto" w:fill="CFF0FC"/>
          </w:tcPr>
          <w:p>
            <w:pPr>
              <w:jc w:val="right"/>
              <w:ind w:right="11240"/>
              <w:spacing w:after="0"/>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161"/>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(29,589)</w:t>
            </w:r>
          </w:p>
        </w:tc>
        <w:tc>
          <w:tcPr>
            <w:tcW w:w="0" w:type="dxa"/>
            <w:vAlign w:val="bottom"/>
          </w:tcPr>
          <w:p>
            <w:pPr>
              <w:spacing w:after="0"/>
              <w:rPr>
                <w:sz w:val="1"/>
                <w:szCs w:val="1"/>
                <w:color w:val="auto"/>
              </w:rPr>
            </w:pPr>
          </w:p>
        </w:tc>
      </w:tr>
      <w:tr>
        <w:trPr>
          <w:trHeight w:val="125"/>
        </w:trPr>
        <w:tc>
          <w:tcPr>
            <w:tcW w:w="236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gridSpan w:val="2"/>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34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80" w:type="dxa"/>
            <w:vAlign w:val="bottom"/>
            <w:tcBorders>
              <w:top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98,881,</w:t>
            </w:r>
          </w:p>
        </w:tc>
        <w:tc>
          <w:tcPr>
            <w:tcW w:w="2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gridSpan w:val="2"/>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340" w:type="dxa"/>
            <w:vAlign w:val="bottom"/>
            <w:tcBorders>
              <w:top w:val="single" w:sz="8" w:color="auto"/>
            </w:tcBorders>
            <w:gridSpan w:val="2"/>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320" w:type="dxa"/>
            <w:vAlign w:val="bottom"/>
            <w:tcBorders>
              <w:top w:val="single" w:sz="8" w:color="auto"/>
            </w:tcBorders>
            <w:gridSpan w:val="2"/>
          </w:tcPr>
          <w:p>
            <w:pPr>
              <w:spacing w:after="0"/>
              <w:rPr>
                <w:sz w:val="10"/>
                <w:szCs w:val="10"/>
                <w:color w:val="auto"/>
              </w:rPr>
            </w:pPr>
          </w:p>
        </w:tc>
        <w:tc>
          <w:tcPr>
            <w:tcW w:w="200" w:type="dxa"/>
            <w:vAlign w:val="bottom"/>
            <w:tcBorders>
              <w:top w:val="single" w:sz="8" w:color="CFF0FC"/>
            </w:tcBorders>
            <w:gridSpan w:val="3"/>
          </w:tcPr>
          <w:p>
            <w:pPr>
              <w:spacing w:after="0"/>
              <w:rPr>
                <w:sz w:val="10"/>
                <w:szCs w:val="10"/>
                <w:color w:val="auto"/>
              </w:rPr>
            </w:pPr>
          </w:p>
        </w:tc>
        <w:tc>
          <w:tcPr>
            <w:tcW w:w="620" w:type="dxa"/>
            <w:vAlign w:val="bottom"/>
            <w:tcBorders>
              <w:top w:val="single" w:sz="8" w:color="auto"/>
            </w:tcBorders>
            <w:gridSpan w:val="5"/>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74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gridSpan w:val="4"/>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(606,6</w:t>
            </w:r>
          </w:p>
        </w:tc>
        <w:tc>
          <w:tcPr>
            <w:tcW w:w="220" w:type="dxa"/>
            <w:vAlign w:val="bottom"/>
            <w:tcBorders>
              <w:top w:val="single" w:sz="8" w:color="CFF0FC"/>
            </w:tcBorders>
            <w:gridSpan w:val="2"/>
          </w:tcPr>
          <w:p>
            <w:pPr>
              <w:spacing w:after="0"/>
              <w:rPr>
                <w:sz w:val="10"/>
                <w:szCs w:val="10"/>
                <w:color w:val="auto"/>
              </w:rPr>
            </w:pPr>
          </w:p>
        </w:tc>
        <w:tc>
          <w:tcPr>
            <w:tcW w:w="1060" w:type="dxa"/>
            <w:vAlign w:val="bottom"/>
            <w:tcBorders>
              <w:top w:val="single" w:sz="8" w:color="auto"/>
            </w:tcBorders>
            <w:gridSpan w:val="4"/>
          </w:tcPr>
          <w:p>
            <w:pPr>
              <w:spacing w:after="0"/>
              <w:rPr>
                <w:sz w:val="10"/>
                <w:szCs w:val="10"/>
                <w:color w:val="auto"/>
              </w:rPr>
            </w:pPr>
          </w:p>
        </w:tc>
        <w:tc>
          <w:tcPr>
            <w:tcW w:w="120" w:type="dxa"/>
            <w:vAlign w:val="bottom"/>
            <w:tcBorders>
              <w:top w:val="single" w:sz="8" w:color="CFF0F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gridSpan w:val="2"/>
          </w:tcPr>
          <w:p>
            <w:pPr>
              <w:jc w:val="center"/>
              <w:ind w:right="126"/>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933</w:t>
            </w:r>
          </w:p>
        </w:tc>
        <w:tc>
          <w:tcPr>
            <w:tcW w:w="20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25"/>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9"/>
              </w:rPr>
              <w:t>610,335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(8,554)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2"/>
              </w:rPr>
              <w:t>01)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10"/>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Common Stock Subject</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Stockholder's Deficit</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10"/>
          </w:tcPr>
          <w:p>
            <w:pPr>
              <w:jc w:val="right"/>
              <w:ind w:right="320"/>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8"/>
          </w:tcPr>
          <w:p>
            <w:pPr>
              <w:jc w:val="center"/>
              <w:ind w:right="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to Possible Redemption</w:t>
            </w:r>
          </w:p>
        </w:tc>
        <w:tc>
          <w:tcPr>
            <w:tcW w:w="180" w:type="dxa"/>
            <w:vAlign w:val="bottom"/>
          </w:tcPr>
          <w:p>
            <w:pPr>
              <w:spacing w:after="0"/>
              <w:rPr>
                <w:sz w:val="8"/>
                <w:szCs w:val="8"/>
                <w:color w:val="auto"/>
              </w:rPr>
            </w:pPr>
          </w:p>
        </w:tc>
        <w:tc>
          <w:tcPr>
            <w:tcW w:w="1060" w:type="dxa"/>
            <w:vAlign w:val="bottom"/>
            <w:gridSpan w:val="6"/>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10"/>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8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Addition</w:t>
            </w:r>
          </w:p>
        </w:tc>
        <w:tc>
          <w:tcPr>
            <w:tcW w:w="220" w:type="dxa"/>
            <w:vAlign w:val="bottom"/>
          </w:tcPr>
          <w:p>
            <w:pPr>
              <w:spacing w:after="0"/>
              <w:rPr>
                <w:sz w:val="8"/>
                <w:szCs w:val="8"/>
                <w:color w:val="auto"/>
              </w:rPr>
            </w:pPr>
          </w:p>
        </w:tc>
        <w:tc>
          <w:tcPr>
            <w:tcW w:w="820" w:type="dxa"/>
            <w:vAlign w:val="bottom"/>
            <w:gridSpan w:val="4"/>
          </w:tcPr>
          <w:p>
            <w:pPr>
              <w:jc w:val="center"/>
              <w:ind w:right="186"/>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20" w:type="dxa"/>
            <w:vAlign w:val="bottom"/>
          </w:tcPr>
          <w:p>
            <w:pPr>
              <w:spacing w:after="0"/>
              <w:rPr>
                <w:sz w:val="8"/>
                <w:szCs w:val="8"/>
                <w:color w:val="auto"/>
              </w:rPr>
            </w:pPr>
          </w:p>
        </w:tc>
        <w:tc>
          <w:tcPr>
            <w:tcW w:w="660" w:type="dxa"/>
            <w:vAlign w:val="bottom"/>
            <w:gridSpan w:val="5"/>
          </w:tcPr>
          <w:p>
            <w:pPr>
              <w:jc w:val="center"/>
              <w:ind w:right="159"/>
              <w:spacing w:after="0" w:line="100" w:lineRule="exact"/>
              <w:rPr>
                <w:sz w:val="20"/>
                <w:szCs w:val="20"/>
                <w:color w:val="auto"/>
              </w:rPr>
            </w:pPr>
            <w:r>
              <w:rPr>
                <w:rFonts w:ascii="Times New Roman" w:cs="Times New Roman" w:eastAsia="Times New Roman" w:hAnsi="Times New Roman"/>
                <w:sz w:val="11"/>
                <w:szCs w:val="11"/>
                <w:b w:val="1"/>
                <w:bCs w:val="1"/>
                <w:color w:val="auto"/>
                <w:w w:val="94"/>
              </w:rPr>
              <w:t>Accumul</w:t>
            </w:r>
          </w:p>
        </w:tc>
        <w:tc>
          <w:tcPr>
            <w:tcW w:w="80" w:type="dxa"/>
            <w:vAlign w:val="bottom"/>
          </w:tcPr>
          <w:p>
            <w:pPr>
              <w:spacing w:after="0"/>
              <w:rPr>
                <w:sz w:val="8"/>
                <w:szCs w:val="8"/>
                <w:color w:val="auto"/>
              </w:rPr>
            </w:pPr>
          </w:p>
        </w:tc>
        <w:tc>
          <w:tcPr>
            <w:tcW w:w="72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10"/>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center"/>
              <w:ind w:right="62"/>
              <w:spacing w:after="0" w:line="124"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220" w:type="dxa"/>
            <w:vAlign w:val="bottom"/>
          </w:tcPr>
          <w:p>
            <w:pPr>
              <w:spacing w:after="0"/>
              <w:rPr>
                <w:sz w:val="10"/>
                <w:szCs w:val="10"/>
                <w:color w:val="auto"/>
              </w:rPr>
            </w:pPr>
          </w:p>
        </w:tc>
        <w:tc>
          <w:tcPr>
            <w:tcW w:w="480" w:type="dxa"/>
            <w:vAlign w:val="bottom"/>
            <w:gridSpan w:val="2"/>
          </w:tcPr>
          <w:p>
            <w:pPr>
              <w:jc w:val="center"/>
              <w:ind w:left="78"/>
              <w:spacing w:after="0" w:line="124" w:lineRule="exact"/>
              <w:rPr>
                <w:sz w:val="20"/>
                <w:szCs w:val="20"/>
                <w:color w:val="auto"/>
              </w:rPr>
            </w:pPr>
            <w:r>
              <w:rPr>
                <w:rFonts w:ascii="Times New Roman" w:cs="Times New Roman" w:eastAsia="Times New Roman" w:hAnsi="Times New Roman"/>
                <w:sz w:val="11"/>
                <w:szCs w:val="11"/>
                <w:b w:val="1"/>
                <w:bCs w:val="1"/>
                <w:color w:val="auto"/>
                <w:w w:val="99"/>
              </w:rPr>
              <w:t>Note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5"/>
          </w:tcPr>
          <w:p>
            <w:pPr>
              <w:jc w:val="center"/>
              <w:ind w:right="159"/>
              <w:spacing w:after="0" w:line="124" w:lineRule="exact"/>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0"/>
                <w:szCs w:val="10"/>
                <w:color w:val="auto"/>
              </w:rPr>
            </w:pPr>
          </w:p>
        </w:tc>
        <w:tc>
          <w:tcPr>
            <w:tcW w:w="820" w:type="dxa"/>
            <w:vAlign w:val="bottom"/>
            <w:gridSpan w:val="3"/>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3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3"/>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w:t>
            </w:r>
          </w:p>
        </w:tc>
        <w:tc>
          <w:tcPr>
            <w:tcW w:w="8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w:t>
            </w:r>
          </w:p>
        </w:tc>
        <w:tc>
          <w:tcPr>
            <w:tcW w:w="6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nt</w:t>
            </w:r>
          </w:p>
        </w:tc>
        <w:tc>
          <w:tcPr>
            <w:tcW w:w="200" w:type="dxa"/>
            <w:vAlign w:val="bottom"/>
            <w:gridSpan w:val="2"/>
            <w:vMerge w:val="restart"/>
          </w:tcPr>
          <w:p>
            <w:pPr>
              <w:spacing w:after="0"/>
              <w:rPr>
                <w:sz w:val="7"/>
                <w:szCs w:val="7"/>
                <w:color w:val="auto"/>
              </w:rPr>
            </w:pPr>
          </w:p>
        </w:tc>
        <w:tc>
          <w:tcPr>
            <w:tcW w:w="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7"/>
                <w:szCs w:val="7"/>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1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bottom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480" w:type="dxa"/>
            <w:vAlign w:val="bottom"/>
            <w:tcBorders>
              <w:bottom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auto"/>
            </w:tcBorders>
            <w:gridSpan w:val="4"/>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3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6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gridSpan w:val="5"/>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vMerge w:val="continue"/>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96,887</w:t>
            </w:r>
          </w:p>
        </w:tc>
        <w:tc>
          <w:tcPr>
            <w:tcW w:w="6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8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(242,966)</w:t>
            </w:r>
          </w:p>
        </w:tc>
        <w:tc>
          <w:tcPr>
            <w:tcW w:w="0" w:type="dxa"/>
            <w:vAlign w:val="bottom"/>
          </w:tcPr>
          <w:p>
            <w:pPr>
              <w:spacing w:after="0"/>
              <w:rPr>
                <w:sz w:val="1"/>
                <w:szCs w:val="1"/>
                <w:color w:val="auto"/>
              </w:rPr>
            </w:pPr>
          </w:p>
        </w:tc>
      </w:tr>
      <w:tr>
        <w:trPr>
          <w:trHeight w:val="136"/>
        </w:trPr>
        <w:tc>
          <w:tcPr>
            <w:tcW w:w="11240" w:type="dxa"/>
            <w:vAlign w:val="bottom"/>
            <w:gridSpan w:val="62"/>
          </w:tcPr>
          <w:p>
            <w:pPr>
              <w:jc w:val="right"/>
              <w:ind w:right="1124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2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w:t>
            </w:r>
          </w:p>
        </w:tc>
        <w:tc>
          <w:tcPr>
            <w:tcW w:w="1000" w:type="dxa"/>
            <w:vAlign w:val="bottom"/>
            <w:gridSpan w:val="7"/>
          </w:tcPr>
          <w:p>
            <w:pPr>
              <w:jc w:val="right"/>
              <w:ind w:right="274"/>
              <w:spacing w:after="0"/>
              <w:rPr>
                <w:sz w:val="20"/>
                <w:szCs w:val="20"/>
                <w:color w:val="auto"/>
              </w:rPr>
            </w:pPr>
            <w:r>
              <w:rPr>
                <w:rFonts w:ascii="Times New Roman" w:cs="Times New Roman" w:eastAsia="Times New Roman" w:hAnsi="Times New Roman"/>
                <w:sz w:val="13"/>
                <w:szCs w:val="13"/>
                <w:color w:val="auto"/>
              </w:rPr>
              <w:t>(34,712</w:t>
            </w:r>
          </w:p>
        </w:tc>
        <w:tc>
          <w:tcPr>
            <w:tcW w:w="4900" w:type="dxa"/>
            <w:vAlign w:val="bottom"/>
            <w:gridSpan w:val="37"/>
          </w:tcPr>
          <w:p>
            <w:pPr>
              <w:jc w:val="right"/>
              <w:ind w:right="4559"/>
              <w:spacing w:after="0"/>
              <w:rPr>
                <w:sz w:val="20"/>
                <w:szCs w:val="20"/>
                <w:color w:val="auto"/>
              </w:rPr>
            </w:pPr>
            <w:r>
              <w:rPr>
                <w:rFonts w:ascii="Times New Roman" w:cs="Times New Roman" w:eastAsia="Times New Roman" w:hAnsi="Times New Roman"/>
                <w:sz w:val="13"/>
                <w:szCs w:val="13"/>
                <w:color w:val="auto"/>
              </w:rPr>
              <w:t>3,34</w:t>
            </w:r>
          </w:p>
        </w:tc>
        <w:tc>
          <w:tcPr>
            <w:tcW w:w="2980" w:type="dxa"/>
            <w:vAlign w:val="bottom"/>
            <w:gridSpan w:val="17"/>
          </w:tcPr>
          <w:p>
            <w:pPr>
              <w:jc w:val="right"/>
              <w:ind w:right="2640"/>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61"/>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recapitalization</w:t>
            </w:r>
          </w:p>
        </w:tc>
        <w:tc>
          <w:tcPr>
            <w:tcW w:w="10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14"/>
                <w:szCs w:val="14"/>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(96,887)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gridSpan w:val="2"/>
            <w:shd w:val="clear" w:color="auto" w:fill="CFF0FC"/>
          </w:tcPr>
          <w:p>
            <w:pPr>
              <w:spacing w:after="0"/>
              <w:rPr>
                <w:sz w:val="11"/>
                <w:szCs w:val="11"/>
                <w:color w:val="auto"/>
              </w:rPr>
            </w:pPr>
          </w:p>
        </w:tc>
        <w:tc>
          <w:tcPr>
            <w:tcW w:w="58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gridSpan w:val="3"/>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gridSpan w:val="3"/>
            <w:shd w:val="clear" w:color="auto" w:fill="CFF0FC"/>
          </w:tcPr>
          <w:p>
            <w:pPr>
              <w:spacing w:after="0"/>
              <w:rPr>
                <w:sz w:val="11"/>
                <w:szCs w:val="11"/>
                <w:color w:val="auto"/>
              </w:rPr>
            </w:pPr>
          </w:p>
        </w:tc>
        <w:tc>
          <w:tcPr>
            <w:tcW w:w="700" w:type="dxa"/>
            <w:vAlign w:val="bottom"/>
            <w:tcBorders>
              <w:top w:val="single" w:sz="8" w:color="auto"/>
            </w:tcBorders>
            <w:gridSpan w:val="4"/>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76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280" w:type="dxa"/>
            <w:vAlign w:val="bottom"/>
            <w:tcBorders>
              <w:top w:val="single" w:sz="8" w:color="auto"/>
            </w:tcBorders>
            <w:gridSpan w:val="3"/>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560" w:type="dxa"/>
            <w:vAlign w:val="bottom"/>
            <w:tcBorders>
              <w:top w:val="single" w:sz="8" w:color="auto"/>
            </w:tcBorders>
            <w:gridSpan w:val="4"/>
            <w:shd w:val="clear" w:color="auto" w:fill="CFF0FC"/>
          </w:tcPr>
          <w:p>
            <w:pPr>
              <w:spacing w:after="0"/>
              <w:rPr>
                <w:sz w:val="11"/>
                <w:szCs w:val="11"/>
                <w:color w:val="auto"/>
              </w:rPr>
            </w:pPr>
          </w:p>
        </w:tc>
        <w:tc>
          <w:tcPr>
            <w:tcW w:w="220" w:type="dxa"/>
            <w:vAlign w:val="bottom"/>
            <w:gridSpan w:val="3"/>
            <w:shd w:val="clear" w:color="auto" w:fill="CFF0FC"/>
          </w:tcPr>
          <w:p>
            <w:pPr>
              <w:spacing w:after="0"/>
              <w:rPr>
                <w:sz w:val="11"/>
                <w:szCs w:val="11"/>
                <w:color w:val="auto"/>
              </w:rPr>
            </w:pPr>
          </w:p>
        </w:tc>
        <w:tc>
          <w:tcPr>
            <w:tcW w:w="340" w:type="dxa"/>
            <w:vAlign w:val="bottom"/>
            <w:tcBorders>
              <w:top w:val="single" w:sz="8" w:color="auto"/>
            </w:tcBorders>
            <w:gridSpan w:val="2"/>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tcBorders>
              <w:top w:val="single" w:sz="8" w:color="auto"/>
            </w:tcBorders>
            <w:gridSpan w:val="4"/>
            <w:shd w:val="clear" w:color="auto" w:fill="CFF0FC"/>
          </w:tcPr>
          <w:p>
            <w:pPr>
              <w:jc w:val="right"/>
              <w:ind w:right="522"/>
              <w:spacing w:after="0"/>
              <w:rPr>
                <w:sz w:val="20"/>
                <w:szCs w:val="20"/>
                <w:color w:val="auto"/>
              </w:rPr>
            </w:pPr>
            <w:r>
              <w:rPr>
                <w:rFonts w:ascii="Times New Roman" w:cs="Times New Roman" w:eastAsia="Times New Roman" w:hAnsi="Times New Roman"/>
                <w:sz w:val="13"/>
                <w:szCs w:val="13"/>
                <w:color w:val="auto"/>
              </w:rPr>
              <w:t>315,1</w:t>
            </w:r>
          </w:p>
        </w:tc>
        <w:tc>
          <w:tcPr>
            <w:tcW w:w="220" w:type="dxa"/>
            <w:vAlign w:val="bottom"/>
            <w:shd w:val="clear" w:color="auto" w:fill="CFF0FC"/>
          </w:tcPr>
          <w:p>
            <w:pPr>
              <w:spacing w:after="0"/>
              <w:rPr>
                <w:sz w:val="11"/>
                <w:szCs w:val="11"/>
                <w:color w:val="auto"/>
              </w:rPr>
            </w:pPr>
          </w:p>
        </w:tc>
        <w:tc>
          <w:tcPr>
            <w:tcW w:w="640" w:type="dxa"/>
            <w:vAlign w:val="bottom"/>
            <w:tcBorders>
              <w:top w:val="single" w:sz="8" w:color="auto"/>
            </w:tcBorders>
            <w:gridSpan w:val="3"/>
            <w:shd w:val="clear" w:color="auto" w:fill="CFF0FC"/>
          </w:tcPr>
          <w:p>
            <w:pPr>
              <w:spacing w:after="0"/>
              <w:rPr>
                <w:sz w:val="11"/>
                <w:szCs w:val="11"/>
                <w:color w:val="auto"/>
              </w:rPr>
            </w:pPr>
          </w:p>
        </w:tc>
        <w:tc>
          <w:tcPr>
            <w:tcW w:w="200" w:type="dxa"/>
            <w:vAlign w:val="bottom"/>
            <w:gridSpan w:val="2"/>
            <w:shd w:val="clear" w:color="auto" w:fill="CFF0FC"/>
          </w:tcPr>
          <w:p>
            <w:pPr>
              <w:spacing w:after="0"/>
              <w:rPr>
                <w:sz w:val="11"/>
                <w:szCs w:val="11"/>
                <w:color w:val="auto"/>
              </w:rPr>
            </w:pPr>
          </w:p>
        </w:tc>
        <w:tc>
          <w:tcPr>
            <w:tcW w:w="460" w:type="dxa"/>
            <w:vAlign w:val="bottom"/>
            <w:tcBorders>
              <w:top w:val="single" w:sz="8" w:color="auto"/>
            </w:tcBorders>
            <w:gridSpan w:val="4"/>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0" w:type="dxa"/>
            <w:vAlign w:val="bottom"/>
            <w:tcBorders>
              <w:top w:val="single" w:sz="8" w:color="auto"/>
            </w:tcBorders>
            <w:gridSpan w:val="3"/>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1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48,325,794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(69,619)</w:t>
            </w:r>
          </w:p>
        </w:tc>
        <w:tc>
          <w:tcPr>
            <w:tcW w:w="0" w:type="dxa"/>
            <w:vAlign w:val="bottom"/>
          </w:tcPr>
          <w:p>
            <w:pPr>
              <w:spacing w:after="0"/>
              <w:rPr>
                <w:sz w:val="1"/>
                <w:szCs w:val="1"/>
                <w:color w:val="auto"/>
              </w:rPr>
            </w:pPr>
          </w:p>
        </w:tc>
      </w:tr>
      <w:tr>
        <w:trPr>
          <w:trHeight w:val="148"/>
        </w:trPr>
        <w:tc>
          <w:tcPr>
            <w:tcW w:w="2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2"/>
                <w:szCs w:val="12"/>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20,437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2"/>
          </w:tcPr>
          <w:p>
            <w:pPr>
              <w:jc w:val="right"/>
              <w:ind w:right="1124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61"/>
        </w:trPr>
        <w:tc>
          <w:tcPr>
            <w:tcW w:w="2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99"/>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(12,153)</w:t>
            </w:r>
          </w:p>
        </w:tc>
        <w:tc>
          <w:tcPr>
            <w:tcW w:w="0" w:type="dxa"/>
            <w:vAlign w:val="bottom"/>
          </w:tcPr>
          <w:p>
            <w:pPr>
              <w:spacing w:after="0"/>
              <w:rPr>
                <w:sz w:val="1"/>
                <w:szCs w:val="1"/>
                <w:color w:val="auto"/>
              </w:rPr>
            </w:pPr>
          </w:p>
        </w:tc>
      </w:tr>
      <w:tr>
        <w:trPr>
          <w:trHeight w:val="125"/>
        </w:trPr>
        <w:tc>
          <w:tcPr>
            <w:tcW w:w="246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2"/>
            <w:shd w:val="clear" w:color="auto" w:fill="CFF0FC"/>
          </w:tcPr>
          <w:p>
            <w:pPr>
              <w:spacing w:after="0"/>
              <w:rPr>
                <w:sz w:val="10"/>
                <w:szCs w:val="10"/>
                <w:color w:val="auto"/>
              </w:rPr>
            </w:pPr>
          </w:p>
        </w:tc>
        <w:tc>
          <w:tcPr>
            <w:tcW w:w="240" w:type="dxa"/>
            <w:vAlign w:val="bottom"/>
            <w:gridSpan w:val="3"/>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4"/>
            <w:shd w:val="clear" w:color="auto" w:fill="CFF0FC"/>
          </w:tcPr>
          <w:p>
            <w:pPr>
              <w:spacing w:after="0"/>
              <w:rPr>
                <w:sz w:val="10"/>
                <w:szCs w:val="10"/>
                <w:color w:val="auto"/>
              </w:rPr>
            </w:pPr>
          </w:p>
        </w:tc>
        <w:tc>
          <w:tcPr>
            <w:tcW w:w="5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760" w:type="dxa"/>
            <w:vAlign w:val="bottom"/>
            <w:tcBorders>
              <w:top w:val="single" w:sz="8" w:color="auto"/>
            </w:tcBorders>
            <w:gridSpan w:val="3"/>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280" w:type="dxa"/>
            <w:vAlign w:val="bottom"/>
            <w:tcBorders>
              <w:top w:val="single" w:sz="8" w:color="auto"/>
            </w:tcBorders>
            <w:gridSpan w:val="3"/>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56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3"/>
            <w:shd w:val="clear" w:color="auto" w:fill="CFF0FC"/>
          </w:tcPr>
          <w:p>
            <w:pPr>
              <w:spacing w:after="0"/>
              <w:rPr>
                <w:sz w:val="10"/>
                <w:szCs w:val="10"/>
                <w:color w:val="auto"/>
              </w:rPr>
            </w:pPr>
          </w:p>
        </w:tc>
        <w:tc>
          <w:tcPr>
            <w:tcW w:w="340" w:type="dxa"/>
            <w:vAlign w:val="bottom"/>
            <w:tcBorders>
              <w:top w:val="single" w:sz="8" w:color="auto"/>
            </w:tcBorders>
            <w:gridSpan w:val="2"/>
            <w:shd w:val="clear" w:color="auto" w:fill="CFF0FC"/>
          </w:tcPr>
          <w:p>
            <w:pPr>
              <w:spacing w:after="0"/>
              <w:rPr>
                <w:sz w:val="10"/>
                <w:szCs w:val="10"/>
                <w:color w:val="auto"/>
              </w:rPr>
            </w:pPr>
          </w:p>
        </w:tc>
        <w:tc>
          <w:tcPr>
            <w:tcW w:w="200" w:type="dxa"/>
            <w:vAlign w:val="bottom"/>
            <w:gridSpan w:val="2"/>
            <w:shd w:val="clear" w:color="auto" w:fill="CFF0FC"/>
          </w:tcPr>
          <w:p>
            <w:pPr>
              <w:spacing w:after="0"/>
              <w:rPr>
                <w:sz w:val="10"/>
                <w:szCs w:val="10"/>
                <w:color w:val="auto"/>
              </w:rPr>
            </w:pPr>
          </w:p>
        </w:tc>
        <w:tc>
          <w:tcPr>
            <w:tcW w:w="480" w:type="dxa"/>
            <w:vAlign w:val="bottom"/>
            <w:tcBorders>
              <w:top w:val="single" w:sz="8" w:color="auto"/>
            </w:tcBorders>
            <w:gridSpan w:val="3"/>
            <w:shd w:val="clear" w:color="auto" w:fill="CFF0FC"/>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shd w:val="clear" w:color="auto" w:fill="CFF0FC"/>
          </w:tcPr>
          <w:p>
            <w:pPr>
              <w:spacing w:after="0"/>
              <w:rPr>
                <w:sz w:val="10"/>
                <w:szCs w:val="10"/>
                <w:color w:val="auto"/>
              </w:rPr>
            </w:pPr>
          </w:p>
        </w:tc>
        <w:tc>
          <w:tcPr>
            <w:tcW w:w="640" w:type="dxa"/>
            <w:vAlign w:val="bottom"/>
            <w:tcBorders>
              <w:top w:val="single" w:sz="8" w:color="auto"/>
            </w:tcBorders>
            <w:gridSpan w:val="3"/>
            <w:shd w:val="clear" w:color="auto" w:fill="CFF0FC"/>
          </w:tcPr>
          <w:p>
            <w:pPr>
              <w:spacing w:after="0"/>
              <w:rPr>
                <w:sz w:val="10"/>
                <w:szCs w:val="10"/>
                <w:color w:val="auto"/>
              </w:rPr>
            </w:pPr>
          </w:p>
        </w:tc>
        <w:tc>
          <w:tcPr>
            <w:tcW w:w="200" w:type="dxa"/>
            <w:vAlign w:val="bottom"/>
            <w:gridSpan w:val="2"/>
            <w:shd w:val="clear" w:color="auto" w:fill="CFF0FC"/>
          </w:tcPr>
          <w:p>
            <w:pPr>
              <w:spacing w:after="0"/>
              <w:rPr>
                <w:sz w:val="10"/>
                <w:szCs w:val="10"/>
                <w:color w:val="auto"/>
              </w:rPr>
            </w:pPr>
          </w:p>
        </w:tc>
        <w:tc>
          <w:tcPr>
            <w:tcW w:w="460" w:type="dxa"/>
            <w:vAlign w:val="bottom"/>
            <w:tcBorders>
              <w:top w:val="single" w:sz="8" w:color="auto"/>
            </w:tcBorders>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(396,</w:t>
            </w:r>
          </w:p>
        </w:tc>
        <w:tc>
          <w:tcPr>
            <w:tcW w:w="200" w:type="dxa"/>
            <w:vAlign w:val="bottom"/>
            <w:shd w:val="clear" w:color="auto" w:fill="CFF0FC"/>
          </w:tcPr>
          <w:p>
            <w:pPr>
              <w:spacing w:after="0"/>
              <w:rPr>
                <w:sz w:val="10"/>
                <w:szCs w:val="10"/>
                <w:color w:val="auto"/>
              </w:rPr>
            </w:pPr>
          </w:p>
        </w:tc>
        <w:tc>
          <w:tcPr>
            <w:tcW w:w="800" w:type="dxa"/>
            <w:vAlign w:val="bottom"/>
            <w:tcBorders>
              <w:top w:val="single" w:sz="8" w:color="auto"/>
            </w:tcBorders>
            <w:gridSpan w:val="3"/>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3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gridSpan w:val="2"/>
            <w:shd w:val="clear" w:color="auto" w:fill="CFF0FC"/>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gridSpan w:val="3"/>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gridSpan w:val="2"/>
            <w:shd w:val="clear" w:color="auto" w:fill="CFF0FC"/>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6"/>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952</w:t>
            </w:r>
          </w:p>
        </w:tc>
        <w:tc>
          <w:tcPr>
            <w:tcW w:w="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-2167890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-2167890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-2167890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-2167890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-2167890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-2167890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-2167890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-2167890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-2167890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-2167890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-2167890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(177,350)</w:t>
            </w:r>
          </w:p>
        </w:tc>
        <w:tc>
          <w:tcPr>
            <w:tcW w:w="8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(28,896)</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(109,261)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 related party, net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(1,841)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(6,964)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(32,373)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68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(681)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and PIPE financing, net of transaction costs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(4,332)</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advances to related party</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11,428</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105,858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Components of cash, cash equivalents and restricted cash:</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acquired in accounts payable and accrued expenses and other current</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Capitalized deferred offering costs included in accounts payable and accrued expenses and other</w:t>
            </w: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Conversion of convertible notes to common stock</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314,334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exercise of warrants for common stock</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warrants for professional services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shareholder note receivable</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Redemption of common shares with cash held in escrow</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-3942715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-2905125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-2373630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-2356485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-1824990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-1808480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09"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three separate operating entities: Blaize, Inc. (United States of America), Blaize New Computing Technologies India Private Limited (India), and Blaize U.K. LTD (England).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35% ownership. As of June 30, 2025, there has not been an operating agreement executed between the Company and the holder of the 65% interest that would make us the primary beneficiary of this new legal entity. The newly established entity has incurred insignificant expenses since its incorporation. As of June 30, 2025, the Company no longer plans to move forward with the collaboration and intends to dissolve the relationship.</w:t>
      </w:r>
    </w:p>
    <w:p>
      <w:pPr>
        <w:spacing w:after="0" w:line="7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3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June 30, 2025, the Company has funded its operations primarily with cash flows from contributions from founders or other investors and other financing activities. The Company has incurred recurring losses and negative cash flows since its inception, including net losses of $177.4 million and $28.9 million for the six months ended June 30, 2025 and 2024, respectively. As of June 30, 2025, the Company had cash and cash equivalents of approximately $28.6 million, and an accumulated deficit of $606.6 million.</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7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cash and cash equivalents balances, inclusive of funds held in escrow, in excess of domestic and international insurance limits of approximately $27.9 million and $49.3 million,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held $23.3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June 30, 2025 and December 31, 2024, restricted cash of $0.3 million was included within other assets on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 held $0.5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six months ended June 30, 2025. As of June 30, 2025 and December 31, 2024, there were $0.4 million and $11.1 million, respectively, of capitalized deferred offering costs included in prepaid expenses and other current assets on the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six months ended June 30, 2025 and 2024, the Company did not recognize any impairment expense related to its long-lived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was subject to fair value remeasurement at each balance sheet date, with changes in fair value recorded in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holders of stock options and restricted stock units (“RSUs”) are entitled to receive up to 15,000,000 shares of the Company’s Class A common stock (the “Earnout Shares”) (see Note 3). Earnout Shares issued to eligible Legacy Blaize equity holders are considered a compensatory award and are accounted for under ASC 718,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72" w:lineRule="exact"/>
        <w:rPr>
          <w:sz w:val="20"/>
          <w:szCs w:val="20"/>
          <w:color w:val="auto"/>
        </w:rPr>
      </w:pPr>
    </w:p>
    <w:p>
      <w:pPr>
        <w:jc w:val="both"/>
        <w:ind w:right="200" w:firstLine="449"/>
        <w:spacing w:after="0" w:line="255" w:lineRule="auto"/>
        <w:rPr>
          <w:sz w:val="20"/>
          <w:szCs w:val="20"/>
          <w:color w:val="auto"/>
        </w:rPr>
      </w:pPr>
      <w:r>
        <w:rPr>
          <w:rFonts w:ascii="Times New Roman" w:cs="Times New Roman" w:eastAsia="Times New Roman" w:hAnsi="Times New Roman"/>
          <w:sz w:val="18"/>
          <w:szCs w:val="18"/>
          <w:color w:val="auto"/>
        </w:rPr>
        <w:t xml:space="preserve">Burkhan has the right to receive up to an aggregate amount of 2,600,000 shares of Blaize common stock.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(see Note 3). The Company determined that the Earnout Shares are freestanding and not liability classified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such Earnout Shares will be remeasured at each reporting date with changes in the fair value recorded to earnings on the condensed consolidated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In June 2025, the Company redeemed 2,800,489 shares of common stock. As of June 30, 2025, no shares of common stock are subject to possible redemption.</w:t>
      </w:r>
    </w:p>
    <w:p>
      <w:pPr>
        <w:spacing w:after="0" w:line="7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June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7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tbl>
      <w:tblPr>
        <w:tblLayout w:type="fixed"/>
        <w:tblInd w:w="0" w:type="dxa"/>
        <w:tblCellMar>
          <w:top w:w="0" w:type="dxa"/>
          <w:left w:w="0" w:type="dxa"/>
          <w:bottom w:w="0" w:type="dxa"/>
          <w:right w:w="0" w:type="dxa"/>
        </w:tblCellMar>
      </w:tblPr>
      <w:tr>
        <w:trPr>
          <w:trHeight w:val="15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Additions to deferred revenue</w:t>
            </w:r>
            <w:r>
              <w:rPr>
                <w:rFonts w:ascii="Times New Roman" w:cs="Times New Roman" w:eastAsia="Times New Roman" w:hAnsi="Times New Roman"/>
                <w:sz w:val="24"/>
                <w:szCs w:val="24"/>
                <w:color w:val="auto"/>
                <w:vertAlign w:val="superscript"/>
              </w:rPr>
              <w:t>(1)</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6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-156845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-156845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04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20" w:hanging="4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deferred revenue during the three and six months ended June 30, 2025 are from related parties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-95885</wp:posOffset>
            </wp:positionV>
            <wp:extent cx="33604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six months ended June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13).</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pacing w:after="0" w:line="77" w:lineRule="exact"/>
        <w:rPr>
          <w:sz w:val="20"/>
          <w:szCs w:val="20"/>
          <w:color w:val="auto"/>
        </w:rPr>
      </w:pPr>
    </w:p>
    <w:p>
      <w:pPr>
        <w:jc w:val="both"/>
        <w:ind w:left="780" w:right="20" w:hanging="7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78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jc w:val="both"/>
        <w:ind w:left="780" w:right="2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w:t>
      </w:r>
    </w:p>
    <w:p>
      <w:pPr>
        <w:spacing w:after="0" w:line="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six months ended June 30, 2025 and 2024, foreign currency transaction gains and losses were immaterial.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(see Note 15), accounted for approximately 58% and 30% of the Company's accounts receivable. As of December 31, 2024, one customer accounted for approximately 98% of the Company’s accounts receivable.</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underlying awards of restricted common stock and unissued shares of common stock that the Company is contractually obligated to issue.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 and as such, the Company's only participating securities for the three and six months ended June 30, 2025 and 2024 are shares of the Company's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7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Blaize for the annual period ended December 31, 2025. The Company is currently evaluating the impact that the adoption of this ASU will have on the consolidated financial statements.</w:t>
      </w:r>
    </w:p>
    <w:p>
      <w:pPr>
        <w:spacing w:after="0" w:line="6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7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June 30, 2025.</w:t>
      </w:r>
    </w:p>
    <w:p>
      <w:pPr>
        <w:spacing w:after="0" w:line="8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six months ended June 30, 2025:</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15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9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9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9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24"/>
        </w:trPr>
        <w:tc>
          <w:tcPr>
            <w:tcW w:w="7720" w:type="dxa"/>
            <w:vAlign w:val="bottom"/>
          </w:tcPr>
          <w:p>
            <w:pPr>
              <w:spacing w:after="0"/>
              <w:rPr>
                <w:sz w:val="10"/>
                <w:szCs w:val="10"/>
                <w:color w:val="auto"/>
              </w:rPr>
            </w:pPr>
          </w:p>
        </w:tc>
        <w:tc>
          <w:tcPr>
            <w:tcW w:w="15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772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-659130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-641985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-641985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72" w:lineRule="exact"/>
        <w:rPr>
          <w:sz w:val="20"/>
          <w:szCs w:val="20"/>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7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During the three and six months ended June 30, 2025, the Company recorded $4.1 million and $7.6 million, respectively, in stock-based compensation expense related to the Employee Earnout Shares. During the three and six months ended June 30, 2025, 18,399 and 55,489 employee earnout shares, respectively, were forfeited due to employee terminations.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there was approximately $74.6 million of total unrecognized compensation cost related to the Employee Earnout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9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3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3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-728345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-710565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-728345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-710565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-728345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-710565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tbl>
      <w:tblPr>
        <w:tblLayout w:type="fixed"/>
        <w:tblInd w:w="0" w:type="dxa"/>
        <w:tblCellMar>
          <w:top w:w="0" w:type="dxa"/>
          <w:left w:w="0" w:type="dxa"/>
          <w:bottom w:w="0" w:type="dxa"/>
          <w:right w:w="0" w:type="dxa"/>
        </w:tblCellMar>
      </w:tblPr>
      <w:tr>
        <w:trPr>
          <w:trHeight w:val="156"/>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Unissued common stock liability</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-2750820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-2750820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-2750820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-1885315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-1885315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-1868170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-1885315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-1868170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-882015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-865505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-865505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-865505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 The accrued liability associated with unissued shares of the Company's common stock due to advisors of the Company under service contracts is also included as a Level 1 instrument as it uses the Company's common stock price as of period end for remeasurement. The unissued common stock liability is included within accrued expenses and other current liabilities on the condensed consolidated balance sheet as of June 30, 2025.</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 of earnout share liabilities. The Company has elected to apply the fair value option to measure all historical convertible notes and warrant liabilities (see Notes 8 and 9) due to the nature of their embedded features.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the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fair values of the Company's Level 3 liabilities during the three and six months ended June 30, 2025 and 2024, were as follows:</w:t>
      </w: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920" w:type="dxa"/>
            <w:vAlign w:val="bottom"/>
          </w:tcPr>
          <w:p>
            <w:pPr>
              <w:jc w:val="center"/>
              <w:ind w:right="97"/>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9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-659130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-642620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-659130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-642620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-659130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-642620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-659130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3"/>
                <w:szCs w:val="13"/>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9,507</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16,764</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40" w:type="dxa"/>
            <w:vAlign w:val="bottom"/>
            <w:gridSpan w:val="6"/>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16,042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24"/>
                <w:szCs w:val="24"/>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8,154</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Issuance of 2023 convertible note warrants and related warrants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-2322195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-2305050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-2322195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-2305050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-2322195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-2305050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-2305050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-1173480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-1156970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-1173480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-1156970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-1173480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-1173480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-1156970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231F20"/>
        </w:rPr>
        <w:t>The Company's convertible notes and related warrants outstanding as of December 31, 2024 were classified within level 3 of the fair value hierarchy because there was no active market for the liabilities or similar instruments.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tbl>
      <w:tblPr>
        <w:tblLayout w:type="fixed"/>
        <w:tblInd w:w="0" w:type="dxa"/>
        <w:tblCellMar>
          <w:top w:w="0" w:type="dxa"/>
          <w:left w:w="0" w:type="dxa"/>
          <w:bottom w:w="0" w:type="dxa"/>
          <w:right w:w="0" w:type="dxa"/>
        </w:tblCellMar>
      </w:tblPr>
      <w:tr>
        <w:trPr>
          <w:trHeight w:val="15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11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provision for income taxes of $39 thousand and $0.2 million, respectively, which represented effective tax rates of (0.1)%, respectively, while during the three and six months ended June 30, 2024, the Company recorded a provision for income taxes of $0.1 million and $0.3 million respectively, which represented effective tax rates of (1.1)% and (1.0)%, respectively. The effective income tax rates for the three and six months ended June 30, 2025 and 2024 are different from the U.S. federal statutory rate of 21.0% due to the valuation allowance.</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The Company is in the process of evaluating the impact of OBBBA on our condensed consolidated financial statements. Any results of such evaluations will be reflected in the Company's consolidated financial statements included in the Company's Annual Report on Form 10-K for the year ended December 31,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5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remains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Blaize's common stock issuable upon the conversion of the notes, all Company shares issuable upon the exercise of warrants issued to the RT Parties, and all securities of Blaize to be issued to the RT Parties upon the consummation of the Merger.</w:t>
      </w:r>
    </w:p>
    <w:p>
      <w:pPr>
        <w:spacing w:after="0" w:line="79"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79"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June 30, 2025 and December 31, 2024, the Company had outstanding Working Capital Loans of $1.5 million and zero,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June 30, 2025 and December 31, 2024, the Company had outstanding advances from the related party in the amount of $2.9 million and zero,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net exercised, and were automatically converted into shares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17" w:lineRule="exact"/>
        <w:rPr>
          <w:sz w:val="20"/>
          <w:szCs w:val="20"/>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900" w:right="20" w:hanging="443"/>
        <w:spacing w:after="0" w:line="28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6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they will not be transferable, assignable or saleable until 30 days after the consummation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six months ended June 30, 2025 was approximately $42 thousand and $54 thousand, respectively.</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7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37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Company’s operating leases had a weighted average remaining lease term of 3.0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9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0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there were 600,000,000 and 136,562,809 shares of common stock authorized, respectively, and 98,881,933 and 48,376,052 shares issued and outstanding,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20" w:type="dxa"/>
            <w:vAlign w:val="bottom"/>
          </w:tcPr>
          <w:p>
            <w:pPr>
              <w:spacing w:after="0"/>
              <w:rPr>
                <w:sz w:val="13"/>
                <w:szCs w:val="13"/>
                <w:color w:val="auto"/>
              </w:rPr>
            </w:pPr>
          </w:p>
        </w:tc>
        <w:tc>
          <w:tcPr>
            <w:tcW w:w="172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Unissued shares of common stock</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769,231</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39,959,756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31,991,752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Equity awards available for future issuance</w:t>
            </w:r>
            <w:r>
              <w:rPr>
                <w:rFonts w:ascii="Times New Roman" w:cs="Times New Roman" w:eastAsia="Times New Roman" w:hAnsi="Times New Roman"/>
                <w:sz w:val="24"/>
                <w:szCs w:val="24"/>
                <w:color w:val="auto"/>
                <w:vertAlign w:val="superscript"/>
              </w:rPr>
              <w:t>(2)</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25,199,024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113,226,261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33,728,438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-10795</wp:posOffset>
            </wp:positionV>
            <wp:extent cx="21945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769,231 shares of common stock due to an advisor to satisfy an outstanding liability, which will be issued from outside the 2025 Equity Incentive Plan</w:t>
      </w:r>
    </w:p>
    <w:p>
      <w:pPr>
        <w:spacing w:after="0" w:line="2"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16,000 shares of common stock due to an advisor to satisfy an outstanding liability, which will be issued from the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-200025</wp:posOffset>
            </wp:positionV>
            <wp:extent cx="21945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4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3,196</w:t>
            </w:r>
          </w:p>
        </w:tc>
        <w:tc>
          <w:tcPr>
            <w:tcW w:w="106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4,370</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7,566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During the three months ended June 30, 2025, the Company authorized an increase of 5,102,758 shares available for issuance under the 2025 Incentive Plan, bringing the total authorized shares available under the 2025 Incentive Plan to approximately 30.5 million.</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Company commenced the granting of equity awards under the 2025 Incentive Plan. As of June 30, 2025, approximately 22.1 million shares of common stock were reserved for issuance under the plan.</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Equity Incentive Plan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left="16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9.2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(348,653)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June 30,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June 30,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9,438,159</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7.9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-333375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-350520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-333375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$16.2 million of total unrecognized compensation cost related to unvested stock options, which is expected to be recognized over a weighted average period of 2.1 years.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six months ended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11,947,774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2,853,562 shares of common stock that are subject to the release of the vested RSU have not been issued to the holders but have been included in the weighted average shares outstanding calculation for purposes of earning per share (see Note 17).</w:t>
      </w:r>
    </w:p>
    <w:p>
      <w:pPr>
        <w:spacing w:after="0" w:line="5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$22.2 million of total unrecognized compensation cost related to unvested RSUs, which is expected to be recognized over a weighted average period of 3.0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approximately 3.0 million shares of common stock were reserved for issuance pursuant to the 2025 ESPP. As of June 30, 2025, no offers have been made to purchase shares of the Company's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outstanding purchase orders and contractual obligations totaling approximately $2.0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6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The Company purchased inventories due to this obligation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20" w:type="dxa"/>
            <w:vAlign w:val="bottom"/>
          </w:tcPr>
          <w:p>
            <w:pPr>
              <w:spacing w:after="0"/>
              <w:rPr>
                <w:sz w:val="13"/>
                <w:szCs w:val="13"/>
                <w:color w:val="auto"/>
              </w:rPr>
            </w:pPr>
          </w:p>
        </w:tc>
        <w:tc>
          <w:tcPr>
            <w:tcW w:w="2820" w:type="dxa"/>
            <w:vAlign w:val="bottom"/>
            <w:gridSpan w:val="4"/>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June 30, 2025 and December 31, 2024, the liability balance of our accrued losses on purchase commitments equaled $0.6 million on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5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6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June 30,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June 30,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8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 Pursuant to the Referral Agreement, the Sales Partner will, on a non-exclusive basis, promote certain of our products and refer potential customers to us. The Company may approve or reject any customer opportunity presented by the Sales Partner in its sole discretion. For any approved customer opportunity, the Sales Partner and Blaize will negotiate in good faith on the commissions payable to the Sales Partner.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approximately $56.5 million of the Company's products on behalf of an unaffiliated end user, beginning in the second quarter of 2025 through 2026. BST will receive a financing fee of 2.5% of the total purchase price from the end user and the Sales Partner will receive a commission, payable by Blaize, of up to 10%, depending on our gross margins under the purchase order, payable in cash or partially, at our discretion, in shares of the Company's common stock.</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pursuant to the Referral Agreement, the Company recognized $1.6 million in revenue from sales to an affiliate of Burkhan, inclusive of a $0.2 million sales commission to Burkhan which was reported as a reduction of revenue, and as accrued expense as of June 30, 2025. During the three and six months ended June 30, 2024, the Company recognized revenue of approximately $0.2 million and $0.8 million, respectively, approximately 99% of total revenue in the periods, from sales to two minority stockholders.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there was $1.8 million in accounts receivable that was due from an affiliate of Burkhan, while as of December 31, 2024 there was no amounts due from this customer. As of June 30, 2025 and December 31, 2024, there were no accounts receivable due from the two minority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w:t>
      </w:r>
      <w:r>
        <w:rPr>
          <w:rFonts w:ascii="Times New Roman" w:cs="Times New Roman" w:eastAsia="Times New Roman" w:hAnsi="Times New Roman"/>
          <w:sz w:val="18"/>
          <w:szCs w:val="18"/>
          <w:color w:val="242424"/>
        </w:rPr>
        <w:t>As of December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six months ended June 30, 2025, the change </w:t>
      </w:r>
      <w:r>
        <w:rPr>
          <w:rFonts w:ascii="Times New Roman" w:cs="Times New Roman" w:eastAsia="Times New Roman" w:hAnsi="Times New Roman"/>
          <w:sz w:val="18"/>
          <w:szCs w:val="18"/>
          <w:color w:val="000000"/>
        </w:rPr>
        <w:t>in fair value for the respective</w:t>
      </w:r>
      <w:r>
        <w:rPr>
          <w:rFonts w:ascii="Times New Roman" w:cs="Times New Roman" w:eastAsia="Times New Roman" w:hAnsi="Times New Roman"/>
          <w:sz w:val="18"/>
          <w:szCs w:val="18"/>
          <w:color w:val="242424"/>
        </w:rPr>
        <w:t xml:space="preserve"> 2023 Convertible Note was </w:t>
      </w:r>
      <w:r>
        <w:rPr>
          <w:rFonts w:ascii="Times New Roman" w:cs="Times New Roman" w:eastAsia="Times New Roman" w:hAnsi="Times New Roman"/>
          <w:sz w:val="18"/>
          <w:szCs w:val="18"/>
          <w:color w:val="000000"/>
        </w:rPr>
        <w:t>zero and $6.0 million, respectively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(see Note 5). </w:t>
      </w:r>
      <w:r>
        <w:rPr>
          <w:rFonts w:ascii="Times New Roman" w:cs="Times New Roman" w:eastAsia="Times New Roman" w:hAnsi="Times New Roman"/>
          <w:sz w:val="18"/>
          <w:szCs w:val="18"/>
          <w:color w:val="242424"/>
        </w:rPr>
        <w:t>During the three and six months ended June 30, 2024, the changes</w:t>
      </w:r>
      <w:r>
        <w:rPr>
          <w:rFonts w:ascii="Times New Roman" w:cs="Times New Roman" w:eastAsia="Times New Roman" w:hAnsi="Times New Roman"/>
          <w:sz w:val="18"/>
          <w:szCs w:val="18"/>
          <w:color w:val="000000"/>
        </w:rPr>
        <w:t xml:space="preserve"> in fair value for the respective </w:t>
      </w:r>
      <w:r>
        <w:rPr>
          <w:rFonts w:ascii="Times New Roman" w:cs="Times New Roman" w:eastAsia="Times New Roman" w:hAnsi="Times New Roman"/>
          <w:sz w:val="18"/>
          <w:szCs w:val="18"/>
          <w:color w:val="242424"/>
        </w:rPr>
        <w:t>2023 Convertible Note and 2023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Convertible Note Warrants </w:t>
      </w:r>
      <w:r>
        <w:rPr>
          <w:rFonts w:ascii="Times New Roman" w:cs="Times New Roman" w:eastAsia="Times New Roman" w:hAnsi="Times New Roman"/>
          <w:sz w:val="18"/>
          <w:szCs w:val="18"/>
          <w:color w:val="000000"/>
        </w:rPr>
        <w:t>equaled $(0.6) million and $0.3 million, respectively, and $(0.3) million and $(0.3) million, respectively (see Note 5).</w:t>
      </w:r>
    </w:p>
    <w:p>
      <w:pPr>
        <w:spacing w:after="0" w:line="8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representing zero and approximately 43% of total revenues for the three and six months ended June 30,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w:t>
      </w:r>
      <w:r>
        <w:rPr>
          <w:rFonts w:ascii="Times New Roman" w:cs="Times New Roman" w:eastAsia="Times New Roman" w:hAnsi="Times New Roman"/>
          <w:sz w:val="18"/>
          <w:szCs w:val="18"/>
          <w:color w:val="242424"/>
        </w:rPr>
        <w:t>his related party’s respective P2P Note and P2P Warrants were converted into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Merger (see Note 3). </w:t>
      </w:r>
      <w:r>
        <w:rPr>
          <w:rFonts w:ascii="Times New Roman" w:cs="Times New Roman" w:eastAsia="Times New Roman" w:hAnsi="Times New Roman"/>
          <w:sz w:val="18"/>
          <w:szCs w:val="18"/>
          <w:color w:val="000000"/>
        </w:rPr>
        <w:t>During the three and six months ended June 30, 2025, the change in fair value for the respective P2P Note was zero and $7.2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respectively (see Note 5). During the three and six months ended June 30, 2024, the change in fair value for the respective P2P Note and P2P Warrants was $0.4 million and $0.4 million, respectively, and $(20) thousand and $(12) thousand, respectively (see Note 5).</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2022, one of the minority stockholders with which we had a prior revenue arrangement, representing approximately 99% and 56% of total revenues for the three and six months ended June 30, 2024, respectively, and 98% of accounts receivable as of December 31, 2024,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w:t>
      </w:r>
      <w:r>
        <w:rPr>
          <w:rFonts w:ascii="Times New Roman" w:cs="Times New Roman" w:eastAsia="Times New Roman" w:hAnsi="Times New Roman"/>
          <w:sz w:val="18"/>
          <w:szCs w:val="18"/>
          <w:color w:val="242424"/>
        </w:rPr>
        <w:t>2022 P2P Note and P2P Warrants were converted into common stock in connection with the Merger (see Note 3).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three and six months ended June 30, 2025</w:t>
      </w:r>
      <w:r>
        <w:rPr>
          <w:rFonts w:ascii="Times New Roman" w:cs="Times New Roman" w:eastAsia="Times New Roman" w:hAnsi="Times New Roman"/>
          <w:sz w:val="18"/>
          <w:szCs w:val="18"/>
          <w:color w:val="000000"/>
        </w:rPr>
        <w:t>, the changes in fair value for this set of P2P Notes were zero and $0.8 million, respectively (see Note 5). During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 three and six months ended June 30, 2024, the changes in fair value for this set of P2P Note and P2P Note Warrants were immaterial (see Note 5).</w:t>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June 30, 2025, payment on the note had not yet been received.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zero and $0.2 million, respectively, of marketing expenses paid to a company owned by a direct family member of one of our minority stockholders and board of directors. During the three and six months ended June 30, 2024, the Company incurred no such marketing expenses.</w:t>
      </w:r>
    </w:p>
    <w:p>
      <w:pPr>
        <w:spacing w:after="0" w:line="68" w:lineRule="exact"/>
        <w:rPr>
          <w:sz w:val="20"/>
          <w:szCs w:val="20"/>
          <w:color w:val="auto"/>
        </w:rPr>
      </w:pPr>
    </w:p>
    <w:p>
      <w:pPr>
        <w:ind w:right="1540" w:firstLine="449"/>
        <w:spacing w:after="0" w:line="375" w:lineRule="auto"/>
        <w:rPr>
          <w:sz w:val="20"/>
          <w:szCs w:val="20"/>
          <w:color w:val="auto"/>
        </w:rPr>
      </w:pPr>
      <w:r>
        <w:rPr>
          <w:rFonts w:ascii="Times New Roman" w:cs="Times New Roman" w:eastAsia="Times New Roman" w:hAnsi="Times New Roman"/>
          <w:sz w:val="18"/>
          <w:szCs w:val="18"/>
          <w:color w:val="auto"/>
        </w:rPr>
        <w:t xml:space="preserve">As of June 30, 2025, the Company has amounts due for a Working Capital Loan and advances from a related party (see Note 8). </w:t>
      </w:r>
      <w:r>
        <w:rPr>
          <w:rFonts w:ascii="Times New Roman" w:cs="Times New Roman" w:eastAsia="Times New Roman" w:hAnsi="Times New Roman"/>
          <w:sz w:val="18"/>
          <w:szCs w:val="18"/>
          <w:b w:val="1"/>
          <w:bCs w:val="1"/>
          <w:color w:val="auto"/>
        </w:rPr>
        <w:t>Note 16. Segment Reporting</w:t>
      </w:r>
    </w:p>
    <w:p>
      <w:pPr>
        <w:spacing w:after="0" w:line="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adjusted for irregular items (“Adjusted EBITDA”), to make decisions regarding the allocation of resources and assessment of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costs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(15,242)</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(8,172)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(34,323)</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costs</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(7,557)</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(117,087)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(24,171)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(29,589)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(177,350)</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460" w:hanging="452"/>
        <w:spacing w:after="0" w:line="261" w:lineRule="auto"/>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marketing expense, professional fees, income tax expense, facilities costs, foreign currency exchange gains and losses, credit loss expense, and other overhead expenses</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80" w:type="dxa"/>
            <w:vAlign w:val="bottom"/>
          </w:tcPr>
          <w:p>
            <w:pPr>
              <w:spacing w:after="0"/>
              <w:rPr>
                <w:sz w:val="13"/>
                <w:szCs w:val="13"/>
                <w:color w:val="auto"/>
              </w:rPr>
            </w:pP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(29,589)</w:t>
            </w:r>
          </w:p>
        </w:tc>
        <w:tc>
          <w:tcPr>
            <w:tcW w:w="9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(12,153)</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(177,350)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(29,408)</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(12,471)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(177,215)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(28,570)</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(12,933)</w:t>
            </w:r>
          </w:p>
        </w:tc>
        <w:tc>
          <w:tcPr>
            <w:tcW w:w="9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-156845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-156845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-156845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-10795</wp:posOffset>
            </wp:positionV>
            <wp:extent cx="41490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jc w:val="both"/>
        <w:ind w:left="460" w:hanging="452"/>
        <w:spacing w:after="0" w:line="241"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includes, but is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-301625</wp:posOffset>
            </wp:positionV>
            <wp:extent cx="41490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52"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5"/>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8"/>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Fixed Assets</w:t>
            </w:r>
          </w:p>
        </w:tc>
        <w:tc>
          <w:tcPr>
            <w:tcW w:w="22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(29,589)</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60"/>
              <w:spacing w:after="0" w:line="241"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104,588,373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13,623,106</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98,374,632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13,618,188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-1631315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-1631315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-1631315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-1631315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460" w:hanging="452"/>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2,853,562 vested but unissued shares underlying awards of restricted common stock and 785,231 shares that the Company is contractually obligated to issue.</w:t>
      </w:r>
    </w:p>
    <w:p>
      <w:pPr>
        <w:spacing w:after="0" w:line="9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w:t>
      </w:r>
      <w:r>
        <w:rPr>
          <w:rFonts w:ascii="Times New Roman" w:cs="Times New Roman" w:eastAsia="Times New Roman" w:hAnsi="Times New Roman"/>
          <w:sz w:val="14"/>
          <w:szCs w:val="14"/>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9" w:lineRule="exact"/>
        <w:rPr>
          <w:sz w:val="20"/>
          <w:szCs w:val="20"/>
          <w:color w:val="auto"/>
        </w:rPr>
      </w:pPr>
    </w:p>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tbl>
      <w:tblPr>
        <w:tblLayout w:type="fixed"/>
        <w:tblInd w:w="0" w:type="dxa"/>
        <w:tblCellMar>
          <w:top w:w="0" w:type="dxa"/>
          <w:left w:w="0" w:type="dxa"/>
          <w:bottom w:w="0" w:type="dxa"/>
          <w:right w:w="0" w:type="dxa"/>
        </w:tblCellMar>
      </w:tblPr>
      <w:tr>
        <w:trPr>
          <w:trHeight w:val="156"/>
        </w:trPr>
        <w:tc>
          <w:tcPr>
            <w:tcW w:w="4200" w:type="dxa"/>
            <w:vAlign w:val="bottom"/>
          </w:tcPr>
          <w:p>
            <w:pPr>
              <w:spacing w:after="0"/>
              <w:rPr>
                <w:sz w:val="13"/>
                <w:szCs w:val="13"/>
                <w:color w:val="auto"/>
              </w:rPr>
            </w:pPr>
          </w:p>
        </w:tc>
        <w:tc>
          <w:tcPr>
            <w:tcW w:w="3320" w:type="dxa"/>
            <w:vAlign w:val="bottom"/>
            <w:gridSpan w:val="3"/>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3460" w:type="dxa"/>
            <w:vAlign w:val="bottom"/>
            <w:gridSpan w:val="4"/>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0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Blaize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Private warrants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 defined contribution pension scheme in the UK for employees and makes employer contributions to this scheme on behalf of those employees. The Company recorded $0.2 million and $0.3 million in contributions during the three and six months ended June 30, 2025 and $0.3 million in contributions for both the three and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June 30, 2025 and December 31, 2024, the related liability is included within accrued compensation on the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Held-in-Escrow</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July 10, 2025, the Company received the $0.5 million of funds previously held in escrow. As of the filing date of these condensed consolidated financial statements, the Company has nothing held in escrow.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“Purchase Agreement”) and a related Registration Rights Agreement (the “Registration Rights Agreement”) with B. Riley Principal Capital II, LLC (“B. Riley”). Upon the terms and subject to the satisfaction of the conditions set forth in the Purchase Agreement, the Company will have the right, in its sole discretion, to sell to B. Riley up to an aggregate of $50,000,000 of newly issued shares of the Company’s common stock, par value $0.0001 per share (the “Common Stock”), subject to certain conditions and limitations contained in the Purchase Agreement, from time to time during the term of the Purchase Agreement. Sales of shares of the Company's common stock to B. Riley under the Purchase Agreement, and the timing of any such sales, are solely at the Company’s option, and the Company is under no obligation to sell any securities to B. Riley under the Purchase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16, 2025, the Company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SEC on April 15,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7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809"/>
        <w:spacing w:after="0" w:line="253"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“Purchase Agreement”) and a related Registration Rights Agreement with B. Riley Principal Capital II, LLC (“B. Riley Principal Capital II”). Upon the terms and subject to the satisfaction of the conditions set forth in the Purchase Agreement, the Company will have the right, in its sole discretion, to sell to B. Riley Principal Capital II up to an aggregate of $50,000,000 of our newly issued shares of common stock, subject to certain conditions and limitations contained in the Purchase Agreement, from time to time during the term of the Purchase Agreement, including that (i) B. Riley Principal Capital II be provided rights to purchase shares at a price based on the volume-weighted average price of the Common Stock, with a 3% discount, and (ii) that we may issue no more than the number of shares equal to 19.99% of the aggregate number of our issued and outstanding shares of common stock as of immediately prior to the execution of the Purchase Agreement without</w:t>
      </w:r>
    </w:p>
    <w:p>
      <w:pPr>
        <w:spacing w:after="0" w:line="3" w:lineRule="exact"/>
        <w:rPr>
          <w:sz w:val="20"/>
          <w:szCs w:val="20"/>
          <w:color w:val="auto"/>
        </w:rPr>
      </w:pPr>
    </w:p>
    <w:p>
      <w:pPr>
        <w:jc w:val="both"/>
        <w:ind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obtaining stockholder approval or (b) ensuring that the price per share paid by B. Riley Principal Capital II for all shares purchased equals or exceeds $2.9318 per share, which would allow the issuance to exceed the Exchange Cap under applicable Nasdaq rules. We plan to use proceeds from these sales for strategic initiatives, including the commercialization of a South Asia smart infrastructure contract and investment in next-generation technology. As of August 14, 2025, sales under the Purchase Agreement had not yet commenced.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Pursuant to the Referral Agreement, the Sales Partner will, on a non-exclusive basis, promote certain of our products and refer potential customers to us. We may approve or reject any customer opportunity presented by the Sales Partner in its sole discretion. For any approved customer opportunity, the Sales Partner and us will negotiate in good faith on the commission payable to the Sales Partner.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3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as described in the referral exhibit thereto (the “Referral Exhibit”). Under the Referral Exhibit, BST will purchase up to approximately $56.5 million of our products on behalf of an unaffiliated end user, beginning in the second quarter of 2025 through 2026. BST will receive a financing fee of 2.5% of the total purchase price from the end user and Sales Partner will receive a commission payable by us of up to 10%, depending on our gross margins under the purchase order, payable in cash or partially, at our discretion, in shares of our common stock, as described in the Referral Exhibit.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Blaize has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 of Concept Stage</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significant value proposition along with its tailored use scenarios and satisfaction of customer and/or partner requirements. As of June 30, 2025, a total of 49 POCs have been initiated or are in progress with a potential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June 30, 2025, Blaize has a total of 36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June 30, 2025, a total of 25 Design Wins have been confirmed with a Partner or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17" w:lineRule="exact"/>
        <w:rPr>
          <w:sz w:val="20"/>
          <w:szCs w:val="20"/>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this involves providing customized design services to our customers, tailored to their specific requirements.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this encompasses the sale of our applications and other software products through various licensing agreements.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(“cost of revenue”),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 costs primarily consist of direct incremental legal, consulting and banking fees primarily related to the Merger.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Blaize’s condensed consolidated statements of operations data for the three and six months ended June 30, 2025 and 2024, respectively, as well as changes between periods. The period-to-period comparison of financial results is not necessarily indicative of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16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center"/>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220" w:type="dxa"/>
            <w:vAlign w:val="bottom"/>
          </w:tcPr>
          <w:p>
            <w:pPr>
              <w:spacing w:after="0"/>
              <w:rPr>
                <w:sz w:val="13"/>
                <w:szCs w:val="13"/>
                <w:color w:val="auto"/>
              </w:rPr>
            </w:pPr>
          </w:p>
        </w:tc>
        <w:tc>
          <w:tcPr>
            <w:tcW w:w="11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1,759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2,217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We experienced increases in revenue for both the three and six months ended June 30, 2025, as compared to the equivalent prior year periods. For the three months ended June 30, 2025, revenue increased 789% to $2.0 million, up from approximately $0.2 million for the three months ended June 30, 2024. The increase was primarily due to an increase of $1.4 million in hardware product sales and an increase of $0.6 million in software revenue partially offset by a decrease of $0.2 million in engineering services revenue due to the conclusion of a development contract with a strategic investor. For the six months ended June 30, 2025, revenue increased 287% to $3.0 million compared to $0.8 million during the six months ended June 30, 2024. The increase was primarily due to an increase of $2.4 million in hardware product sales and an increase of $0.6 million in software revenue, partially offset by a decrease of $0.8 million in engineering services revenue due to the end of the development contract with the strategic investor.</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sets forth Blaize’s revenue by customer geographical location: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9"/>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46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 of Revenue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gridSpan w:val="3"/>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 of Revenue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gridSpan w:val="3"/>
          </w:tcPr>
          <w:p>
            <w:pPr>
              <w:jc w:val="center"/>
              <w:ind w:lef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18"/>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000" w:type="dxa"/>
            <w:vAlign w:val="bottom"/>
            <w:tcBorders>
              <w:bottom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100%</w:t>
            </w:r>
          </w:p>
        </w:tc>
        <w:tc>
          <w:tcPr>
            <w:tcW w:w="540" w:type="dxa"/>
            <w:vAlign w:val="bottom"/>
            <w:gridSpan w:val="2"/>
            <w:shd w:val="clear" w:color="auto" w:fill="CFF0FC"/>
          </w:tcPr>
          <w:p>
            <w:pPr>
              <w:jc w:val="center"/>
              <w:ind w:right="1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49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100%</w:t>
            </w:r>
          </w:p>
        </w:tc>
        <w:tc>
          <w:tcPr>
            <w:tcW w:w="540" w:type="dxa"/>
            <w:vAlign w:val="bottom"/>
            <w:gridSpan w:val="2"/>
          </w:tcPr>
          <w:p>
            <w:pPr>
              <w:jc w:val="center"/>
              <w:ind w:right="15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Costs and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7"/>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ind w:right="1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40" w:type="dxa"/>
            <w:vAlign w:val="bottom"/>
            <w:gridSpan w:val="3"/>
            <w:shd w:val="clear" w:color="auto" w:fill="CFF0FC"/>
          </w:tcPr>
          <w:p>
            <w:pPr>
              <w:ind w:left="40"/>
              <w:spacing w:after="0" w:line="182" w:lineRule="exact"/>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right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tcBorders>
              <w:top w:val="single" w:sz="8" w:color="auto"/>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tcBorders>
              <w:right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6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213%</w:t>
            </w:r>
          </w:p>
        </w:tc>
        <w:tc>
          <w:tcPr>
            <w:tcW w:w="320" w:type="dxa"/>
            <w:vAlign w:val="bottom"/>
            <w:gridSpan w:val="2"/>
            <w:shd w:val="clear" w:color="auto" w:fill="CFF0FC"/>
          </w:tcPr>
          <w:p>
            <w:pPr>
              <w:jc w:val="center"/>
              <w:ind w:right="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3"/>
        </w:trPr>
        <w:tc>
          <w:tcPr>
            <w:tcW w:w="2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2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6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3"/>
          </w:tcPr>
          <w:p>
            <w:pPr>
              <w:jc w:val="right"/>
              <w:ind w:right="37"/>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Transaction costs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Borders>
              <w:right w:val="single" w:sz="8" w:color="CFF0FC"/>
            </w:tcBorders>
            <w:shd w:val="clear" w:color="auto" w:fill="CFF0FC"/>
          </w:tcPr>
          <w:p>
            <w:pPr>
              <w:spacing w:after="0"/>
              <w:rPr>
                <w:sz w:val="17"/>
                <w:szCs w:val="17"/>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13,894%</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2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11,358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3"/>
          </w:tcPr>
          <w:p>
            <w:pPr>
              <w:jc w:val="right"/>
              <w:ind w:right="37"/>
              <w:spacing w:after="0"/>
              <w:rPr>
                <w:sz w:val="20"/>
                <w:szCs w:val="20"/>
                <w:color w:val="auto"/>
              </w:rPr>
            </w:pPr>
            <w:r>
              <w:rPr>
                <w:rFonts w:ascii="Times New Roman" w:cs="Times New Roman" w:eastAsia="Times New Roman" w:hAnsi="Times New Roman"/>
                <w:sz w:val="16"/>
                <w:szCs w:val="16"/>
                <w:color w:val="auto"/>
              </w:rPr>
              <w:t>110%</w:t>
            </w:r>
          </w:p>
        </w:tc>
        <w:tc>
          <w:tcPr>
            <w:tcW w:w="320" w:type="dxa"/>
            <w:vAlign w:val="bottom"/>
            <w:gridSpan w:val="2"/>
          </w:tcPr>
          <w:p>
            <w:pPr>
              <w:jc w:val="center"/>
              <w:ind w:right="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62,893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42,849</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-1679575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-1679575</wp:posOffset>
            </wp:positionV>
            <wp:extent cx="1117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-1679575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-1679575</wp:posOffset>
            </wp:positionV>
            <wp:extent cx="1117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-1679575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-1679575</wp:posOffset>
            </wp:positionV>
            <wp:extent cx="1111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-1679575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-1679575</wp:posOffset>
            </wp:positionV>
            <wp:extent cx="1117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-162560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-162560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-162560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-162560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Cost of revenue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Cost of revenue increased for both the three and six months ended June 30, 2025, as compared to the equivalent prior year periods. For the three months ended June 30, 2025, cost of revenue increased by $0.5 million, or 213%, to $0.8 million, up from $0.3 million in the three months ended June 30, 2024. This increase was mainly due to an increase of $0.6 million in hardware product sales costs due to fulfilling additional sales contracts, partially offset by a small reduction in inventory carrying costs. For the six months ended June 30, 2025, cost of revenue increased by $0.6 million, or 101%, to $1.1 million, up from $0.6 million in the six months ended June 30, 2024. This increase was primarily attributable to an increase of $0.9 million in hardware product sales costs, offset by a $0.4 million reduction in inventory carrying costs. This increase in hardware product sales costs was primarily driven by the additional costs associated with fulfilling new sales contracts.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R&amp;D expense increased for both the three and six months ended June 30, 2025, as compared to the equivalent prior year periods. R&amp;D expense was $9.6 million and $22.7 million for the three and six months ended June 30, 2025, respectively, reflecting increases of $3.7 million, or 64%, and $12.8 million, or 128%, compared to the three and six months ended June 30, 2024, respectively. For the three months ended June 30, 2025, the increase was primarily driven by an increase in stock-based compensation of $3.0 million, higher equipment maintenance and software expenses of $0.7 million and software optimization expenses of $0.6 million, partially offset by a $0.9 million reduction in payroll costs. The increase in R&amp;D expense in the six-month period ended June 30, 2025 was primarily driven by an increase in stock-based compensation of $8.8 million, increased equipment maintenance and software expenses of $1.4 million, new chip IP license and design costs of $1.2 million, and $0.7 million for software optimization services.</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The increases in R&amp;D expenses described above were primarily for strategic investments in innovation, and we expect the increases in R&amp;D expense to continue as we support the development of our next generation product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SG&amp;A expense significantly increased for both the three and six months ended June 30, 2025, as compared to the equivalent prior year periods. For the three months ended June 30, 2025, SG&amp;A expense increased by $8.0 million, or 160%, compared to the three months ended June 30, 2024. This increase was primarily due to an increase of $4.2 million in stock-based compensation, an increase of $2.0 million in professional services, an increase of $0.7 million in payroll expense, an increase of $0.5 million in marketing and public relations expenses and an increase of $0.6 million in other corporate expenses, including insurance and IT costs. For the six months ended June 30, 2025, SG&amp;A expense increased by $17.4 million, or 193%, reaching $26.3 million, up from $9.0 million for the six months ended June 30, 2024. This increase was primarily due to an increase of $9.1 million in stock-based compensation, an increase of $3.3 million in professional services, an increase of $2.1 million in payroll expense, an increase of $1.3 million in marketing and public relations expenses, and an increase of $1.6 million in other corporate expenses, including insurance and IT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Depreciation and amortization</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Depreciation and amortization expense was $0.5 million and $0.6 million for the three and six months ended June 30, 2025, respectively, reflecting increases of $0.3 million, or 148%, and $0.2 million, or 48%, compared to the three and six months ended June 30, 2024, respectively. The increases were primarily due to updating the estimated residual value of some of our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Transaction costs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Transaction costs for the six months ended June 30, 2025 increased by $12.0 million as compared to the six months ended June 30, 2024 as a direct result of the Merger.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Total Other Expense, net</w:t>
      </w: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980" w:type="dxa"/>
            <w:vAlign w:val="bottom"/>
            <w:gridSpan w:val="7"/>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foreign exchange transactions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(5,872)</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(165,703)</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(4,860)</w:t>
            </w: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(60,345)</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(61,690)</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(4,587)%</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(496)</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2"/>
        </w:trPr>
        <w:tc>
          <w:tcPr>
            <w:tcW w:w="354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Total other expense, net</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(107,91</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(7,667)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(6,780)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-290830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-290830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-290830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-290830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-290830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-290830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Total other expense, net</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was $7.7 million and $117.2 million for the three and six months ended June 30, 2025, respectively, reflecting increases of $6.8 million, or 764%, and $107.9 million, or 1,157%, compared to the three and six months ended June 30, 2024.</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2025 was primarily comprised of expense from the change in the fair value of the earnout shares liability of $7.3 million. For the six months ended June 30, 2025, total other expense, net was primarily comprised of expense from the change in the fair value of the convertible notes and warrant liabilities of $165.7 million and $60.3 million, respectively, along with $0.5 million of other expenses, offset by income from the change in the fair value of the earnout shares liability of $109.3 million.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2024 was primarily comprised of expense from the change in fair value of the convertible notes of $5.9 million, partially offset by income from the change in fair value of the warrant liabilities of $4.9 million. For the six months ended June 30, 2024, total other expense, net was primarily comprised of expense from the change in fair value of the convertible notes of $10.5 million, partially offset by income from the change in fair value of the warrant liabilities of $1.3 million.</w:t>
      </w:r>
    </w:p>
    <w:p>
      <w:pPr>
        <w:sectPr>
          <w:pgSz w:w="11900" w:h="16838" w:orient="portrait"/>
          <w:cols w:equalWidth="0" w:num="1">
            <w:col w:w="11240"/>
          </w:cols>
          <w:pgMar w:left="320" w:top="513" w:right="3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Provision for Income Taxes</w:t>
      </w: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18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0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5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2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201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The provision for income taxes was approximately $0.0 million and $0.2 million for the three and six months ended June 30, 2025, respectively, and our effective tax rate was approximately (0.1)% and (0.1)%, respectively, as compared to approximately $0.1 million and $0.3 million of provision for income taxes, and effective tax rates of approximately (1.1)% and (1.0)%, during the three and six months ended June 30, 2024 respectively. The effective income tax rate was primarily driven by the valuation allowance which is driven by the deferred tax assets arising from capitalized research and experimental expenditures and the net operating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Net loss was approximately $29.6 million and $177.4 million for the three and six months ended June 30, 2025, respectively, compared to a net loss of approximately $12.2 million and $28.9 million for the three and six months ended June 30, 2024, respectively. The increases in net loss for the three months ended June 30, 2025 of $17.4 million comparatively was primarily attributable to an increase in stock based compensation expense of $7.2 million, an increase in professional services of $1.8 million and an increase in the change in fair value of various instruments including convertible notes, warrant liabilities, earnout and unissued shares in the respective periods of $6.6 million. The increase in net loss for the six months ended June 30, 2025 $148.5 million comparatively was primarily attributable to increase in stock based compensation expense of $9.1 million, an increase in professional services of $2.7 million and an increase in the change in fair value of various instruments including convertible notes, warrant liabilities, earnout and unissued shares in the respective periods of $107.9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Measures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Management utilizes earnings before interest, tax, depreciation and amortization (“EBITDA”) adjusted for irregular or non-recurring items (“Adjusted EBITDA”), which are non-generally accepted accounting principles in the United States (“U.S. GAAP”) financial measures (“non-GAAP measures”), to assess performance and make resource allocation decisions across its segments. We believe these measures are valuable to management, investors and other users of our financial information. EBITDA and Adjusted EBITDA are used to evaluate operating profitability on a more variable cost basis, as these measures exclude depreciation and amortization expenses primarily to capital expenditures and acquisitions from prior periods. This facilitates a more direct comparison of our operating performance relative to competitors. Adjusted EBITDA further assists us in evaluating performance consistently across periods by excluding the impact of certain items that we believe do not directly reflect our core operations and are therefore not considered in measuring ongoing performance. Adjusted EBITDA is defined as net loss before interest, taxes, depreciation and amortization, certain non-cash items and other adjustments that are excluded from the Company's assessment of ongoing operating performance.</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It is management's intent to provide non-GAAP financial information to enhance the understanding of Blaize’s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performance. The non-GAAP financial information presented may be determined or calculated differently by other companies and may not be directly comparable to that of other companies. All non-GAAP measures presented in this Quarterly Report are reconciled to their closest reported U.S. GAAP measure. Reconciliations of historical adjusted financial measures to corresponding U.S. GAAP measures are provided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tbl>
      <w:tblPr>
        <w:tblLayout w:type="fixed"/>
        <w:tblInd w:w="0" w:type="dxa"/>
        <w:tblCellMar>
          <w:top w:w="0" w:type="dxa"/>
          <w:left w:w="0" w:type="dxa"/>
          <w:bottom w:w="0" w:type="dxa"/>
          <w:right w:w="0" w:type="dxa"/>
        </w:tblCellMar>
      </w:tblPr>
      <w:tr>
        <w:trPr>
          <w:trHeight w:val="15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(29,589)</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(12,153)</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(177,350)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(28,896)</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(148,454)</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2"/>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expense/(income), net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(29,408)</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(12,471)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(16,937)</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(177,215)</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(28,570)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(148,645)</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Fair value changes and financing</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189"/>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inventory cost realignment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(519)</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FF0FC"/>
            </w:tcBorders>
            <w:shd w:val="clear" w:color="auto" w:fill="CFF0FC"/>
          </w:tcPr>
          <w:p>
            <w:pPr>
              <w:ind w:left="40"/>
              <w:spacing w:after="0" w:line="206" w:lineRule="exact"/>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7,415%</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(12,933)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(10,560)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(2,373)</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(18,087)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(10,226)</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-161925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-161925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-161925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 w:lineRule="exact"/>
        <w:rPr>
          <w:sz w:val="20"/>
          <w:szCs w:val="20"/>
          <w:color w:val="auto"/>
        </w:rPr>
      </w:pPr>
    </w:p>
    <w:p>
      <w:pPr>
        <w:jc w:val="both"/>
        <w:ind w:left="460" w:hanging="452"/>
        <w:spacing w:after="0" w:line="24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but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Since the inception of Blaize and through June 30, 2025, we have funded our operations primarily with cash flows from contributions from founders or other investors and other financing activities. We have incurred recurring losses and negative cash flows since our inception, including net losses of $29.6 million and $177.4 million for the three and six months ended June 30, 2025, respectively and $12.2 million and $28.9 million for the three and six months ended June 30, 2024, respectively. As of June 30, 2025, we had cash and cash equivalents of approximately $28.6 million, and an accumulated deficit of $606.6 million.</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 for the Six Months Ended June 30,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summarizes our cash flows from operating, investing, and financing activities: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60" w:type="dxa"/>
            <w:vAlign w:val="bottom"/>
          </w:tcPr>
          <w:p>
            <w:pPr>
              <w:spacing w:after="0"/>
              <w:rPr>
                <w:sz w:val="13"/>
                <w:szCs w:val="13"/>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(32,373)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operating activities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Net cash used in operating activities was $32.4 million during the six months ended June 30, 2025, compared to $21.6 million for the six months ended June 30, 2024. The increase in cash used was primarily due to an increase of $148.5 million in net loss, partially offset by an increase of $125.5 million in non-cash net income adjustments and an increase of $12.1 million in changes in operating assets and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For the six months ended June 30, 2025 and 2024, we used $0.7 million and $0.1 million of cash to purchase property and equipment,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increase was primarily due to the licensing of software.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financing activities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For the six months ended June 30, 2025, net cash provided by financing activities was $11.4 million, which primarily consisted of $15.9 million of proceeds from the Merger and PIPE financing, partially offset by the $4.3 million payment of deferred offering costs. Net cash provided by financing activities for the six months ended June 30, 2024 was $105.9 million and primarily consisted of $110.7 million in proceeds from the issuance of secured convertible notes under the 2023 Note Purchase Agreement, partially offset by the payment of demand notes of $4.8 million.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As of June 30, 2025 and December 31, 2024, we had outstanding purchase orders and contractual obligations totaling $2.0 million and $0.2 million, respectively, to procure inventory. The outstanding inventory purchase orders and preauthorized commitments to procure strategic components based on our expected demand are placed with a server supplier,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June 30, 2025 and December 31, 2024, the liability balance of our accrued loss on accrued purchase commitments equaled $0.6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Off Balance Sheet Arrangements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As of the date of this Quarterly Report,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Currently we do not engage in off-balance sheet financing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8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Part 1. Item 1. of this Quarterly Report for a description of the significant accounting policies that we use to prepare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considered recently issued accounting pronouncements and are currently evaluating the impact the adoption of such pronouncements will have on our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minimal and 34% of our revenue for the three and six months ended June 30, 2025, respectively, and 1% and 44% of our revenue for the three and six months ended June 30, 2024,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and British pound, which are the local currencies of our foreign subsidiaries whose functional currency is also the US dollar. We are also exposed to movements in the Japanese Yen.</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three and six months ended June 30, 2025 and 2024, the gain and losses on foreign exchange transactions were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81"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accounted for approximately 58% and 30% of the Company's accounts receivable. As of December 31, 2024, one customer accounted for approximately 98% of our total accounts receivable.</w:t>
      </w:r>
    </w:p>
    <w:p>
      <w:pPr>
        <w:spacing w:after="0" w:line="54"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tbl>
      <w:tblPr>
        <w:tblLayout w:type="fixed"/>
        <w:tblInd w:w="0" w:type="dxa"/>
        <w:tblCellMar>
          <w:top w:w="0" w:type="dxa"/>
          <w:left w:w="0" w:type="dxa"/>
          <w:bottom w:w="0" w:type="dxa"/>
          <w:right w:w="0" w:type="dxa"/>
        </w:tblCellMar>
      </w:tblPr>
      <w:tr>
        <w:trPr>
          <w:trHeight w:val="156"/>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of the Company’s revenue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June 30, 2025, the material weaknesses of the combined entity were remediated by the Company, as described below.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June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Identified Material Weaknesses</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Prior to the completion of the Business Combination on January 13, 2025, BurTech identified certain material weaknesses in its internal control over financial reporting. These material weaknesses primarily related to:</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penalties and interest on excise tax payable;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funds from the Trust Account as of December 31, 2024.</w:t>
      </w:r>
    </w:p>
    <w:p>
      <w:pPr>
        <w:spacing w:after="0" w:line="6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Business Combination, management undertook and completed several remediation actions to address the previously identified material weaknesses. These actions included:</w:t>
      </w:r>
    </w:p>
    <w:p>
      <w:pPr>
        <w:spacing w:after="0" w:line="54" w:lineRule="exact"/>
        <w:rPr>
          <w:sz w:val="20"/>
          <w:szCs w:val="20"/>
          <w:color w:val="auto"/>
        </w:rPr>
      </w:pPr>
    </w:p>
    <w:p>
      <w:pPr>
        <w:ind w:left="1020" w:right="920" w:hanging="503"/>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and finance employees and contractors with appropriate expertise in U.S. GAAP and SEC reporting requirements;</w:t>
      </w:r>
    </w:p>
    <w:p>
      <w:pPr>
        <w:spacing w:after="0" w:line="1"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accounting policies and internal control procedures across the combined entity;</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combined entity's financial close processes to ensure more robust documentation practices; and</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systems and tools to support internal control activities and documentation across the combined entity.</w:t>
      </w:r>
    </w:p>
    <w:p>
      <w:pPr>
        <w:spacing w:after="0" w:line="6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management has concluded that the material weaknesses identified in BurTech’s internal control over financial reporting have been remediated based on the successful implementation and sustained operation of these enhanced controls for a sufficient period of time across the combined entity and management’s testing of the effectiveness of these implemented controls.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the changes described above relating to our remediation steps, there have not been any changes in our internal control over financial reporting (as such term is defined in Rules 13a-15(f) and 15d-15(f) under the Exchange Act) that occurred during the six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14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a fabless company, Blaize does not manufacture its own semiconductor or System-on-a-Chip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reliance on these third-party manufacturers subjects us to a number of risks that include, among other things:</w:t>
      </w:r>
    </w:p>
    <w:p>
      <w:pPr>
        <w:spacing w:after="0" w:line="117" w:lineRule="exact"/>
        <w:rPr>
          <w:sz w:val="20"/>
          <w:szCs w:val="20"/>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Blaize’s;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Blaize’s control;</w:t>
      </w:r>
    </w:p>
    <w:p>
      <w:pPr>
        <w:spacing w:after="0" w:line="63" w:lineRule="exact"/>
        <w:rPr>
          <w:rFonts w:ascii="Times New Roman" w:cs="Times New Roman" w:eastAsia="Times New Roman" w:hAnsi="Times New Roman"/>
          <w:sz w:val="18"/>
          <w:szCs w:val="18"/>
          <w:color w:val="auto"/>
        </w:rPr>
      </w:pPr>
    </w:p>
    <w:p>
      <w:pPr>
        <w:ind w:left="900" w:hanging="443"/>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Blaize’s manufacturers’ plants are located, such as changes in China-Taiwan relations that may adversely affect Blaize’s manufacturers’ and suppliers’ operations;</w:t>
      </w:r>
    </w:p>
    <w:p>
      <w:pPr>
        <w:spacing w:after="0" w:line="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select number of customers for a significant portion of our revenue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As of June 30, 2025, two customers, one a related party, accounted for approximately 58% and 30% of the Company's accounts receivable. As of December 31, 2024, one customer accounted for approximately 98% of the Company's total accounts receivable. This customer concentration exposes us to a material adverse effect if any of these significant customers were to significantly reduce purchases for any reason or favor competitors or new market participants, and we can provide no assurance that any of these customers or any of our other customers will continue to utilize our products or our services at current levels. Our customer concentration may also subject us to perceived or actual bargaining leverage that our key customers may have, given their importance to us. If our key customers seek to negotiate their agreements on terms less favorable to us and we accept such unfavorable terms, such unfavorable terms may have a material adverse effect on our business, results of operations and financial condition. Furthermore, industry consolidation and company failures could decrease the number of potential significant customers for our products and services. The decrease in the number of potential significant customers will increase our reliance on key customers and, due to the relative importance to us, may negatively impact our bargaining position and thus our profit margins. If we were to lose one of our key customers or have a key customer cancel a key program or otherwise significantly reduce its volume of business with us or fail to pay us in full for the goods or services purchased from us, our sales and profitability would be materially reduced and our business and financial condition would be seriously harmed.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tab/>
        <w:t>Recent Sales of Unregistered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May 8, 2025, the Company issued an aggregate of 9,306 shares of common stock to Roth Capital Partners, LLC (“Roth”) in a private placement under the Securities Act in connection with that certain Letter Agreement, dated December 23, 2024, by and between the Company and Roth.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4" w:lineRule="exact"/>
        <w:rPr>
          <w:sz w:val="20"/>
          <w:szCs w:val="20"/>
          <w:color w:val="auto"/>
        </w:rPr>
      </w:pPr>
    </w:p>
    <w:p>
      <w:pPr>
        <w:ind w:left="460" w:right="964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80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Insider Adoption or Termination of Trading Arrangements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 director or officer adopted or terminated a trading arrangement for the purchase of Company securities for the quarterly period ended June 30, 2025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7640" w:type="dxa"/>
            <w:vAlign w:val="bottom"/>
            <w:gridSpan w:val="34"/>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59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406">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17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7640" w:type="dxa"/>
            <w:vAlign w:val="bottom"/>
            <w:gridSpan w:val="34"/>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Amended and Restated Bylaws of Blaize Holdings, Inc.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74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Registration Rights Agreement, dated as of January 13, 2025, by and among the Company and certain</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Amended and Restated Registration Rights Agreement, dated as of January 13, 2025, by and among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73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Company, certain stockholders of BurTech named therein and certain stockholders of Legacy Blaize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named therein.</w:t>
              </w:r>
            </w:hyperlink>
          </w:p>
        </w:tc>
        <w:tc>
          <w:tcPr>
            <w:tcW w:w="20" w:type="dxa"/>
            <w:vAlign w:val="bottom"/>
            <w:tcBorders>
              <w:bottom w:val="single" w:sz="8" w:color="0000EE"/>
            </w:tcBorders>
          </w:tcPr>
          <w:p>
            <w:pPr>
              <w:spacing w:after="0"/>
              <w:rPr>
                <w:sz w:val="17"/>
                <w:szCs w:val="17"/>
                <w:color w:val="auto"/>
              </w:rPr>
            </w:pPr>
          </w:p>
        </w:tc>
        <w:tc>
          <w:tcPr>
            <w:tcW w:w="65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6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Form of Indemnification Agreement.</w:t>
              </w:r>
            </w:hyperlink>
          </w:p>
        </w:tc>
        <w:tc>
          <w:tcPr>
            <w:tcW w:w="20" w:type="dxa"/>
            <w:vAlign w:val="bottom"/>
            <w:tcBorders>
              <w:bottom w:val="single" w:sz="8" w:color="0000EE"/>
            </w:tcBorders>
          </w:tcPr>
          <w:p>
            <w:pPr>
              <w:spacing w:after="0"/>
              <w:rPr>
                <w:sz w:val="17"/>
                <w:szCs w:val="17"/>
                <w:color w:val="auto"/>
              </w:rPr>
            </w:pPr>
          </w:p>
        </w:tc>
        <w:tc>
          <w:tcPr>
            <w:tcW w:w="49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Form of PIPE Subscription Agreement</w:t>
              </w:r>
            </w:hyperlink>
          </w:p>
        </w:tc>
        <w:tc>
          <w:tcPr>
            <w:tcW w:w="20" w:type="dxa"/>
            <w:vAlign w:val="bottom"/>
            <w:tcBorders>
              <w:bottom w:val="single" w:sz="8" w:color="0000EE"/>
            </w:tcBorders>
          </w:tcPr>
          <w:p>
            <w:pPr>
              <w:spacing w:after="0"/>
              <w:rPr>
                <w:sz w:val="17"/>
                <w:szCs w:val="17"/>
                <w:color w:val="auto"/>
              </w:rPr>
            </w:pPr>
          </w:p>
        </w:tc>
        <w:tc>
          <w:tcPr>
            <w:tcW w:w="48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5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Stockholder Lock-Up Agreement, dated as of January 13, 2025, by and among the Company and certain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5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Noteholder Lock-Up Agreement, dated as of January 13, 2025, by and among the Company and certain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securityholders of Legacy Blaize named therein.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75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Secured Promissory Note and Pledge Agreement, dated as of January 13, 2025, by and among BurTech</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LP LLC and BurTech.</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7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Letter Agreement, dated as of January 13, 2025, by and among BurTech, Merger Sub, Blaize and</w:t>
              </w:r>
            </w:hyperlink>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11"/>
            <w:vMerge w:val="restart"/>
          </w:tcPr>
          <w:p>
            <w:pPr>
              <w:spacing w:after="0" w:line="196" w:lineRule="exact"/>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Burkhan BurTech LP LLC and Blaize.</w:t>
              </w:r>
            </w:hyperlink>
          </w:p>
        </w:tc>
        <w:tc>
          <w:tcPr>
            <w:tcW w:w="20" w:type="dxa"/>
            <w:vAlign w:val="bottom"/>
            <w:vMerge w:val="restart"/>
          </w:tcPr>
          <w:p>
            <w:pPr>
              <w:spacing w:after="0"/>
              <w:rPr>
                <w:sz w:val="11"/>
                <w:szCs w:val="11"/>
                <w:color w:val="auto"/>
              </w:rPr>
            </w:pPr>
          </w:p>
        </w:tc>
        <w:tc>
          <w:tcPr>
            <w:tcW w:w="4820" w:type="dxa"/>
            <w:vAlign w:val="bottom"/>
            <w:gridSpan w:val="2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tcBorders>
              <w:bottom w:val="single" w:sz="8" w:color="0000FF"/>
            </w:tcBorders>
            <w:gridSpan w:val="11"/>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82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68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Amended and Restated Blaize Holdings, Inc. Non-Employee Director Compensation Program.</w:t>
              </w:r>
            </w:hyperlink>
          </w:p>
        </w:tc>
        <w:tc>
          <w:tcPr>
            <w:tcW w:w="20" w:type="dxa"/>
            <w:vAlign w:val="bottom"/>
            <w:tcBorders>
              <w:bottom w:val="single" w:sz="8" w:color="0000EE"/>
            </w:tcBorders>
          </w:tcPr>
          <w:p>
            <w:pPr>
              <w:spacing w:after="0"/>
              <w:rPr>
                <w:sz w:val="17"/>
                <w:szCs w:val="17"/>
                <w:color w:val="auto"/>
              </w:rPr>
            </w:pPr>
          </w:p>
        </w:tc>
        <w:tc>
          <w:tcPr>
            <w:tcW w:w="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74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of Stock Option Grant Agreement (Contingent Exercise) and Grant Notice under the Blaize, Inc.</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Amended and Restated 2011 Stock Plan.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73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Common Stock Purchase Agreement, dated as of July 14, 2025, by and between the Company and B.</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Riley Principal Capital II, LLC.</w:t>
              </w:r>
            </w:hyperlink>
          </w:p>
        </w:tc>
        <w:tc>
          <w:tcPr>
            <w:tcW w:w="5340" w:type="dxa"/>
            <w:vAlign w:val="bottom"/>
            <w:gridSpan w:val="2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Borders>
              <w:bottom w:val="single" w:sz="8" w:color="0000FF"/>
            </w:tcBorders>
            <w:gridSpan w:val="8"/>
            <w:vMerge w:val="continue"/>
          </w:tcPr>
          <w:p>
            <w:pPr>
              <w:spacing w:after="0"/>
              <w:rPr>
                <w:sz w:val="5"/>
                <w:szCs w:val="5"/>
                <w:color w:val="auto"/>
              </w:rPr>
            </w:pPr>
          </w:p>
        </w:tc>
        <w:tc>
          <w:tcPr>
            <w:tcW w:w="53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7"/>
                <w:szCs w:val="17"/>
                <w:color w:val="auto"/>
              </w:rPr>
            </w:pPr>
          </w:p>
        </w:tc>
        <w:tc>
          <w:tcPr>
            <w:tcW w:w="73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Registration Rights Agreement, dated as of July 14, 2025, by and between the Company and B. Riley</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6"/>
            <w:vMerge w:val="restart"/>
          </w:tcPr>
          <w:p>
            <w:pPr>
              <w:spacing w:after="0" w:line="196"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Principal Capital II, LLC.</w:t>
              </w:r>
            </w:hyperlink>
          </w:p>
        </w:tc>
        <w:tc>
          <w:tcPr>
            <w:tcW w:w="20" w:type="dxa"/>
            <w:vAlign w:val="bottom"/>
            <w:vMerge w:val="restart"/>
          </w:tcPr>
          <w:p>
            <w:pPr>
              <w:spacing w:after="0"/>
              <w:rPr>
                <w:sz w:val="11"/>
                <w:szCs w:val="11"/>
                <w:color w:val="auto"/>
              </w:rPr>
            </w:pPr>
          </w:p>
        </w:tc>
        <w:tc>
          <w:tcPr>
            <w:tcW w:w="5760" w:type="dxa"/>
            <w:vAlign w:val="bottom"/>
            <w:gridSpan w:val="2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tcBorders>
              <w:bottom w:val="single" w:sz="8" w:color="0000FF"/>
            </w:tcBorders>
            <w:gridSpan w:val="6"/>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576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7"/>
                <w:szCs w:val="17"/>
                <w:color w:val="auto"/>
              </w:rPr>
            </w:pPr>
          </w:p>
        </w:tc>
        <w:tc>
          <w:tcPr>
            <w:tcW w:w="76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Sales Partner Referral Agreement, dated as of June 30, 2025, by and between the Company and Burkhan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spacing w:after="0" w:line="196" w:lineRule="exact"/>
              <w:rPr>
                <w:rFonts w:ascii="Times New Roman" w:cs="Times New Roman" w:eastAsia="Times New Roman" w:hAnsi="Times New Roman"/>
                <w:sz w:val="18"/>
                <w:szCs w:val="18"/>
                <w:color w:val="0000FF"/>
                <w:w w:val="98"/>
              </w:rPr>
            </w:pPr>
            <w:hyperlink r:id="rId420">
              <w:r>
                <w:rPr>
                  <w:rFonts w:ascii="Times New Roman" w:cs="Times New Roman" w:eastAsia="Times New Roman" w:hAnsi="Times New Roman"/>
                  <w:sz w:val="18"/>
                  <w:szCs w:val="18"/>
                  <w:color w:val="0000FF"/>
                  <w:w w:val="98"/>
                </w:rPr>
                <w:t>LLC.</w:t>
              </w:r>
            </w:hyperlink>
          </w:p>
        </w:tc>
        <w:tc>
          <w:tcPr>
            <w:tcW w:w="20" w:type="dxa"/>
            <w:vAlign w:val="bottom"/>
            <w:vMerge w:val="restart"/>
          </w:tcPr>
          <w:p>
            <w:pPr>
              <w:spacing w:after="0"/>
              <w:rPr>
                <w:sz w:val="11"/>
                <w:szCs w:val="11"/>
                <w:color w:val="auto"/>
              </w:rPr>
            </w:pPr>
          </w:p>
        </w:tc>
        <w:tc>
          <w:tcPr>
            <w:tcW w:w="7220" w:type="dxa"/>
            <w:vAlign w:val="bottom"/>
            <w:gridSpan w:val="3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722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70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w:t>
            </w: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69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w:t>
            </w:r>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32.1#**</w:t>
            </w:r>
          </w:p>
        </w:tc>
        <w:tc>
          <w:tcPr>
            <w:tcW w:w="120" w:type="dxa"/>
            <w:vAlign w:val="bottom"/>
          </w:tcPr>
          <w:p>
            <w:pPr>
              <w:spacing w:after="0"/>
              <w:rPr>
                <w:sz w:val="17"/>
                <w:szCs w:val="17"/>
                <w:color w:val="auto"/>
              </w:rPr>
            </w:pPr>
          </w:p>
        </w:tc>
        <w:tc>
          <w:tcPr>
            <w:tcW w:w="754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16"/>
            <w:shd w:val="clear" w:color="auto" w:fill="0000FF"/>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32.2#**</w:t>
            </w:r>
          </w:p>
        </w:tc>
        <w:tc>
          <w:tcPr>
            <w:tcW w:w="120" w:type="dxa"/>
            <w:vAlign w:val="bottom"/>
          </w:tcPr>
          <w:p>
            <w:pPr>
              <w:spacing w:after="0"/>
              <w:rPr>
                <w:sz w:val="17"/>
                <w:szCs w:val="17"/>
                <w:color w:val="auto"/>
              </w:rPr>
            </w:pPr>
          </w:p>
        </w:tc>
        <w:tc>
          <w:tcPr>
            <w:tcW w:w="750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16"/>
            <w:shd w:val="clear" w:color="auto" w:fill="0000FF"/>
          </w:tcPr>
          <w:p>
            <w:pPr>
              <w:spacing w:after="0" w:line="20" w:lineRule="exact"/>
              <w:rPr>
                <w:sz w:val="1"/>
                <w:szCs w:val="1"/>
                <w:color w:val="auto"/>
              </w:rPr>
            </w:pPr>
          </w:p>
        </w:tc>
        <w:tc>
          <w:tcPr>
            <w:tcW w:w="41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76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40" w:type="dxa"/>
            <w:vAlign w:val="bottom"/>
            <w:gridSpan w:val="3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76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0"/>
                <w:szCs w:val="20"/>
                <w:color w:val="auto"/>
              </w:rPr>
            </w:pPr>
          </w:p>
        </w:tc>
        <w:tc>
          <w:tcPr>
            <w:tcW w:w="764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274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74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274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74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74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-5222875</wp:posOffset>
            </wp:positionV>
            <wp:extent cx="7132320" cy="148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09"/>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54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1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1/8/2025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5/14/2025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6/30/2025</w:t>
            </w:r>
          </w:p>
        </w:tc>
        <w:tc>
          <w:tcPr>
            <w:tcW w:w="0" w:type="dxa"/>
            <w:vAlign w:val="bottom"/>
          </w:tcPr>
          <w:p>
            <w:pPr>
              <w:spacing w:after="0"/>
              <w:rPr>
                <w:sz w:val="1"/>
                <w:szCs w:val="1"/>
                <w:color w:val="auto"/>
              </w:rPr>
            </w:pPr>
          </w:p>
        </w:tc>
      </w:tr>
    </w:tbl>
    <w:p>
      <w:pPr>
        <w:spacing w:after="0" w:line="2731" w:lineRule="exact"/>
        <w:rPr>
          <w:sz w:val="20"/>
          <w:szCs w:val="20"/>
          <w:color w:val="auto"/>
        </w:rPr>
      </w:pPr>
    </w:p>
    <w:p>
      <w:pPr>
        <w:sectPr>
          <w:pgSz w:w="11900" w:h="16838" w:orient="portrait"/>
          <w:cols w:equalWidth="0" w:num="2">
            <w:col w:w="8560" w:space="120"/>
            <w:col w:w="2560"/>
          </w:cols>
          <w:pgMar w:left="320" w:top="513" w:right="339" w:bottom="1440" w:gutter="0" w:footer="0" w:header="0"/>
        </w:sect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42"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42" w:lineRule="exact"/>
        <w:rPr>
          <w:sz w:val="20"/>
          <w:szCs w:val="20"/>
          <w:color w:val="auto"/>
        </w:rPr>
      </w:pPr>
    </w:p>
    <w:p>
      <w:pPr>
        <w:ind w:left="380" w:hanging="372"/>
        <w:spacing w:after="0" w:line="236" w:lineRule="auto"/>
        <w:tabs>
          <w:tab w:leader="none" w:pos="26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Quarterly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r>
      <w:tr>
        <w:trPr>
          <w:trHeight w:val="54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tc>
      </w:tr>
      <w:tr>
        <w:trPr>
          <w:trHeight w:val="688"/>
        </w:trPr>
        <w:tc>
          <w:tcPr>
            <w:tcW w:w="3020" w:type="dxa"/>
            <w:vAlign w:val="bottom"/>
          </w:tcPr>
          <w:p>
            <w:pPr>
              <w:spacing w:after="0"/>
              <w:rPr>
                <w:sz w:val="24"/>
                <w:szCs w:val="24"/>
                <w:color w:val="auto"/>
              </w:rPr>
            </w:pPr>
          </w:p>
        </w:tc>
        <w:tc>
          <w:tcPr>
            <w:tcW w:w="82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46</w:t>
            </w:r>
          </w:p>
        </w:tc>
      </w:tr>
      <w:tr>
        <w:trPr>
          <w:trHeight w:val="507"/>
        </w:trPr>
        <w:tc>
          <w:tcPr>
            <w:tcW w:w="3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Dinakar Munagala, certify that:</w:t>
      </w:r>
    </w:p>
    <w:p>
      <w:pPr>
        <w:spacing w:after="0" w:line="117"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Blaize Holdings, Inc. on Form 10-Q for the fiscal quarter ended June 30, 2025 (the “Quarterly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Harminder Sehmi, certify that:</w:t>
      </w:r>
    </w:p>
    <w:p>
      <w:pPr>
        <w:spacing w:after="0" w:line="117"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Blaize Holdings, Inc. on Form 10-Q for the fiscal quarter ended June 30, 2025 (the “Quarterly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for the registrant and have:</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2"/>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Dinakar Munagala, certify pursuant to 18 U.S.C. Section 1350, as adopted pursuant to Section 906 of the Sarbanes-Oxley Act of 2002, that:</w:t>
      </w:r>
    </w:p>
    <w:p>
      <w:pPr>
        <w:spacing w:after="0" w:line="117"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 for the fiscal quarter ended June 30, 2025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 Harminder Sehmi, certify pursuant to 18 U.S.C. Section 1350, as adopted pursuant to Section 906 of the Sarbanes-Oxley Act of 2002, that:</w:t>
      </w:r>
    </w:p>
    <w:p>
      <w:pPr>
        <w:spacing w:after="0" w:line="117"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 for the fiscal quarter ended June 30, 2025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78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lowerLetter"/>
      <w:start w:val="2"/>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06" Type="http://schemas.openxmlformats.org/officeDocument/2006/relationships/hyperlink" Target="https://www.sec.gov/Archives/edgar/data/1871638/000119312525008517/d903961dex31.htm" TargetMode="External"/><Relationship Id="rId407" Type="http://schemas.openxmlformats.org/officeDocument/2006/relationships/hyperlink" Target="https://www.sec.gov/Archives/edgar/data/1871638/000119312525008517/d903961dex32.htm" TargetMode="External"/><Relationship Id="rId408" Type="http://schemas.openxmlformats.org/officeDocument/2006/relationships/hyperlink" Target="https://www.sec.gov/Archives/edgar/data/1871638/000119312525008517/d903961dex1011.htm" TargetMode="External"/><Relationship Id="rId409" Type="http://schemas.openxmlformats.org/officeDocument/2006/relationships/hyperlink" Target="https://www.sec.gov/Archives/edgar/data/1871638/000119312525008517/d903961dex101.htm" TargetMode="External"/><Relationship Id="rId410" Type="http://schemas.openxmlformats.org/officeDocument/2006/relationships/hyperlink" Target="https://www.sec.gov/Archives/edgar/data/1871638/000119312525008517/d903961dex103.htm" TargetMode="External"/><Relationship Id="rId411" Type="http://schemas.openxmlformats.org/officeDocument/2006/relationships/hyperlink" Target="https://www.sec.gov/Archives/edgar/data/1871638/000110465925001763/tm252173d1_ex10-1.htm" TargetMode="External"/><Relationship Id="rId412" Type="http://schemas.openxmlformats.org/officeDocument/2006/relationships/hyperlink" Target="https://www.sec.gov/Archives/edgar/data/1871638/000119312525008517/d903961dex1012.htm" TargetMode="External"/><Relationship Id="rId413" Type="http://schemas.openxmlformats.org/officeDocument/2006/relationships/hyperlink" Target="https://www.sec.gov/Archives/edgar/data/1871638/000119312525008517/d903961dex1013.htm" TargetMode="External"/><Relationship Id="rId414" Type="http://schemas.openxmlformats.org/officeDocument/2006/relationships/hyperlink" Target="https://www.sec.gov/Archives/edgar/data/1871638/000119312525008517/d903961dex1014.htm" TargetMode="External"/><Relationship Id="rId415" Type="http://schemas.openxmlformats.org/officeDocument/2006/relationships/hyperlink" Target="https://www.sec.gov/Archives/edgar/data/1871638/000119312525008517/d903961dex1015.htm" TargetMode="External"/><Relationship Id="rId416" Type="http://schemas.openxmlformats.org/officeDocument/2006/relationships/hyperlink" Target="https://www.sec.gov/Archives/edgar/data/1871638/000119312525008517/d903961dex1021.htm" TargetMode="External"/><Relationship Id="rId417" Type="http://schemas.openxmlformats.org/officeDocument/2006/relationships/hyperlink" Target="https://www.sec.gov/Archives/edgar/data/1871638/000119312525008517/d903961dex1022.htm" TargetMode="External"/><Relationship Id="rId418" Type="http://schemas.openxmlformats.org/officeDocument/2006/relationships/hyperlink" Target="https://www.sec.gov/Archives/edgar/data/1871638/000119312525158997/d13627dex101.htm" TargetMode="External"/><Relationship Id="rId419" Type="http://schemas.openxmlformats.org/officeDocument/2006/relationships/hyperlink" Target="https://www.sec.gov/Archives/edgar/data/1871638/000119312525158997/d13627dex102.htm" TargetMode="External"/><Relationship Id="rId420" Type="http://schemas.openxmlformats.org/officeDocument/2006/relationships/hyperlink" Target="https://www.sec.gov/Archives/edgar/data/1871638/000119312525152119/d8686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2025-08-14T15:52:13Z</dcterms:created>
  <dcterms:modified xsi:type="dcterms:W3CDTF">2025-08-14T15:52:13Z</dcterms:modified>
</cp:coreProperties>
</file>