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auto"/>
        </w:rPr>
        <w:t>​</w:t>
      </w:r>
    </w:p>
    <w:p>
      <w:pPr>
        <w:spacing w:after="0" w:line="200" w:lineRule="exact"/>
        <w:rPr>
          <w:sz w:val="24"/>
          <w:szCs w:val="24"/>
          <w:color w:val="auto"/>
        </w:rPr>
      </w:pPr>
    </w:p>
    <w:p>
      <w:pPr>
        <w:spacing w:after="0" w:line="284"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-5715</wp:posOffset>
            </wp:positionV>
            <wp:extent cx="52120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12080" cy="17145"/>
                    </a:xfrm>
                    <a:prstGeom prst="rect">
                      <a:avLst/>
                    </a:prstGeom>
                    <a:noFill/>
                  </pic:spPr>
                </pic:pic>
              </a:graphicData>
            </a:graphic>
          </wp:anchor>
        </w:drawing>
        <w:drawing>
          <wp:anchor simplePos="0" relativeHeight="251657728" behindDoc="1" locked="0" layoutInCell="0" allowOverlap="1">
            <wp:simplePos x="0" y="0"/>
            <wp:positionH relativeFrom="column">
              <wp:posOffset>800100</wp:posOffset>
            </wp:positionH>
            <wp:positionV relativeFrom="paragraph">
              <wp:posOffset>53975</wp:posOffset>
            </wp:positionV>
            <wp:extent cx="52120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292"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223"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192" w:lineRule="exact"/>
        <w:rPr>
          <w:sz w:val="24"/>
          <w:szCs w:val="24"/>
          <w:color w:val="auto"/>
        </w:rPr>
      </w:pPr>
    </w:p>
    <w:p>
      <w:pPr>
        <w:jc w:val="center"/>
        <w:ind w:right="-80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2"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95"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ind w:left="1260"/>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73"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58" w:lineRule="exact"/>
        <w:rPr>
          <w:sz w:val="24"/>
          <w:szCs w:val="24"/>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3" w:lineRule="exact"/>
        <w:rPr>
          <w:rFonts w:ascii="MS PGothic" w:cs="MS PGothic" w:eastAsia="MS PGothic" w:hAnsi="MS PGothic"/>
          <w:sz w:val="18"/>
          <w:szCs w:val="18"/>
          <w:color w:val="auto"/>
        </w:rPr>
      </w:pPr>
    </w:p>
    <w:p>
      <w:pPr>
        <w:ind w:left="1620" w:hanging="360"/>
        <w:spacing w:after="0"/>
        <w:tabs>
          <w:tab w:leader="none" w:pos="1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the use of the Commission only (as permitted by Rule 14a-6(e)(2))</w:t>
      </w:r>
    </w:p>
    <w:p>
      <w:pPr>
        <w:spacing w:after="0" w:line="148" w:lineRule="exact"/>
        <w:rPr>
          <w:sz w:val="24"/>
          <w:szCs w:val="24"/>
          <w:color w:val="auto"/>
        </w:rPr>
      </w:pPr>
    </w:p>
    <w:p>
      <w:pPr>
        <w:ind w:left="1620" w:hanging="360"/>
        <w:spacing w:after="0"/>
        <w:tabs>
          <w:tab w:leader="none" w:pos="1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58" w:lineRule="exact"/>
        <w:rPr>
          <w:sz w:val="24"/>
          <w:szCs w:val="24"/>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§210.14a-12</w:t>
      </w:r>
    </w:p>
    <w:p>
      <w:pPr>
        <w:spacing w:after="0" w:line="214"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25"/>
          <w:szCs w:val="25"/>
          <w:b w:val="1"/>
          <w:bCs w:val="1"/>
          <w:color w:val="auto"/>
        </w:rPr>
        <w:t>BURTECH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33020</wp:posOffset>
            </wp:positionV>
            <wp:extent cx="5212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50"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18"/>
          <w:szCs w:val="18"/>
          <w:color w:val="auto"/>
        </w:rPr>
        <w:t>(Name of Registrant as Specified in its Charter)</w:t>
      </w:r>
      <w:r>
        <w:rPr>
          <w:rFonts w:ascii="Times New Roman" w:cs="Times New Roman" w:eastAsia="Times New Roman" w:hAnsi="Times New Roman"/>
          <w:sz w:val="25"/>
          <w:szCs w:val="2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191770</wp:posOffset>
            </wp:positionV>
            <wp:extent cx="5212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212080" cy="8255"/>
                    </a:xfrm>
                    <a:prstGeom prst="rect">
                      <a:avLst/>
                    </a:prstGeom>
                    <a:noFill/>
                  </pic:spPr>
                </pic:pic>
              </a:graphicData>
            </a:graphic>
          </wp:anchor>
        </w:drawing>
      </w:r>
    </w:p>
    <w:p>
      <w:pPr>
        <w:spacing w:after="0" w:line="305"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15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58" w:lineRule="exact"/>
        <w:rPr>
          <w:sz w:val="24"/>
          <w:szCs w:val="24"/>
          <w:color w:val="auto"/>
        </w:rPr>
      </w:pPr>
    </w:p>
    <w:p>
      <w:pPr>
        <w:ind w:left="1620" w:hanging="360"/>
        <w:spacing w:after="0"/>
        <w:tabs>
          <w:tab w:leader="none" w:pos="162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44" w:lineRule="exact"/>
        <w:rPr>
          <w:sz w:val="24"/>
          <w:szCs w:val="24"/>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57" w:lineRule="exact"/>
        <w:rPr>
          <w:rFonts w:ascii="MS PGothic" w:cs="MS PGothic" w:eastAsia="MS PGothic" w:hAnsi="MS PGothic"/>
          <w:sz w:val="18"/>
          <w:szCs w:val="18"/>
          <w:color w:val="auto"/>
        </w:rPr>
      </w:pPr>
    </w:p>
    <w:p>
      <w:pPr>
        <w:ind w:left="1620" w:hanging="360"/>
        <w:spacing w:after="0"/>
        <w:tabs>
          <w:tab w:leader="none" w:pos="162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800100</wp:posOffset>
            </wp:positionH>
            <wp:positionV relativeFrom="paragraph">
              <wp:posOffset>2383155</wp:posOffset>
            </wp:positionV>
            <wp:extent cx="52120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212080" cy="8890"/>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NOTICE OF GENERAL MEETING</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TO BE HELD MARCH 1, 2023</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66" w:lineRule="exact"/>
        <w:rPr>
          <w:sz w:val="20"/>
          <w:szCs w:val="20"/>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On behalf of the Board of Directors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w:t>
      </w:r>
    </w:p>
    <w:p>
      <w:pPr>
        <w:spacing w:after="0" w:line="20" w:lineRule="exact"/>
        <w:rPr>
          <w:sz w:val="20"/>
          <w:szCs w:val="20"/>
          <w:color w:val="auto"/>
        </w:rPr>
      </w:pPr>
    </w:p>
    <w:p>
      <w:pPr>
        <w:ind w:left="1260" w:right="459"/>
        <w:spacing w:after="0" w:line="24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I invite you to attend our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We hope you can join us. The Special Meeting will be held at 11:30 a.m. Eastern Time on March 1, 2023. Due to the COVID-19 pandemic, BurTech will be holding the Special Meeting via teleconference using the following dial-in information:</w:t>
      </w:r>
    </w:p>
    <w:p>
      <w:pPr>
        <w:spacing w:after="0" w:line="7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3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260" w:right="719" w:firstLine="360"/>
        <w:spacing w:after="0" w:line="246" w:lineRule="auto"/>
        <w:rPr>
          <w:sz w:val="20"/>
          <w:szCs w:val="20"/>
          <w:color w:val="auto"/>
        </w:rPr>
      </w:pPr>
      <w:r>
        <w:rPr>
          <w:rFonts w:ascii="Times New Roman" w:cs="Times New Roman" w:eastAsia="Times New Roman" w:hAnsi="Times New Roman"/>
          <w:sz w:val="18"/>
          <w:szCs w:val="18"/>
          <w:color w:val="auto"/>
        </w:rPr>
        <w:t>The Notice of Special Meeting of Stockholders, the Proxy Statement and the proxy card accompany this letter are also available at https://www.cstproxy.com/burtechacq/2023. We are first mailing these materials to our stockholders on or about January 26, 2023.</w:t>
      </w:r>
    </w:p>
    <w:p>
      <w:pPr>
        <w:spacing w:after="0" w:line="5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As discussed in the enclosed Proxy Statement, the purpose of the Special Meeting is to consider and vote upon the following proposals:</w:t>
      </w:r>
    </w:p>
    <w:p>
      <w:pPr>
        <w:spacing w:after="0" w:line="41" w:lineRule="exact"/>
        <w:rPr>
          <w:sz w:val="20"/>
          <w:szCs w:val="20"/>
          <w:color w:val="auto"/>
        </w:rPr>
      </w:pPr>
    </w:p>
    <w:p>
      <w:pPr>
        <w:ind w:left="1620" w:right="879" w:firstLine="360"/>
        <w:spacing w:after="0" w:line="282" w:lineRule="auto"/>
        <w:tabs>
          <w:tab w:leader="none" w:pos="230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26" w:lineRule="exact"/>
        <w:rPr>
          <w:rFonts w:ascii="Times New Roman" w:cs="Times New Roman" w:eastAsia="Times New Roman" w:hAnsi="Times New Roman"/>
          <w:sz w:val="18"/>
          <w:szCs w:val="18"/>
          <w:color w:val="auto"/>
        </w:rPr>
      </w:pPr>
    </w:p>
    <w:p>
      <w:pPr>
        <w:ind w:left="1980" w:right="759" w:firstLine="360"/>
        <w:spacing w:after="0" w:line="250" w:lineRule="auto"/>
        <w:tabs>
          <w:tab w:leader="none" w:pos="269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70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 (a)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0" w:lineRule="exact"/>
        <w:rPr>
          <w:sz w:val="20"/>
          <w:szCs w:val="20"/>
          <w:color w:val="auto"/>
        </w:rPr>
      </w:pPr>
    </w:p>
    <w:p>
      <w:pPr>
        <w:ind w:left="1620" w:right="439" w:firstLine="360"/>
        <w:spacing w:after="0" w:line="245" w:lineRule="auto"/>
        <w:tabs>
          <w:tab w:leader="none" w:pos="2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March 1, 2023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another six (6) times, each such extension for an additional one (1) month period, until September 15, 2023, by depositing into the Trust Account $431,250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$2,587,500 for the total six-month period),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59" w:lineRule="exact"/>
        <w:rPr>
          <w:rFonts w:ascii="Times New Roman" w:cs="Times New Roman" w:eastAsia="Times New Roman" w:hAnsi="Times New Roman"/>
          <w:sz w:val="18"/>
          <w:szCs w:val="18"/>
          <w:color w:val="auto"/>
        </w:rPr>
      </w:pPr>
    </w:p>
    <w:p>
      <w:pPr>
        <w:ind w:left="1620" w:right="459" w:firstLine="360"/>
        <w:spacing w:after="0" w:line="251" w:lineRule="auto"/>
        <w:tabs>
          <w:tab w:leader="none" w:pos="24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(the “</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u w:val="single" w:color="auto"/>
          <w:color w:val="auto"/>
        </w:rPr>
        <w:t>Adjournment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Proposal</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its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265" w:lineRule="exact"/>
        <w:rPr>
          <w:sz w:val="20"/>
          <w:szCs w:val="20"/>
          <w:color w:val="auto"/>
        </w:rPr>
      </w:pPr>
    </w:p>
    <w:p>
      <w:pPr>
        <w:ind w:left="1260" w:right="63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the Company additional time to complete an Initial Business Combination. The Company’s prospectus for</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 w:name="page3"/>
    <w:bookmarkEnd w:id="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its Charter provide that the Company has until March 15, 2023 (the</w:t>
      </w:r>
    </w:p>
    <w:p>
      <w:pPr>
        <w:spacing w:after="0" w:line="31" w:lineRule="exact"/>
        <w:rPr>
          <w:sz w:val="20"/>
          <w:szCs w:val="20"/>
          <w:color w:val="auto"/>
        </w:rPr>
      </w:pPr>
    </w:p>
    <w:p>
      <w:pPr>
        <w:ind w:left="1260" w:right="439"/>
        <w:spacing w:after="0" w:line="24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identify a target and complete the Initial Business Combination given the projected timetable or filing with the Securities and Exchange Commission (“SEC”) a registration statement under the Securities Act of 1933 on Form S-4 (the “</w:t>
      </w:r>
      <w:r>
        <w:rPr>
          <w:rFonts w:ascii="Times New Roman" w:cs="Times New Roman" w:eastAsia="Times New Roman" w:hAnsi="Times New Roman"/>
          <w:sz w:val="18"/>
          <w:szCs w:val="18"/>
          <w:b w:val="1"/>
          <w:bCs w:val="1"/>
          <w:color w:val="auto"/>
        </w:rPr>
        <w:t>Initial Business Combination 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and having it declared effective prior to holding a Special Meeting of the Company to consider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Initial Business Combination. Accordingly, the Board has determined that it is in the best interests of our stockholders to extend the date that the Company has to consummate an initial business combination.</w:t>
      </w:r>
    </w:p>
    <w:p>
      <w:pPr>
        <w:spacing w:after="0" w:line="66" w:lineRule="exact"/>
        <w:rPr>
          <w:sz w:val="20"/>
          <w:szCs w:val="20"/>
          <w:color w:val="auto"/>
        </w:rPr>
      </w:pPr>
    </w:p>
    <w:p>
      <w:pPr>
        <w:ind w:left="1260" w:right="459" w:firstLine="360"/>
        <w:spacing w:after="0" w:line="244" w:lineRule="auto"/>
        <w:rPr>
          <w:sz w:val="20"/>
          <w:szCs w:val="20"/>
          <w:color w:val="auto"/>
        </w:rPr>
      </w:pPr>
      <w:r>
        <w:rPr>
          <w:rFonts w:ascii="Times New Roman" w:cs="Times New Roman" w:eastAsia="Times New Roman" w:hAnsi="Times New Roman"/>
          <w:sz w:val="18"/>
          <w:szCs w:val="18"/>
          <w:color w:val="auto"/>
        </w:rPr>
        <w:t>In addition, the purpose of the NTA Amendment, which is included in the Charter Amendment Proposals, is to ensure that, in connection with the Initial Business Combination, the Company would continue, as it has since the IPO, to not be subject to the “penny stock” rules of the SEC, and therefore not a “blank check company” as defined under Rule 419 of the Securities Act because it complied with</w:t>
      </w:r>
    </w:p>
    <w:p>
      <w:pPr>
        <w:spacing w:after="0" w:line="2" w:lineRule="exact"/>
        <w:rPr>
          <w:sz w:val="20"/>
          <w:szCs w:val="20"/>
          <w:color w:val="auto"/>
        </w:rPr>
      </w:pPr>
    </w:p>
    <w:p>
      <w:pPr>
        <w:ind w:left="1260" w:right="519"/>
        <w:spacing w:after="0" w:line="241" w:lineRule="auto"/>
        <w:rPr>
          <w:sz w:val="20"/>
          <w:szCs w:val="20"/>
          <w:color w:val="auto"/>
        </w:rPr>
      </w:pPr>
      <w:r>
        <w:rPr>
          <w:rFonts w:ascii="Times New Roman" w:cs="Times New Roman" w:eastAsia="Times New Roman" w:hAnsi="Times New Roman"/>
          <w:sz w:val="18"/>
          <w:szCs w:val="18"/>
          <w:color w:val="auto"/>
        </w:rPr>
        <w:t>Rule 3a51 -1(g)(1)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 The Company is proposing to amend its Charter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NTA Rule is one of several exclusions from the “penny stock” rules of the SEC and the Company believes that it may rely on another exclusion, which relates to it being listed on the Nasdaq Global Market (Rule 3a51-1(a)(2))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to not be deemed a penny stock issuer. In addition, in the event the NTA Amendment is approved, the Company will not be required to maintain a minimum value of net tangible assets in order to complete a Business Combination.</w:t>
      </w:r>
    </w:p>
    <w:p>
      <w:pPr>
        <w:spacing w:after="0" w:line="67"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six months after the Original Termination Date to consummate an Initial Business Combination until September 15, 2023, which is a total of up to 21 months to complete an Initial Business Combination after the Company’s IPO.</w:t>
      </w:r>
    </w:p>
    <w:p>
      <w:pPr>
        <w:spacing w:after="0" w:line="42" w:lineRule="exact"/>
        <w:rPr>
          <w:sz w:val="20"/>
          <w:szCs w:val="20"/>
          <w:color w:val="auto"/>
        </w:rPr>
      </w:pPr>
    </w:p>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48" w:lineRule="exact"/>
        <w:rPr>
          <w:sz w:val="20"/>
          <w:szCs w:val="20"/>
          <w:color w:val="auto"/>
        </w:rPr>
      </w:pPr>
    </w:p>
    <w:p>
      <w:pPr>
        <w:ind w:left="1260" w:right="499" w:firstLine="360"/>
        <w:spacing w:after="0" w:line="243" w:lineRule="auto"/>
        <w:rPr>
          <w:sz w:val="20"/>
          <w:szCs w:val="20"/>
          <w:color w:val="auto"/>
        </w:rPr>
      </w:pPr>
      <w:r>
        <w:rPr>
          <w:rFonts w:ascii="Times New Roman" w:cs="Times New Roman" w:eastAsia="Times New Roman" w:hAnsi="Times New Roman"/>
          <w:sz w:val="18"/>
          <w:szCs w:val="18"/>
          <w:color w:val="auto"/>
        </w:rPr>
        <w:t>The Board has fixed the close of business on January 26, 2023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(the “Class A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and 9,487,500 shares of Class B common stock, par value $0.0001 per share (the Class B common stock), issued and outstanding. The shares of Class B common stock are convertible into shares of Class A common stock on a one-for- one basis, subject to adjustment. The Class A common stock and the Class B common stock are collectively referred to as the Company’s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The public shares of Class A common stock are referred to as the “Public Shares.” Only holders of record of the Company’s Common Stock on the Record Date are entitled to have their votes counted at the Special Meeting or any adjournment thereof.</w:t>
      </w:r>
    </w:p>
    <w:p>
      <w:pPr>
        <w:spacing w:after="0" w:line="64" w:lineRule="exact"/>
        <w:rPr>
          <w:sz w:val="20"/>
          <w:szCs w:val="20"/>
          <w:color w:val="auto"/>
        </w:rPr>
      </w:pPr>
    </w:p>
    <w:p>
      <w:pPr>
        <w:ind w:left="1260" w:right="1019" w:firstLine="360"/>
        <w:spacing w:after="0" w:line="266" w:lineRule="auto"/>
        <w:rPr>
          <w:sz w:val="20"/>
          <w:szCs w:val="20"/>
          <w:color w:val="auto"/>
        </w:rPr>
      </w:pPr>
      <w:r>
        <w:rPr>
          <w:rFonts w:ascii="Times New Roman" w:cs="Times New Roman" w:eastAsia="Times New Roman" w:hAnsi="Times New Roman"/>
          <w:sz w:val="18"/>
          <w:szCs w:val="18"/>
          <w:color w:val="auto"/>
        </w:rPr>
        <w:t>Each of the Charter Amendment Proposal, the Trust Amendment Proposal and the Adjournment Proposal are more fully described in the accompanying Proxy Statement.</w:t>
      </w:r>
    </w:p>
    <w:p>
      <w:pPr>
        <w:spacing w:after="0" w:line="41" w:lineRule="exact"/>
        <w:rPr>
          <w:sz w:val="20"/>
          <w:szCs w:val="20"/>
          <w:color w:val="auto"/>
        </w:rPr>
      </w:pPr>
    </w:p>
    <w:p>
      <w:pPr>
        <w:ind w:left="1260" w:right="919" w:firstLine="360"/>
        <w:spacing w:after="0" w:line="282"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BurTech more time to complete its Initial Business combination.</w:t>
      </w:r>
    </w:p>
    <w:p>
      <w:pPr>
        <w:spacing w:after="0" w:line="27"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BurTech has only until March 15, 2023 to complete a business combination (i.e., 15 months from the consummation of the IPO). If both the Charter Amendment Proposals and the Trust Amendment Proposal are approved, the Company will instead have the right to extend the time to consummate a business combination from March 15, 2023 on a month-to-month and as needed basis, until September 15, 2023 (21 months from the consummation of the IPO).</w:t>
      </w:r>
    </w:p>
    <w:p>
      <w:pPr>
        <w:spacing w:after="0" w:line="56"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 Account $431,250 for each one-month Extension, paid on a month-to- 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w:t>
      </w:r>
    </w:p>
    <w:p>
      <w:pPr>
        <w:spacing w:after="0" w:line="1" w:lineRule="exact"/>
        <w:rPr>
          <w:sz w:val="20"/>
          <w:szCs w:val="20"/>
          <w:color w:val="auto"/>
        </w:rPr>
      </w:pPr>
    </w:p>
    <w:p>
      <w:pPr>
        <w:ind w:left="1520" w:hanging="26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until September 15, 2023. Each Contribution will be deposited in the Trust Account within two</w:t>
      </w:r>
    </w:p>
    <w:p>
      <w:pPr>
        <w:spacing w:after="0" w:line="368" w:lineRule="exact"/>
        <w:rPr>
          <w:rFonts w:ascii="Times New Roman" w:cs="Times New Roman" w:eastAsia="Times New Roman" w:hAnsi="Times New Roman"/>
          <w:sz w:val="18"/>
          <w:szCs w:val="18"/>
          <w:color w:val="auto"/>
        </w:rPr>
      </w:pPr>
    </w:p>
    <w:p>
      <w:pPr>
        <w:ind w:left="5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59"/>
        <w:spacing w:after="0" w:line="266" w:lineRule="auto"/>
        <w:rPr>
          <w:sz w:val="20"/>
          <w:szCs w:val="20"/>
          <w:color w:val="auto"/>
        </w:rPr>
      </w:pPr>
      <w:r>
        <w:rPr>
          <w:rFonts w:ascii="Times New Roman" w:cs="Times New Roman" w:eastAsia="Times New Roman" w:hAnsi="Times New Roman"/>
          <w:sz w:val="18"/>
          <w:szCs w:val="18"/>
          <w:color w:val="auto"/>
        </w:rPr>
        <w:t>business days prior to the beginning of the additional extension period. If the Company extends the time to complete a business combination to September 15, 2023, the Contributors would make aggregate Contributions in the amount of $2,587,500.</w:t>
      </w:r>
    </w:p>
    <w:p>
      <w:pPr>
        <w:spacing w:after="0" w:line="54"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08" w:lineRule="exact"/>
        <w:rPr>
          <w:sz w:val="20"/>
          <w:szCs w:val="20"/>
          <w:color w:val="auto"/>
        </w:rPr>
      </w:pPr>
    </w:p>
    <w:p>
      <w:pPr>
        <w:ind w:left="1260" w:right="479" w:firstLine="360"/>
        <w:spacing w:after="0" w:line="254"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BurTech has until March 15, 2023 to complete the Business Combination. If the Business Combination is not completed prior to March 15, 2023, BurTech can extend the time to complete the Business Combination only by the amendment of its Charter which requires the approval of at least 65% of the holders of the Company’s Common Stock entitled to vote, which include the holders of both the Class A common stock and the Class B common stock.</w:t>
      </w:r>
    </w:p>
    <w:p>
      <w:pPr>
        <w:spacing w:after="0" w:line="53"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If BurTech is unable to complete its initial business combination within such period (or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public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 There will be no distribution from the Trust Account with respect to the Company’s warrants, which will expire worthless in the event of our winding up.</w:t>
      </w:r>
    </w:p>
    <w:p>
      <w:pPr>
        <w:spacing w:after="0" w:line="200" w:lineRule="exact"/>
        <w:rPr>
          <w:sz w:val="20"/>
          <w:szCs w:val="20"/>
          <w:color w:val="auto"/>
        </w:rPr>
      </w:pPr>
    </w:p>
    <w:p>
      <w:pPr>
        <w:spacing w:after="0" w:line="20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08" w:lineRule="exact"/>
        <w:rPr>
          <w:sz w:val="20"/>
          <w:szCs w:val="20"/>
          <w:color w:val="auto"/>
        </w:rPr>
      </w:pPr>
    </w:p>
    <w:p>
      <w:pPr>
        <w:ind w:left="1260" w:right="579" w:firstLine="360"/>
        <w:spacing w:after="0" w:line="261"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58" w:lineRule="exact"/>
        <w:rPr>
          <w:sz w:val="20"/>
          <w:szCs w:val="20"/>
          <w:color w:val="auto"/>
        </w:rPr>
      </w:pPr>
    </w:p>
    <w:p>
      <w:pPr>
        <w:ind w:left="1260" w:right="559" w:firstLine="360"/>
        <w:spacing w:after="0" w:line="255"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an Initial Business Combination. Accordingly, BurTech’s board has determined that, given BurTech’s expenditure of time, effort and money on identifying a suitable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w:t>
      </w:r>
    </w:p>
    <w:p>
      <w:pPr>
        <w:sectPr>
          <w:pgSz w:w="11900" w:h="16838" w:orient="portrait"/>
          <w:cols w:equalWidth="0" w:num="1">
            <w:col w:w="9879"/>
          </w:cols>
          <w:pgMar w:left="580" w:top="97" w:right="1440" w:bottom="1440" w:gutter="0" w:footer="0" w:header="0"/>
        </w:sectPr>
      </w:pPr>
    </w:p>
    <w:p>
      <w:pPr>
        <w:spacing w:after="0" w:line="36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59"/>
        <w:spacing w:after="0" w:line="282" w:lineRule="auto"/>
        <w:rPr>
          <w:sz w:val="20"/>
          <w:szCs w:val="20"/>
          <w:color w:val="auto"/>
        </w:rPr>
      </w:pPr>
      <w:r>
        <w:rPr>
          <w:rFonts w:ascii="Times New Roman" w:cs="Times New Roman" w:eastAsia="Times New Roman" w:hAnsi="Times New Roman"/>
          <w:sz w:val="18"/>
          <w:szCs w:val="18"/>
          <w:color w:val="auto"/>
        </w:rPr>
        <w:t>approved, and both the Charter and the Trust Agreement are amended, BurTech will have to consummate an initial business combination before the Extended Termination Date.</w:t>
      </w:r>
    </w:p>
    <w:p>
      <w:pPr>
        <w:spacing w:after="0" w:line="23" w:lineRule="exact"/>
        <w:rPr>
          <w:sz w:val="20"/>
          <w:szCs w:val="20"/>
          <w:color w:val="auto"/>
        </w:rPr>
      </w:pPr>
    </w:p>
    <w:p>
      <w:pPr>
        <w:ind w:left="1260" w:right="439" w:firstLine="360"/>
        <w:spacing w:after="0" w:line="245" w:lineRule="auto"/>
        <w:rPr>
          <w:sz w:val="20"/>
          <w:szCs w:val="20"/>
          <w:color w:val="auto"/>
        </w:rPr>
      </w:pPr>
      <w:r>
        <w:rPr>
          <w:rFonts w:ascii="Times New Roman" w:cs="Times New Roman" w:eastAsia="Times New Roman" w:hAnsi="Times New Roman"/>
          <w:sz w:val="18"/>
          <w:szCs w:val="18"/>
          <w:b w:val="1"/>
          <w:bCs w:val="1"/>
          <w:color w:val="auto"/>
        </w:rPr>
        <w:t>You are not being asked to vote on any business combination at this time. If the Charter Amendment Proposals the Trust Amendment Proposal is implemented and you do not elect to redeem your shares of Class A common stock now, you will retain the right to vote on an Initial Business combination when it is submitted to stockholders and the right to redeem your shares of Class A common stock into a pro rata portion of the Trust Account in the event a business combination is approved and completed or the Company has not consummated a business combination by the Extended Termination Date.</w:t>
      </w:r>
    </w:p>
    <w:p>
      <w:pPr>
        <w:spacing w:after="0" w:line="59"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44" w:lineRule="exact"/>
        <w:rPr>
          <w:sz w:val="20"/>
          <w:szCs w:val="20"/>
          <w:color w:val="auto"/>
        </w:rPr>
      </w:pPr>
    </w:p>
    <w:p>
      <w:pPr>
        <w:ind w:left="1260" w:right="499" w:firstLine="360"/>
        <w:spacing w:after="0" w:line="25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Proposals and the Trust Amendment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Proposals and the Trust Amendment Proposal. Each redemption of shares of Class A common stock by our public stockholders will decrease the amount in our Trust Account, which held approximately</w:t>
      </w:r>
    </w:p>
    <w:p>
      <w:pPr>
        <w:spacing w:after="0" w:line="4" w:lineRule="exact"/>
        <w:rPr>
          <w:sz w:val="20"/>
          <w:szCs w:val="20"/>
          <w:color w:val="auto"/>
        </w:rPr>
      </w:pPr>
    </w:p>
    <w:p>
      <w:pPr>
        <w:ind w:left="1260" w:right="519"/>
        <w:spacing w:after="0" w:line="251" w:lineRule="auto"/>
        <w:rPr>
          <w:sz w:val="20"/>
          <w:szCs w:val="20"/>
          <w:color w:val="auto"/>
        </w:rPr>
      </w:pPr>
      <w:r>
        <w:rPr>
          <w:rFonts w:ascii="Times New Roman" w:cs="Times New Roman" w:eastAsia="Times New Roman" w:hAnsi="Times New Roman"/>
          <w:sz w:val="18"/>
          <w:szCs w:val="18"/>
          <w:color w:val="auto"/>
        </w:rPr>
        <w:t>$295.4 million of marketable securities as of February 8,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 9,487,500 shares Class B shares of common stock which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that were issued prior to our IPO and 898,250 shares of Class A common stock that were part of the private units purchased by our sponsor in a private placement which occurred simultaneously with the completion of the IPO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68"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65" w:lineRule="exact"/>
        <w:rPr>
          <w:sz w:val="20"/>
          <w:szCs w:val="20"/>
          <w:color w:val="auto"/>
        </w:rPr>
      </w:pPr>
    </w:p>
    <w:p>
      <w:pPr>
        <w:ind w:left="1260" w:right="679" w:firstLine="360"/>
        <w:spacing w:after="0" w:line="263" w:lineRule="auto"/>
        <w:rPr>
          <w:sz w:val="20"/>
          <w:szCs w:val="20"/>
          <w:color w:val="auto"/>
        </w:rPr>
      </w:pPr>
      <w:r>
        <w:rPr>
          <w:rFonts w:ascii="Times New Roman" w:cs="Times New Roman" w:eastAsia="Times New Roman" w:hAnsi="Times New Roman"/>
          <w:sz w:val="18"/>
          <w:szCs w:val="18"/>
          <w:color w:val="auto"/>
        </w:rPr>
        <w:t>As of February 8, 2023, there was approximately $295.4 million in the Trust Account. If the Charter Amendment Proposals and the Trust Amendment Proposal are approved and the Extension Termination Date is extended to September 15, 2023, the redemption price per share at the meeting for the Initial Business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5"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spacing w:after="0" w:line="256" w:lineRule="auto"/>
        <w:rPr>
          <w:sz w:val="20"/>
          <w:szCs w:val="20"/>
          <w:color w:val="auto"/>
        </w:rPr>
      </w:pPr>
      <w:r>
        <w:rPr>
          <w:rFonts w:ascii="Times New Roman" w:cs="Times New Roman" w:eastAsia="Times New Roman" w:hAnsi="Times New Roman"/>
          <w:sz w:val="18"/>
          <w:szCs w:val="18"/>
          <w:color w:val="auto"/>
        </w:rPr>
        <w:t>combination or the Company’s subsequent liquidation will be approximately $10.21 per share (without taking into account any interest), in comparison to the current redemption price of approximately $10.15 per share. The closing price of the Company’s common stock on February 8, 2023 was $10.29.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66"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and the Trust Agreement,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In the event of a liquidation, our sponsor, Representative, our officers and directors and our other initial stockholders will not receive any monies held in the Trust Account as a result of their ownership of the Founder Shares, the Representative Shares or the Private Placement Shares.</w:t>
      </w:r>
    </w:p>
    <w:p>
      <w:pPr>
        <w:spacing w:after="0" w:line="74"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withdrawal of funds from the Trust Account in connection with the Election will reduce the amount held in the Trust Account following the Election. In such event, the Company may need to obtain additional funds to complete the Business Combination, and there can be no assurance that such funds will be available on terms acceptable to the parties or at all.</w:t>
      </w:r>
    </w:p>
    <w:p>
      <w:pPr>
        <w:spacing w:after="0" w:line="45" w:lineRule="exact"/>
        <w:rPr>
          <w:sz w:val="20"/>
          <w:szCs w:val="20"/>
          <w:color w:val="auto"/>
        </w:rPr>
      </w:pPr>
    </w:p>
    <w:p>
      <w:pPr>
        <w:ind w:left="1260" w:right="419" w:firstLine="360"/>
        <w:spacing w:after="0" w:line="253"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66" w:lineRule="exact"/>
        <w:rPr>
          <w:sz w:val="20"/>
          <w:szCs w:val="20"/>
          <w:color w:val="auto"/>
        </w:rPr>
      </w:pPr>
    </w:p>
    <w:p>
      <w:pPr>
        <w:jc w:val="both"/>
        <w:ind w:left="1260" w:right="6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55" w:lineRule="exact"/>
        <w:rPr>
          <w:sz w:val="20"/>
          <w:szCs w:val="20"/>
          <w:color w:val="auto"/>
        </w:rPr>
      </w:pPr>
    </w:p>
    <w:p>
      <w:pPr>
        <w:jc w:val="both"/>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 w:lineRule="exact"/>
        <w:rPr>
          <w:sz w:val="20"/>
          <w:szCs w:val="20"/>
          <w:color w:val="auto"/>
        </w:rPr>
      </w:pPr>
    </w:p>
    <w:p>
      <w:pPr>
        <w:jc w:val="both"/>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Enclosed is the Proxy Statement containing detailed information concerning the Charter Amendment Proposal, the Trust Amendment Proposal and the Special Meeting. Whether or not you plan to attend the Special Meeting, we urge you to read this material carefully and vote your shares.</w:t>
      </w:r>
    </w:p>
    <w:p>
      <w:pPr>
        <w:spacing w:after="0" w:line="5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Sincerely,</w:t>
      </w:r>
    </w:p>
    <w:p>
      <w:pPr>
        <w:spacing w:after="0" w:line="11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68580</wp:posOffset>
            </wp:positionV>
            <wp:extent cx="20574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0" cy="8890"/>
                    </a:xfrm>
                    <a:prstGeom prst="rect">
                      <a:avLst/>
                    </a:prstGeom>
                    <a:noFill/>
                  </pic:spPr>
                </pic:pic>
              </a:graphicData>
            </a:graphic>
          </wp:anchor>
        </w:drawing>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9, 2023</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9"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188"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b w:val="1"/>
          <w:bCs w:val="1"/>
          <w:color w:val="auto"/>
        </w:rPr>
        <w:t>NOTICE OF SPECIAL MEETING OF STOCKHOLDERS TO BE HELD ON MARCH 1, 2023</w:t>
      </w:r>
    </w:p>
    <w:p>
      <w:pPr>
        <w:spacing w:after="0" w:line="108"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February 9, 2023​</w:t>
      </w:r>
    </w:p>
    <w:p>
      <w:pPr>
        <w:spacing w:after="0" w:line="10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the Stockholders of BurTech Acquisition Corp.:</w:t>
      </w:r>
    </w:p>
    <w:p>
      <w:pPr>
        <w:spacing w:after="0" w:line="86" w:lineRule="exact"/>
        <w:rPr>
          <w:sz w:val="20"/>
          <w:szCs w:val="20"/>
          <w:color w:val="auto"/>
        </w:rPr>
      </w:pPr>
    </w:p>
    <w:p>
      <w:pPr>
        <w:ind w:left="1260" w:right="979" w:firstLine="360"/>
        <w:spacing w:after="0" w:line="252" w:lineRule="auto"/>
        <w:rPr>
          <w:sz w:val="20"/>
          <w:szCs w:val="20"/>
          <w:color w:val="auto"/>
        </w:rPr>
      </w:pPr>
      <w:r>
        <w:rPr>
          <w:rFonts w:ascii="Times New Roman" w:cs="Times New Roman" w:eastAsia="Times New Roman" w:hAnsi="Times New Roman"/>
          <w:sz w:val="18"/>
          <w:szCs w:val="18"/>
          <w:color w:val="auto"/>
        </w:rPr>
        <w:t>NOTICE IS HEREBY GIVEN that a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a Delaware corporation, will be held on March 1, 2023, at 11:30 a.m. Eastern Time. Due to the COVID-19 pandemic, the Company will be holding the Special Meeting via teleconference using the following dial-in information:</w:t>
      </w:r>
    </w:p>
    <w:p>
      <w:pPr>
        <w:spacing w:after="0" w:line="62"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2380" w:type="dxa"/>
            <w:vAlign w:val="bottom"/>
          </w:tcPr>
          <w:p>
            <w:pPr>
              <w:spacing w:after="0" w:line="204" w:lineRule="exact"/>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620"/>
        <w:spacing w:after="0"/>
        <w:rPr>
          <w:sz w:val="20"/>
          <w:szCs w:val="20"/>
          <w:color w:val="auto"/>
        </w:rPr>
      </w:pPr>
      <w:r>
        <w:rPr>
          <w:rFonts w:ascii="Times New Roman" w:cs="Times New Roman" w:eastAsia="Times New Roman" w:hAnsi="Times New Roman"/>
          <w:sz w:val="18"/>
          <w:szCs w:val="18"/>
          <w:color w:val="auto"/>
        </w:rPr>
        <w:t>The purpose of the Special Meeting will be to consider and vote upon the following proposals:</w:t>
      </w:r>
    </w:p>
    <w:p>
      <w:pPr>
        <w:spacing w:after="0" w:line="84" w:lineRule="exact"/>
        <w:rPr>
          <w:sz w:val="20"/>
          <w:szCs w:val="20"/>
          <w:color w:val="auto"/>
        </w:rPr>
      </w:pPr>
    </w:p>
    <w:p>
      <w:pPr>
        <w:ind w:left="1620" w:right="599" w:firstLine="360"/>
        <w:spacing w:after="0" w:line="266" w:lineRule="auto"/>
        <w:tabs>
          <w:tab w:leader="none" w:pos="2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40" w:lineRule="exact"/>
        <w:rPr>
          <w:rFonts w:ascii="Times New Roman" w:cs="Times New Roman" w:eastAsia="Times New Roman" w:hAnsi="Times New Roman"/>
          <w:sz w:val="18"/>
          <w:szCs w:val="18"/>
          <w:color w:val="auto"/>
        </w:rPr>
      </w:pPr>
    </w:p>
    <w:p>
      <w:pPr>
        <w:ind w:left="1980" w:right="539" w:firstLine="360"/>
        <w:spacing w:after="0" w:line="247" w:lineRule="auto"/>
        <w:tabs>
          <w:tab w:leader="none" w:pos="269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on a month-to-month basis up to six (6) times (the “</w:t>
      </w:r>
      <w:r>
        <w:rPr>
          <w:rFonts w:ascii="Times New Roman" w:cs="Times New Roman" w:eastAsia="Times New Roman" w:hAnsi="Times New Roman"/>
          <w:sz w:val="18"/>
          <w:szCs w:val="18"/>
          <w:b w:val="1"/>
          <w:bCs w:val="1"/>
          <w:u w:val="single" w:color="auto"/>
          <w:color w:val="auto"/>
        </w:rPr>
        <w:t>Charter Amendment</w:t>
      </w:r>
      <w:r>
        <w:rPr>
          <w:rFonts w:ascii="Times New Roman" w:cs="Times New Roman" w:eastAsia="Times New Roman" w:hAnsi="Times New Roman"/>
          <w:sz w:val="18"/>
          <w:szCs w:val="18"/>
          <w:color w:val="auto"/>
        </w:rPr>
        <w:t>”), each such extension for an additional one (1) 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w:t>
      </w:r>
    </w:p>
    <w:p>
      <w:pPr>
        <w:spacing w:after="0" w:line="1" w:lineRule="exact"/>
        <w:rPr>
          <w:rFonts w:ascii="Times New Roman" w:cs="Times New Roman" w:eastAsia="Times New Roman" w:hAnsi="Times New Roman"/>
          <w:sz w:val="18"/>
          <w:szCs w:val="18"/>
          <w:color w:val="auto"/>
        </w:rPr>
      </w:pPr>
    </w:p>
    <w:p>
      <w:pPr>
        <w:ind w:left="1980" w:right="57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and</w:t>
      </w:r>
    </w:p>
    <w:p>
      <w:pPr>
        <w:spacing w:after="0" w:line="47" w:lineRule="exact"/>
        <w:rPr>
          <w:rFonts w:ascii="Times New Roman" w:cs="Times New Roman" w:eastAsia="Times New Roman" w:hAnsi="Times New Roman"/>
          <w:sz w:val="18"/>
          <w:szCs w:val="18"/>
          <w:color w:val="auto"/>
        </w:rPr>
      </w:pPr>
    </w:p>
    <w:p>
      <w:pPr>
        <w:ind w:left="1980" w:right="479" w:firstLine="360"/>
        <w:spacing w:after="0" w:line="244" w:lineRule="auto"/>
        <w:tabs>
          <w:tab w:leader="none" w:pos="27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 (a)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0" w:lineRule="exact"/>
        <w:rPr>
          <w:rFonts w:ascii="Times New Roman" w:cs="Times New Roman" w:eastAsia="Times New Roman" w:hAnsi="Times New Roman"/>
          <w:sz w:val="18"/>
          <w:szCs w:val="18"/>
          <w:color w:val="auto"/>
        </w:rPr>
      </w:pPr>
    </w:p>
    <w:p>
      <w:pPr>
        <w:ind w:left="1620" w:right="499" w:firstLine="360"/>
        <w:spacing w:after="0" w:line="245" w:lineRule="auto"/>
        <w:tabs>
          <w:tab w:leader="none" w:pos="2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BurTech’s investment management trust agreement, dated as of December 10, 2021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from March 15, 2023 up to six (6) times, each such Extension for an additional one (1) month period, until September 15, 2023, by depositing into the Trust Account $431,250 (the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Payment</w:t>
      </w:r>
      <w:r>
        <w:rPr>
          <w:rFonts w:ascii="Times New Roman" w:cs="Times New Roman" w:eastAsia="Times New Roman" w:hAnsi="Times New Roman"/>
          <w:sz w:val="18"/>
          <w:szCs w:val="18"/>
          <w:color w:val="auto"/>
        </w:rPr>
        <w:t>”) for each one-month Extension (or up to an aggregate of $2,587,500 for the total six-month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and</w:t>
      </w:r>
    </w:p>
    <w:p>
      <w:pPr>
        <w:spacing w:after="0" w:line="59" w:lineRule="exact"/>
        <w:rPr>
          <w:rFonts w:ascii="Times New Roman" w:cs="Times New Roman" w:eastAsia="Times New Roman" w:hAnsi="Times New Roman"/>
          <w:sz w:val="18"/>
          <w:szCs w:val="18"/>
          <w:color w:val="auto"/>
        </w:rPr>
      </w:pPr>
    </w:p>
    <w:p>
      <w:pPr>
        <w:ind w:left="1620" w:right="439" w:firstLine="360"/>
        <w:spacing w:after="0" w:line="250" w:lineRule="auto"/>
        <w:tabs>
          <w:tab w:leader="none" w:pos="22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55" w:lineRule="exact"/>
        <w:rPr>
          <w:rFonts w:ascii="Times New Roman" w:cs="Times New Roman" w:eastAsia="Times New Roman" w:hAnsi="Times New Roman"/>
          <w:sz w:val="18"/>
          <w:szCs w:val="18"/>
          <w:color w:val="auto"/>
        </w:rPr>
      </w:pPr>
    </w:p>
    <w:p>
      <w:pPr>
        <w:ind w:left="1620" w:right="1159" w:firstLine="360"/>
        <w:spacing w:after="0" w:line="282" w:lineRule="auto"/>
        <w:tabs>
          <w:tab w:leader="none" w:pos="226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or adjournments thereof.</w:t>
      </w:r>
    </w:p>
    <w:p>
      <w:pPr>
        <w:spacing w:after="0" w:line="27"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The Board of Directors has fixed the close of business on January 26, 2023 as the record date for the Special Meeting and only holders of shares of record at that time will be entitled to notice of and to vote at the Special Meeting or any adjournment or adjournments thereof.</w:t>
      </w:r>
    </w:p>
    <w:p>
      <w:pPr>
        <w:spacing w:after="0" w:line="78"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By Order of the Board of Directors</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r>
        <w:trPr>
          <w:trHeight w:val="369"/>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 ​</w:t>
            </w:r>
          </w:p>
        </w:tc>
        <w:tc>
          <w:tcPr>
            <w:tcW w:w="33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Shahal Khan</w:t>
            </w:r>
          </w:p>
        </w:tc>
        <w:tc>
          <w:tcPr>
            <w:tcW w:w="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3474720</wp:posOffset>
            </wp:positionH>
            <wp:positionV relativeFrom="paragraph">
              <wp:posOffset>34290</wp:posOffset>
            </wp:positionV>
            <wp:extent cx="25374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56"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February 9, 2023</w:t>
      </w:r>
    </w:p>
    <w:p>
      <w:pPr>
        <w:sectPr>
          <w:pgSz w:w="11900" w:h="16838" w:orient="portrait"/>
          <w:cols w:equalWidth="0" w:num="1">
            <w:col w:w="9879"/>
          </w:cols>
          <w:pgMar w:left="580" w:top="97" w:right="1440" w:bottom="1440" w:gutter="0" w:footer="0" w:header="0"/>
        </w:sectPr>
      </w:pPr>
    </w:p>
    <w:p>
      <w:pPr>
        <w:spacing w:after="0" w:line="36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276225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u w:val="single" w:color="auto"/>
          <w:color w:val="auto"/>
        </w:rPr>
        <w:t>IMPORTANT</w:t>
      </w:r>
    </w:p>
    <w:p>
      <w:pPr>
        <w:spacing w:after="0" w:line="104" w:lineRule="exact"/>
        <w:rPr>
          <w:sz w:val="20"/>
          <w:szCs w:val="20"/>
          <w:color w:val="auto"/>
        </w:rPr>
      </w:pPr>
    </w:p>
    <w:p>
      <w:pPr>
        <w:ind w:left="1260" w:right="5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IF YOU CANNOT PERSONALLY ATTEND THE SPECIAL MEETING, IT IS REQUESTED THAT YOU INDICATE YOUR VOTE ON THE ISSUES INCLUDED ON THE ENCLOSED PROXY AND DATE, SIGN AND MAIL IT IN THE ENCLOSED SELF-ADDRESSED ENVELOPE WHICH REQUIRES NO POSTAGE IF MAILED IN THE UNITED STATES OF AMERICA.</w:t>
      </w:r>
    </w:p>
    <w:p>
      <w:pPr>
        <w:spacing w:after="0" w:line="55" w:lineRule="exact"/>
        <w:rPr>
          <w:sz w:val="20"/>
          <w:szCs w:val="20"/>
          <w:color w:val="auto"/>
        </w:rPr>
      </w:pPr>
    </w:p>
    <w:p>
      <w:pPr>
        <w:ind w:left="1260" w:right="77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SPECIAL MEETING OF STOCKHOLDERS TO BE HELD ON MARCH 1, 2023. THIS PROXY STATEMENT TO THE STOCKHOLDERS WILL BE AVAILABLE AT: https://www.cstproxy.com/burtechacq/2023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8" w:name="page9"/>
    <w:bookmarkEnd w:id="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PRELIMINARY PROXY STATEMENT</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SPECIAL MEETING OF STOCKHOLDERS</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TO BE HELD MARCH 1, 2023</w:t>
      </w:r>
    </w:p>
    <w:p>
      <w:pPr>
        <w:spacing w:after="0" w:line="31"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FIRST MAILED ON OR ABOUT FEBRUARY 10, 2023</w:t>
      </w:r>
    </w:p>
    <w:p>
      <w:pPr>
        <w:spacing w:after="0" w:line="20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Date, Time and Place of the Special Meeting</w:t>
      </w:r>
    </w:p>
    <w:p>
      <w:pPr>
        <w:spacing w:after="0" w:line="104" w:lineRule="exact"/>
        <w:rPr>
          <w:sz w:val="20"/>
          <w:szCs w:val="20"/>
          <w:color w:val="auto"/>
        </w:rPr>
      </w:pPr>
    </w:p>
    <w:p>
      <w:pPr>
        <w:ind w:left="1260" w:right="559" w:firstLine="360"/>
        <w:spacing w:after="0" w:line="259" w:lineRule="auto"/>
        <w:rPr>
          <w:sz w:val="20"/>
          <w:szCs w:val="20"/>
          <w:color w:val="auto"/>
        </w:rPr>
      </w:pPr>
      <w:r>
        <w:rPr>
          <w:rFonts w:ascii="Times New Roman" w:cs="Times New Roman" w:eastAsia="Times New Roman" w:hAnsi="Times New Roman"/>
          <w:sz w:val="18"/>
          <w:szCs w:val="18"/>
          <w:color w:val="auto"/>
        </w:rPr>
        <w:t>The enclosed proxy is solicited by the Board of Directors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of BurTech Acquisition Corp. (“</w:t>
      </w:r>
      <w:r>
        <w:rPr>
          <w:rFonts w:ascii="Times New Roman" w:cs="Times New Roman" w:eastAsia="Times New Roman" w:hAnsi="Times New Roman"/>
          <w:sz w:val="18"/>
          <w:szCs w:val="18"/>
          <w:b w:val="1"/>
          <w:bCs w:val="1"/>
          <w:u w:val="single" w:color="auto"/>
          <w:color w:val="auto"/>
        </w:rPr>
        <w:t>the 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u w:val="single" w:color="auto"/>
          <w:color w:val="auto"/>
        </w:rPr>
        <w:t>BurTech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we</w:t>
      </w:r>
      <w:r>
        <w:rPr>
          <w:rFonts w:ascii="Times New Roman" w:cs="Times New Roman" w:eastAsia="Times New Roman" w:hAnsi="Times New Roman"/>
          <w:sz w:val="18"/>
          <w:szCs w:val="18"/>
          <w:color w:val="auto"/>
        </w:rPr>
        <w:t>”), a Delaware corporation, in connection with the Special Meeting of Stockholders to be held on March 1, 2023 at 11:30 a.m. Eastern time for the purposes set forth in the accompanying Notice of Meeting. Due to the COVID-19 pandemic, BurTech will be holding the Special Meeting, and any adjournments thereof, via teleconference using the following dial-in information:</w:t>
      </w:r>
    </w:p>
    <w:p>
      <w:pPr>
        <w:spacing w:after="0" w:line="57" w:lineRule="exact"/>
        <w:rPr>
          <w:sz w:val="20"/>
          <w:szCs w:val="20"/>
          <w:color w:val="auto"/>
        </w:rPr>
      </w:pPr>
    </w:p>
    <w:tbl>
      <w:tblPr>
        <w:tblLayout w:type="fixed"/>
        <w:tblInd w:w="1800" w:type="dxa"/>
        <w:tblCellMar>
          <w:top w:w="0" w:type="dxa"/>
          <w:left w:w="0" w:type="dxa"/>
          <w:bottom w:w="0" w:type="dxa"/>
          <w:right w:w="0" w:type="dxa"/>
        </w:tblCellMar>
      </w:tblPr>
      <w:tr>
        <w:trPr>
          <w:trHeight w:val="207"/>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US​ Toll Free</w:t>
            </w:r>
          </w:p>
        </w:tc>
        <w:tc>
          <w:tcPr>
            <w:tcW w:w="232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800-450-7155​</w:t>
            </w: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857-999-9155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
        </w:trPr>
        <w:tc>
          <w:tcPr>
            <w:tcW w:w="2380" w:type="dxa"/>
            <w:vAlign w:val="bottom"/>
          </w:tcPr>
          <w:p>
            <w:pPr>
              <w:spacing w:after="0" w:line="76" w:lineRule="exact"/>
              <w:rPr>
                <w:sz w:val="20"/>
                <w:szCs w:val="20"/>
                <w:color w:val="auto"/>
              </w:rPr>
            </w:pPr>
            <w:r>
              <w:rPr>
                <w:rFonts w:ascii="Times New Roman" w:cs="Times New Roman" w:eastAsia="Times New Roman" w:hAnsi="Times New Roman"/>
                <w:sz w:val="8"/>
                <w:szCs w:val="8"/>
                <w:color w:val="auto"/>
              </w:rPr>
              <w:t>International Toll</w:t>
            </w:r>
          </w:p>
        </w:tc>
        <w:tc>
          <w:tcPr>
            <w:tcW w:w="23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0"/>
        </w:trPr>
        <w:tc>
          <w:tcPr>
            <w:tcW w:w="238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w:t>
            </w:r>
          </w:p>
        </w:tc>
        <w:tc>
          <w:tcPr>
            <w:tcW w:w="2320" w:type="dxa"/>
            <w:vAlign w:val="bottom"/>
          </w:tcPr>
          <w:p>
            <w:pPr>
              <w:ind w:left="1080"/>
              <w:spacing w:after="0" w:line="181" w:lineRule="exact"/>
              <w:rPr>
                <w:sz w:val="20"/>
                <w:szCs w:val="20"/>
                <w:color w:val="auto"/>
              </w:rPr>
            </w:pPr>
            <w:r>
              <w:rPr>
                <w:rFonts w:ascii="Times New Roman" w:cs="Times New Roman" w:eastAsia="Times New Roman" w:hAnsi="Times New Roman"/>
                <w:sz w:val="18"/>
                <w:szCs w:val="18"/>
                <w:color w:val="auto"/>
              </w:rPr>
              <w:t>​ ​</w:t>
            </w:r>
          </w:p>
        </w:tc>
        <w:tc>
          <w:tcPr>
            <w:tcW w:w="134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0728075#</w:t>
            </w:r>
          </w:p>
        </w:tc>
        <w:tc>
          <w:tcPr>
            <w:tcW w:w="6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Conference ID</w:t>
            </w:r>
          </w:p>
        </w:tc>
        <w:tc>
          <w:tcPr>
            <w:tcW w:w="2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60" w:right="559" w:firstLine="360"/>
        <w:spacing w:after="0" w:line="258" w:lineRule="auto"/>
        <w:rPr>
          <w:sz w:val="20"/>
          <w:szCs w:val="20"/>
          <w:color w:val="auto"/>
        </w:rPr>
      </w:pPr>
      <w:r>
        <w:rPr>
          <w:rFonts w:ascii="Times New Roman" w:cs="Times New Roman" w:eastAsia="Times New Roman" w:hAnsi="Times New Roman"/>
          <w:sz w:val="18"/>
          <w:szCs w:val="18"/>
          <w:color w:val="auto"/>
        </w:rPr>
        <w:t>The principal executive office of the Company is 1300 Pennsylvania Ave NW, Suite 700, Washington, DC 20004, and its telephone number, including area code, is (202) 600-5757.</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Purpose of the Special Meeting</w:t>
      </w:r>
    </w:p>
    <w:p>
      <w:pPr>
        <w:spacing w:after="0" w:line="10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At the Special Meeting, you will be asked to consider and vote upon the following matters:</w:t>
      </w:r>
    </w:p>
    <w:p>
      <w:pPr>
        <w:spacing w:after="0" w:line="104" w:lineRule="exact"/>
        <w:rPr>
          <w:sz w:val="20"/>
          <w:szCs w:val="20"/>
          <w:color w:val="auto"/>
        </w:rPr>
      </w:pPr>
    </w:p>
    <w:p>
      <w:pPr>
        <w:ind w:left="1980" w:right="1199"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 A proposal to amend BurTech’s second amended and restated certificate of incorporation (the “</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w:t>
      </w:r>
    </w:p>
    <w:p>
      <w:pPr>
        <w:spacing w:after="0" w:line="26" w:lineRule="exact"/>
        <w:rPr>
          <w:rFonts w:ascii="Times New Roman" w:cs="Times New Roman" w:eastAsia="Times New Roman" w:hAnsi="Times New Roman"/>
          <w:sz w:val="18"/>
          <w:szCs w:val="18"/>
          <w:color w:val="auto"/>
        </w:rPr>
      </w:pPr>
    </w:p>
    <w:p>
      <w:pPr>
        <w:ind w:left="1980" w:right="799" w:firstLine="360"/>
        <w:spacing w:after="0" w:line="261" w:lineRule="auto"/>
        <w:tabs>
          <w:tab w:leader="none" w:pos="269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date by which BurTech has to consummate a business combination up to six (6) times on a month-to-month basis, each such extension for a one-month period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until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w:t>
      </w:r>
    </w:p>
    <w:p>
      <w:pPr>
        <w:spacing w:after="0" w:line="58" w:lineRule="exact"/>
        <w:rPr>
          <w:rFonts w:ascii="Times New Roman" w:cs="Times New Roman" w:eastAsia="Times New Roman" w:hAnsi="Times New Roman"/>
          <w:sz w:val="18"/>
          <w:szCs w:val="18"/>
          <w:color w:val="auto"/>
        </w:rPr>
      </w:pPr>
    </w:p>
    <w:p>
      <w:pPr>
        <w:ind w:left="1980" w:right="519" w:firstLine="360"/>
        <w:spacing w:after="0" w:line="256" w:lineRule="auto"/>
        <w:tabs>
          <w:tab w:leader="none" w:pos="270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Section 9.2(a) of the Charter to modify the net tangible asset requirement (the “</w:t>
      </w:r>
      <w:r>
        <w:rPr>
          <w:rFonts w:ascii="Times New Roman" w:cs="Times New Roman" w:eastAsia="Times New Roman" w:hAnsi="Times New Roman"/>
          <w:sz w:val="18"/>
          <w:szCs w:val="18"/>
          <w:b w:val="1"/>
          <w:bCs w:val="1"/>
          <w:color w:val="auto"/>
        </w:rPr>
        <w:t>NTA Requirement</w:t>
      </w:r>
      <w:r>
        <w:rPr>
          <w:rFonts w:ascii="Times New Roman" w:cs="Times New Roman" w:eastAsia="Times New Roman" w:hAnsi="Times New Roman"/>
          <w:sz w:val="18"/>
          <w:szCs w:val="18"/>
          <w:color w:val="auto"/>
        </w:rPr>
        <w:t>”)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w:t>
      </w:r>
      <w:r>
        <w:rPr>
          <w:rFonts w:ascii="Times New Roman" w:cs="Times New Roman" w:eastAsia="Times New Roman" w:hAnsi="Times New Roman"/>
          <w:sz w:val="18"/>
          <w:szCs w:val="18"/>
          <w:b w:val="1"/>
          <w:bCs w:val="1"/>
          <w:u w:val="single" w:color="auto"/>
          <w:color w:val="auto"/>
        </w:rPr>
        <w:t>NTA Amendment</w:t>
      </w:r>
      <w:r>
        <w:rPr>
          <w:rFonts w:ascii="Times New Roman" w:cs="Times New Roman" w:eastAsia="Times New Roman" w:hAnsi="Times New Roman"/>
          <w:sz w:val="18"/>
          <w:szCs w:val="18"/>
          <w:color w:val="auto"/>
        </w:rPr>
        <w:t>”). We refer to these proposals as the “</w:t>
      </w:r>
      <w:r>
        <w:rPr>
          <w:rFonts w:ascii="Times New Roman" w:cs="Times New Roman" w:eastAsia="Times New Roman" w:hAnsi="Times New Roman"/>
          <w:sz w:val="18"/>
          <w:szCs w:val="18"/>
          <w:b w:val="1"/>
          <w:bCs w:val="1"/>
          <w:u w:val="single" w:color="auto"/>
          <w:color w:val="auto"/>
        </w:rPr>
        <w:t>Charter Amendment Proposals;</w:t>
      </w:r>
      <w:r>
        <w:rPr>
          <w:rFonts w:ascii="Times New Roman" w:cs="Times New Roman" w:eastAsia="Times New Roman" w:hAnsi="Times New Roman"/>
          <w:sz w:val="18"/>
          <w:szCs w:val="18"/>
          <w:color w:val="auto"/>
        </w:rPr>
        <w:t>”</w:t>
      </w:r>
    </w:p>
    <w:p>
      <w:pPr>
        <w:spacing w:after="0" w:line="65" w:lineRule="exact"/>
        <w:rPr>
          <w:rFonts w:ascii="Times New Roman" w:cs="Times New Roman" w:eastAsia="Times New Roman" w:hAnsi="Times New Roman"/>
          <w:sz w:val="18"/>
          <w:szCs w:val="18"/>
          <w:color w:val="auto"/>
        </w:rPr>
      </w:pPr>
    </w:p>
    <w:p>
      <w:pPr>
        <w:ind w:left="1980" w:right="439" w:hanging="360"/>
        <w:spacing w:after="0" w:line="255"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2 — A proposal to amend BurTech’s investment management trust agreement, dated as of March 1, 2023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by and between the Company and 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Extended Termination Date up to six (6) times on a month-to-month basis, to 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$431,250 (the “</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color w:val="auto"/>
        </w:rPr>
        <w:t>”) for each one-month Extension (or up to an aggregate of $2,587,500 for the total six-month period) (we refer to this proposal as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980" w:right="599" w:hanging="360"/>
        <w:spacing w:after="0" w:line="261"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3 — A proposal to direct the chairman of the Special Meeting to adjourn the Special Meeting to a later date or dates, if necessary, to permit further solicitation and vote of proxies if, based upon the tabulated vote at the time of the Special Meeting, there are not sufficient votes to approve the foregoing proposal (we refer to this proposal as the “</w:t>
      </w:r>
      <w:r>
        <w:rPr>
          <w:rFonts w:ascii="Times New Roman" w:cs="Times New Roman" w:eastAsia="Times New Roman" w:hAnsi="Times New Roman"/>
          <w:sz w:val="18"/>
          <w:szCs w:val="18"/>
          <w:b w:val="1"/>
          <w:bCs w:val="1"/>
          <w:u w:val="single" w:color="auto"/>
          <w:color w:val="auto"/>
        </w:rPr>
        <w:t>Adjournment Proposal</w:t>
      </w:r>
      <w:r>
        <w:rPr>
          <w:rFonts w:ascii="Times New Roman" w:cs="Times New Roman" w:eastAsia="Times New Roman" w:hAnsi="Times New Roman"/>
          <w:sz w:val="18"/>
          <w:szCs w:val="18"/>
          <w:color w:val="auto"/>
        </w:rPr>
        <w:t>”); and</w:t>
      </w:r>
    </w:p>
    <w:p>
      <w:pPr>
        <w:spacing w:after="0" w:line="44" w:lineRule="exact"/>
        <w:rPr>
          <w:rFonts w:ascii="Times New Roman" w:cs="Times New Roman" w:eastAsia="Times New Roman" w:hAnsi="Times New Roman"/>
          <w:sz w:val="18"/>
          <w:szCs w:val="18"/>
          <w:color w:val="auto"/>
        </w:rPr>
      </w:pPr>
    </w:p>
    <w:p>
      <w:pPr>
        <w:ind w:left="1980" w:right="439" w:hanging="360"/>
        <w:spacing w:after="0" w:line="282" w:lineRule="auto"/>
        <w:tabs>
          <w:tab w:leader="none" w:pos="1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act on such other matters as may properly come before the Special Meeting or any adjournment thereof.</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267970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08" w:lineRule="exact"/>
        <w:rPr>
          <w:sz w:val="20"/>
          <w:szCs w:val="20"/>
          <w:color w:val="auto"/>
        </w:rPr>
      </w:pPr>
    </w:p>
    <w:p>
      <w:pPr>
        <w:ind w:left="1260" w:right="519" w:firstLine="360"/>
        <w:spacing w:after="0" w:line="242"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was unable to complete its initial business combination within such period (as extended as described herein), it would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Class A common stock (including the right to receive further liquidation distributions, if any), subject to applicable law. As promptly as reasonably possible following such redemption, subject to the approval of the remaining stockholders and the Board, BurTech would dissolve and liquidate, subject to its obligations under Delaware law to provide for claims of creditors and the requirements of other applicable law.</w:t>
      </w:r>
    </w:p>
    <w:p>
      <w:pPr>
        <w:spacing w:after="0" w:line="271" w:lineRule="exact"/>
        <w:rPr>
          <w:sz w:val="20"/>
          <w:szCs w:val="20"/>
          <w:color w:val="auto"/>
        </w:rPr>
      </w:pPr>
    </w:p>
    <w:p>
      <w:pPr>
        <w:ind w:left="1260" w:right="539" w:firstLine="360"/>
        <w:spacing w:after="0" w:line="251"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269" w:lineRule="exact"/>
        <w:rPr>
          <w:sz w:val="20"/>
          <w:szCs w:val="20"/>
          <w:color w:val="auto"/>
        </w:rPr>
      </w:pPr>
    </w:p>
    <w:p>
      <w:pPr>
        <w:ind w:left="1260" w:right="459" w:firstLine="360"/>
        <w:spacing w:after="0" w:line="243" w:lineRule="auto"/>
        <w:rPr>
          <w:sz w:val="20"/>
          <w:szCs w:val="20"/>
          <w:color w:val="auto"/>
        </w:rPr>
      </w:pPr>
      <w:r>
        <w:rPr>
          <w:rFonts w:ascii="Times New Roman" w:cs="Times New Roman" w:eastAsia="Times New Roman" w:hAnsi="Times New Roman"/>
          <w:sz w:val="18"/>
          <w:szCs w:val="18"/>
          <w:color w:val="auto"/>
        </w:rPr>
        <w:t xml:space="preserve">The purpose of the Charter Amendment Proposals and the Trust Amendment Proposal is to allow the Company additional time to find an appropriate company as a target in order to complete an Initial Business Combination. The Company’s prospectus for its IPO and its Charter provide that the Company has until March 15, 2023 (the “ </w:t>
      </w:r>
      <w:r>
        <w:rPr>
          <w:rFonts w:ascii="Times New Roman" w:cs="Times New Roman" w:eastAsia="Times New Roman" w:hAnsi="Times New Roman"/>
          <w:sz w:val="18"/>
          <w:szCs w:val="18"/>
          <w:b w:val="1"/>
          <w:bCs w:val="1"/>
          <w:u w:val="single" w:color="auto"/>
          <w:color w:val="auto"/>
        </w:rPr>
        <w:t>Original Termination Date</w:t>
      </w:r>
      <w:r>
        <w:rPr>
          <w:rFonts w:ascii="Times New Roman" w:cs="Times New Roman" w:eastAsia="Times New Roman" w:hAnsi="Times New Roman"/>
          <w:sz w:val="18"/>
          <w:szCs w:val="18"/>
          <w:color w:val="auto"/>
        </w:rPr>
        <w:t>”) to complete an initial business combination. There is not sufficient time before March 15, 2023 for the Company to complete an Initial Business Combination given the projected timetable, to file a registration statement on Form S-4 under the Securities Act of 1933 (the “</w:t>
      </w:r>
      <w:r>
        <w:rPr>
          <w:rFonts w:ascii="Times New Roman" w:cs="Times New Roman" w:eastAsia="Times New Roman" w:hAnsi="Times New Roman"/>
          <w:sz w:val="18"/>
          <w:szCs w:val="18"/>
          <w:b w:val="1"/>
          <w:bCs w:val="1"/>
          <w:color w:val="auto"/>
        </w:rPr>
        <w:t>Initial Business Combination Registration Statement</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and having it declared effective prior to holding a Special Meeting of the Company to consider an Initial Business Combination. Accordingly, the Board has determined that it is in the best interests of our stockholders to extend the date that the Company has to consummate an initial business combination.</w:t>
      </w:r>
    </w:p>
    <w:p>
      <w:pPr>
        <w:spacing w:after="0" w:line="64"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would have up to an additional six months after the Original Termination Date to consummate the Initial Business Combination until September 15, 2023, which is a total of up to 21 months to complete an Initial Business Combination after the Company’s IPO.</w:t>
      </w:r>
    </w:p>
    <w:p>
      <w:pPr>
        <w:spacing w:after="0" w:line="56" w:lineRule="exact"/>
        <w:rPr>
          <w:sz w:val="20"/>
          <w:szCs w:val="20"/>
          <w:color w:val="auto"/>
        </w:rPr>
      </w:pPr>
    </w:p>
    <w:p>
      <w:pPr>
        <w:ind w:left="1260" w:right="559" w:firstLine="360"/>
        <w:spacing w:after="0" w:line="250" w:lineRule="auto"/>
        <w:rPr>
          <w:sz w:val="20"/>
          <w:szCs w:val="20"/>
          <w:color w:val="auto"/>
        </w:rPr>
      </w:pPr>
      <w:r>
        <w:rPr>
          <w:rFonts w:ascii="Times New Roman" w:cs="Times New Roman" w:eastAsia="Times New Roman" w:hAnsi="Times New Roman"/>
          <w:sz w:val="18"/>
          <w:szCs w:val="18"/>
          <w:color w:val="auto"/>
        </w:rPr>
        <w:t>Upon the closing of the Company’s IPO, approximately $292.2 million was placed in a trust account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located in the United States with Continental Stock Transfer &amp; Trust Company acting as trustee, and held as cash or invested only in U.S. government securities.</w:t>
      </w:r>
    </w:p>
    <w:p>
      <w:pPr>
        <w:spacing w:after="0" w:line="55" w:lineRule="exact"/>
        <w:rPr>
          <w:sz w:val="20"/>
          <w:szCs w:val="20"/>
          <w:color w:val="auto"/>
        </w:rPr>
      </w:pPr>
    </w:p>
    <w:p>
      <w:pPr>
        <w:ind w:left="1260" w:right="519" w:firstLine="360"/>
        <w:spacing w:after="0" w:line="245" w:lineRule="auto"/>
        <w:rPr>
          <w:sz w:val="20"/>
          <w:szCs w:val="20"/>
          <w:color w:val="auto"/>
        </w:rPr>
      </w:pPr>
      <w:r>
        <w:rPr>
          <w:rFonts w:ascii="Times New Roman" w:cs="Times New Roman" w:eastAsia="Times New Roman" w:hAnsi="Times New Roman"/>
          <w:sz w:val="18"/>
          <w:szCs w:val="18"/>
          <w:color w:val="auto"/>
        </w:rPr>
        <w:t>The Board has fixed the close of business on January 26, 2023 as the record date for determining the Company’s stockholders entitled to receive notice of and to vote at the Special Meeting and any adjournment thereof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xml:space="preserve">”). On the Record Date, there were 28,750,000 shares of Class A common stock, $0.0001 par value, issued and outstanding (the “Class A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u w:val="single" w:color="auto"/>
          <w:color w:val="auto"/>
        </w:rPr>
        <w:t>Public Shares</w:t>
      </w:r>
      <w:r>
        <w:rPr>
          <w:rFonts w:ascii="Times New Roman" w:cs="Times New Roman" w:eastAsia="Times New Roman" w:hAnsi="Times New Roman"/>
          <w:sz w:val="18"/>
          <w:szCs w:val="18"/>
          <w:color w:val="auto"/>
        </w:rPr>
        <w:t>”) and 9,487,500 shares of Class B common stock, par value $0.0001 per share, issued and outstanding. Only holders of record of the Company’s Common Stock on the Record Date are entitled to have their votes counted at the Special Meeting or any adjournment thereof.</w:t>
      </w:r>
    </w:p>
    <w:p>
      <w:pPr>
        <w:spacing w:after="0" w:line="56" w:lineRule="exact"/>
        <w:rPr>
          <w:sz w:val="20"/>
          <w:szCs w:val="20"/>
          <w:color w:val="auto"/>
        </w:rPr>
      </w:pPr>
    </w:p>
    <w:p>
      <w:pPr>
        <w:ind w:left="1260" w:right="539" w:firstLine="360"/>
        <w:spacing w:after="0" w:line="246" w:lineRule="auto"/>
        <w:rPr>
          <w:sz w:val="20"/>
          <w:szCs w:val="20"/>
          <w:color w:val="auto"/>
        </w:rPr>
      </w:pPr>
      <w:r>
        <w:rPr>
          <w:rFonts w:ascii="Times New Roman" w:cs="Times New Roman" w:eastAsia="Times New Roman" w:hAnsi="Times New Roman"/>
          <w:sz w:val="18"/>
          <w:szCs w:val="18"/>
          <w:color w:val="auto"/>
        </w:rPr>
        <w:t>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have agreed that if the Charter Amendment Proposals and the Trust Amendment Proposal are approved, they will contribute to the Trust Account $431,250 for each one-month Extension, paid on a month-to- month and as-needed basis, (each being referred to herein as a “</w:t>
      </w:r>
      <w:r>
        <w:rPr>
          <w:rFonts w:ascii="Times New Roman" w:cs="Times New Roman" w:eastAsia="Times New Roman" w:hAnsi="Times New Roman"/>
          <w:sz w:val="18"/>
          <w:szCs w:val="18"/>
          <w:b w:val="1"/>
          <w:bCs w:val="1"/>
          <w:u w:val="single" w:color="auto"/>
          <w:color w:val="auto"/>
        </w:rPr>
        <w:t>Contribution</w:t>
      </w:r>
      <w:r>
        <w:rPr>
          <w:rFonts w:ascii="Times New Roman" w:cs="Times New Roman" w:eastAsia="Times New Roman" w:hAnsi="Times New Roman"/>
          <w:sz w:val="18"/>
          <w:szCs w:val="18"/>
          <w:color w:val="auto"/>
        </w:rPr>
        <w:t>”), upon five days’ advance notice prior to the applicable deadlines, to extend the Combination Period for an additional one (1) month period each time, for up to six</w:t>
      </w:r>
    </w:p>
    <w:p>
      <w:pPr>
        <w:spacing w:after="0" w:line="3" w:lineRule="exact"/>
        <w:rPr>
          <w:sz w:val="20"/>
          <w:szCs w:val="20"/>
          <w:color w:val="auto"/>
        </w:rPr>
      </w:pPr>
    </w:p>
    <w:p>
      <w:pPr>
        <w:jc w:val="both"/>
        <w:ind w:left="1260" w:right="639"/>
        <w:spacing w:after="0" w:line="246" w:lineRule="auto"/>
        <w:tabs>
          <w:tab w:leader="none" w:pos="152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times, until September 15, 2023. Each Contribution will be deposited in the Trust Account within two business days prior to the beginning of the additional extension period (or portion thereof), other than the first Contribution which will be made on the day of the approval of the Trust Amendment Proposal. If the</w:t>
      </w:r>
    </w:p>
    <w:p>
      <w:pPr>
        <w:spacing w:after="0" w:line="356"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0" w:name="page11"/>
    <w:bookmarkEnd w:id="1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799"/>
        <w:spacing w:after="0" w:line="282" w:lineRule="auto"/>
        <w:rPr>
          <w:sz w:val="20"/>
          <w:szCs w:val="20"/>
          <w:color w:val="auto"/>
        </w:rPr>
      </w:pPr>
      <w:r>
        <w:rPr>
          <w:rFonts w:ascii="Times New Roman" w:cs="Times New Roman" w:eastAsia="Times New Roman" w:hAnsi="Times New Roman"/>
          <w:sz w:val="18"/>
          <w:szCs w:val="18"/>
          <w:color w:val="auto"/>
        </w:rPr>
        <w:t>Company extends the time to complete a business combination to September 15, 2023, the Contributors would make aggregate Contributions in the amount of $2,587,500.</w:t>
      </w:r>
    </w:p>
    <w:p>
      <w:pPr>
        <w:spacing w:after="0" w:line="40"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The Contributors will not make any Contribution unless the Charter Amendment Proposals and the Trust Amendment Proposal are both approved and the Extension Termination Date is extended. The Contribution(s) will not bear any interest. The contributions will be lost if the Company is unable to consummate an initial business combination except to the extent of any funds held outside of the Trust Account. The Company will have the sole discretion whether to continue extending the time to complete a business combination until the Extended Termination Date, and if the Company determines not to continue extending for an additional period, any obligation to make additional Contributions will terminate. If this occurs, or if the Company’s board of directors otherwise determines that the Company will not be able to consummate an initial business combination by the Extended Termination Date and does not wish to seek an additional Extension, the Company would wind up the Company’s affairs and redeem 100% of the outstanding public shares of Class A common stock in accordance with the same procedures set forth below that would be applicable if the Charter Amendment Proposals and the Trust Amendment Proposal are not approved.</w:t>
      </w:r>
    </w:p>
    <w:p>
      <w:pPr>
        <w:spacing w:after="0" w:line="284"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 purpose of the Charter Amendment Proposals and the Trust Amendment Proposal is to allow BurTech more time to complete its Initial Business Combination. BurTech’s Charter provides that BurTech has only until March 15, 2023 to complete a business combination.</w:t>
      </w:r>
    </w:p>
    <w:p>
      <w:pPr>
        <w:spacing w:after="0" w:line="17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QUESTIONS AND ANSWERS ABOUT THE SPECIAL MEETING</w:t>
      </w:r>
    </w:p>
    <w:p>
      <w:pPr>
        <w:spacing w:after="0" w:line="94" w:lineRule="exact"/>
        <w:rPr>
          <w:sz w:val="20"/>
          <w:szCs w:val="20"/>
          <w:color w:val="auto"/>
        </w:rPr>
      </w:pPr>
    </w:p>
    <w:p>
      <w:pPr>
        <w:jc w:val="both"/>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These Questions and Answers are only summaries of the matters they discuss. They do not contain all of the information that may be important to you. You should carefully read the entire document, including the annexes to this proxy statement.</w:t>
      </w:r>
    </w:p>
    <w:p>
      <w:pPr>
        <w:spacing w:after="0" w:line="50" w:lineRule="exact"/>
        <w:rPr>
          <w:sz w:val="20"/>
          <w:szCs w:val="20"/>
          <w:color w:val="auto"/>
        </w:rPr>
      </w:pPr>
    </w:p>
    <w:p>
      <w:pPr>
        <w:ind w:left="1620" w:hanging="360"/>
        <w:spacing w:after="0"/>
        <w:tabs>
          <w:tab w:leader="none" w:pos="16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being voted on?</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2" w:lineRule="auto"/>
        <w:tabs>
          <w:tab w:leader="none" w:pos="1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being asked to consider and vote upon (x) a proposal to amend the Company’s Charter (such amendment,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 and to amend the Investment Management Trust Agreement (the “</w:t>
      </w:r>
      <w:r>
        <w:rPr>
          <w:rFonts w:ascii="Times New Roman" w:cs="Times New Roman" w:eastAsia="Times New Roman" w:hAnsi="Times New Roman"/>
          <w:sz w:val="18"/>
          <w:szCs w:val="18"/>
          <w:b w:val="1"/>
          <w:bCs w:val="1"/>
          <w:u w:val="single" w:color="auto"/>
          <w:color w:val="auto"/>
        </w:rPr>
        <w:t>Trust Amendment Proposal</w:t>
      </w:r>
      <w:r>
        <w:rPr>
          <w:rFonts w:ascii="Times New Roman" w:cs="Times New Roman" w:eastAsia="Times New Roman" w:hAnsi="Times New Roman"/>
          <w:sz w:val="18"/>
          <w:szCs w:val="18"/>
          <w:color w:val="auto"/>
        </w:rPr>
        <w:t>”) to allow the Board to extend the date to consummate a business combination on an as-needed, month-to-month basis, from March 15, 2023 to September 15, 2023 (the latest such date actually extended being 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without another stockholder vote, the date by which, if the Company has not consummated a merger, merger, share exchange, asset acquisition, stock purchase, recapitalization, reorganization or other similar business combination involving one or more businesses or entities, the Company must: (i) cease all operations except for the purpose of winding up and (ii) as promptly as reasonably possible but not more than ten business days thereafter, redeem 100% of the outstanding shares of Class A common stock, which redemption will completely extinguish public stockholders’ rights as holders of shares of Class A common stock, at a per-share of Class A common stock price, payable in cash, equal to the aggregate amount then on deposit in the Trust Account, including any interest not previously released to BurTech (net of taxes payable), divided by the number of then outstanding shares of Class A common stock (including the right to receive further liquidation distributions, if any), subject to applicable law; and (y) a proposal to adjourn the Special Meeting if necessary.</w:t>
      </w:r>
    </w:p>
    <w:p>
      <w:pPr>
        <w:spacing w:after="0" w:line="6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Why is the Company proposing the Charter Amendment Proposals and the Trust Amendment Proposal?</w:t>
      </w:r>
    </w:p>
    <w:p>
      <w:pPr>
        <w:spacing w:after="0" w:line="105" w:lineRule="exact"/>
        <w:rPr>
          <w:rFonts w:ascii="Times New Roman" w:cs="Times New Roman" w:eastAsia="Times New Roman" w:hAnsi="Times New Roman"/>
          <w:sz w:val="17"/>
          <w:szCs w:val="17"/>
          <w:b w:val="1"/>
          <w:bCs w:val="1"/>
          <w:color w:val="auto"/>
        </w:rPr>
      </w:pPr>
    </w:p>
    <w:p>
      <w:pPr>
        <w:ind w:left="1620" w:right="519" w:hanging="360"/>
        <w:spacing w:after="0" w:line="253"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On December 15, 2021, the Company consummated its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the underwriters’ partial exercise of over-allotment option on December 13, 2021. Simultaneously with the closing of the IPO and the exercise of the partial exercise by the underwriter of its over-allotment option, the Company consummated the private placement for the sale of private units (“</w:t>
      </w:r>
      <w:r>
        <w:rPr>
          <w:rFonts w:ascii="Times New Roman" w:cs="Times New Roman" w:eastAsia="Times New Roman" w:hAnsi="Times New Roman"/>
          <w:sz w:val="18"/>
          <w:szCs w:val="18"/>
          <w:b w:val="1"/>
          <w:bCs w:val="1"/>
          <w:u w:val="single" w:color="auto"/>
          <w:color w:val="auto"/>
        </w:rPr>
        <w:t>Private Placement</w:t>
      </w:r>
      <w:r>
        <w:rPr>
          <w:rFonts w:ascii="Times New Roman" w:cs="Times New Roman" w:eastAsia="Times New Roman" w:hAnsi="Times New Roman"/>
          <w:sz w:val="18"/>
          <w:szCs w:val="18"/>
          <w:color w:val="auto"/>
        </w:rPr>
        <w:t>”) with BurTech LP, LLC (the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containing an aggregate of 898,250 shares of Class A common stock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$291,812,500 from the net proceeds of the units sold in the IPO and the Private Placement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for the benefit of the persons holding Public Shares (“</w:t>
      </w:r>
      <w:r>
        <w:rPr>
          <w:rFonts w:ascii="Times New Roman" w:cs="Times New Roman" w:eastAsia="Times New Roman" w:hAnsi="Times New Roman"/>
          <w:sz w:val="18"/>
          <w:szCs w:val="18"/>
          <w:b w:val="1"/>
          <w:bCs w:val="1"/>
          <w:u w:val="single" w:color="auto"/>
          <w:color w:val="auto"/>
        </w:rPr>
        <w:t>Public Stockholders</w:t>
      </w:r>
      <w:r>
        <w:rPr>
          <w:rFonts w:ascii="Times New Roman" w:cs="Times New Roman" w:eastAsia="Times New Roman" w:hAnsi="Times New Roman"/>
          <w:sz w:val="18"/>
          <w:szCs w:val="18"/>
          <w:color w:val="auto"/>
        </w:rPr>
        <w:t>”).</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39"/>
        <w:spacing w:after="0" w:line="256"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there is no qualifying business combination(s) consummated on or before March 15, 2023. The Company has identified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 Combination</w:t>
      </w:r>
      <w:r>
        <w:rPr>
          <w:rFonts w:ascii="Times New Roman" w:cs="Times New Roman" w:eastAsia="Times New Roman" w:hAnsi="Times New Roman"/>
          <w:sz w:val="18"/>
          <w:szCs w:val="18"/>
          <w:color w:val="auto"/>
        </w:rPr>
        <w:t>”). The Company believes the Target is a compelling opportunity for the Company’s initial business combination and is currently in the process of completing an initial business combination involving the Target.</w:t>
      </w:r>
    </w:p>
    <w:p>
      <w:pPr>
        <w:spacing w:after="0" w:line="66" w:lineRule="exact"/>
        <w:rPr>
          <w:sz w:val="20"/>
          <w:szCs w:val="20"/>
          <w:color w:val="auto"/>
        </w:rPr>
      </w:pPr>
    </w:p>
    <w:p>
      <w:pPr>
        <w:ind w:left="1620" w:right="699"/>
        <w:spacing w:after="0" w:line="261" w:lineRule="auto"/>
        <w:rPr>
          <w:sz w:val="20"/>
          <w:szCs w:val="20"/>
          <w:color w:val="auto"/>
        </w:rPr>
      </w:pPr>
      <w:r>
        <w:rPr>
          <w:rFonts w:ascii="Times New Roman" w:cs="Times New Roman" w:eastAsia="Times New Roman" w:hAnsi="Times New Roman"/>
          <w:sz w:val="18"/>
          <w:szCs w:val="18"/>
          <w:color w:val="auto"/>
        </w:rPr>
        <w:t>The Company believes that given its expenditure of time, effort, and money searching for potential business combination opportunities, the Public Stockholders of the Company should be given an opportunity to consider and vote on an Initial Business Combination. We do not believe that we will have sufficient time to consummate the Initial Business Combination prior to March 15, 2023.</w:t>
      </w:r>
    </w:p>
    <w:p>
      <w:pPr>
        <w:spacing w:after="0" w:line="58" w:lineRule="exact"/>
        <w:rPr>
          <w:sz w:val="20"/>
          <w:szCs w:val="20"/>
          <w:color w:val="auto"/>
        </w:rPr>
      </w:pPr>
    </w:p>
    <w:p>
      <w:pPr>
        <w:ind w:left="1620" w:right="439"/>
        <w:spacing w:after="0" w:line="252" w:lineRule="auto"/>
        <w:rPr>
          <w:sz w:val="20"/>
          <w:szCs w:val="20"/>
          <w:color w:val="auto"/>
        </w:rPr>
      </w:pPr>
      <w:r>
        <w:rPr>
          <w:rFonts w:ascii="Times New Roman" w:cs="Times New Roman" w:eastAsia="Times New Roman" w:hAnsi="Times New Roman"/>
          <w:sz w:val="18"/>
          <w:szCs w:val="18"/>
          <w:color w:val="auto"/>
        </w:rPr>
        <w:t>In addition, the purpose of the NTA Amendment, which is included in the Charter Amendment Proposals, is to ensure that, in connection with its Initial Business Combination, the Company would continue, as it has since the IPO, to be not subject to the “penny stock” rules of the SEC, and therefore not a “blank check company” as defined under Rule 419 of the Securities Act because it complied with Rule 3a51-1(g)(1)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The Company is proposing to amend its Charter to state that the Company will not consummate any Business Combination unless it (i) has net tangible assets of at least $5,000,001 upon consummation of such Business Combination, or (ii) is otherwise exempt from the provisions of Rule 419 promulgated under the Securities Act of 1933, as amended. The NTA Rule is one of several exclusions from the “penny stock” rules of the SEC and the Company believes that it may rely on another exclusion, which relates to it being listed on the Nasdaq Global Market</w:t>
      </w:r>
    </w:p>
    <w:p>
      <w:pPr>
        <w:spacing w:after="0" w:line="5" w:lineRule="exact"/>
        <w:rPr>
          <w:sz w:val="20"/>
          <w:szCs w:val="20"/>
          <w:color w:val="auto"/>
        </w:rPr>
      </w:pPr>
    </w:p>
    <w:p>
      <w:pPr>
        <w:ind w:left="1620" w:right="1039"/>
        <w:spacing w:after="0" w:line="255" w:lineRule="auto"/>
        <w:rPr>
          <w:sz w:val="20"/>
          <w:szCs w:val="20"/>
          <w:color w:val="auto"/>
        </w:rPr>
      </w:pPr>
      <w:r>
        <w:rPr>
          <w:rFonts w:ascii="Times New Roman" w:cs="Times New Roman" w:eastAsia="Times New Roman" w:hAnsi="Times New Roman"/>
          <w:sz w:val="18"/>
          <w:szCs w:val="18"/>
          <w:color w:val="auto"/>
        </w:rPr>
        <w:t>(Rule 3a51-1(a)(2))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to not be deemed a penny stock issuer. If the NTA Amendment is approved, the Company will not be required to maintain a minimum value of net tangible assets in order to complete a Business Combination.</w:t>
      </w:r>
    </w:p>
    <w:p>
      <w:pPr>
        <w:spacing w:after="0" w:line="51" w:lineRule="exact"/>
        <w:rPr>
          <w:sz w:val="20"/>
          <w:szCs w:val="20"/>
          <w:color w:val="auto"/>
        </w:rPr>
      </w:pPr>
    </w:p>
    <w:p>
      <w:pPr>
        <w:ind w:left="1620" w:right="459"/>
        <w:spacing w:after="0" w:line="258" w:lineRule="auto"/>
        <w:rPr>
          <w:sz w:val="20"/>
          <w:szCs w:val="20"/>
          <w:color w:val="auto"/>
        </w:rPr>
      </w:pPr>
      <w:r>
        <w:rPr>
          <w:rFonts w:ascii="Times New Roman" w:cs="Times New Roman" w:eastAsia="Times New Roman" w:hAnsi="Times New Roman"/>
          <w:sz w:val="18"/>
          <w:szCs w:val="18"/>
          <w:color w:val="auto"/>
        </w:rPr>
        <w:t>Therefore, we are seeking approval of the Charter Amendment Proposals. Furthermore, the Board believes that it is in the best interests of the stockholders to continue the Company’s existence in order to allow the Company more time to complete the Initial Business Combination. Accordingly, the Board is proposing the Charter Amendment Proposals and the Trust Amendment Proposal to extend the Company’s corporate existence and time to complete the Initial Business Combination.</w:t>
      </w:r>
    </w:p>
    <w:p>
      <w:pPr>
        <w:spacing w:after="0" w:line="58" w:lineRule="exact"/>
        <w:rPr>
          <w:sz w:val="20"/>
          <w:szCs w:val="20"/>
          <w:color w:val="auto"/>
        </w:rPr>
      </w:pPr>
    </w:p>
    <w:p>
      <w:pPr>
        <w:ind w:left="1620" w:right="439"/>
        <w:spacing w:after="0" w:line="254" w:lineRule="auto"/>
        <w:rPr>
          <w:sz w:val="20"/>
          <w:szCs w:val="20"/>
          <w:color w:val="auto"/>
        </w:rPr>
      </w:pPr>
      <w:r>
        <w:rPr>
          <w:rFonts w:ascii="Times New Roman" w:cs="Times New Roman" w:eastAsia="Times New Roman" w:hAnsi="Times New Roman"/>
          <w:sz w:val="18"/>
          <w:szCs w:val="18"/>
          <w:b w:val="1"/>
          <w:bCs w:val="1"/>
          <w:color w:val="auto"/>
        </w:rPr>
        <w:t>YOU ARE NOT BEING ASKED TO VOTE ON THE INITIAL BUSINESS COMBINATION AT THIS TIME. IF THE CHARTER AMENDMENT PROPOSALS IS APPROVED AND THE CHARTER AMENDMENT IS FILED AND YOU DO NOT ELECT TO REDEEM YOUR PUBLIC SHARES NOW, YOU WILL RETAIN THE RIGHT TO VOTE ON THE INITIAL BUSINESS COMBINATION WHEN IT IS SUBMITTED TO STOCKHOLDERS AND THE RIGHT TO REDEEM YOUR PUBLIC SHARES FOR A PRO RATA PORTION OF THE TRUST ACCOUNT IN THE EVENT THE INITIAL BUSINESS COMBINATION IS APPROVED AND COMPLETED OR THE COMPANY HAS NOT CONSUMMATED A BUSINESS COMBINATION BY THE EXTENDED DATE (OR THE ADDITIONAL EXTENSION DATE, IF APPLICABLE).</w:t>
      </w:r>
    </w:p>
    <w:p>
      <w:pPr>
        <w:spacing w:after="0" w:line="67" w:lineRule="exact"/>
        <w:rPr>
          <w:sz w:val="20"/>
          <w:szCs w:val="20"/>
          <w:color w:val="auto"/>
        </w:rPr>
      </w:pPr>
    </w:p>
    <w:p>
      <w:pPr>
        <w:ind w:left="1620" w:hanging="360"/>
        <w:spacing w:after="0"/>
        <w:tabs>
          <w:tab w:leader="none" w:pos="16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should I vote for the Charter Amendment Proposals and the Trust Amendment Proposal?</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5" w:lineRule="auto"/>
        <w:tabs>
          <w:tab w:leader="none" w:pos="1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believes stockholders will benefit from the Company’s consummating the Initial Business Combination and is proposing the Charter Amendment Proposals and the Trust Amendment Proposal to extend the date by which the Company has to complete the Initial Business Combination. Approval of the Charter Amendment Proposals and the Trust Amendment Proposal would give the Company additional time to identify a target and complete an Initial Business Combination and would allow you as a stockholder the benefit of voting for the Initial Business Combination and remaining a stockholder in the post-business combination company, if you desire.</w:t>
      </w:r>
    </w:p>
    <w:p>
      <w:pPr>
        <w:spacing w:after="0" w:line="53" w:lineRule="exact"/>
        <w:rPr>
          <w:rFonts w:ascii="Times New Roman" w:cs="Times New Roman" w:eastAsia="Times New Roman" w:hAnsi="Times New Roman"/>
          <w:sz w:val="18"/>
          <w:szCs w:val="18"/>
          <w:color w:val="auto"/>
        </w:rPr>
      </w:pPr>
    </w:p>
    <w:p>
      <w:pPr>
        <w:ind w:left="1620" w:right="4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is including the NTA Amendment in the Charter Amendment Proposals to avoid the Company being deemed a penny stock issuer which relates to it being listed on the Nasdaq Global Market. If the NTA Amendment is approved, the Company will not be required to maintain a minimum value of net tangible assets in order to complete a Business Combination.</w:t>
      </w:r>
    </w:p>
    <w:p>
      <w:pPr>
        <w:spacing w:after="0" w:line="58" w:lineRule="exact"/>
        <w:rPr>
          <w:rFonts w:ascii="Times New Roman" w:cs="Times New Roman" w:eastAsia="Times New Roman" w:hAnsi="Times New Roman"/>
          <w:sz w:val="18"/>
          <w:szCs w:val="18"/>
          <w:color w:val="auto"/>
        </w:rPr>
      </w:pPr>
    </w:p>
    <w:p>
      <w:pPr>
        <w:ind w:left="1620" w:right="559"/>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we believe that the Charter Amendment Proposals and the Trust Amendment Proposal is consistent with the spirit in which the Company offered its securities to the public in the IPO.</w:t>
      </w:r>
    </w:p>
    <w:p>
      <w:pPr>
        <w:spacing w:after="0" w:line="33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2" w:name="page13"/>
    <w:bookmarkEnd w:id="1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699"/>
        <w:spacing w:after="0" w:line="282" w:lineRule="auto"/>
        <w:rPr>
          <w:sz w:val="20"/>
          <w:szCs w:val="20"/>
          <w:color w:val="auto"/>
        </w:rPr>
      </w:pPr>
      <w:r>
        <w:rPr>
          <w:rFonts w:ascii="Times New Roman" w:cs="Times New Roman" w:eastAsia="Times New Roman" w:hAnsi="Times New Roman"/>
          <w:sz w:val="18"/>
          <w:szCs w:val="18"/>
          <w:color w:val="auto"/>
        </w:rPr>
        <w:t>You will have redemption rights in connection with the Charter Amendment Proposals and the Trust Amendment Proposal.</w:t>
      </w:r>
    </w:p>
    <w:p>
      <w:pPr>
        <w:spacing w:after="0" w:line="36" w:lineRule="exact"/>
        <w:rPr>
          <w:sz w:val="20"/>
          <w:szCs w:val="20"/>
          <w:color w:val="auto"/>
        </w:rPr>
      </w:pPr>
    </w:p>
    <w:p>
      <w:pPr>
        <w:ind w:left="1620" w:right="459" w:hanging="360"/>
        <w:spacing w:after="0" w:line="286" w:lineRule="auto"/>
        <w:tabs>
          <w:tab w:leader="none" w:pos="16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May I redeem my Public Shares in connection with the vote on the Charter Amendment Proposals and the Trust Amendment Proposal?</w:t>
      </w:r>
    </w:p>
    <w:p>
      <w:pPr>
        <w:spacing w:after="0" w:line="37" w:lineRule="exact"/>
        <w:rPr>
          <w:rFonts w:ascii="Times New Roman" w:cs="Times New Roman" w:eastAsia="Times New Roman" w:hAnsi="Times New Roman"/>
          <w:sz w:val="18"/>
          <w:szCs w:val="18"/>
          <w:b w:val="1"/>
          <w:bCs w:val="1"/>
          <w:color w:val="auto"/>
        </w:rPr>
      </w:pPr>
    </w:p>
    <w:p>
      <w:pPr>
        <w:ind w:left="1620" w:right="459" w:hanging="360"/>
        <w:spacing w:after="0" w:line="259"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Under our Charter, the submission of a matter to amend our Charter entitles holders of Public Shares to redeem their shares for their pro rata portion of the funds held in the trust account established at the time of the IPO. Holders of Public Shares do not need to vote against the Charter Amendment Proposals and the Trust Amendment Proposal or be a holder of record on the Record Date to exercise their redemption rights.</w:t>
      </w:r>
    </w:p>
    <w:p>
      <w:pPr>
        <w:spacing w:after="0" w:line="281" w:lineRule="exact"/>
        <w:rPr>
          <w:rFonts w:ascii="Times New Roman" w:cs="Times New Roman" w:eastAsia="Times New Roman" w:hAnsi="Times New Roman"/>
          <w:sz w:val="18"/>
          <w:szCs w:val="18"/>
          <w:color w:val="auto"/>
        </w:rPr>
      </w:pPr>
    </w:p>
    <w:p>
      <w:pPr>
        <w:ind w:left="1620" w:right="51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with respect to holders’ right to redeem, the Company will (i) remove from the trust account an amount (the “</w:t>
      </w:r>
      <w:r>
        <w:rPr>
          <w:rFonts w:ascii="Times New Roman" w:cs="Times New Roman" w:eastAsia="Times New Roman" w:hAnsi="Times New Roman"/>
          <w:sz w:val="18"/>
          <w:szCs w:val="18"/>
          <w:b w:val="1"/>
          <w:bCs w:val="1"/>
          <w:u w:val="single" w:color="auto"/>
          <w:color w:val="auto"/>
        </w:rPr>
        <w:t>Withdrawal Amount</w:t>
      </w:r>
      <w:r>
        <w:rPr>
          <w:rFonts w:ascii="Times New Roman" w:cs="Times New Roman" w:eastAsia="Times New Roman" w:hAnsi="Times New Roman"/>
          <w:sz w:val="18"/>
          <w:szCs w:val="18"/>
          <w:color w:val="auto"/>
        </w:rPr>
        <w:t>”) equal to the pro rata portion of funds available in the trust account relating to any Public Shares redeemed by holders in connection with the Charter Amendment Proposals and the Trust Amendment Proposal, if any, and (ii) deliver to the holders of such redeemed Public Shares their pro rata portion of the Withdrawal Amount. The remainder of such funds shall remain in the trust account and be available for use by the Company to complete an Initial Business Combination on or before each Extension date, if applicable. Holders of Public Shares who do not redeem their Public Shares now will retain their redemption rights and their ability to vote on the Initial Business Combination.</w:t>
      </w:r>
    </w:p>
    <w:p>
      <w:pPr>
        <w:spacing w:after="0" w:line="265"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Company be affected by the Excise Tax included in the Inflation Reduction Act of 2022?</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52" w:lineRule="auto"/>
        <w:tabs>
          <w:tab w:leader="none" w:pos="1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16, 2022, President Biden signed into law the Inflation Reduction Act of 2022 (the “IR Act”), which, among other things, imposes a 1% excise tax on any publicly traded domestic corporation that repurchases its stock after December 31, 2022 (the “Excise Tax”). The Excise Tax is imposed on the fair market value of the repurchased stock, with certain exceptions. Because we are a Delaware corporation and our securities are trading on Nasdaq, we will be a “covered corporation” within the meaning of the IR Act. While not free from doubt, absent any further guidance from the U.S. Department of the Treasury (the “Treasury”), who has been given authority to provide regulations and other guidance to carry out and prevent the abuse or avoidance of the Excise Tax, the Excise Tax may apply to any redemptions of our common stock after December 31, 2022, including redemptions in connection with an initial Business Combination, extension vote or otherwise, unless an exemption is available. Issuances of securities in connection with our initial Business Combination transaction (including any PIPE transaction at the time of our initial Business Combination), as well as any other issuances of securities not in connection with our initial Business Combination, are expected to reduce the amount of the Excise Tax in connection with redemptions occurring in the same calendar year, but the number of securities redeemed may exceed the number of securities issued.</w:t>
      </w:r>
    </w:p>
    <w:p>
      <w:pPr>
        <w:spacing w:after="0" w:line="74" w:lineRule="exact"/>
        <w:rPr>
          <w:rFonts w:ascii="Times New Roman" w:cs="Times New Roman" w:eastAsia="Times New Roman" w:hAnsi="Times New Roman"/>
          <w:sz w:val="18"/>
          <w:szCs w:val="18"/>
          <w:color w:val="auto"/>
        </w:rPr>
      </w:pPr>
    </w:p>
    <w:p>
      <w:pPr>
        <w:ind w:left="1620" w:right="71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to what extent the Company would be subject to the Excise Tax in connection with a Business Combination, extension vote or otherwise would depend on a number of factors, including</w:t>
      </w:r>
    </w:p>
    <w:p>
      <w:pPr>
        <w:ind w:left="1620" w:right="57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fair market value of the redemptions and repurchases in connection with the Business Combination, extension or otherwise, (ii) the structure of a Business Combination, (iii) the nature and amount of any “PIPE” or other equity issuances in connection with a Business Combination (or otherwise issued not in connection with a Business Combination but issued within the same taxable year of a Business Combination) and (iv) the content of regulations and other guidance from the Treasury. In addition, the Excise Tax would be payable by the Company and not by the redeeming holder, however the mechanics of any required payment of the Excise Tax have not been determined. Consequently, the Excise Tax may make a transaction with us less appealing to potential Business Combination targets. Finally, based on recently issued interim guidance from the Internal Revenue Service and Treasury in Notice 2023-2, subject to certain exceptions, the Excise Tax should not apply in the event of our liquidation.</w:t>
      </w:r>
    </w:p>
    <w:p>
      <w:pPr>
        <w:spacing w:after="0" w:line="26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the Company proposing the Adjournment Proposal?</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66" w:lineRule="auto"/>
        <w:tabs>
          <w:tab w:leader="none" w:pos="1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the Company more time to solicit additional proxies in favor of the Charter Amendment Proposals and the Trust Amendment Proposal, in the event the Company does not receive the requisite stockholder vote to approve the Charter Amendment Proposals and the Trust Amendment Proposal.</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3" w:name="page14"/>
    <w:bookmarkEnd w:id="1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the Company’s executive officers, directors and affiliates intend to vote their shares?</w:t>
      </w:r>
    </w:p>
    <w:p>
      <w:pPr>
        <w:spacing w:after="0" w:line="107"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Company’s directors, executive officers and their respective affiliates, as well as the Sponsor, are expected to vote any shares of Common Stock over which they have voting control (including any Public Shares owned by them) in favor of the Charter Amendment Proposals and the Trust Amendment Proposal and the Adjournment Proposal.</w:t>
      </w:r>
    </w:p>
    <w:p>
      <w:pPr>
        <w:spacing w:after="0" w:line="58"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executive officers and directors are not entitled to redeem such shares in connection with the Charter Amendment Proposals and the Trust Amendment Proposal. On the Record Date, they held 9,487,500 shares of Class B common stock and 898,250 shares of Class A common stock representing approximately 26.6% of the Company’s issued and outstanding shares of Common Stock.</w:t>
      </w:r>
    </w:p>
    <w:p>
      <w:pPr>
        <w:spacing w:after="0" w:line="40"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vote is required to adopt the proposals?</w:t>
      </w:r>
    </w:p>
    <w:p>
      <w:pPr>
        <w:spacing w:after="0" w:line="103" w:lineRule="exact"/>
        <w:rPr>
          <w:rFonts w:ascii="Times New Roman" w:cs="Times New Roman" w:eastAsia="Times New Roman" w:hAnsi="Times New Roman"/>
          <w:sz w:val="18"/>
          <w:szCs w:val="18"/>
          <w:b w:val="1"/>
          <w:bCs w:val="1"/>
          <w:color w:val="auto"/>
        </w:rPr>
      </w:pPr>
    </w:p>
    <w:p>
      <w:pPr>
        <w:ind w:left="1620" w:right="759" w:hanging="360"/>
        <w:spacing w:after="0" w:line="262" w:lineRule="auto"/>
        <w:tabs>
          <w:tab w:leader="none" w:pos="1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54" w:lineRule="exact"/>
        <w:rPr>
          <w:rFonts w:ascii="Times New Roman" w:cs="Times New Roman" w:eastAsia="Times New Roman" w:hAnsi="Times New Roman"/>
          <w:sz w:val="18"/>
          <w:szCs w:val="18"/>
          <w:color w:val="auto"/>
        </w:rPr>
      </w:pPr>
    </w:p>
    <w:p>
      <w:pPr>
        <w:ind w:left="1620" w:right="45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35" w:lineRule="exact"/>
        <w:rPr>
          <w:rFonts w:ascii="Times New Roman" w:cs="Times New Roman" w:eastAsia="Times New Roman" w:hAnsi="Times New Roman"/>
          <w:sz w:val="18"/>
          <w:szCs w:val="18"/>
          <w:color w:val="auto"/>
        </w:rPr>
      </w:pPr>
    </w:p>
    <w:p>
      <w:pPr>
        <w:ind w:left="1620" w:right="5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than 65% of the holders of Common Stock who, being present in person (including virtually) or represented by proxy and entitled to vote at the Special Meeting, vote at the Special Meeting.</w:t>
      </w:r>
    </w:p>
    <w:p>
      <w:pPr>
        <w:spacing w:after="0" w:line="49"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do not want to approve the Charter Amendment Proposals, the Trust Amendment Proposal or the Adjournment Proposal?</w:t>
      </w:r>
    </w:p>
    <w:p>
      <w:pPr>
        <w:spacing w:after="0" w:line="37" w:lineRule="exact"/>
        <w:rPr>
          <w:rFonts w:ascii="Times New Roman" w:cs="Times New Roman" w:eastAsia="Times New Roman" w:hAnsi="Times New Roman"/>
          <w:sz w:val="18"/>
          <w:szCs w:val="18"/>
          <w:b w:val="1"/>
          <w:bCs w:val="1"/>
          <w:color w:val="auto"/>
        </w:rPr>
      </w:pPr>
    </w:p>
    <w:p>
      <w:pPr>
        <w:ind w:left="1620" w:right="419" w:hanging="360"/>
        <w:spacing w:after="0" w:line="255" w:lineRule="auto"/>
        <w:tabs>
          <w:tab w:leader="none" w:pos="1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Proposals,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49"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you seek any further extensions to liquidate the trust account?</w:t>
      </w:r>
    </w:p>
    <w:p>
      <w:pPr>
        <w:spacing w:after="0" w:line="107" w:lineRule="exact"/>
        <w:rPr>
          <w:rFonts w:ascii="Times New Roman" w:cs="Times New Roman" w:eastAsia="Times New Roman" w:hAnsi="Times New Roman"/>
          <w:sz w:val="18"/>
          <w:szCs w:val="18"/>
          <w:b w:val="1"/>
          <w:bCs w:val="1"/>
          <w:color w:val="auto"/>
        </w:rPr>
      </w:pPr>
    </w:p>
    <w:p>
      <w:pPr>
        <w:ind w:left="1620" w:right="419" w:hanging="360"/>
        <w:spacing w:after="0" w:line="261" w:lineRule="auto"/>
        <w:tabs>
          <w:tab w:leader="none" w:pos="1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the six (6) month-to-month Extensions from March 15, 2023 until September 15, 2023, the Extended Termination Date, as applicable, as of the date of this proxy statement, we do not anticipate seeking any further extension to consummate a business combination, although we may determine to do so in the future, if necessary.</w:t>
      </w:r>
    </w:p>
    <w:p>
      <w:pPr>
        <w:spacing w:after="0" w:line="54" w:lineRule="exact"/>
        <w:rPr>
          <w:rFonts w:ascii="Times New Roman" w:cs="Times New Roman" w:eastAsia="Times New Roman" w:hAnsi="Times New Roman"/>
          <w:sz w:val="18"/>
          <w:szCs w:val="18"/>
          <w:color w:val="auto"/>
        </w:rPr>
      </w:pPr>
    </w:p>
    <w:p>
      <w:pPr>
        <w:ind w:left="1620" w:right="1179" w:hanging="360"/>
        <w:spacing w:after="0" w:line="286" w:lineRule="auto"/>
        <w:tabs>
          <w:tab w:leader="none" w:pos="1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if the Charter Amendment Proposals and the Trust Amendment Proposal are not approved?</w:t>
      </w:r>
    </w:p>
    <w:p>
      <w:pPr>
        <w:spacing w:after="0" w:line="23" w:lineRule="exact"/>
        <w:rPr>
          <w:rFonts w:ascii="Times New Roman" w:cs="Times New Roman" w:eastAsia="Times New Roman" w:hAnsi="Times New Roman"/>
          <w:sz w:val="18"/>
          <w:szCs w:val="18"/>
          <w:b w:val="1"/>
          <w:bCs w:val="1"/>
          <w:color w:val="auto"/>
        </w:rPr>
      </w:pPr>
    </w:p>
    <w:p>
      <w:pPr>
        <w:ind w:left="1620" w:right="559" w:hanging="360"/>
        <w:spacing w:after="0" w:line="258" w:lineRule="auto"/>
        <w:tabs>
          <w:tab w:leader="none" w:pos="1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not approved at the Special Meeting, and we have not consummated a Business Combination by March 15, 2023, it will trigger our automatic winding up, liquidation and dissolution of the Company pursuant to the terms of our Charter. No vote would be required from our stockholders to commence such a voluntary winding up, liquidation and dissolution under the terms of our Charter.</w:t>
      </w:r>
    </w:p>
    <w:p>
      <w:pPr>
        <w:spacing w:after="0" w:line="61" w:lineRule="exact"/>
        <w:rPr>
          <w:rFonts w:ascii="Times New Roman" w:cs="Times New Roman" w:eastAsia="Times New Roman" w:hAnsi="Times New Roman"/>
          <w:sz w:val="18"/>
          <w:szCs w:val="18"/>
          <w:color w:val="auto"/>
        </w:rPr>
      </w:pPr>
    </w:p>
    <w:p>
      <w:pPr>
        <w:ind w:left="1620" w:right="599"/>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forced to liquidate the Trust Account, we anticipate that we would distribute to our Public Stockholders the amount in the trust account calculated as of the date that is two days prior to the distribution date (including any accrued interest). Prior to such distribution, we would be required to assess all claims that may be potentially brought against us by our creditors for amounts they are actually owed and make provision for such amounts, as creditors take priority over our Public Stockholders with respect to amounts that are owed to them. We cannot assure you that we will properly assess all claims that may be potentially brought against us. As such, our stockholders could potentially be liable for any claims of creditors to the extent of distributions received by them as an unlawful payment in the event we enter an insolvent liquidation. Furthermore, while we will seek to have all vendors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79"/>
        <w:spacing w:after="0" w:line="256" w:lineRule="auto"/>
        <w:rPr>
          <w:sz w:val="20"/>
          <w:szCs w:val="20"/>
          <w:color w:val="auto"/>
        </w:rPr>
      </w:pPr>
      <w:r>
        <w:rPr>
          <w:rFonts w:ascii="Times New Roman" w:cs="Times New Roman" w:eastAsia="Times New Roman" w:hAnsi="Times New Roman"/>
          <w:sz w:val="18"/>
          <w:szCs w:val="18"/>
          <w:color w:val="auto"/>
        </w:rPr>
        <w:t>service providers (which would include any third parties we engaged to assist us in any way in connection with our search for a target business) and prospective target businesses execute agreements with us waiving any right, title, interest or claim of any kind they may have in or to any monies held in the trust account, there is no guarantee that they will execute such agreements. Nor is there any guarantee that, even if such entities execute such agreements with us, they will not seek recourse against the trust account or that a court would conclude that such agreements are legally enforceable.</w:t>
      </w:r>
    </w:p>
    <w:p>
      <w:pPr>
        <w:spacing w:after="0" w:line="62" w:lineRule="exact"/>
        <w:rPr>
          <w:sz w:val="20"/>
          <w:szCs w:val="20"/>
          <w:color w:val="auto"/>
        </w:rPr>
      </w:pPr>
    </w:p>
    <w:p>
      <w:pPr>
        <w:ind w:left="1620" w:right="459"/>
        <w:spacing w:after="0" w:line="255" w:lineRule="auto"/>
        <w:rPr>
          <w:sz w:val="20"/>
          <w:szCs w:val="20"/>
          <w:color w:val="auto"/>
        </w:rPr>
      </w:pPr>
      <w:r>
        <w:rPr>
          <w:rFonts w:ascii="Times New Roman" w:cs="Times New Roman" w:eastAsia="Times New Roman" w:hAnsi="Times New Roman"/>
          <w:sz w:val="18"/>
          <w:szCs w:val="18"/>
          <w:color w:val="auto"/>
        </w:rPr>
        <w:t>Our stockholders as of immediately prior to our IPO, including our Sponsor (our “</w:t>
      </w:r>
      <w:r>
        <w:rPr>
          <w:rFonts w:ascii="Times New Roman" w:cs="Times New Roman" w:eastAsia="Times New Roman" w:hAnsi="Times New Roman"/>
          <w:sz w:val="18"/>
          <w:szCs w:val="18"/>
          <w:b w:val="1"/>
          <w:bCs w:val="1"/>
          <w:u w:val="single" w:color="auto"/>
          <w:color w:val="auto"/>
        </w:rPr>
        <w:t>Initial Stockholders</w:t>
      </w:r>
      <w:r>
        <w:rPr>
          <w:rFonts w:ascii="Times New Roman" w:cs="Times New Roman" w:eastAsia="Times New Roman" w:hAnsi="Times New Roman"/>
          <w:sz w:val="18"/>
          <w:szCs w:val="18"/>
          <w:color w:val="auto"/>
        </w:rPr>
        <w:t>”) and the Representative, have agreed to waive their rights to participate in any liquidation of our trust account or other assets with respect to the shares of Class B common stock held or controlled by our Initial Stockholders prior to the IPO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the Representative Shares and the Private Placement Shares purchased simultaneously with the consummation of the IPO, and to vote their Founder Shares, Representative Shares and Private Placement Shares in favor of any dissolution and plan of distribution which we submit to a vote of stockholders. There will be no distribution from the Trust Account with respect to our warrants, which will expire worthless in the event of our winding up.</w:t>
      </w:r>
    </w:p>
    <w:p>
      <w:pPr>
        <w:spacing w:after="0" w:line="63" w:lineRule="exact"/>
        <w:rPr>
          <w:sz w:val="20"/>
          <w:szCs w:val="20"/>
          <w:color w:val="auto"/>
        </w:rPr>
      </w:pPr>
    </w:p>
    <w:p>
      <w:pPr>
        <w:ind w:left="1620" w:hanging="360"/>
        <w:spacing w:after="0"/>
        <w:tabs>
          <w:tab w:leader="none" w:pos="1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to the Company’s warrants if the Extension Amendment Proposal is approved?</w:t>
      </w:r>
    </w:p>
    <w:p>
      <w:pPr>
        <w:spacing w:after="0" w:line="94" w:lineRule="exact"/>
        <w:rPr>
          <w:rFonts w:ascii="Times New Roman" w:cs="Times New Roman" w:eastAsia="Times New Roman" w:hAnsi="Times New Roman"/>
          <w:sz w:val="18"/>
          <w:szCs w:val="18"/>
          <w:b w:val="1"/>
          <w:bCs w:val="1"/>
          <w:color w:val="auto"/>
        </w:rPr>
      </w:pPr>
    </w:p>
    <w:p>
      <w:pPr>
        <w:ind w:left="1620" w:right="499" w:hanging="360"/>
        <w:spacing w:after="0" w:line="255" w:lineRule="auto"/>
        <w:tabs>
          <w:tab w:leader="none" w:pos="1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we will retain the blank check company restrictions previously applicable to us and continue to attempt to consummate a Business Combination until the Extended Termination Date. The public warrants will remain outstanding and only become exercisable 30 days after the completion of a Business Combination, provided that we have an effective registration statement under the Securities Act covering the shares of Class A common stock issuable upon exercise of the warrants and a current prospectus relating to them is available (or we permit holders to exercise warrants on a cashless basis).</w:t>
      </w:r>
    </w:p>
    <w:p>
      <w:pPr>
        <w:spacing w:after="0" w:line="63" w:lineRule="exact"/>
        <w:rPr>
          <w:rFonts w:ascii="Times New Roman" w:cs="Times New Roman" w:eastAsia="Times New Roman" w:hAnsi="Times New Roman"/>
          <w:sz w:val="18"/>
          <w:szCs w:val="18"/>
          <w:color w:val="auto"/>
        </w:rPr>
      </w:pPr>
    </w:p>
    <w:p>
      <w:pPr>
        <w:ind w:left="1620" w:right="719" w:hanging="360"/>
        <w:spacing w:after="0" w:line="286" w:lineRule="auto"/>
        <w:tabs>
          <w:tab w:leader="none" w:pos="162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the Charter Amendment Proposals and the Trust Amendment Proposal are approved, what happens next?</w:t>
      </w:r>
    </w:p>
    <w:p>
      <w:pPr>
        <w:spacing w:after="0" w:line="37" w:lineRule="exact"/>
        <w:rPr>
          <w:rFonts w:ascii="Times New Roman" w:cs="Times New Roman" w:eastAsia="Times New Roman" w:hAnsi="Times New Roman"/>
          <w:sz w:val="18"/>
          <w:szCs w:val="18"/>
          <w:b w:val="1"/>
          <w:bCs w:val="1"/>
          <w:color w:val="auto"/>
        </w:rPr>
      </w:pPr>
    </w:p>
    <w:p>
      <w:pPr>
        <w:ind w:left="1620" w:right="439" w:hanging="360"/>
        <w:spacing w:after="0" w:line="255" w:lineRule="auto"/>
        <w:tabs>
          <w:tab w:leader="none" w:pos="1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Company will continue to attempt to consummate the Initial Business Combination until the Extended Termination Date on September 15, 2023, until the Extended Termination Date, as applicable, or an earlier date on which the Board otherwise determines in its sole discretion that it will not be able to consummate an Initial Business Combination by the Extended Termination Date or September 15, 2023, and does not wish to seek an additional extension. We will remain a reporting company under the Exchange Act and our units, Class A common stock and public warrants will remain publicly traded.</w:t>
      </w:r>
    </w:p>
    <w:p>
      <w:pPr>
        <w:spacing w:after="0" w:line="53" w:lineRule="exact"/>
        <w:rPr>
          <w:rFonts w:ascii="Times New Roman" w:cs="Times New Roman" w:eastAsia="Times New Roman" w:hAnsi="Times New Roman"/>
          <w:sz w:val="18"/>
          <w:szCs w:val="18"/>
          <w:color w:val="auto"/>
        </w:rPr>
      </w:pPr>
    </w:p>
    <w:p>
      <w:pPr>
        <w:ind w:left="1620" w:right="5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the removal of the Withdrawal Amount from the Trust Account, if any, will reduce the amount remaining in the Trust Account and increase the percentage interest of Company shares of Common Stock held by the Company’s officers, directors and their affiliates.</w:t>
      </w:r>
    </w:p>
    <w:p>
      <w:pPr>
        <w:spacing w:after="0" w:line="54" w:lineRule="exact"/>
        <w:rPr>
          <w:rFonts w:ascii="Times New Roman" w:cs="Times New Roman" w:eastAsia="Times New Roman" w:hAnsi="Times New Roman"/>
          <w:sz w:val="18"/>
          <w:szCs w:val="18"/>
          <w:color w:val="auto"/>
        </w:rPr>
      </w:pPr>
    </w:p>
    <w:p>
      <w:pPr>
        <w:ind w:left="1620" w:right="459" w:hanging="360"/>
        <w:spacing w:after="0" w:line="286" w:lineRule="auto"/>
        <w:tabs>
          <w:tab w:leader="none" w:pos="162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Would I still be able to exercise my redemption rights in the future if I vote against any subsequently initial business combination?</w:t>
      </w:r>
    </w:p>
    <w:p>
      <w:pPr>
        <w:spacing w:after="0" w:line="37" w:lineRule="exact"/>
        <w:rPr>
          <w:rFonts w:ascii="Times New Roman" w:cs="Times New Roman" w:eastAsia="Times New Roman" w:hAnsi="Times New Roman"/>
          <w:sz w:val="18"/>
          <w:szCs w:val="18"/>
          <w:b w:val="1"/>
          <w:bCs w:val="1"/>
          <w:color w:val="auto"/>
        </w:rPr>
      </w:pPr>
    </w:p>
    <w:p>
      <w:pPr>
        <w:ind w:left="1620" w:right="499" w:hanging="360"/>
        <w:spacing w:after="0" w:line="256" w:lineRule="auto"/>
        <w:tabs>
          <w:tab w:leader="none" w:pos="1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you elect to redeem your shares in connection with this stockholder vote to approve the Charter Amendment Proposals and the Trust Amendment Proposal, you will be able to vote on any subsequent Initial Business combination when it is submitted to Stockholders. If you disagree with the Initial Business Combination, you will retain your right to vote against it and/or redeem your Public Shares upon consummation of the Initial Business Combination in connection with the stockholder vote to approve such business combination, subject to any limitations set forth in the Charter.</w:t>
      </w:r>
    </w:p>
    <w:p>
      <w:pPr>
        <w:spacing w:after="0" w:line="48"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change my vote?</w:t>
      </w:r>
    </w:p>
    <w:p>
      <w:pPr>
        <w:spacing w:after="0" w:line="107" w:lineRule="exact"/>
        <w:rPr>
          <w:rFonts w:ascii="Times New Roman" w:cs="Times New Roman" w:eastAsia="Times New Roman" w:hAnsi="Times New Roman"/>
          <w:sz w:val="18"/>
          <w:szCs w:val="18"/>
          <w:b w:val="1"/>
          <w:bCs w:val="1"/>
          <w:color w:val="auto"/>
        </w:rPr>
      </w:pPr>
    </w:p>
    <w:p>
      <w:pPr>
        <w:ind w:left="1620" w:right="519" w:hanging="360"/>
        <w:spacing w:after="0" w:line="261" w:lineRule="auto"/>
        <w:tabs>
          <w:tab w:leader="none" w:pos="1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submitted a proxy to vote your shares and wish to change your vote, or revoke your proxy, you may do so by delivering a later-dated, signed proxy card to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the Company’s proxy solicitation agent at: Toll Free: 877-870-8565; Collect: 206-870-8565, Email: ksmith@advantageproxy.com, prior to the commencement of the Special Meeting.</w:t>
      </w: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620" w:hanging="360"/>
        <w:spacing w:after="0"/>
        <w:tabs>
          <w:tab w:leader="none" w:pos="162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are votes counted?</w:t>
      </w:r>
    </w:p>
    <w:p>
      <w:pPr>
        <w:spacing w:after="0" w:line="107" w:lineRule="exact"/>
        <w:rPr>
          <w:rFonts w:ascii="Times New Roman" w:cs="Times New Roman" w:eastAsia="Times New Roman" w:hAnsi="Times New Roman"/>
          <w:sz w:val="18"/>
          <w:szCs w:val="18"/>
          <w:b w:val="1"/>
          <w:bCs w:val="1"/>
          <w:color w:val="auto"/>
        </w:rPr>
      </w:pPr>
    </w:p>
    <w:p>
      <w:pPr>
        <w:ind w:left="1620" w:right="559" w:hanging="360"/>
        <w:spacing w:after="0" w:line="266" w:lineRule="auto"/>
        <w:tabs>
          <w:tab w:leader="none" w:pos="1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proxy agent, Advantage will be appointed as inspector of election for the meeting. Votes will be counted by the inspector of election, who will separately count “FOR” and “AGAINST” votes, abstentions, and broker non-votes.</w:t>
      </w:r>
    </w:p>
    <w:p>
      <w:pPr>
        <w:spacing w:after="0" w:line="50" w:lineRule="exact"/>
        <w:rPr>
          <w:rFonts w:ascii="Times New Roman" w:cs="Times New Roman" w:eastAsia="Times New Roman" w:hAnsi="Times New Roman"/>
          <w:sz w:val="18"/>
          <w:szCs w:val="18"/>
          <w:color w:val="auto"/>
        </w:rPr>
      </w:pPr>
    </w:p>
    <w:p>
      <w:pPr>
        <w:ind w:left="1620" w:right="759"/>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54" w:lineRule="exact"/>
        <w:rPr>
          <w:rFonts w:ascii="Times New Roman" w:cs="Times New Roman" w:eastAsia="Times New Roman" w:hAnsi="Times New Roman"/>
          <w:sz w:val="18"/>
          <w:szCs w:val="18"/>
          <w:color w:val="auto"/>
        </w:rPr>
      </w:pPr>
    </w:p>
    <w:p>
      <w:pPr>
        <w:ind w:left="1620" w:right="45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more than 65% of the holders of Common Stock who, being present in person (including virtually) or represented by proxy and entitled to vote at the Special Meeting, vote at the Special Meeting.</w:t>
      </w:r>
    </w:p>
    <w:p>
      <w:pPr>
        <w:spacing w:after="0" w:line="35" w:lineRule="exact"/>
        <w:rPr>
          <w:rFonts w:ascii="Times New Roman" w:cs="Times New Roman" w:eastAsia="Times New Roman" w:hAnsi="Times New Roman"/>
          <w:sz w:val="18"/>
          <w:szCs w:val="18"/>
          <w:color w:val="auto"/>
        </w:rPr>
      </w:pPr>
    </w:p>
    <w:p>
      <w:pPr>
        <w:ind w:left="1620" w:right="839"/>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53"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61" w:lineRule="exact"/>
        <w:rPr>
          <w:rFonts w:ascii="Times New Roman" w:cs="Times New Roman" w:eastAsia="Times New Roman" w:hAnsi="Times New Roman"/>
          <w:sz w:val="18"/>
          <w:szCs w:val="18"/>
          <w:color w:val="auto"/>
        </w:rPr>
      </w:pPr>
    </w:p>
    <w:p>
      <w:pPr>
        <w:ind w:left="1620" w:right="41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50" w:lineRule="exact"/>
        <w:rPr>
          <w:sz w:val="20"/>
          <w:szCs w:val="20"/>
          <w:color w:val="auto"/>
        </w:rPr>
      </w:pPr>
    </w:p>
    <w:p>
      <w:pPr>
        <w:ind w:left="1620" w:right="739" w:hanging="360"/>
        <w:spacing w:after="0" w:line="286" w:lineRule="auto"/>
        <w:tabs>
          <w:tab w:leader="none" w:pos="162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my shares are held in “street name” by my bank, brokerage firm or nominee, will they automatically vote my shares for me?</w:t>
      </w:r>
    </w:p>
    <w:p>
      <w:pPr>
        <w:spacing w:after="0" w:line="37" w:lineRule="exact"/>
        <w:rPr>
          <w:sz w:val="20"/>
          <w:szCs w:val="20"/>
          <w:color w:val="auto"/>
        </w:rPr>
      </w:pPr>
    </w:p>
    <w:p>
      <w:pPr>
        <w:ind w:left="1620" w:right="419" w:hanging="360"/>
        <w:spacing w:after="0" w:line="253" w:lineRule="auto"/>
        <w:tabs>
          <w:tab w:leader="none" w:pos="1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If you are a beneficial owner and you do not provide voting instructions to your broker, bank or other holder of record holding shares for you, your shares will not be voted with respect to any proposal for which your broker does not have discretionary authority to vote. If a proposal is determined to be discretionary, your broker, bank or other holder of record is permitted to vote on the proposal without receiving voting instructions from you. If a proposal is determined to be non-discretionary, your broker, bank or other holder of record is not permitted to vote on the proposal without receiving voting instructions from you. The Company believes that the Charter Amendment Proposals and the Trust Amendment Proposal will be considered non-discretionary and therefore your broker, bank or other holder of record holding your shares for you cannot vote your shares without your instruction on any of the proposals presented. A “broker non-vote” occurs when a bank, broker or other holder of record holding shares for a beneficial owner does not vote on a non-discretionary Proposal because the holder of record has not received voting instructions from the beneficial owner.</w:t>
      </w:r>
    </w:p>
    <w:p>
      <w:pPr>
        <w:spacing w:after="0" w:line="68" w:lineRule="exact"/>
        <w:rPr>
          <w:rFonts w:ascii="Times New Roman" w:cs="Times New Roman" w:eastAsia="Times New Roman" w:hAnsi="Times New Roman"/>
          <w:sz w:val="18"/>
          <w:szCs w:val="18"/>
          <w:color w:val="auto"/>
        </w:rPr>
      </w:pPr>
    </w:p>
    <w:p>
      <w:pPr>
        <w:ind w:left="1620" w:right="499"/>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the Charter), but the abstention will have no effect on the outcome of such proposal.</w:t>
      </w:r>
    </w:p>
    <w:p>
      <w:pPr>
        <w:spacing w:after="0" w:line="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abstain from voting or fail to vote at the Special Meeting?</w:t>
      </w:r>
    </w:p>
    <w:p>
      <w:pPr>
        <w:spacing w:after="0" w:line="108" w:lineRule="exact"/>
        <w:rPr>
          <w:sz w:val="20"/>
          <w:szCs w:val="20"/>
          <w:color w:val="auto"/>
        </w:rPr>
      </w:pPr>
    </w:p>
    <w:p>
      <w:pPr>
        <w:ind w:left="1620" w:right="739" w:hanging="360"/>
        <w:spacing w:after="0" w:line="266" w:lineRule="auto"/>
        <w:tabs>
          <w:tab w:leader="none" w:pos="1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Special Meeting, BurTech will count a properly executed proxy marked “ABSTAIN” with respect to a particular proposal as present for purposes of determining whether a quorum is present. Abstentions will have no effect on the outcome of the vote on any of the proposals.</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6" w:name="page17"/>
    <w:bookmarkEnd w:id="1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599"/>
        <w:spacing w:after="0" w:line="258" w:lineRule="auto"/>
        <w:rPr>
          <w:sz w:val="20"/>
          <w:szCs w:val="20"/>
          <w:color w:val="auto"/>
        </w:rPr>
      </w:pPr>
      <w:r>
        <w:rPr>
          <w:rFonts w:ascii="Times New Roman" w:cs="Times New Roman" w:eastAsia="Times New Roman" w:hAnsi="Times New Roman"/>
          <w:sz w:val="18"/>
          <w:szCs w:val="18"/>
          <w:color w:val="auto"/>
        </w:rPr>
        <w:t>If a stockholder who holds share in “street name” does not give the broker voting instructions, the broker is not permitted under applicable self-regulatory organization rules to vote the shares on “non-routine” proposals, such as the Charter Amendment Proposals and the Trust Amendment Proposal. These “broker non-votes” will also count as present for purposes of determining whether a quorum is present and will have no effect on the outcome of the vote on any of the Proposals.</w:t>
      </w:r>
    </w:p>
    <w:p>
      <w:pPr>
        <w:spacing w:after="0" w:line="58"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will happen if I sign and return my proxy card without indicating how I wish to vote?</w:t>
      </w:r>
    </w:p>
    <w:p>
      <w:pPr>
        <w:spacing w:after="0" w:line="108" w:lineRule="exact"/>
        <w:rPr>
          <w:sz w:val="20"/>
          <w:szCs w:val="20"/>
          <w:color w:val="auto"/>
        </w:rPr>
      </w:pPr>
    </w:p>
    <w:p>
      <w:pPr>
        <w:ind w:left="1620" w:right="519" w:hanging="360"/>
        <w:spacing w:after="0" w:line="282" w:lineRule="auto"/>
        <w:tabs>
          <w:tab w:leader="none" w:pos="1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Signed and dated proxies received by BurTech without an indication of how the stockholder intends to vote on a proposal will be voted as recommended by the Board.</w:t>
      </w:r>
    </w:p>
    <w:p>
      <w:pPr>
        <w:spacing w:after="0" w:line="36"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If I am not going to attend the Special Meeting, should I return my proxy card instead?</w:t>
      </w:r>
    </w:p>
    <w:p>
      <w:pPr>
        <w:spacing w:after="0" w:line="108" w:lineRule="exact"/>
        <w:rPr>
          <w:sz w:val="20"/>
          <w:szCs w:val="20"/>
          <w:color w:val="auto"/>
        </w:rPr>
      </w:pPr>
    </w:p>
    <w:p>
      <w:pPr>
        <w:ind w:left="1620" w:right="499" w:hanging="360"/>
        <w:spacing w:after="0" w:line="266" w:lineRule="auto"/>
        <w:tabs>
          <w:tab w:leader="none" w:pos="1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Whether you plan to attend the Special Meeting virtually or not, please read the proxy statement carefully, and vote your shares by completing, signing, dating and returning the enclosed proxy card in the postage-paid envelope provided.</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May I change my vote after I have mailed my signed proxy card?</w:t>
      </w:r>
    </w:p>
    <w:p>
      <w:pPr>
        <w:spacing w:after="0" w:line="108" w:lineRule="exact"/>
        <w:rPr>
          <w:sz w:val="20"/>
          <w:szCs w:val="20"/>
          <w:color w:val="auto"/>
        </w:rPr>
      </w:pPr>
    </w:p>
    <w:p>
      <w:pPr>
        <w:ind w:left="1620" w:right="419" w:hanging="360"/>
        <w:spacing w:after="0" w:line="255" w:lineRule="auto"/>
        <w:tabs>
          <w:tab w:leader="none" w:pos="1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You may change your vote at any time before your proxy is voted at the Special Meeting. You may revoke your proxy by executing and returning a proxy card dated later than the previous one, or by voting again via the Internet, or by submitting a written revocation stating that you would like to revoke your proxy that our proxy solicitor receives prior to the Special Meeting. If you hold your Public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54"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85" w:lineRule="exact"/>
        <w:rPr>
          <w:sz w:val="20"/>
          <w:szCs w:val="20"/>
          <w:color w:val="auto"/>
        </w:rPr>
      </w:pPr>
    </w:p>
    <w:p>
      <w:pPr>
        <w:ind w:left="1620" w:right="479"/>
        <w:spacing w:after="0" w:line="266" w:lineRule="auto"/>
        <w:rPr>
          <w:sz w:val="20"/>
          <w:szCs w:val="20"/>
          <w:color w:val="auto"/>
        </w:rPr>
      </w:pPr>
      <w:r>
        <w:rPr>
          <w:rFonts w:ascii="Times New Roman" w:cs="Times New Roman" w:eastAsia="Times New Roman" w:hAnsi="Times New Roman"/>
          <w:sz w:val="18"/>
          <w:szCs w:val="18"/>
          <w:color w:val="auto"/>
        </w:rPr>
        <w:t>Unless revoked, a proxy will be voted at the Special Meeting in accordance with the stockholder’s indicated instructions. In the absence of instructions, proxies which have been signed and returned will be voted FOR each of the Proposals.</w:t>
      </w:r>
    </w:p>
    <w:p>
      <w:pPr>
        <w:spacing w:after="0" w:line="50"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should I do if I receive more than one set of voting materials?</w:t>
      </w:r>
    </w:p>
    <w:p>
      <w:pPr>
        <w:spacing w:after="0" w:line="108" w:lineRule="exact"/>
        <w:rPr>
          <w:sz w:val="20"/>
          <w:szCs w:val="20"/>
          <w:color w:val="auto"/>
        </w:rPr>
      </w:pPr>
    </w:p>
    <w:p>
      <w:pPr>
        <w:ind w:left="1620" w:right="499" w:hanging="360"/>
        <w:spacing w:after="0" w:line="255" w:lineRule="auto"/>
        <w:tabs>
          <w:tab w:leader="none" w:pos="1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your vote with respect to all of your shares.</w:t>
      </w:r>
    </w:p>
    <w:p>
      <w:pPr>
        <w:spacing w:after="0" w:line="63" w:lineRule="exact"/>
        <w:rPr>
          <w:sz w:val="20"/>
          <w:szCs w:val="20"/>
          <w:color w:val="auto"/>
        </w:rPr>
      </w:pPr>
    </w:p>
    <w:p>
      <w:pPr>
        <w:ind w:left="1620" w:hanging="360"/>
        <w:spacing w:after="0"/>
        <w:tabs>
          <w:tab w:leader="none" w:pos="162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 requirement?</w:t>
      </w:r>
    </w:p>
    <w:p>
      <w:pPr>
        <w:spacing w:after="0" w:line="94" w:lineRule="exact"/>
        <w:rPr>
          <w:rFonts w:ascii="Times New Roman" w:cs="Times New Roman" w:eastAsia="Times New Roman" w:hAnsi="Times New Roman"/>
          <w:sz w:val="18"/>
          <w:szCs w:val="18"/>
          <w:b w:val="1"/>
          <w:bCs w:val="1"/>
          <w:color w:val="auto"/>
        </w:rPr>
      </w:pPr>
    </w:p>
    <w:p>
      <w:pPr>
        <w:ind w:left="1620" w:right="419" w:hanging="360"/>
        <w:spacing w:after="0" w:line="256" w:lineRule="auto"/>
        <w:tabs>
          <w:tab w:leader="none" w:pos="1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quorum of Stockholders is necessary to hold a valid meeting. Holders of a majority of the issued shares entitled to vote at the Special Meeting, present in person (including virtually) or represented by proxy, constitute a quorum. In the absence of a quorum, the Special Meeting will either stand adjourned to the same day/time/place in the following week or will be adjourned to such other day/time/place as the board of directors decides. As of the Record Date for the Special Meeting, 3,989,250 Public Shares, in the aggregate, would be required to achieve a quorum.</w:t>
      </w:r>
    </w:p>
    <w:p>
      <w:pPr>
        <w:spacing w:after="0" w:line="61" w:lineRule="exact"/>
        <w:rPr>
          <w:rFonts w:ascii="Times New Roman" w:cs="Times New Roman" w:eastAsia="Times New Roman" w:hAnsi="Times New Roman"/>
          <w:sz w:val="18"/>
          <w:szCs w:val="18"/>
          <w:color w:val="auto"/>
        </w:rPr>
      </w:pPr>
    </w:p>
    <w:p>
      <w:pPr>
        <w:ind w:left="1620" w:hanging="360"/>
        <w:spacing w:after="0"/>
        <w:tabs>
          <w:tab w:leader="none" w:pos="162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can vote at the Special Meeting?</w:t>
      </w:r>
    </w:p>
    <w:p>
      <w:pPr>
        <w:spacing w:after="0" w:line="107" w:lineRule="exact"/>
        <w:rPr>
          <w:rFonts w:ascii="Times New Roman" w:cs="Times New Roman" w:eastAsia="Times New Roman" w:hAnsi="Times New Roman"/>
          <w:sz w:val="18"/>
          <w:szCs w:val="18"/>
          <w:b w:val="1"/>
          <w:bCs w:val="1"/>
          <w:color w:val="auto"/>
        </w:rPr>
      </w:pPr>
    </w:p>
    <w:p>
      <w:pPr>
        <w:ind w:left="1620" w:right="439" w:hanging="360"/>
        <w:spacing w:after="0" w:line="261" w:lineRule="auto"/>
        <w:tabs>
          <w:tab w:leader="none" w:pos="1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holders of record of the Company’s Public Shares at the close of business on January 26, 2023 are entitled to have their vote counted at the Special Meeting and any adjournments or postponements thereof. For the purposes of this Proxy Statement “holders of record” means the persons entered in the register of members of the Company as the holders of the relevant shares of Common Stock. On</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1099"/>
        <w:spacing w:after="0" w:line="282" w:lineRule="auto"/>
        <w:rPr>
          <w:sz w:val="20"/>
          <w:szCs w:val="20"/>
          <w:color w:val="auto"/>
        </w:rPr>
      </w:pPr>
      <w:r>
        <w:rPr>
          <w:rFonts w:ascii="Times New Roman" w:cs="Times New Roman" w:eastAsia="Times New Roman" w:hAnsi="Times New Roman"/>
          <w:sz w:val="18"/>
          <w:szCs w:val="18"/>
          <w:color w:val="auto"/>
        </w:rPr>
        <w:t>the Record Date, there were 34,429,500 shares of Common Stock outstanding of the Company, including 28,750,000 outstanding Public Shares.</w:t>
      </w:r>
    </w:p>
    <w:p>
      <w:pPr>
        <w:spacing w:after="0" w:line="36" w:lineRule="exact"/>
        <w:rPr>
          <w:sz w:val="20"/>
          <w:szCs w:val="20"/>
          <w:color w:val="auto"/>
        </w:rPr>
      </w:pPr>
    </w:p>
    <w:p>
      <w:pPr>
        <w:ind w:left="1620" w:right="439"/>
        <w:spacing w:after="0" w:line="258" w:lineRule="auto"/>
        <w:rPr>
          <w:sz w:val="20"/>
          <w:szCs w:val="20"/>
          <w:color w:val="auto"/>
        </w:rPr>
      </w:pPr>
      <w:r>
        <w:rPr>
          <w:rFonts w:ascii="Times New Roman" w:cs="Times New Roman" w:eastAsia="Times New Roman" w:hAnsi="Times New Roman"/>
          <w:sz w:val="18"/>
          <w:szCs w:val="18"/>
          <w:b w:val="1"/>
          <w:bCs w:val="1"/>
          <w:color w:val="auto"/>
        </w:rPr>
        <w:t>Stockholder of Record: Shares Registered in Your Name</w:t>
      </w:r>
      <w:r>
        <w:rPr>
          <w:rFonts w:ascii="Times New Roman" w:cs="Times New Roman" w:eastAsia="Times New Roman" w:hAnsi="Times New Roman"/>
          <w:sz w:val="18"/>
          <w:szCs w:val="18"/>
          <w:color w:val="auto"/>
        </w:rPr>
        <w:t>. If on the Record Date your shares were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directly in your name with the Company’s transfer agent, Continental Stock Transfer &amp; Trust Company, then you are a stockholder of record. As a stockholder of record, you may vote in person (including virtually) at the Special Meeting or vote by proxy. Whether or not you plan to attend the Special Meeting virtually, we urge you to fill out and return the enclosed proxy card to ensure your vote is counted.</w:t>
      </w:r>
    </w:p>
    <w:p>
      <w:pPr>
        <w:spacing w:after="0" w:line="278" w:lineRule="exact"/>
        <w:rPr>
          <w:sz w:val="20"/>
          <w:szCs w:val="20"/>
          <w:color w:val="auto"/>
        </w:rPr>
      </w:pPr>
    </w:p>
    <w:p>
      <w:pPr>
        <w:ind w:left="1620" w:right="51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Beneficial Owner: Shares Registered in the Name of a Broker or Bank. </w:t>
      </w:r>
      <w:r>
        <w:rPr>
          <w:rFonts w:ascii="Times New Roman" w:cs="Times New Roman" w:eastAsia="Times New Roman" w:hAnsi="Times New Roman"/>
          <w:sz w:val="18"/>
          <w:szCs w:val="18"/>
          <w:color w:val="auto"/>
        </w:rPr>
        <w:t>If on the Record Date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were held, not in your name, but rather in an account at a brokerage firm, bank, dealer, or other similar organization, then you are the beneficial owner of shares held in “street name” and these proxy materials are being forwarded to you by that organization. As a beneficial owner, you have the right to direct your broker or other agent on how to vote the shares in your account. You are also invited to attend the Special Meeting. However, since you are not the stockholder of record, you may not vote your shares in person at the Special Meeting unless you request and obtain a valid proxy from your broker or other agent.</w:t>
      </w:r>
    </w:p>
    <w:p>
      <w:pPr>
        <w:spacing w:after="0" w:line="50" w:lineRule="exact"/>
        <w:rPr>
          <w:sz w:val="20"/>
          <w:szCs w:val="20"/>
          <w:color w:val="auto"/>
        </w:rPr>
      </w:pPr>
    </w:p>
    <w:p>
      <w:pPr>
        <w:ind w:left="1620" w:right="459" w:hanging="360"/>
        <w:spacing w:after="0" w:line="286" w:lineRule="auto"/>
        <w:tabs>
          <w:tab w:leader="none" w:pos="16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Does the Board recommend voting for the Charter Amendment Proposal, the Trust Amendment Proposal. and the Adjournment Proposal?</w:t>
      </w:r>
    </w:p>
    <w:p>
      <w:pPr>
        <w:spacing w:after="0" w:line="37" w:lineRule="exact"/>
        <w:rPr>
          <w:rFonts w:ascii="Times New Roman" w:cs="Times New Roman" w:eastAsia="Times New Roman" w:hAnsi="Times New Roman"/>
          <w:sz w:val="18"/>
          <w:szCs w:val="18"/>
          <w:b w:val="1"/>
          <w:bCs w:val="1"/>
          <w:color w:val="auto"/>
        </w:rPr>
      </w:pPr>
    </w:p>
    <w:p>
      <w:pPr>
        <w:ind w:left="1620" w:right="739" w:hanging="360"/>
        <w:spacing w:after="0" w:line="282" w:lineRule="auto"/>
        <w:tabs>
          <w:tab w:leader="none" w:pos="1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The Board recommends that the Company’s Stockholders vote “FOR” the Charter Amendment Proposal, “FOR” the Trust Amendment Proposal and “FOR” the Adjournment Proposal.</w:t>
      </w:r>
    </w:p>
    <w:p>
      <w:pPr>
        <w:spacing w:after="0" w:line="36" w:lineRule="exact"/>
        <w:rPr>
          <w:rFonts w:ascii="Times New Roman" w:cs="Times New Roman" w:eastAsia="Times New Roman" w:hAnsi="Times New Roman"/>
          <w:sz w:val="18"/>
          <w:szCs w:val="18"/>
          <w:color w:val="auto"/>
        </w:rPr>
      </w:pPr>
    </w:p>
    <w:p>
      <w:pPr>
        <w:ind w:left="1620" w:right="619" w:hanging="360"/>
        <w:spacing w:after="0" w:line="286" w:lineRule="auto"/>
        <w:tabs>
          <w:tab w:leader="none" w:pos="162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interests do the Company’s directors and officers have in the approval of the Charter Amendment Proposals and the Trust Amendment Proposal?</w:t>
      </w:r>
    </w:p>
    <w:p>
      <w:pPr>
        <w:spacing w:after="0" w:line="23" w:lineRule="exact"/>
        <w:rPr>
          <w:rFonts w:ascii="Times New Roman" w:cs="Times New Roman" w:eastAsia="Times New Roman" w:hAnsi="Times New Roman"/>
          <w:sz w:val="18"/>
          <w:szCs w:val="18"/>
          <w:b w:val="1"/>
          <w:bCs w:val="1"/>
          <w:color w:val="auto"/>
        </w:rPr>
      </w:pPr>
    </w:p>
    <w:p>
      <w:pPr>
        <w:ind w:left="1620" w:right="419" w:hanging="360"/>
        <w:spacing w:after="0" w:line="257" w:lineRule="auto"/>
        <w:tabs>
          <w:tab w:leader="none" w:pos="1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directors, officers and their affiliates have interests in the Charter Amendment Proposals and the Trust Amendment Proposal that may be different from, or in addition to, your interests as a stockholder. These interests include, but are not limited to, beneficial ownership of insider shares and rights that will become worthless if the Charter Amendment Proposals and the Trust Amendment Proposal are not approved. See the section entitled “</w:t>
      </w:r>
      <w:r>
        <w:rPr>
          <w:rFonts w:ascii="Times New Roman" w:cs="Times New Roman" w:eastAsia="Times New Roman" w:hAnsi="Times New Roman"/>
          <w:sz w:val="18"/>
          <w:szCs w:val="18"/>
          <w:i w:val="1"/>
          <w:iCs w:val="1"/>
          <w:color w:val="auto"/>
        </w:rPr>
        <w:t>Interests of the Company’s Directors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Officers</w:t>
      </w:r>
      <w:r>
        <w:rPr>
          <w:rFonts w:ascii="Times New Roman" w:cs="Times New Roman" w:eastAsia="Times New Roman" w:hAnsi="Times New Roman"/>
          <w:sz w:val="18"/>
          <w:szCs w:val="18"/>
          <w:color w:val="auto"/>
        </w:rPr>
        <w:t>.”</w:t>
      </w:r>
    </w:p>
    <w:p>
      <w:pPr>
        <w:spacing w:after="0" w:line="278" w:lineRule="exact"/>
        <w:rPr>
          <w:rFonts w:ascii="Times New Roman" w:cs="Times New Roman" w:eastAsia="Times New Roman" w:hAnsi="Times New Roman"/>
          <w:sz w:val="18"/>
          <w:szCs w:val="18"/>
          <w:color w:val="auto"/>
        </w:rPr>
      </w:pPr>
    </w:p>
    <w:p>
      <w:pPr>
        <w:ind w:left="1620" w:right="899" w:hanging="360"/>
        <w:spacing w:after="0" w:line="286" w:lineRule="auto"/>
        <w:tabs>
          <w:tab w:leader="none" w:pos="16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if I object to the Charter Amendment Proposals or the Trust Amendment Proposal? Do I have appraisal rights?</w:t>
      </w:r>
    </w:p>
    <w:p>
      <w:pPr>
        <w:spacing w:after="0" w:line="37" w:lineRule="exact"/>
        <w:rPr>
          <w:rFonts w:ascii="Times New Roman" w:cs="Times New Roman" w:eastAsia="Times New Roman" w:hAnsi="Times New Roman"/>
          <w:sz w:val="18"/>
          <w:szCs w:val="18"/>
          <w:b w:val="1"/>
          <w:bCs w:val="1"/>
          <w:color w:val="auto"/>
        </w:rPr>
      </w:pPr>
    </w:p>
    <w:p>
      <w:pPr>
        <w:ind w:left="1620" w:right="1059" w:hanging="360"/>
        <w:spacing w:after="0" w:line="282" w:lineRule="auto"/>
        <w:tabs>
          <w:tab w:leader="none" w:pos="1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Stockholders do not have appraisal rights in connection with the Charter Amendment Proposals or the Trust Amendment Proposal.</w:t>
      </w:r>
    </w:p>
    <w:p>
      <w:pPr>
        <w:spacing w:after="0" w:line="2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What do I need to do now?</w:t>
      </w:r>
    </w:p>
    <w:p>
      <w:pPr>
        <w:spacing w:after="0" w:line="108" w:lineRule="exact"/>
        <w:rPr>
          <w:sz w:val="20"/>
          <w:szCs w:val="20"/>
          <w:color w:val="auto"/>
        </w:rPr>
      </w:pPr>
    </w:p>
    <w:p>
      <w:pPr>
        <w:ind w:left="1620" w:right="419" w:hanging="360"/>
        <w:spacing w:after="0" w:line="258" w:lineRule="auto"/>
        <w:tabs>
          <w:tab w:leader="none" w:pos="1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urged to read carefully and consider the information contained in this proxy statement and to consider how the proposals will affect you as a stockholder. You should then vote as soon as possible in accordance with the instructions provided in this proxy statement and on the enclosed proxy card or, if you hold your shares through a brokerage firm, bank or other nominee, on the voting instruction form provided by the broker, bank or nominee.</w:t>
      </w:r>
    </w:p>
    <w:p>
      <w:pPr>
        <w:spacing w:after="0" w:line="58" w:lineRule="exact"/>
        <w:rPr>
          <w:sz w:val="20"/>
          <w:szCs w:val="20"/>
          <w:color w:val="auto"/>
        </w:rPr>
      </w:pPr>
    </w:p>
    <w:p>
      <w:pPr>
        <w:ind w:left="1620" w:hanging="360"/>
        <w:spacing w:after="0"/>
        <w:tabs>
          <w:tab w:leader="none" w:pos="16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redeem my Public Shares of the Company?</w:t>
      </w:r>
    </w:p>
    <w:p>
      <w:pPr>
        <w:spacing w:after="0" w:line="94" w:lineRule="exact"/>
        <w:rPr>
          <w:rFonts w:ascii="Times New Roman" w:cs="Times New Roman" w:eastAsia="Times New Roman" w:hAnsi="Times New Roman"/>
          <w:sz w:val="18"/>
          <w:szCs w:val="18"/>
          <w:b w:val="1"/>
          <w:bCs w:val="1"/>
          <w:color w:val="auto"/>
        </w:rPr>
      </w:pPr>
    </w:p>
    <w:p>
      <w:pPr>
        <w:ind w:left="1620" w:right="479" w:hanging="360"/>
        <w:spacing w:after="0" w:line="255" w:lineRule="auto"/>
        <w:tabs>
          <w:tab w:leader="none" w:pos="1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Special Meeting and the vote on the Charter Amendment Proposals, the Trust Amendment Proposal and the Adjournment Proposal, each Public Stockholder may seek to redeem its Public Shares for a pro rata portion of the funds available in the trust account, less any taxes we anticipate will be owed on such funds but have not yet been paid. Holders of Public Shares do not need to vote on the Charter Amendment Proposals, the Trust Amendment Proposal and the Adjournment Proposal, each Public Stockholder may seek to redeem its Public Shares for a pro rata portion of the funds available in the trust account, less or be a holder of record on the Record Date to exercise redemption rights.</w:t>
      </w:r>
    </w:p>
    <w:p>
      <w:pPr>
        <w:spacing w:after="0" w:line="283" w:lineRule="exact"/>
        <w:rPr>
          <w:rFonts w:ascii="Times New Roman" w:cs="Times New Roman" w:eastAsia="Times New Roman" w:hAnsi="Times New Roman"/>
          <w:sz w:val="18"/>
          <w:szCs w:val="18"/>
          <w:color w:val="auto"/>
        </w:rPr>
      </w:pPr>
    </w:p>
    <w:p>
      <w:pPr>
        <w:jc w:val="both"/>
        <w:ind w:left="1620" w:right="5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demand redemption, if you hold physical certificates for Public Shares, you must physically tender your share certificates to Continental Stock Transfer &amp; Trust Company, the Company’s transfer agent, at Continental Stock Transfer &amp; Trust Company, One State Street Plaza, 30th Floor, New York,</w:t>
      </w:r>
    </w:p>
    <w:p>
      <w:pPr>
        <w:sectPr>
          <w:pgSz w:w="11900" w:h="16838" w:orient="portrait"/>
          <w:cols w:equalWidth="0" w:num="1">
            <w:col w:w="9879"/>
          </w:cols>
          <w:pgMar w:left="580" w:top="97" w:right="1440" w:bottom="1440" w:gutter="0" w:footer="0" w:header="0"/>
        </w:sectPr>
      </w:pP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8" w:name="page19"/>
    <w:bookmarkEnd w:id="1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620" w:right="419"/>
        <w:spacing w:after="0" w:line="255" w:lineRule="auto"/>
        <w:rPr>
          <w:sz w:val="20"/>
          <w:szCs w:val="20"/>
          <w:color w:val="auto"/>
        </w:rPr>
      </w:pPr>
      <w:r>
        <w:rPr>
          <w:rFonts w:ascii="Times New Roman" w:cs="Times New Roman" w:eastAsia="Times New Roman" w:hAnsi="Times New Roman"/>
          <w:sz w:val="18"/>
          <w:szCs w:val="18"/>
          <w:color w:val="auto"/>
        </w:rPr>
        <w:t>NY 10004, Attn: Mark Zimkind; E-mail: mzimkind@continentalstock.com, no later than two business days prior to the Special Meeting. If you hold your Public Shares in “street name” through a bank, broker or other nominee, you must deliver your shares to Continental Stock Transfer &amp; Trust Company electronically using The Depository Trust Company’s DWAC (Deposit/Withdrawal At Custodian) System two business days prior to the Special Meeting to demand redemption. You will only be entitled to receive cash in connection with a redemption of these shares if you continue to hold them until the effective date of the Extension Amendment.</w:t>
      </w:r>
    </w:p>
    <w:p>
      <w:pPr>
        <w:spacing w:after="0" w:line="63"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will solicit and pay the cost of soliciting proxies?</w:t>
      </w:r>
    </w:p>
    <w:p>
      <w:pPr>
        <w:spacing w:after="0" w:line="108" w:lineRule="exact"/>
        <w:rPr>
          <w:sz w:val="20"/>
          <w:szCs w:val="20"/>
          <w:color w:val="auto"/>
        </w:rPr>
      </w:pPr>
    </w:p>
    <w:p>
      <w:pPr>
        <w:ind w:left="1620" w:right="419" w:hanging="360"/>
        <w:spacing w:after="0" w:line="254" w:lineRule="auto"/>
        <w:tabs>
          <w:tab w:leader="none" w:pos="1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will pay the cost of soliciting proxies for the Special Meeting. BurTech has engaged Advantage Proxy, Inc. (“Advantage”) to assist in the solicitation of proxies for the Special Meeting. BurTech has agreed to pay Advantage a fee of up to $7,500, plus disbursements. BurTech will reimburse Advantage for reasonable out-of-pocket expenses and will indemnify Advantage and its affiliates against certain claims, liabilities, losses, damages and expenses. BurTech will also reimburse banks, brokers and other custodians, nominees and fiduciaries representing beneficial owners of Public Shares for their expenses in forwarding soliciting materials to beneficial owners of Public Shares and in obtaining voting instructions from those owners. BurTech’s directors, officers and employees may also solicit proxies by telephone, by facsimile, by mail, on the Internet or in person. They will not be paid any additional amounts for soliciting proxies.</w:t>
      </w:r>
    </w:p>
    <w:p>
      <w:pPr>
        <w:spacing w:after="0" w:line="265" w:lineRule="exact"/>
        <w:rPr>
          <w:sz w:val="20"/>
          <w:szCs w:val="20"/>
          <w:color w:val="auto"/>
        </w:rPr>
      </w:pPr>
    </w:p>
    <w:p>
      <w:pPr>
        <w:ind w:left="1260"/>
        <w:spacing w:after="0"/>
        <w:tabs>
          <w:tab w:leader="none" w:pos="1600" w:val="left"/>
        </w:tabs>
        <w:rPr>
          <w:sz w:val="20"/>
          <w:szCs w:val="20"/>
          <w:color w:val="auto"/>
        </w:rPr>
      </w:pPr>
      <w:r>
        <w:rPr>
          <w:rFonts w:ascii="Times New Roman" w:cs="Times New Roman" w:eastAsia="Times New Roman" w:hAnsi="Times New Roman"/>
          <w:sz w:val="18"/>
          <w:szCs w:val="18"/>
          <w:b w:val="1"/>
          <w:bCs w:val="1"/>
          <w:color w:val="auto"/>
        </w:rPr>
        <w:t>Q:</w:t>
      </w:r>
      <w:r>
        <w:rPr>
          <w:sz w:val="20"/>
          <w:szCs w:val="20"/>
          <w:color w:val="auto"/>
        </w:rPr>
        <w:tab/>
      </w:r>
      <w:r>
        <w:rPr>
          <w:rFonts w:ascii="Times New Roman" w:cs="Times New Roman" w:eastAsia="Times New Roman" w:hAnsi="Times New Roman"/>
          <w:sz w:val="17"/>
          <w:szCs w:val="17"/>
          <w:b w:val="1"/>
          <w:bCs w:val="1"/>
          <w:color w:val="auto"/>
        </w:rPr>
        <w:t>Who can help answer my questions?</w:t>
      </w:r>
    </w:p>
    <w:p>
      <w:pPr>
        <w:spacing w:after="0" w:line="108" w:lineRule="exact"/>
        <w:rPr>
          <w:sz w:val="20"/>
          <w:szCs w:val="20"/>
          <w:color w:val="auto"/>
        </w:rPr>
      </w:pPr>
    </w:p>
    <w:p>
      <w:pPr>
        <w:ind w:left="1620" w:right="679" w:hanging="360"/>
        <w:spacing w:after="0" w:line="282" w:lineRule="auto"/>
        <w:tabs>
          <w:tab w:leader="none" w:pos="1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about the Proposals or if you need additional copies of this proxy statement or the enclosed proxy card, you should contact BurTech’s proxy solicitor at:</w:t>
      </w:r>
    </w:p>
    <w:p>
      <w:pPr>
        <w:spacing w:after="0" w:line="40"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72" w:lineRule="exact"/>
        <w:rPr>
          <w:sz w:val="20"/>
          <w:szCs w:val="20"/>
          <w:color w:val="auto"/>
        </w:rPr>
      </w:pPr>
    </w:p>
    <w:p>
      <w:pPr>
        <w:ind w:left="1260" w:right="859" w:firstLine="360"/>
        <w:spacing w:after="0" w:line="282" w:lineRule="auto"/>
        <w:rPr>
          <w:sz w:val="20"/>
          <w:szCs w:val="20"/>
          <w:color w:val="auto"/>
        </w:rPr>
      </w:pPr>
      <w:r>
        <w:rPr>
          <w:rFonts w:ascii="Times New Roman" w:cs="Times New Roman" w:eastAsia="Times New Roman" w:hAnsi="Times New Roman"/>
          <w:sz w:val="18"/>
          <w:szCs w:val="18"/>
          <w:color w:val="auto"/>
        </w:rPr>
        <w:t>You may also obtain additional information about BurTech from documents filed with the SEC by following the instructions in the section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9" w:name="page20"/>
    <w:bookmarkEnd w:id="1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2" w:lineRule="exact"/>
        <w:rPr>
          <w:sz w:val="20"/>
          <w:szCs w:val="20"/>
          <w:color w:val="auto"/>
        </w:rPr>
      </w:pPr>
    </w:p>
    <w:p>
      <w:pPr>
        <w:ind w:left="1260" w:right="439" w:firstLine="360"/>
        <w:spacing w:after="0" w:line="24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stockholders. However, there may be events in the future that we are not able to predict accurately or over which we have no control. The cautionary language discussed in this proxy statement provide examples of risks, uncertainties and events that may cause actual results to differ materially from the expectations described by us in such forward-looking statements, including, among other things, claims by third parties against the trust account, unanticipated delays in the distribution of the funds from the trust account and the Company’s ability to finance and consummate a business combination following the distribution of funds from the trust account. You are cautioned not to place undue reliance on these forward-looking statements, which speak only as of the date of this proxy statement and to consider the risks, uncertainties and events discussed in this proxy statement, in addition to the risk factors set forth in our other filings with the SEC, including the final prospectus related to the IPO dated December 09, 2021 and filed with the SEC on December 12, 2021 pursuant to Rule 421(b)(4) (File No. 333- 258914), and the Company’s Annual Report on Form 10-K for the fiscal year ended December 31, 2021 filed with the SEC on March 31, 2022, and any that may be set forth in the Initial Business Combination Registration Statement on Form S-4. The documents we file with the SEC, including those referred to above, also discuss some of the risks that could cause actual results to differ from those contained or implied in the forward-looking statements. See “Where You Can Find More Information” for additional information about our filings.</w:t>
      </w:r>
    </w:p>
    <w:p>
      <w:pPr>
        <w:spacing w:after="0" w:line="333"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All forward-looking statements included herein attributable to the Company or any person acting on the Company’s behalf are expressly qualified in their entirety by the cautionary statements contained or referred to in this section. Except to the extent required by applicable laws and regulations, the Company undertakes no obligation to update these forward-looking statements to reflect events or circumstances after the date of this proxy statement or to reflect the occurrence of unanticipated events.</w:t>
      </w:r>
    </w:p>
    <w:p>
      <w:pPr>
        <w:spacing w:after="0" w:line="173"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2"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BurTech was incorporated in Delaware on March 02, 2021 and was formed for the purpose of entering into a merger, share exchange, asset acquisition, stock purchase, recapitalization, reorganization or other similar Business Combination with one or more businesses or entities. BurTech has up to March 15, 2023 to consummate a Business Combination (if the time to complete a business combination is extended). If BurTech is unable to complete its initial business combination within such period (as extended as described herein), it will (i) cease all operations except for the purpose of winding up and (ii) as promptly as reasonably possible but not more than ten business days thereafter, redeem 100% of the outstanding public shares of Class A common stock, at a per-share of common stock price, payable in cash, equal to the aggregate amount then on deposit in the Trust Account, including any interest not previously released to BurTech (net of taxes payable), divided by the number of then outstanding public shares of Class A common stock, which redemption will completely extinguish public stockholders’ rights as holders of shares of common stock (including the right to receive further liquidation distributions, if any), subject to applicable law. As promptly as reasonably possible following such redemption, subject to the approval of the remaining stockholders and the Board, BurTech will dissolve and liquidate, subject to its obligations under Delaware law to provide for claims of creditors and the requirements of other applicable law.</w:t>
      </w:r>
    </w:p>
    <w:p>
      <w:pPr>
        <w:spacing w:after="0" w:line="115" w:lineRule="exact"/>
        <w:rPr>
          <w:sz w:val="20"/>
          <w:szCs w:val="20"/>
          <w:color w:val="auto"/>
        </w:rPr>
      </w:pPr>
    </w:p>
    <w:p>
      <w:pPr>
        <w:ind w:left="1260" w:right="459" w:firstLine="360"/>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on December 15, 2021 and the underwriters’ partial exercise of over-allotment option on December 13, 2021, approximately $292.2 million from the net proceeds of the sale of the Public Units in the IPO (each Unit consists of one share of Class A common stock and one redeemable warrant entitling the holder thereof to purchase one share of Class A common stock at a price of $11.50 per share) and the sale of the Private Units was placed in a trust account maintained by Continental Stock Transfer &amp; Trust Company, acting as trustee (the “</w:t>
      </w:r>
      <w:r>
        <w:rPr>
          <w:rFonts w:ascii="Times New Roman" w:cs="Times New Roman" w:eastAsia="Times New Roman" w:hAnsi="Times New Roman"/>
          <w:sz w:val="18"/>
          <w:szCs w:val="18"/>
          <w:b w:val="1"/>
          <w:bCs w:val="1"/>
          <w:u w:val="single" w:color="auto"/>
          <w:color w:val="auto"/>
        </w:rPr>
        <w:t>Trust Account</w:t>
      </w:r>
      <w:r>
        <w:rPr>
          <w:rFonts w:ascii="Times New Roman" w:cs="Times New Roman" w:eastAsia="Times New Roman" w:hAnsi="Times New Roman"/>
          <w:sz w:val="18"/>
          <w:szCs w:val="18"/>
          <w:color w:val="auto"/>
        </w:rPr>
        <w:t>”). The Private Units are the same as the Public Units. The funds held in the Trust Account is and will be invested only in United States “government securities” within the meaning of Section 2(a)(16) of the Investment Company Act having a maturity of</w:t>
      </w:r>
    </w:p>
    <w:p>
      <w:pPr>
        <w:spacing w:after="0" w:line="1" w:lineRule="exact"/>
        <w:rPr>
          <w:sz w:val="20"/>
          <w:szCs w:val="20"/>
          <w:color w:val="auto"/>
        </w:rPr>
      </w:pPr>
    </w:p>
    <w:p>
      <w:pPr>
        <w:ind w:left="1260" w:right="639"/>
        <w:spacing w:after="0" w:line="255" w:lineRule="auto"/>
        <w:rPr>
          <w:sz w:val="20"/>
          <w:szCs w:val="20"/>
          <w:color w:val="auto"/>
        </w:rPr>
      </w:pPr>
      <w:r>
        <w:rPr>
          <w:rFonts w:ascii="Times New Roman" w:cs="Times New Roman" w:eastAsia="Times New Roman" w:hAnsi="Times New Roman"/>
          <w:sz w:val="18"/>
          <w:szCs w:val="18"/>
          <w:color w:val="auto"/>
        </w:rPr>
        <w:t>185 days or less or in money market funds meeting certain conditions under Rule 2a-7 promulgated under the Investment Company Act which invest only in direct U.S. government treasury obligations, so that BurTech is not deemed to be an investment company under the Investment Company Act. except with respect to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39"/>
        <w:spacing w:after="0" w:line="255" w:lineRule="auto"/>
        <w:rPr>
          <w:sz w:val="20"/>
          <w:szCs w:val="20"/>
          <w:color w:val="auto"/>
        </w:rPr>
      </w:pPr>
      <w:r>
        <w:rPr>
          <w:rFonts w:ascii="Times New Roman" w:cs="Times New Roman" w:eastAsia="Times New Roman" w:hAnsi="Times New Roman"/>
          <w:sz w:val="18"/>
          <w:szCs w:val="18"/>
          <w:color w:val="auto"/>
        </w:rPr>
        <w:t>interest earned on the funds held in the Trust Account that may be released to BurTech to pay its income or other tax obligations, the proceeds will not be released from the Trust Account until the earlier of the completion of a Business Combination or the redemption of 100% of the outstanding shares of common stock if BurTech has not completed a Business Combination in the required time period. The proceeds held in the Trust Account may be used as consideration to pay the sellers of a target business with which BurTech completes a Business Combination. Any amounts not paid as consideration to the sellers of the target business may be used to finance operations of the target business.</w:t>
      </w:r>
    </w:p>
    <w:p>
      <w:pPr>
        <w:spacing w:after="0" w:line="121" w:lineRule="exact"/>
        <w:rPr>
          <w:sz w:val="20"/>
          <w:szCs w:val="20"/>
          <w:color w:val="auto"/>
        </w:rPr>
      </w:pPr>
    </w:p>
    <w:p>
      <w:pPr>
        <w:ind w:left="1260" w:right="539" w:firstLine="360"/>
        <w:spacing w:after="0" w:line="263" w:lineRule="auto"/>
        <w:rPr>
          <w:sz w:val="20"/>
          <w:szCs w:val="20"/>
          <w:color w:val="auto"/>
        </w:rPr>
      </w:pPr>
      <w:r>
        <w:rPr>
          <w:rFonts w:ascii="Times New Roman" w:cs="Times New Roman" w:eastAsia="Times New Roman" w:hAnsi="Times New Roman"/>
          <w:sz w:val="18"/>
          <w:szCs w:val="18"/>
          <w:color w:val="auto"/>
        </w:rPr>
        <w:t>Although the Company entered into a non-binding letter of intent for a potential business combination with JetSynthesys Pvt. Ltd., the Company is still in the process of identifying a potential business combination target company (the “</w:t>
      </w:r>
      <w:r>
        <w:rPr>
          <w:rFonts w:ascii="Times New Roman" w:cs="Times New Roman" w:eastAsia="Times New Roman" w:hAnsi="Times New Roman"/>
          <w:sz w:val="18"/>
          <w:szCs w:val="18"/>
          <w:b w:val="1"/>
          <w:bCs w:val="1"/>
          <w:u w:val="single" w:color="auto"/>
          <w:color w:val="auto"/>
        </w:rPr>
        <w:t>Target</w:t>
      </w:r>
      <w:r>
        <w:rPr>
          <w:rFonts w:ascii="Times New Roman" w:cs="Times New Roman" w:eastAsia="Times New Roman" w:hAnsi="Times New Roman"/>
          <w:sz w:val="18"/>
          <w:szCs w:val="18"/>
          <w:color w:val="auto"/>
        </w:rPr>
        <w:t>”) for an initial business combination (the “</w:t>
      </w:r>
      <w:r>
        <w:rPr>
          <w:rFonts w:ascii="Times New Roman" w:cs="Times New Roman" w:eastAsia="Times New Roman" w:hAnsi="Times New Roman"/>
          <w:sz w:val="18"/>
          <w:szCs w:val="18"/>
          <w:b w:val="1"/>
          <w:bCs w:val="1"/>
          <w:u w:val="single" w:color="auto"/>
          <w:color w:val="auto"/>
        </w:rPr>
        <w:t>Initial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Combination</w:t>
      </w:r>
      <w:r>
        <w:rPr>
          <w:rFonts w:ascii="Times New Roman" w:cs="Times New Roman" w:eastAsia="Times New Roman" w:hAnsi="Times New Roman"/>
          <w:sz w:val="18"/>
          <w:szCs w:val="18"/>
          <w:color w:val="auto"/>
        </w:rPr>
        <w:t>”).</w:t>
      </w:r>
    </w:p>
    <w:p>
      <w:pPr>
        <w:spacing w:after="0" w:line="332" w:lineRule="exact"/>
        <w:rPr>
          <w:sz w:val="20"/>
          <w:szCs w:val="20"/>
          <w:color w:val="auto"/>
        </w:rPr>
      </w:pPr>
    </w:p>
    <w:p>
      <w:pPr>
        <w:ind w:left="1260" w:right="679" w:firstLine="360"/>
        <w:spacing w:after="0" w:line="261" w:lineRule="auto"/>
        <w:rPr>
          <w:sz w:val="20"/>
          <w:szCs w:val="20"/>
          <w:color w:val="auto"/>
        </w:rPr>
      </w:pPr>
      <w:r>
        <w:rPr>
          <w:rFonts w:ascii="Times New Roman" w:cs="Times New Roman" w:eastAsia="Times New Roman" w:hAnsi="Times New Roman"/>
          <w:sz w:val="18"/>
          <w:szCs w:val="18"/>
          <w:color w:val="auto"/>
        </w:rPr>
        <w:t>Our Charter provides for the return of the IPO proceeds held in the trust account to the holders of Public Shares if it has not consummated a business combination(s) on or before March 15, 2023. The Company believes the Target is a compelling opportunity for the Company’s initial business combination and is currently in the process of completing an initial business combination involving the Target.</w:t>
      </w:r>
    </w:p>
    <w:p>
      <w:pPr>
        <w:spacing w:after="0" w:line="99" w:lineRule="exact"/>
        <w:rPr>
          <w:sz w:val="20"/>
          <w:szCs w:val="20"/>
          <w:color w:val="auto"/>
        </w:rPr>
      </w:pPr>
    </w:p>
    <w:p>
      <w:pPr>
        <w:ind w:left="1260" w:right="9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1300 Pennsylvania Ave NW, Suite 700, Washington, DC 20004.</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to Complete an Initial Business Combination</w:t>
      </w:r>
    </w:p>
    <w:p>
      <w:pPr>
        <w:spacing w:after="0" w:line="162" w:lineRule="exact"/>
        <w:rPr>
          <w:sz w:val="20"/>
          <w:szCs w:val="20"/>
          <w:color w:val="auto"/>
        </w:rPr>
      </w:pPr>
    </w:p>
    <w:p>
      <w:pPr>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the initial Business Combination within 15 months from the closing of the IPO, or March 15, 2023, it would cease all operations except for the purpose of winding up the Company.</w:t>
      </w:r>
    </w:p>
    <w:p>
      <w:pPr>
        <w:spacing w:after="0" w:line="11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March 15, 2023 to file the Initial Business Combination Registration Statement related to the transaction, or</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hold a Special Meeting to obtain stockholder approval of, and to consummate, the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Accordingly, BurTech’s board has determined that, given BurTech’s expenditure of time,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effort and money on identifying a suitable company as a target business and completing its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it is in the best interests of its stockholders to approve the Charter Amendment Proposals and</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the Trust Amendment Proposal in order to amend the Charter and to amend the Trust Agreement. Assuming</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that the Charter Amendment Proposals and the Trust Amendment Proposal are so approved, and both the</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Charter and the Trust Agreement are amended, BurTech will have to consummate an initial business</w:t>
      </w:r>
    </w:p>
    <w:p>
      <w:pPr>
        <w:spacing w:after="0" w:line="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combination before the Extended Termination Date.</w:t>
      </w:r>
    </w:p>
    <w:p>
      <w:pPr>
        <w:spacing w:after="0" w:line="126" w:lineRule="exact"/>
        <w:rPr>
          <w:sz w:val="20"/>
          <w:szCs w:val="20"/>
          <w:color w:val="auto"/>
        </w:rPr>
      </w:pPr>
    </w:p>
    <w:p>
      <w:pPr>
        <w:ind w:left="1260" w:right="439" w:firstLine="360"/>
        <w:spacing w:after="0" w:line="252" w:lineRule="auto"/>
        <w:rPr>
          <w:sz w:val="20"/>
          <w:szCs w:val="20"/>
          <w:color w:val="auto"/>
        </w:rPr>
      </w:pPr>
      <w:r>
        <w:rPr>
          <w:rFonts w:ascii="Times New Roman" w:cs="Times New Roman" w:eastAsia="Times New Roman" w:hAnsi="Times New Roman"/>
          <w:sz w:val="18"/>
          <w:szCs w:val="18"/>
          <w:color w:val="auto"/>
        </w:rPr>
        <w:t>As disclosed in the IPO prospectus, because the net proceeds of the IPO were to be used to complete an initial business combination with a target business that had not been selected at the time of the IPO, BurTech may be deemed to be a “blank check company”. Under Rule 419 (the “</w:t>
      </w:r>
      <w:r>
        <w:rPr>
          <w:rFonts w:ascii="Times New Roman" w:cs="Times New Roman" w:eastAsia="Times New Roman" w:hAnsi="Times New Roman"/>
          <w:sz w:val="18"/>
          <w:szCs w:val="18"/>
          <w:b w:val="1"/>
          <w:bCs w:val="1"/>
          <w:u w:val="single" w:color="auto"/>
          <w:color w:val="auto"/>
        </w:rPr>
        <w:t>NTA Rule</w:t>
      </w:r>
      <w:r>
        <w:rPr>
          <w:rFonts w:ascii="Times New Roman" w:cs="Times New Roman" w:eastAsia="Times New Roman" w:hAnsi="Times New Roman"/>
          <w:sz w:val="18"/>
          <w:szCs w:val="18"/>
          <w:color w:val="auto"/>
        </w:rPr>
        <w:t>”) of the Securities Act the term “blank check company” means a company that (i) is a development stage company that has no specific business plan or purpose or has indicated that its business plan is to engage in a merger or acquisition with an unidentified company or companies, or other entity or person; and (ii) is issuing “penny stock,” as defined in Rule 3a51-1 under the Exchange Act (the “</w:t>
      </w:r>
      <w:r>
        <w:rPr>
          <w:rFonts w:ascii="Times New Roman" w:cs="Times New Roman" w:eastAsia="Times New Roman" w:hAnsi="Times New Roman"/>
          <w:sz w:val="18"/>
          <w:szCs w:val="18"/>
          <w:b w:val="1"/>
          <w:bCs w:val="1"/>
          <w:u w:val="single" w:color="auto"/>
          <w:color w:val="auto"/>
        </w:rPr>
        <w:t>Exchange Rule</w:t>
      </w:r>
      <w:r>
        <w:rPr>
          <w:rFonts w:ascii="Times New Roman" w:cs="Times New Roman" w:eastAsia="Times New Roman" w:hAnsi="Times New Roman"/>
          <w:sz w:val="18"/>
          <w:szCs w:val="18"/>
          <w:color w:val="auto"/>
        </w:rPr>
        <w:t>”). Rule 3a51-1 sets forth that that term “penny stock” shall mean any equity security, unless it fits within certain enumerated exclusions including the NTA Rule and the Exchange Rule. BurTech believes that the Nasdaq Global Market has initial listing standards that meet the criteria identified in the Exchange Rule and that it can therefore rely on the Exchange Rule to avoid being treated as a penny stock. Therefore, the NTA Requirement is unnecessary so long as BurTech meets the requirements of the Exchange Rule. In addition, in the event the NTA Amendment is approved, then the Company will not be required to maintain a minimum value of net tangible assets in order to complete a Business Combination.</w:t>
      </w:r>
    </w:p>
    <w:p>
      <w:pPr>
        <w:spacing w:after="0" w:line="343" w:lineRule="exact"/>
        <w:rPr>
          <w:sz w:val="20"/>
          <w:szCs w:val="20"/>
          <w:color w:val="auto"/>
        </w:rPr>
      </w:pPr>
    </w:p>
    <w:p>
      <w:pPr>
        <w:ind w:left="1260" w:right="439" w:firstLine="360"/>
        <w:spacing w:after="0" w:line="282"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w:t>
      </w:r>
    </w:p>
    <w:p>
      <w:pPr>
        <w:sectPr>
          <w:pgSz w:w="11900" w:h="16838" w:orient="portrait"/>
          <w:cols w:equalWidth="0" w:num="1">
            <w:col w:w="9879"/>
          </w:cols>
          <w:pgMar w:left="580" w:top="97" w:right="1440" w:bottom="1440" w:gutter="0" w:footer="0" w:header="0"/>
        </w:sectPr>
      </w:pPr>
    </w:p>
    <w:p>
      <w:pPr>
        <w:spacing w:after="0" w:line="34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639"/>
        <w:spacing w:after="0" w:line="286" w:lineRule="auto"/>
        <w:rPr>
          <w:sz w:val="20"/>
          <w:szCs w:val="20"/>
          <w:color w:val="auto"/>
        </w:rPr>
      </w:pPr>
      <w:r>
        <w:rPr>
          <w:rFonts w:ascii="Times New Roman" w:cs="Times New Roman" w:eastAsia="Times New Roman" w:hAnsi="Times New Roman"/>
          <w:sz w:val="18"/>
          <w:szCs w:val="18"/>
          <w:b w:val="1"/>
          <w:bCs w:val="1"/>
          <w:color w:val="auto"/>
        </w:rPr>
        <w:t>portion of the Trust Account in the event a business combination is approved and completed or the Company has not consummated a business combination by the Extended Termination Date.</w:t>
      </w:r>
    </w:p>
    <w:p>
      <w:pPr>
        <w:spacing w:after="0" w:line="78" w:lineRule="exact"/>
        <w:rPr>
          <w:sz w:val="20"/>
          <w:szCs w:val="20"/>
          <w:color w:val="auto"/>
        </w:rPr>
      </w:pPr>
    </w:p>
    <w:p>
      <w:pPr>
        <w:ind w:left="1260" w:right="899" w:firstLine="360"/>
        <w:spacing w:after="0" w:line="250"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09" w:lineRule="exact"/>
        <w:rPr>
          <w:sz w:val="20"/>
          <w:szCs w:val="20"/>
          <w:color w:val="auto"/>
        </w:rPr>
      </w:pPr>
    </w:p>
    <w:p>
      <w:pPr>
        <w:ind w:left="1260" w:right="419" w:firstLine="360"/>
        <w:spacing w:after="0" w:line="241" w:lineRule="auto"/>
        <w:rPr>
          <w:sz w:val="20"/>
          <w:szCs w:val="20"/>
          <w:color w:val="auto"/>
        </w:rPr>
      </w:pPr>
      <w:r>
        <w:rPr>
          <w:rFonts w:ascii="Times New Roman" w:cs="Times New Roman" w:eastAsia="Times New Roman" w:hAnsi="Times New Roman"/>
          <w:sz w:val="18"/>
          <w:szCs w:val="18"/>
          <w:color w:val="auto"/>
        </w:rPr>
        <w:t>In connection with the Charter Amendment Proposals and the Trust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Proposal. Each redemption of shares by our public stockholders will decrease the amount in our Trust Account, which held approximately $295.4 million of marketable securities as of February 8, 2023. In addition, public stockholders who do not make the Election would be 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33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ind w:left="1260"/>
        <w:spacing w:after="0" w:line="234" w:lineRule="auto"/>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ind w:left="1260"/>
        <w:spacing w:after="0" w:line="234" w:lineRule="auto"/>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20" w:lineRule="exact"/>
        <w:rPr>
          <w:sz w:val="20"/>
          <w:szCs w:val="20"/>
          <w:color w:val="auto"/>
        </w:rPr>
      </w:pPr>
    </w:p>
    <w:p>
      <w:pPr>
        <w:ind w:left="1260" w:right="559" w:firstLine="360"/>
        <w:spacing w:after="0" w:line="248"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1"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As of February 8, 2023, there was approximately $295.4 million in the Trust Account. If the Charter Amendment Proposals and the Trust Amendment Proposal are approved and the Extension Termination Date is extended to September 15, 2023, the redemption price per share at the meeting for the Initial Business combination or the Company’s subsequent liquidation will be approximately $10.21 per share (without taking into account any interest), in comparison to the current redemption price of approximately $10.15 per share. The closing price of the Company’s common stock on February 8, 2023 was $ 10.29.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36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1260" w:right="439" w:firstLine="360"/>
        <w:spacing w:after="0" w:line="23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6" w:lineRule="exact"/>
        <w:rPr>
          <w:sz w:val="20"/>
          <w:szCs w:val="20"/>
          <w:color w:val="auto"/>
        </w:rPr>
      </w:pPr>
    </w:p>
    <w:p>
      <w:pPr>
        <w:ind w:left="1260" w:right="419"/>
        <w:spacing w:after="0" w:line="234" w:lineRule="auto"/>
        <w:tabs>
          <w:tab w:leader="none" w:pos="15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In the event of a liquidation, our sponsor, our officers and directors and our other initial stockholders, including the Representative, will not receive any monies held in the Trust Account as a result of their ownership of the Founder Shares, the Representative Shares or the Private Placement Shares.</w:t>
      </w:r>
    </w:p>
    <w:p>
      <w:pPr>
        <w:spacing w:after="0" w:line="104" w:lineRule="exact"/>
        <w:rPr>
          <w:sz w:val="20"/>
          <w:szCs w:val="20"/>
          <w:color w:val="auto"/>
        </w:rPr>
      </w:pPr>
    </w:p>
    <w:p>
      <w:pPr>
        <w:ind w:left="1260" w:right="459" w:firstLine="360"/>
        <w:spacing w:after="0"/>
        <w:rPr>
          <w:sz w:val="20"/>
          <w:szCs w:val="20"/>
          <w:color w:val="auto"/>
        </w:rPr>
      </w:pPr>
      <w:r>
        <w:rPr>
          <w:rFonts w:ascii="Times New Roman" w:cs="Times New Roman" w:eastAsia="Times New Roman" w:hAnsi="Times New Roman"/>
          <w:sz w:val="18"/>
          <w:szCs w:val="18"/>
          <w:color w:val="auto"/>
        </w:rPr>
        <w:t>Subject to the foregoing, the affirmative vote of at least a majority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and the Trust Amendment Proposal unless our stockholders approve both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and the Trust Amendment Proposal at any time without any further action by our stockholders.</w:t>
      </w:r>
    </w:p>
    <w:p>
      <w:pPr>
        <w:spacing w:after="0" w:line="248"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6" w:lineRule="exact"/>
        <w:rPr>
          <w:sz w:val="20"/>
          <w:szCs w:val="20"/>
          <w:color w:val="auto"/>
        </w:rPr>
      </w:pPr>
    </w:p>
    <w:p>
      <w:pPr>
        <w:ind w:left="1260" w:right="679" w:firstLine="360"/>
        <w:spacing w:after="0" w:line="317" w:lineRule="auto"/>
        <w:rPr>
          <w:sz w:val="20"/>
          <w:szCs w:val="20"/>
          <w:color w:val="auto"/>
        </w:rPr>
      </w:pPr>
      <w:r>
        <w:rPr>
          <w:rFonts w:ascii="Times New Roman" w:cs="Times New Roman" w:eastAsia="Times New Roman" w:hAnsi="Times New Roman"/>
          <w:sz w:val="17"/>
          <w:szCs w:val="17"/>
          <w:b w:val="1"/>
          <w:bCs w:val="1"/>
          <w:color w:val="auto"/>
        </w:rPr>
        <w:t>After careful consideration of all relevant factors, the board of directors has determined that each of the proposals are advisable and recommends that you vote or give instruction to vote “FOR” such proposals.</w:t>
      </w:r>
    </w:p>
    <w:p>
      <w:pPr>
        <w:spacing w:after="0" w:line="11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Rights and Revocation of Proxies</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record date with respect to this solicitation is the close of business on January 26, 2023 (the</w:t>
      </w:r>
    </w:p>
    <w:p>
      <w:pPr>
        <w:spacing w:after="0" w:line="16" w:lineRule="exact"/>
        <w:rPr>
          <w:sz w:val="20"/>
          <w:szCs w:val="20"/>
          <w:color w:val="auto"/>
        </w:rPr>
      </w:pPr>
    </w:p>
    <w:p>
      <w:pPr>
        <w:ind w:left="1260" w:right="639"/>
        <w:spacing w:after="0" w:line="24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and only stockholders of record at that time will be entitled to vote at the Special Meeting and any adjournment or adjournments thereof.</w:t>
      </w:r>
    </w:p>
    <w:p>
      <w:pPr>
        <w:spacing w:after="0" w:line="110" w:lineRule="exact"/>
        <w:rPr>
          <w:sz w:val="20"/>
          <w:szCs w:val="20"/>
          <w:color w:val="auto"/>
        </w:rPr>
      </w:pPr>
    </w:p>
    <w:p>
      <w:pPr>
        <w:ind w:left="1260" w:right="439" w:firstLine="360"/>
        <w:spacing w:after="0" w:line="248" w:lineRule="auto"/>
        <w:rPr>
          <w:sz w:val="20"/>
          <w:szCs w:val="20"/>
          <w:color w:val="auto"/>
        </w:rPr>
      </w:pPr>
      <w:r>
        <w:rPr>
          <w:rFonts w:ascii="Times New Roman" w:cs="Times New Roman" w:eastAsia="Times New Roman" w:hAnsi="Times New Roman"/>
          <w:sz w:val="18"/>
          <w:szCs w:val="18"/>
          <w:color w:val="auto"/>
        </w:rPr>
        <w:t>The shares of the Company’s common stock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represented by all validly executed proxies received in time to be taken to the Special Meeting and not previously revoked will be voted at the meeting. This proxy may be revoked by the stockholder at any time prior to its being voted by filing with the Secretary of the Company either a notice of revocation or a duly executed proxy bearing a later date. We intend to release this Proxy Statement and the enclosed proxy card to our stockholders on or about February 10, 2023.</w:t>
      </w:r>
    </w:p>
    <w:p>
      <w:pPr>
        <w:spacing w:after="0" w:line="3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Dissenters’ Right of Appraisal</w:t>
      </w:r>
    </w:p>
    <w:p>
      <w:pPr>
        <w:spacing w:after="0" w:line="162" w:lineRule="exact"/>
        <w:rPr>
          <w:sz w:val="20"/>
          <w:szCs w:val="20"/>
          <w:color w:val="auto"/>
        </w:rPr>
      </w:pPr>
    </w:p>
    <w:p>
      <w:pPr>
        <w:ind w:left="1260" w:right="559" w:firstLine="360"/>
        <w:spacing w:after="0" w:line="266" w:lineRule="auto"/>
        <w:rPr>
          <w:sz w:val="20"/>
          <w:szCs w:val="20"/>
          <w:color w:val="auto"/>
        </w:rPr>
      </w:pPr>
      <w:r>
        <w:rPr>
          <w:rFonts w:ascii="Times New Roman" w:cs="Times New Roman" w:eastAsia="Times New Roman" w:hAnsi="Times New Roman"/>
          <w:sz w:val="18"/>
          <w:szCs w:val="18"/>
          <w:color w:val="auto"/>
        </w:rPr>
        <w:t>Holders of shares of our Common Stock do not have appraisal rights under Delaware law or under the governing documents of the Company in connection with this solicitation.</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Outstanding Shares and Quorum</w:t>
      </w:r>
    </w:p>
    <w:p>
      <w:pPr>
        <w:spacing w:after="0" w:line="148" w:lineRule="exact"/>
        <w:rPr>
          <w:sz w:val="20"/>
          <w:szCs w:val="20"/>
          <w:color w:val="auto"/>
        </w:rPr>
      </w:pPr>
    </w:p>
    <w:p>
      <w:pPr>
        <w:ind w:left="1260" w:right="519" w:firstLine="360"/>
        <w:spacing w:after="0" w:line="282" w:lineRule="auto"/>
        <w:rPr>
          <w:sz w:val="20"/>
          <w:szCs w:val="20"/>
          <w:color w:val="auto"/>
        </w:rPr>
      </w:pPr>
      <w:r>
        <w:rPr>
          <w:rFonts w:ascii="Times New Roman" w:cs="Times New Roman" w:eastAsia="Times New Roman" w:hAnsi="Times New Roman"/>
          <w:sz w:val="18"/>
          <w:szCs w:val="18"/>
          <w:color w:val="auto"/>
        </w:rPr>
        <w:t>The number of outstanding shares of Common Stock (which includes the Company’s Class A common stock and Class B common stock) entitled to vote at the Special Meeting is 34,429,500. Each share</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19"/>
        <w:spacing w:after="0" w:line="256" w:lineRule="auto"/>
        <w:rPr>
          <w:sz w:val="20"/>
          <w:szCs w:val="20"/>
          <w:color w:val="auto"/>
        </w:rPr>
      </w:pPr>
      <w:r>
        <w:rPr>
          <w:rFonts w:ascii="Times New Roman" w:cs="Times New Roman" w:eastAsia="Times New Roman" w:hAnsi="Times New Roman"/>
          <w:sz w:val="18"/>
          <w:szCs w:val="18"/>
          <w:color w:val="auto"/>
        </w:rPr>
        <w:t>of Common Stock is entitled to one vote. The presence in person or by proxy at the Special Meeting of the holders of 17,214,751 shares, or a majority of the number of outstanding shares of Common Stock, will constitute a quorum. There is no cumulative voting. Shares that abstain or for which the authority to vote is withheld on certain matters (so-called “broker non-votes”) will be treated as present for quorum purposes on all matters. As of the Record Date for the Special Meeting, 3,989,250 Public Shares, in the aggregate, would be required to achieve a quorum. The Company’s warrants do not carry voting rights.</w:t>
      </w:r>
    </w:p>
    <w:p>
      <w:pPr>
        <w:spacing w:after="0" w:line="18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62" w:lineRule="exact"/>
        <w:rPr>
          <w:sz w:val="20"/>
          <w:szCs w:val="20"/>
          <w:color w:val="auto"/>
        </w:rPr>
      </w:pPr>
    </w:p>
    <w:p>
      <w:pPr>
        <w:ind w:left="1260" w:right="459" w:firstLine="360"/>
        <w:spacing w:after="0" w:line="258" w:lineRule="auto"/>
        <w:rPr>
          <w:sz w:val="20"/>
          <w:szCs w:val="20"/>
          <w:color w:val="auto"/>
        </w:rPr>
      </w:pPr>
      <w:r>
        <w:rPr>
          <w:rFonts w:ascii="Times New Roman" w:cs="Times New Roman" w:eastAsia="Times New Roman" w:hAnsi="Times New Roman"/>
          <w:sz w:val="18"/>
          <w:szCs w:val="18"/>
          <w:color w:val="auto"/>
        </w:rPr>
        <w:t>Holders of shares of our Class A common stock that are held in street name must instruct their bank or brokerage firm that holds their shares how to vote their shares. If a stockholder does not give instructions to his or her bank or brokerage firm, it will nevertheless be entitled to vote the shares with respect to “routine” items, but it will not be permitted to vote the shares with respect to “non-routine” items. In the case of a non-routine item, such shares will be considered “broker non-votes” on that proposal.</w:t>
      </w:r>
    </w:p>
    <w:p>
      <w:pPr>
        <w:spacing w:after="0" w:line="116" w:lineRule="exact"/>
        <w:rPr>
          <w:sz w:val="20"/>
          <w:szCs w:val="20"/>
          <w:color w:val="auto"/>
        </w:rPr>
      </w:pPr>
    </w:p>
    <w:p>
      <w:pPr>
        <w:ind w:left="1260" w:right="1039" w:firstLine="360"/>
        <w:spacing w:after="0" w:line="282" w:lineRule="auto"/>
        <w:rPr>
          <w:sz w:val="20"/>
          <w:szCs w:val="20"/>
          <w:color w:val="auto"/>
        </w:rPr>
      </w:pPr>
      <w:r>
        <w:rPr>
          <w:rFonts w:ascii="Times New Roman" w:cs="Times New Roman" w:eastAsia="Times New Roman" w:hAnsi="Times New Roman"/>
          <w:sz w:val="18"/>
          <w:szCs w:val="18"/>
          <w:color w:val="auto"/>
        </w:rPr>
        <w:t>Proposal 1 (Charter Amendment Proposals) is a matter that we believe will be considered “non-routine.”</w:t>
      </w:r>
    </w:p>
    <w:p>
      <w:pPr>
        <w:spacing w:after="0" w:line="81" w:lineRule="exact"/>
        <w:rPr>
          <w:sz w:val="20"/>
          <w:szCs w:val="20"/>
          <w:color w:val="auto"/>
        </w:rPr>
      </w:pPr>
    </w:p>
    <w:p>
      <w:pPr>
        <w:ind w:left="1620" w:right="619"/>
        <w:spacing w:after="0" w:line="422" w:lineRule="auto"/>
        <w:rPr>
          <w:sz w:val="20"/>
          <w:szCs w:val="20"/>
          <w:color w:val="auto"/>
        </w:rPr>
      </w:pPr>
      <w:r>
        <w:rPr>
          <w:rFonts w:ascii="Times New Roman" w:cs="Times New Roman" w:eastAsia="Times New Roman" w:hAnsi="Times New Roman"/>
          <w:sz w:val="18"/>
          <w:szCs w:val="18"/>
          <w:color w:val="auto"/>
        </w:rPr>
        <w:t>Proposal 2 (Trust Amendment Proposal) is a matter that we believe will be considered “non-routine.” Proposal 3 (Adjournment Proposal) is a matter that we believe will be considered “routine.”</w:t>
      </w:r>
    </w:p>
    <w:p>
      <w:pPr>
        <w:spacing w:after="0" w:line="1" w:lineRule="exact"/>
        <w:rPr>
          <w:sz w:val="20"/>
          <w:szCs w:val="20"/>
          <w:color w:val="auto"/>
        </w:rPr>
      </w:pPr>
    </w:p>
    <w:p>
      <w:pPr>
        <w:ind w:left="1260" w:right="559" w:firstLine="360"/>
        <w:spacing w:after="0" w:line="275" w:lineRule="auto"/>
        <w:rPr>
          <w:sz w:val="20"/>
          <w:szCs w:val="20"/>
          <w:color w:val="auto"/>
        </w:rPr>
      </w:pPr>
      <w:r>
        <w:rPr>
          <w:rFonts w:ascii="Times New Roman" w:cs="Times New Roman" w:eastAsia="Times New Roman" w:hAnsi="Times New Roman"/>
          <w:sz w:val="18"/>
          <w:szCs w:val="18"/>
          <w:color w:val="auto"/>
        </w:rPr>
        <w:t>Banks or brokerages cannot use discretionary authority to vote shares on Proposals 1 or 2 if they have not received instructions from their clients. Please submit your vote instruction form so your vote is counted.</w:t>
      </w:r>
    </w:p>
    <w:p>
      <w:pPr>
        <w:spacing w:after="0" w:line="38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Votes for Each Proposal to Pass</w:t>
      </w:r>
    </w:p>
    <w:p>
      <w:pPr>
        <w:spacing w:after="0" w:line="14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Assuming the presence of a quorum at the Special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33655</wp:posOffset>
            </wp:positionV>
            <wp:extent cx="15601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60195" cy="8255"/>
                    </a:xfrm>
                    <a:prstGeom prst="rect">
                      <a:avLst/>
                    </a:prstGeom>
                    <a:noFill/>
                  </pic:spPr>
                </pic:pic>
              </a:graphicData>
            </a:graphic>
          </wp:anchor>
        </w:drawing>
      </w:r>
    </w:p>
    <w:p>
      <w:pPr>
        <w:spacing w:after="0" w:line="6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Charter Amendment Proposal</w:t>
      </w:r>
    </w:p>
    <w:p>
      <w:pPr>
        <w:spacing w:after="0" w:line="5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 Amendment Proposal</w:t>
      </w:r>
    </w:p>
    <w:p>
      <w:pPr>
        <w:spacing w:after="0" w:line="3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Adjournment</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ind w:left="63"/>
        <w:spacing w:after="0"/>
        <w:tabs>
          <w:tab w:leader="none" w:pos="2002" w:val="left"/>
        </w:tabs>
        <w:rPr>
          <w:sz w:val="20"/>
          <w:szCs w:val="20"/>
          <w:color w:val="auto"/>
        </w:rPr>
      </w:pPr>
      <w:r>
        <w:rPr>
          <w:rFonts w:ascii="Times New Roman" w:cs="Times New Roman" w:eastAsia="Times New Roman" w:hAnsi="Times New Roman"/>
          <w:sz w:val="28"/>
          <w:szCs w:val="28"/>
          <w:b w:val="1"/>
          <w:bCs w:val="1"/>
          <w:color w:val="auto"/>
          <w:vertAlign w:val="subscript"/>
        </w:rPr>
        <w:t>​ ​</w:t>
      </w:r>
      <w:r>
        <w:rPr>
          <w:sz w:val="20"/>
          <w:szCs w:val="20"/>
          <w:color w:val="auto"/>
        </w:rPr>
        <w:tab/>
      </w:r>
      <w:r>
        <w:rPr>
          <w:rFonts w:ascii="Times New Roman" w:cs="Times New Roman" w:eastAsia="Times New Roman" w:hAnsi="Times New Roman"/>
          <w:sz w:val="13"/>
          <w:szCs w:val="13"/>
          <w:b w:val="1"/>
          <w:bCs w:val="1"/>
          <w:color w:val="auto"/>
        </w:rPr>
        <w:t>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137160</wp:posOffset>
            </wp:positionH>
            <wp:positionV relativeFrom="paragraph">
              <wp:posOffset>36195</wp:posOffset>
            </wp:positionV>
            <wp:extent cx="28200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103" w:hanging="103"/>
        <w:spacing w:after="0" w:line="214" w:lineRule="auto"/>
        <w:tabs>
          <w:tab w:leader="none" w:pos="103" w:val="left"/>
        </w:tabs>
        <w:numPr>
          <w:ilvl w:val="0"/>
          <w:numId w:val="6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More than 65% of outstanding shares</w:t>
      </w:r>
    </w:p>
    <w:p>
      <w:pPr>
        <w:ind w:left="103" w:hanging="103"/>
        <w:spacing w:after="0" w:line="181" w:lineRule="auto"/>
        <w:tabs>
          <w:tab w:leader="none" w:pos="103" w:val="left"/>
        </w:tabs>
        <w:numPr>
          <w:ilvl w:val="0"/>
          <w:numId w:val="67"/>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5"/>
          <w:szCs w:val="15"/>
          <w:color w:val="auto"/>
        </w:rPr>
        <w:t xml:space="preserve"> More than 65% of outstanding shares</w:t>
      </w:r>
    </w:p>
    <w:p>
      <w:pPr>
        <w:ind w:left="223" w:hanging="223"/>
        <w:spacing w:after="0" w:line="254" w:lineRule="auto"/>
        <w:tabs>
          <w:tab w:leader="none" w:pos="11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Majority of the outstanding shares represented by virtual attendance or by proxy and entitled to vote thereon at the Special Meeting</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Broker</w:t>
      </w:r>
    </w:p>
    <w:p>
      <w:pPr>
        <w:spacing w:after="0" w:line="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Discretionary</w:t>
      </w:r>
    </w:p>
    <w:p>
      <w:pPr>
        <w:ind w:left="40"/>
        <w:spacing w:after="0" w:line="186" w:lineRule="auto"/>
        <w:rPr>
          <w:sz w:val="20"/>
          <w:szCs w:val="20"/>
          <w:color w:val="auto"/>
        </w:rPr>
      </w:pPr>
      <w:r>
        <w:rPr>
          <w:rFonts w:ascii="Times New Roman" w:cs="Times New Roman" w:eastAsia="Times New Roman" w:hAnsi="Times New Roman"/>
          <w:sz w:val="22"/>
          <w:szCs w:val="22"/>
          <w:b w:val="1"/>
          <w:bCs w:val="1"/>
          <w:color w:val="auto"/>
          <w:vertAlign w:val="subscript"/>
        </w:rPr>
        <w:t>​ ​</w:t>
      </w:r>
      <w:r>
        <w:rPr>
          <w:rFonts w:ascii="Times New Roman" w:cs="Times New Roman" w:eastAsia="Times New Roman" w:hAnsi="Times New Roman"/>
          <w:sz w:val="12"/>
          <w:szCs w:val="12"/>
          <w:b w:val="1"/>
          <w:bCs w:val="1"/>
          <w:color w:val="auto"/>
        </w:rPr>
        <w:t xml:space="preserve"> Vote Allowed </w:t>
      </w:r>
      <w:r>
        <w:rPr>
          <w:rFonts w:ascii="Times New Roman" w:cs="Times New Roman" w:eastAsia="Times New Roman" w:hAnsi="Times New Roman"/>
          <w:sz w:val="22"/>
          <w:szCs w:val="22"/>
          <w:b w:val="1"/>
          <w:bCs w:val="1"/>
          <w:color w:val="auto"/>
          <w:vertAlign w:val="subscript"/>
        </w:rPr>
        <w: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Borders>
              <w:top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No</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61"/>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Yes</w:t>
            </w:r>
          </w:p>
        </w:tc>
        <w:tc>
          <w:tcPr>
            <w:tcW w:w="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r>
    </w:tbl>
    <w:p>
      <w:pPr>
        <w:spacing w:after="0" w:line="575" w:lineRule="exact"/>
        <w:rPr>
          <w:sz w:val="20"/>
          <w:szCs w:val="20"/>
          <w:color w:val="auto"/>
        </w:rPr>
      </w:pPr>
    </w:p>
    <w:p>
      <w:pPr>
        <w:sectPr>
          <w:pgSz w:w="11900" w:h="16838" w:orient="portrait"/>
          <w:cols w:equalWidth="0" w:num="3">
            <w:col w:w="3500" w:space="217"/>
            <w:col w:w="4523" w:space="140"/>
            <w:col w:w="1499"/>
          </w:cols>
          <w:pgMar w:left="580" w:top="97" w:right="1440" w:bottom="1440" w:gutter="0" w:footer="0" w:header="0"/>
          <w:type w:val="continuous"/>
        </w:sectPr>
      </w:pPr>
    </w:p>
    <w:p>
      <w:pPr>
        <w:ind w:left="1620"/>
        <w:spacing w:after="0"/>
        <w:rPr>
          <w:sz w:val="20"/>
          <w:szCs w:val="20"/>
          <w:color w:val="auto"/>
        </w:rPr>
      </w:pPr>
      <w:r>
        <w:rPr>
          <w:rFonts w:ascii="Times New Roman" w:cs="Times New Roman" w:eastAsia="Times New Roman" w:hAnsi="Times New Roman"/>
          <w:sz w:val="18"/>
          <w:szCs w:val="18"/>
          <w:color w:val="auto"/>
        </w:rPr>
        <w:t>Abstentions will count as a vote against each of the proposals.</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6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keep in mind that the Company’s initial stockholders, sponsor, officers, directors and advisors have interests that may be different from, or in addition to, your interests as a stockholder. These interests include, among other things:</w:t>
      </w:r>
    </w:p>
    <w:p>
      <w:pPr>
        <w:spacing w:after="0" w:line="68" w:lineRule="exact"/>
        <w:rPr>
          <w:sz w:val="20"/>
          <w:szCs w:val="20"/>
          <w:color w:val="auto"/>
        </w:rPr>
      </w:pPr>
    </w:p>
    <w:p>
      <w:pPr>
        <w:ind w:left="1800" w:right="459" w:hanging="180"/>
        <w:spacing w:after="0" w:line="282"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the Sponsor paid an aggregate of $25,000 for its Founder Shares and such securities will have a significantly higher value at the time of the Initial Business Combination;</w:t>
      </w:r>
    </w:p>
    <w:p>
      <w:pPr>
        <w:spacing w:after="0" w:line="53" w:lineRule="exact"/>
        <w:rPr>
          <w:rFonts w:ascii="Times New Roman" w:cs="Times New Roman" w:eastAsia="Times New Roman" w:hAnsi="Times New Roman"/>
          <w:sz w:val="18"/>
          <w:szCs w:val="18"/>
          <w:color w:val="auto"/>
        </w:rPr>
      </w:pPr>
    </w:p>
    <w:p>
      <w:pPr>
        <w:ind w:left="1800" w:right="439" w:hanging="180"/>
        <w:spacing w:after="0" w:line="253" w:lineRule="auto"/>
        <w:tabs>
          <w:tab w:leader="none" w:pos="18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if the Initial Business Combination is not approved, in accordance with our Charter, the 9,487,500 Founder Shares held by our sponsor, our officers and directors, which were acquired prior to the IPO for an aggregate purchase price of $25,000, will be worthless (as the holders have waived liquidation rights with respect to such shares), as will the 898,250 Private Placement Shares included in the private units that were acquired simultaneously with the IPO in the private placement for an aggregate purchase price of $8,982,500 and the additional 93,750 Private Placement Shares that were included in the private units acquired in connection with the exercise of the overallotment option for an aggregate purchase price of $937,500. Irrespective of existing lock-up agreements that impose restrictions on the transfer of the Founder Shares and Private Placement Shares, such Founder Shares and Private Placement Shares had an aggregate market value of approximately $107.8 million based on the last sale price of $10.29, on Nasdaq on February 8, 2023;</w:t>
      </w:r>
    </w:p>
    <w:p>
      <w:pPr>
        <w:sectPr>
          <w:pgSz w:w="11900" w:h="16838" w:orient="portrait"/>
          <w:cols w:equalWidth="0" w:num="1">
            <w:col w:w="9879"/>
          </w:cols>
          <w:pgMar w:left="580" w:top="97" w:right="1440" w:bottom="1440" w:gutter="0" w:footer="0" w:header="0"/>
          <w:type w:val="continuous"/>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9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complete a business combination and distribute the proceeds held in trust to our public stockholders, our sponsor has agreed (subject to certain exceptions) that it will be liable to ensure that the proceeds in the trust account are not reduced below $10.15 per share by the claims of target businesses or claims of vendors or other entities that are owed money by us for services rendered or contracted for or products sold to us;</w:t>
      </w:r>
    </w:p>
    <w:p>
      <w:pPr>
        <w:spacing w:after="0" w:line="61" w:lineRule="exact"/>
        <w:rPr>
          <w:rFonts w:ascii="Times New Roman" w:cs="Times New Roman" w:eastAsia="Times New Roman" w:hAnsi="Times New Roman"/>
          <w:sz w:val="18"/>
          <w:szCs w:val="18"/>
          <w:color w:val="auto"/>
        </w:rPr>
      </w:pPr>
    </w:p>
    <w:p>
      <w:pPr>
        <w:ind w:left="1800" w:right="459" w:hanging="180"/>
        <w:spacing w:after="0" w:line="258"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specified in the Company’s Charter relating to the right of officers and directors to be indemnified by the Company, and of the Company’s officers and directors to be exculpated from monetary liability with respect to prior acts or omissions, will continue after a business combination. If the Initial Business Combination is not approved and the Company liquidates, the Company will not be able to perform its obligations to its officers and directors under those provisions; and</w:t>
      </w:r>
    </w:p>
    <w:p>
      <w:pPr>
        <w:spacing w:after="0" w:line="61" w:lineRule="exact"/>
        <w:rPr>
          <w:rFonts w:ascii="Times New Roman" w:cs="Times New Roman" w:eastAsia="Times New Roman" w:hAnsi="Times New Roman"/>
          <w:sz w:val="18"/>
          <w:szCs w:val="18"/>
          <w:color w:val="auto"/>
        </w:rPr>
      </w:pPr>
    </w:p>
    <w:p>
      <w:pPr>
        <w:ind w:left="1800" w:right="439" w:hanging="180"/>
        <w:spacing w:after="0" w:line="255" w:lineRule="auto"/>
        <w:tabs>
          <w:tab w:leader="none" w:pos="18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sponsor, officers, directors, initial stockholders or their affiliates, are entitled to reimbursement of out-of-pocket expenses incurred by them in connection with certain activities on our behalf, such as identifying and investigating possible business targets and business combinations. However, if the Company fails to consummate the Initial Business Combination, they will not have any claim against the trust account for reimbursement. Accordingly, the Company will most likely not be able to reimburse these expenses if the Initial Business Combination is not completed. As of February 8, 2023 no out-of-pocket expenses are owed to BurTech’s officers, directors and Sponsor.</w:t>
      </w:r>
    </w:p>
    <w:p>
      <w:pPr>
        <w:spacing w:after="0" w:line="108" w:lineRule="exact"/>
        <w:rPr>
          <w:sz w:val="20"/>
          <w:szCs w:val="20"/>
          <w:color w:val="auto"/>
        </w:rPr>
      </w:pPr>
    </w:p>
    <w:p>
      <w:pPr>
        <w:ind w:left="1260" w:right="599" w:firstLine="360"/>
        <w:spacing w:after="0" w:line="251" w:lineRule="auto"/>
        <w:rPr>
          <w:sz w:val="20"/>
          <w:szCs w:val="20"/>
          <w:color w:val="auto"/>
        </w:rPr>
      </w:pPr>
      <w:r>
        <w:rPr>
          <w:rFonts w:ascii="Times New Roman" w:cs="Times New Roman" w:eastAsia="Times New Roman" w:hAnsi="Times New Roman"/>
          <w:sz w:val="18"/>
          <w:szCs w:val="18"/>
          <w:color w:val="auto"/>
        </w:rPr>
        <w:t>Additionally, if the Charter Amendment Proposals and the Trust Amendment Proposal are approved, the Extension is implemented and the Company consummates an initial business combination, the officers and directors may have additional interests that would be described in the proxy statement for such transaction.</w:t>
      </w:r>
    </w:p>
    <w:p>
      <w:pPr>
        <w:spacing w:after="0" w:line="40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Voting Procedures</w:t>
      </w:r>
    </w:p>
    <w:p>
      <w:pPr>
        <w:spacing w:after="0" w:line="148" w:lineRule="exact"/>
        <w:rPr>
          <w:sz w:val="20"/>
          <w:szCs w:val="20"/>
          <w:color w:val="auto"/>
        </w:rPr>
      </w:pPr>
    </w:p>
    <w:p>
      <w:pPr>
        <w:ind w:left="1260" w:right="439" w:firstLine="360"/>
        <w:spacing w:after="0" w:line="258" w:lineRule="auto"/>
        <w:rPr>
          <w:sz w:val="20"/>
          <w:szCs w:val="20"/>
          <w:color w:val="auto"/>
        </w:rPr>
      </w:pPr>
      <w:r>
        <w:rPr>
          <w:rFonts w:ascii="Times New Roman" w:cs="Times New Roman" w:eastAsia="Times New Roman" w:hAnsi="Times New Roman"/>
          <w:sz w:val="18"/>
          <w:szCs w:val="18"/>
          <w:color w:val="auto"/>
        </w:rPr>
        <w:t>Each share of our Class A common stock that you own in your name entitles you to one vote on each of the proposals for the Special Meeting. Your proxy card shows the number of shares of our common stock that you own.</w:t>
      </w:r>
    </w:p>
    <w:p>
      <w:pPr>
        <w:spacing w:after="0" w:line="61" w:lineRule="exact"/>
        <w:rPr>
          <w:sz w:val="20"/>
          <w:szCs w:val="20"/>
          <w:color w:val="auto"/>
        </w:rPr>
      </w:pPr>
    </w:p>
    <w:p>
      <w:pPr>
        <w:ind w:left="1800" w:right="439" w:hanging="180"/>
        <w:spacing w:after="0" w:line="254"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vote your shares in advance of the Special Meeting by completing, signing, dating and returning the enclosed proxy card in the postage-paid envelope provided. If you hold your shares in “street name” through a broker, bank or other nominee, you will need to follow the instructions provided to you by your broker, bank or other nominee to ensure that your shares are represented and voted at the Special Meeting. If you vote by proxy card, your “proxy,” whose name is listed on the proxy card, will vote your shares as you instruct on the proxy card. If you sign and return the proxy card but do not give instructions on how to vote your shares, your shares of our Class A common stock will be voted as recommended by our board of directors. Our board of directors recommends voting “FOR” the Charter Amendment Proposal, the Trust Amendment Proposal and the Adjournment Proposal.</w:t>
      </w:r>
    </w:p>
    <w:p>
      <w:pPr>
        <w:spacing w:after="0" w:line="282" w:lineRule="exact"/>
        <w:rPr>
          <w:rFonts w:ascii="Times New Roman" w:cs="Times New Roman" w:eastAsia="Times New Roman" w:hAnsi="Times New Roman"/>
          <w:sz w:val="18"/>
          <w:szCs w:val="18"/>
          <w:color w:val="auto"/>
        </w:rPr>
      </w:pPr>
    </w:p>
    <w:p>
      <w:pPr>
        <w:ind w:left="1800" w:right="659" w:hanging="180"/>
        <w:spacing w:after="0" w:line="258" w:lineRule="auto"/>
        <w:tabs>
          <w:tab w:leader="none" w:pos="18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 attend the Special Meeting and vote telephonically even if you have previously voted by submitting a proxy. However, if your shares of common stock are held in the name of your broker, bank or other nominee, you must get a proxy from the broker, bank or other nominee. That is the only way we can be sure that the broker, bank or nominee has not already voted your shares of common stock.</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48" w:lineRule="exact"/>
        <w:rPr>
          <w:sz w:val="20"/>
          <w:szCs w:val="20"/>
          <w:color w:val="auto"/>
        </w:rPr>
      </w:pPr>
    </w:p>
    <w:p>
      <w:pPr>
        <w:ind w:left="1260" w:right="459" w:firstLine="360"/>
        <w:spacing w:after="0" w:line="246" w:lineRule="auto"/>
        <w:rPr>
          <w:sz w:val="20"/>
          <w:szCs w:val="20"/>
          <w:color w:val="auto"/>
        </w:rPr>
      </w:pPr>
      <w:r>
        <w:rPr>
          <w:rFonts w:ascii="Times New Roman" w:cs="Times New Roman" w:eastAsia="Times New Roman" w:hAnsi="Times New Roman"/>
          <w:sz w:val="18"/>
          <w:szCs w:val="18"/>
          <w:color w:val="auto"/>
        </w:rPr>
        <w:t>Your proxy is being solicited by our board on the proposals being presented to stockholders at the Special Meeting. The Company has agreed to pay Advantage Proxy, Inc. (“</w:t>
      </w:r>
      <w:r>
        <w:rPr>
          <w:rFonts w:ascii="Times New Roman" w:cs="Times New Roman" w:eastAsia="Times New Roman" w:hAnsi="Times New Roman"/>
          <w:sz w:val="18"/>
          <w:szCs w:val="18"/>
          <w:b w:val="1"/>
          <w:bCs w:val="1"/>
          <w:color w:val="auto"/>
        </w:rPr>
        <w:t>Advantage</w:t>
      </w:r>
      <w:r>
        <w:rPr>
          <w:rFonts w:ascii="Times New Roman" w:cs="Times New Roman" w:eastAsia="Times New Roman" w:hAnsi="Times New Roman"/>
          <w:sz w:val="18"/>
          <w:szCs w:val="18"/>
          <w:color w:val="auto"/>
        </w:rPr>
        <w:t>”) its customary fee and out- of-pocket expenses. The Company will reimburse Advantage for reasonable out -of-pocket expenses and will indemnify Advantage and its affiliates against certain claims, liabilities, losses, damages and expenses. In addition to these mailed proxy materials, our directors and officers may also solicit proxies in person, by telephone or by other means of communication. These parties will not be paid any additional compensation for soliciting proxies. We may also reimburse brokerage firms, banks and other agents for the cost of forwarding proxy materials to beneficial owners. You may contact Advantage at:</w:t>
      </w:r>
    </w:p>
    <w:p>
      <w:pPr>
        <w:spacing w:after="0" w:line="1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1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P.O. Box 13581</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5" w:name="page26"/>
    <w:bookmarkEnd w:id="2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206-870-8565</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139" w:lineRule="exact"/>
        <w:rPr>
          <w:sz w:val="20"/>
          <w:szCs w:val="20"/>
          <w:color w:val="auto"/>
        </w:rPr>
      </w:pPr>
    </w:p>
    <w:p>
      <w:pPr>
        <w:ind w:left="1260" w:right="699" w:firstLine="360"/>
        <w:spacing w:after="0" w:line="266" w:lineRule="auto"/>
        <w:rPr>
          <w:sz w:val="20"/>
          <w:szCs w:val="20"/>
          <w:color w:val="auto"/>
        </w:rPr>
      </w:pPr>
      <w:r>
        <w:rPr>
          <w:rFonts w:ascii="Times New Roman" w:cs="Times New Roman" w:eastAsia="Times New Roman" w:hAnsi="Times New Roman"/>
          <w:sz w:val="18"/>
          <w:szCs w:val="18"/>
          <w:color w:val="auto"/>
        </w:rPr>
        <w:t>The cost of preparing, assembling, printing and mailing this Proxy Statement and the accompanying form of proxy, and the cost of soliciting proxies relating to the Special Meeting, will be borne by the Company.</w:t>
      </w:r>
    </w:p>
    <w:p>
      <w:pPr>
        <w:spacing w:after="0" w:line="108" w:lineRule="exact"/>
        <w:rPr>
          <w:sz w:val="20"/>
          <w:szCs w:val="20"/>
          <w:color w:val="auto"/>
        </w:rPr>
      </w:pPr>
    </w:p>
    <w:p>
      <w:pPr>
        <w:ind w:left="1260" w:right="579" w:firstLine="360"/>
        <w:spacing w:after="0" w:line="258" w:lineRule="auto"/>
        <w:rPr>
          <w:sz w:val="20"/>
          <w:szCs w:val="20"/>
          <w:color w:val="auto"/>
        </w:rPr>
      </w:pPr>
      <w:r>
        <w:rPr>
          <w:rFonts w:ascii="Times New Roman" w:cs="Times New Roman" w:eastAsia="Times New Roman" w:hAnsi="Times New Roman"/>
          <w:sz w:val="18"/>
          <w:szCs w:val="18"/>
          <w:color w:val="auto"/>
        </w:rPr>
        <w:t>Some banks and brokers have customers who beneficially own common stock listed of record in the names of nominees. We intend to request banks and brokers to solicit such customers and will reimburse them for their reasonable out-of-pocket expenses for such solicitations. If any additional solicitation of the holders of our outstanding common stock is deemed necessary, we (through our directors and officers) anticipate making such solicitation directly.</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Delivery of Proxy Materials to Stockholders</w:t>
      </w:r>
    </w:p>
    <w:p>
      <w:pPr>
        <w:spacing w:after="0" w:line="148"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Only one copy of this Proxy Statement will be delivered to an address where two or more stockholders reside with the same last name or whom otherwise reasonably appear to be members of the same family based on the stockholders’ prior express or implied consent.</w:t>
      </w:r>
    </w:p>
    <w:p>
      <w:pPr>
        <w:spacing w:after="0" w:line="108"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We will deliver promptly upon written or oral request a separate copy of this Proxy Statement. If you share an address with at least one other stockholder, currently receive one copy of our Proxy Statement at your residence, and would like to receive a separate copy of our Proxy Statement for future stockholder meetings of the Company, please specify such request in writing and send such written request to BurTech Acquisition Corp., 1300 Pennsylvania Ave NW, Suite 700, Washington, DC 20004; Attention: Secretary, or call the Company promptly at (202) 600-5757.</w:t>
      </w:r>
    </w:p>
    <w:p>
      <w:pPr>
        <w:spacing w:after="0" w:line="120"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If you share an address with at least one other stockholder and currently receive multiple copies of our Proxy Statement, and you would like to receive a single copy of our Proxy Statement, please specify such request in writing and send such written request to BurTech Acquisition Corp., 1300 Pennsylvania Ave NW, Suite 700, Washington, DC 20004; Attention: Secretary.</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Conversion Rights</w:t>
      </w:r>
    </w:p>
    <w:p>
      <w:pPr>
        <w:spacing w:after="0" w:line="148"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Pursuant to our currently existing charter, any holders of our public shares of Class A common stock may demand that such shares be converted for a pro rata share of the aggregate amount on deposit in the trust account, less taxes payable, calculated as of two business days prior to the Special Meeting. Public stockholders may seek to have their shares redeemed regardless of whether they vote for or against the proposals and whether or not they are holders of our common stock as of the Record Date. If you properly exercise your conversion rights, your shares will cease to be outstanding and will represent only the right to receive a pro rata share of the aggregate amount on deposit in the trust account which holds the proceeds of our IPO (calculated as of two business days prior to the Special Meeting). For illustrative purposes, based on funds in the trust account of approximately $295.4 million on February 8, 2023, the estimated per share conversion price would have been approximately $10.15.</w:t>
      </w:r>
    </w:p>
    <w:p>
      <w:pPr>
        <w:spacing w:after="0" w:line="127"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In order to exercise your conversion rights, you must:</w:t>
      </w:r>
    </w:p>
    <w:p>
      <w:pPr>
        <w:spacing w:after="0" w:line="117" w:lineRule="exact"/>
        <w:rPr>
          <w:sz w:val="20"/>
          <w:szCs w:val="20"/>
          <w:color w:val="auto"/>
        </w:rPr>
      </w:pPr>
    </w:p>
    <w:p>
      <w:pPr>
        <w:jc w:val="both"/>
        <w:ind w:left="1800" w:right="499" w:hanging="180"/>
        <w:spacing w:after="0" w:line="266" w:lineRule="auto"/>
        <w:tabs>
          <w:tab w:leader="none" w:pos="18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request in writing prior to 5:00 p.m., Eastern time on February 27, 2023 (two business days before the Special Meeting) that we convert your public shares of Class A common stock for cash to Continental Stock Transfer &amp; Trust Company, our transfer agent, at the following address:</w:t>
      </w:r>
    </w:p>
    <w:p>
      <w:pPr>
        <w:spacing w:after="0" w:line="108"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Continental Stock Transfer &amp; Trust Company</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1 State Street, 30th Floor</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New York, NY 10004</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Attn: Mark Zimkind</w:t>
      </w:r>
    </w:p>
    <w:p>
      <w:pPr>
        <w:spacing w:after="0" w:line="9"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E-mail: mzimkind@continentalstock.com</w:t>
      </w:r>
    </w:p>
    <w:p>
      <w:pPr>
        <w:spacing w:after="0" w:line="126"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519" w:hanging="180"/>
        <w:spacing w:after="0" w:line="261" w:lineRule="auto"/>
        <w:tabs>
          <w:tab w:leader="none" w:pos="180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your shares of Class A common stock either physically or electronically through DTC to our transfer agent at least two business days before the Special Meeting. Stockholders seeking</w:t>
      </w:r>
    </w:p>
    <w:p>
      <w:pPr>
        <w:ind w:left="1800" w:right="639"/>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their conversion rights and opting to deliver physical certificates should allot sufficient time to obtain physical certificates from the transfer agent and time to effect delivery. It is our understanding that stockholders should generally allot at least two weeks to obtain physical certificates from the transfer agent. However, we do not have any control over this process and it may take longer than two weeks. Stockholders who hold their shares in street name will have to coordinate with their broker, bank or other nominee to have the shares certificated or delivered electronically. If you do not submit a written request and deliver your shares of Class A common stock as described above, your shares will not be redeemed.</w:t>
      </w:r>
    </w:p>
    <w:p>
      <w:pPr>
        <w:spacing w:after="0" w:line="126" w:lineRule="exact"/>
        <w:rPr>
          <w:sz w:val="20"/>
          <w:szCs w:val="20"/>
          <w:color w:val="auto"/>
        </w:rPr>
      </w:pPr>
    </w:p>
    <w:p>
      <w:pPr>
        <w:ind w:left="1260" w:right="419" w:firstLine="360"/>
        <w:spacing w:after="0" w:line="247" w:lineRule="auto"/>
        <w:rPr>
          <w:sz w:val="20"/>
          <w:szCs w:val="20"/>
          <w:color w:val="auto"/>
        </w:rPr>
      </w:pPr>
      <w:r>
        <w:rPr>
          <w:rFonts w:ascii="Times New Roman" w:cs="Times New Roman" w:eastAsia="Times New Roman" w:hAnsi="Times New Roman"/>
          <w:sz w:val="18"/>
          <w:szCs w:val="18"/>
          <w:color w:val="auto"/>
        </w:rPr>
        <w:t>Any demand for conversion, once made, may be withdrawn at any time until the deadline for exercising conversion requests (and submitting shares to the transfer agent) and thereafter, with our consent. If you delivered your shares for conversion to our transfer agent and decide within the required timeframe not to exercise your conversion rights, you may request that our transfer agent return the shares (physically or electronically). You may make such request by contacting our transfer agent at the phone number or address listed above.</w:t>
      </w:r>
    </w:p>
    <w:p>
      <w:pPr>
        <w:spacing w:after="0" w:line="112"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Prior to exercising conversion rights, stockholders should verify the market price of our common stock, as they may receive higher proceeds from the sale of their common stock in the public market than from exercising their conversion rights if the market price per share is higher than the conversion price. We cannot assure you that you will be able to sell your shares of our common stock in the open market, even if the market price per share is higher than the conversion price stated above, as there may not be sufficient liquidity in our common stock when you wish to sell your shares.</w:t>
      </w:r>
    </w:p>
    <w:p>
      <w:pPr>
        <w:spacing w:after="0" w:line="114" w:lineRule="exact"/>
        <w:rPr>
          <w:sz w:val="20"/>
          <w:szCs w:val="20"/>
          <w:color w:val="auto"/>
        </w:rPr>
      </w:pPr>
    </w:p>
    <w:p>
      <w:pPr>
        <w:ind w:left="1260" w:right="479" w:firstLine="360"/>
        <w:spacing w:after="0" w:line="247" w:lineRule="auto"/>
        <w:rPr>
          <w:sz w:val="20"/>
          <w:szCs w:val="20"/>
          <w:color w:val="auto"/>
        </w:rPr>
      </w:pPr>
      <w:r>
        <w:rPr>
          <w:rFonts w:ascii="Times New Roman" w:cs="Times New Roman" w:eastAsia="Times New Roman" w:hAnsi="Times New Roman"/>
          <w:sz w:val="18"/>
          <w:szCs w:val="18"/>
          <w:color w:val="auto"/>
        </w:rPr>
        <w:t>If you exercise your conversion rights, your shares of our common stock will cease to be outstanding immediately prior to the Special Meeting (assuming the Charter Amendment Proposals and the Trust Amendment Proposal are approved) and will only represent the right to receive a pro rata share of the aggregate amount on deposit in the trust account. You will no longer own those shares and will have no right to participate in, or have any interest in, the future growth of the Company, if any. You will be entitled to receive cash for these shares only if you properly and timely request conversion.</w:t>
      </w:r>
    </w:p>
    <w:p>
      <w:pPr>
        <w:spacing w:after="0" w:line="112"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we do not consummate an initial business combination by March 15, 2023, we will be required to dissolve and liquidate our trust account by returning the then remaining funds in such account to the public stockholders and our rights to convert into common stock will be worthless.</w:t>
      </w:r>
    </w:p>
    <w:p>
      <w:pPr>
        <w:spacing w:after="0" w:line="110" w:lineRule="exact"/>
        <w:rPr>
          <w:sz w:val="20"/>
          <w:szCs w:val="20"/>
          <w:color w:val="auto"/>
        </w:rPr>
      </w:pPr>
    </w:p>
    <w:p>
      <w:pPr>
        <w:ind w:left="1260" w:right="559" w:firstLine="360"/>
        <w:spacing w:after="0" w:line="282" w:lineRule="auto"/>
        <w:rPr>
          <w:sz w:val="20"/>
          <w:szCs w:val="20"/>
          <w:color w:val="auto"/>
        </w:rPr>
      </w:pPr>
      <w:r>
        <w:rPr>
          <w:rFonts w:ascii="Times New Roman" w:cs="Times New Roman" w:eastAsia="Times New Roman" w:hAnsi="Times New Roman"/>
          <w:sz w:val="18"/>
          <w:szCs w:val="18"/>
          <w:color w:val="auto"/>
        </w:rPr>
        <w:t>Holders of outstanding units must separate the underlying shares of Class A common stock and public warrants prior to exercising conversion rights with respect to the shares of Class A common stock.</w:t>
      </w:r>
    </w:p>
    <w:p>
      <w:pPr>
        <w:spacing w:after="0" w:line="81" w:lineRule="exact"/>
        <w:rPr>
          <w:sz w:val="20"/>
          <w:szCs w:val="20"/>
          <w:color w:val="auto"/>
        </w:rPr>
      </w:pPr>
    </w:p>
    <w:p>
      <w:pPr>
        <w:ind w:left="1260" w:right="419" w:firstLine="360"/>
        <w:spacing w:after="0" w:line="256" w:lineRule="auto"/>
        <w:rPr>
          <w:sz w:val="20"/>
          <w:szCs w:val="20"/>
          <w:color w:val="auto"/>
        </w:rPr>
      </w:pPr>
      <w:r>
        <w:rPr>
          <w:rFonts w:ascii="Times New Roman" w:cs="Times New Roman" w:eastAsia="Times New Roman" w:hAnsi="Times New Roman"/>
          <w:sz w:val="18"/>
          <w:szCs w:val="18"/>
          <w:color w:val="auto"/>
        </w:rPr>
        <w:t>If you hold units registered in your own name, you must deliver the certificate for such units to Continental Stock Transfer &amp; Trust Company with written instructions to separate such units into public shares of Class A common stock and public warrants. This must be completed far enough in advance to permit the mailing of the public share certificates back to you so that you may then exercise your conversion rights with respect to the public shares of Class A common stock upon the separation of the public shares of Class A common stock from the units.</w:t>
      </w:r>
    </w:p>
    <w:p>
      <w:pPr>
        <w:spacing w:after="0" w:line="120" w:lineRule="exact"/>
        <w:rPr>
          <w:sz w:val="20"/>
          <w:szCs w:val="20"/>
          <w:color w:val="auto"/>
        </w:rPr>
      </w:pPr>
    </w:p>
    <w:p>
      <w:pPr>
        <w:ind w:left="1260" w:right="479" w:firstLine="360"/>
        <w:spacing w:after="0" w:line="253" w:lineRule="auto"/>
        <w:rPr>
          <w:sz w:val="20"/>
          <w:szCs w:val="20"/>
          <w:color w:val="auto"/>
        </w:rPr>
      </w:pPr>
      <w:r>
        <w:rPr>
          <w:rFonts w:ascii="Times New Roman" w:cs="Times New Roman" w:eastAsia="Times New Roman" w:hAnsi="Times New Roman"/>
          <w:sz w:val="18"/>
          <w:szCs w:val="18"/>
          <w:color w:val="auto"/>
        </w:rPr>
        <w:t>If a broker, dealer, commercial bank, trust company or other nominee holds your units, you must instruct such nominee to separate your units. Your nominee must send written instructions by facsimile to Continental Stock Transfer &amp; Trust Company.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of Class A common stock and public warrants. This must be completed far enough in advance to permit your nominee to exercise your conversion rights with respect to the public shares of Class A common stock upon the separation of the public shares of Class A common stock from the units. While this is typically done electronically the same business day, you should allow at least one full business day to accomplish the separation. If you fail to cause your public shares of Class A common stock to be separated in a timely manner, you will likely not be able to exercise your conversion rights.</w:t>
      </w:r>
    </w:p>
    <w:p>
      <w:pPr>
        <w:sectPr>
          <w:pgSz w:w="11900" w:h="16838" w:orient="portrait"/>
          <w:cols w:equalWidth="0" w:num="1">
            <w:col w:w="9879"/>
          </w:cols>
          <w:pgMar w:left="580" w:top="97" w:right="1440" w:bottom="1440" w:gutter="0" w:footer="0" w:header="0"/>
        </w:sectPr>
      </w:pPr>
    </w:p>
    <w:p>
      <w:pPr>
        <w:spacing w:after="0" w:line="36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62"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voting securities by (i) each person who is known by us to be the beneficial owner of more than 5% of our issued and outstanding common stock, (ii) each of our officers and directors, and (iii) all of our officers and directors as a group as of the Record Date.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7"/>
          <w:szCs w:val="1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11430</wp:posOffset>
            </wp:positionV>
            <wp:extent cx="521208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212080" cy="188595"/>
                    </a:xfrm>
                    <a:prstGeom prst="rect">
                      <a:avLst/>
                    </a:prstGeom>
                    <a:noFill/>
                  </pic:spPr>
                </pic:pic>
              </a:graphicData>
            </a:graphic>
          </wp:anchor>
        </w:drawing>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Shahal Khan</w:t>
      </w:r>
      <w:r>
        <w:rPr>
          <w:rFonts w:ascii="Times New Roman" w:cs="Times New Roman" w:eastAsia="Times New Roman" w:hAnsi="Times New Roman"/>
          <w:sz w:val="23"/>
          <w:szCs w:val="23"/>
          <w:color w:val="auto"/>
          <w:vertAlign w:val="superscript"/>
        </w:rPr>
        <w:t>(2)</w:t>
      </w:r>
    </w:p>
    <w:p>
      <w:pPr>
        <w:spacing w:after="0" w:line="3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Roman Livson</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Patrick Orlando</w:t>
      </w:r>
      <w:r>
        <w:rPr>
          <w:rFonts w:ascii="Times New Roman" w:cs="Times New Roman" w:eastAsia="Times New Roman" w:hAnsi="Times New Roman"/>
          <w:sz w:val="23"/>
          <w:szCs w:val="23"/>
          <w:color w:val="auto"/>
          <w:vertAlign w:val="superscript"/>
        </w:rPr>
        <w:t>(1)(2)</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Isaac Chetrit</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60"/>
        <w:spacing w:after="0"/>
        <w:rPr>
          <w:sz w:val="20"/>
          <w:szCs w:val="20"/>
          <w:color w:val="auto"/>
        </w:rPr>
      </w:pPr>
      <w:r>
        <w:rPr>
          <w:rFonts w:ascii="Times New Roman" w:cs="Times New Roman" w:eastAsia="Times New Roman" w:hAnsi="Times New Roman"/>
          <w:sz w:val="18"/>
          <w:szCs w:val="18"/>
          <w:color w:val="auto"/>
        </w:rPr>
        <w:t>Payel Farasat</w:t>
      </w:r>
      <w:r>
        <w:rPr>
          <w:rFonts w:ascii="Times New Roman" w:cs="Times New Roman" w:eastAsia="Times New Roman" w:hAnsi="Times New Roman"/>
          <w:sz w:val="23"/>
          <w:szCs w:val="23"/>
          <w:color w:val="auto"/>
          <w:vertAlign w:val="superscript"/>
        </w:rPr>
        <w:t>(3)</w:t>
      </w:r>
    </w:p>
    <w:p>
      <w:pPr>
        <w:spacing w:after="0" w:line="1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Christopher Schroeder</w:t>
      </w:r>
      <w:r>
        <w:rPr>
          <w:rFonts w:ascii="Times New Roman" w:cs="Times New Roman" w:eastAsia="Times New Roman" w:hAnsi="Times New Roman"/>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-6985</wp:posOffset>
            </wp:positionV>
            <wp:extent cx="521208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10"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i w:val="1"/>
          <w:iCs w:val="1"/>
          <w:color w:val="auto"/>
        </w:rPr>
        <w:t>All officers and directors as a group (5 individuals)</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2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Holders of 5% of more of our Common Stock</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LP, LLC</w:t>
      </w:r>
      <w:r>
        <w:rPr>
          <w:rFonts w:ascii="Times New Roman" w:cs="Times New Roman" w:eastAsia="Times New Roman" w:hAnsi="Times New Roman"/>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0</wp:posOffset>
            </wp:positionV>
            <wp:extent cx="5212080" cy="179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Saba Capital Management, L.P.</w:t>
      </w:r>
      <w:r>
        <w:rPr>
          <w:rFonts w:ascii="Times New Roman" w:cs="Times New Roman" w:eastAsia="Times New Roman" w:hAnsi="Times New Roman"/>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138430</wp:posOffset>
            </wp:positionV>
            <wp:extent cx="12344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Percentage of</w:t>
            </w:r>
          </w:p>
        </w:tc>
        <w:tc>
          <w:tcPr>
            <w:tcW w:w="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Beneficially</w:t>
            </w:r>
          </w:p>
        </w:tc>
        <w:tc>
          <w:tcPr>
            <w:tcW w:w="2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Outstanding</w:t>
            </w:r>
          </w:p>
        </w:tc>
        <w:tc>
          <w:tcPr>
            <w:tcW w:w="60" w:type="dxa"/>
            <w:vAlign w:val="bottom"/>
          </w:tcPr>
          <w:p>
            <w:pPr>
              <w:spacing w:after="0"/>
              <w:rPr>
                <w:sz w:val="14"/>
                <w:szCs w:val="14"/>
                <w:color w:val="auto"/>
              </w:rPr>
            </w:pPr>
          </w:p>
        </w:tc>
      </w:tr>
      <w:tr>
        <w:trPr>
          <w:trHeight w:val="214"/>
        </w:trPr>
        <w:tc>
          <w:tcPr>
            <w:tcW w:w="1000" w:type="dxa"/>
            <w:vAlign w:val="bottom"/>
            <w:gridSpan w:val="2"/>
          </w:tcPr>
          <w:p>
            <w:pPr>
              <w:spacing w:after="0" w:line="213" w:lineRule="exact"/>
              <w:rPr>
                <w:sz w:val="20"/>
                <w:szCs w:val="20"/>
                <w:color w:val="auto"/>
              </w:rPr>
            </w:pPr>
            <w:r>
              <w:rPr>
                <w:rFonts w:ascii="Times New Roman" w:cs="Times New Roman" w:eastAsia="Times New Roman" w:hAnsi="Times New Roman"/>
                <w:sz w:val="24"/>
                <w:szCs w:val="24"/>
                <w:b w:val="1"/>
                <w:bCs w:val="1"/>
                <w:color w:val="auto"/>
                <w:vertAlign w:val="subscript"/>
              </w:rPr>
              <w:t>​ ​</w:t>
            </w:r>
            <w:r>
              <w:rPr>
                <w:rFonts w:ascii="Times New Roman" w:cs="Times New Roman" w:eastAsia="Times New Roman" w:hAnsi="Times New Roman"/>
                <w:sz w:val="13"/>
                <w:szCs w:val="13"/>
                <w:b w:val="1"/>
                <w:bCs w:val="1"/>
                <w:color w:val="auto"/>
              </w:rPr>
              <w:t xml:space="preserve">   Owned</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0"/>
        </w:trPr>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04"/>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79"/>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61"/>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57"/>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 ​</w:t>
            </w:r>
          </w:p>
        </w:tc>
        <w:tc>
          <w:tcPr>
            <w:tcW w:w="3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i w:val="1"/>
                <w:iCs w:val="1"/>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​​10,385,750​​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83"/>
        </w:trPr>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 1,677,700​​ ​</w:t>
            </w:r>
          </w:p>
        </w:tc>
        <w:tc>
          <w:tcPr>
            <w:tcW w:w="8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5.6%</w:t>
            </w:r>
          </w:p>
        </w:tc>
        <w:tc>
          <w:tcPr>
            <w:tcW w:w="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r>
    </w:tbl>
    <w:p>
      <w:pPr>
        <w:spacing w:after="0" w:line="200" w:lineRule="exact"/>
        <w:rPr>
          <w:sz w:val="20"/>
          <w:szCs w:val="20"/>
          <w:color w:val="auto"/>
        </w:rPr>
      </w:pPr>
    </w:p>
    <w:p>
      <w:pPr>
        <w:sectPr>
          <w:pgSz w:w="11900" w:h="16838" w:orient="portrait"/>
          <w:cols w:equalWidth="0" w:num="2">
            <w:col w:w="6700" w:space="720"/>
            <w:col w:w="2459"/>
          </w:cols>
          <w:pgMar w:left="580" w:top="97" w:right="1440" w:bottom="1440" w:gutter="0" w:footer="0" w:header="0"/>
          <w:type w:val="continuous"/>
        </w:sectPr>
      </w:pPr>
    </w:p>
    <w:p>
      <w:pPr>
        <w:spacing w:after="0" w:line="146" w:lineRule="exact"/>
        <w:rPr>
          <w:sz w:val="20"/>
          <w:szCs w:val="20"/>
          <w:color w:val="auto"/>
        </w:rPr>
      </w:pPr>
    </w:p>
    <w:p>
      <w:pPr>
        <w:ind w:left="1620" w:hanging="360"/>
        <w:spacing w:after="0"/>
        <w:tabs>
          <w:tab w:leader="none" w:pos="1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77" w:lineRule="exact"/>
        <w:rPr>
          <w:sz w:val="20"/>
          <w:szCs w:val="20"/>
          <w:color w:val="auto"/>
        </w:rPr>
      </w:pPr>
    </w:p>
    <w:p>
      <w:pPr>
        <w:ind w:left="1620" w:right="679" w:hanging="360"/>
        <w:spacing w:after="0" w:line="282"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noted, the business address of each of these individuals is c/o BurTech Acquisition Corp., 1300 Pennsylvania Ave NW, Suite 700, Washington, DC 20004.</w:t>
      </w:r>
    </w:p>
    <w:p>
      <w:pPr>
        <w:spacing w:after="0" w:line="26" w:lineRule="exact"/>
        <w:rPr>
          <w:rFonts w:ascii="Times New Roman" w:cs="Times New Roman" w:eastAsia="Times New Roman" w:hAnsi="Times New Roman"/>
          <w:sz w:val="18"/>
          <w:szCs w:val="18"/>
          <w:color w:val="auto"/>
        </w:rPr>
      </w:pPr>
    </w:p>
    <w:p>
      <w:pPr>
        <w:ind w:left="1620" w:right="619" w:hanging="360"/>
        <w:spacing w:after="0" w:line="258"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 LP LLC, our sponsor, is the record holder of the securities reported herein. Shahal Khan, Patrick Orlando and Roman Livson are the managing members of our sponsor. By virtue of this relationship, Messrs. Khan and Livson may be deemed to share beneficial ownership of the securities held of record by our sponsor. Messrs. Khan and Livson disclaim any beneficial ownership except to the extent of their pecuniary interest in such securities.</w:t>
      </w:r>
    </w:p>
    <w:p>
      <w:pPr>
        <w:spacing w:after="0" w:line="34" w:lineRule="exact"/>
        <w:rPr>
          <w:rFonts w:ascii="Times New Roman" w:cs="Times New Roman" w:eastAsia="Times New Roman" w:hAnsi="Times New Roman"/>
          <w:sz w:val="18"/>
          <w:szCs w:val="18"/>
          <w:color w:val="auto"/>
        </w:rPr>
      </w:pPr>
    </w:p>
    <w:p>
      <w:pPr>
        <w:ind w:left="1620" w:right="479" w:hanging="360"/>
        <w:spacing w:after="0" w:line="266"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officers and directors is, directly or indirectly, a member of our sponsor or has direct or indirect economic interests in our sponsor, and each of them disclaims any beneficial ownership of any shares held by our sponsor except to the extent of his or her ultimate pecuniary interest.</w:t>
      </w:r>
    </w:p>
    <w:p>
      <w:pPr>
        <w:spacing w:after="0" w:line="27" w:lineRule="exact"/>
        <w:rPr>
          <w:rFonts w:ascii="Times New Roman" w:cs="Times New Roman" w:eastAsia="Times New Roman" w:hAnsi="Times New Roman"/>
          <w:sz w:val="18"/>
          <w:szCs w:val="18"/>
          <w:color w:val="auto"/>
        </w:rPr>
      </w:pPr>
    </w:p>
    <w:p>
      <w:pPr>
        <w:ind w:left="1620" w:right="539" w:hanging="360"/>
        <w:spacing w:after="0" w:line="263" w:lineRule="auto"/>
        <w:tabs>
          <w:tab w:leader="none" w:pos="1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Saba Capital Management, L.P., a Delaware limited partnership (“Saba Capital”), Saba Capital Management GP, LLC, a Delaware limited liability company (“Saba GP”), and Mr. Boaz R. Weinstein are together, the “Reporting Persons” in accordance with the provisions of Rule 13d-1(k)(1)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1: THE CHARTER AMENDMENT PROPOSAL</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This is a proposal to amend BurTech’s second amended and restated certificate of incorporation (the</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Charter</w:t>
      </w:r>
      <w:r>
        <w:rPr>
          <w:rFonts w:ascii="Times New Roman" w:cs="Times New Roman" w:eastAsia="Times New Roman" w:hAnsi="Times New Roman"/>
          <w:sz w:val="18"/>
          <w:szCs w:val="18"/>
          <w:color w:val="auto"/>
        </w:rPr>
        <w:t>”), to extend the date by which BurTech has to consummate a business combination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from March 15, 2023 to September 15, 2023 (the latest such date actually extended being</w:t>
      </w:r>
    </w:p>
    <w:p>
      <w:pPr>
        <w:ind w:left="1260"/>
        <w:spacing w:after="0"/>
        <w:rPr>
          <w:sz w:val="20"/>
          <w:szCs w:val="20"/>
          <w:color w:val="auto"/>
        </w:rPr>
      </w:pPr>
      <w:r>
        <w:rPr>
          <w:rFonts w:ascii="Times New Roman" w:cs="Times New Roman" w:eastAsia="Times New Roman" w:hAnsi="Times New Roman"/>
          <w:sz w:val="18"/>
          <w:szCs w:val="18"/>
          <w:color w:val="auto"/>
        </w:rPr>
        <w:t>referred to as the “</w:t>
      </w:r>
      <w:r>
        <w:rPr>
          <w:rFonts w:ascii="Times New Roman" w:cs="Times New Roman" w:eastAsia="Times New Roman" w:hAnsi="Times New Roman"/>
          <w:sz w:val="18"/>
          <w:szCs w:val="18"/>
          <w:b w:val="1"/>
          <w:bCs w:val="1"/>
          <w:u w:val="single" w:color="auto"/>
          <w:color w:val="auto"/>
        </w:rPr>
        <w:t>Extended Termination Date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u w:val="single" w:color="auto"/>
          <w:color w:val="auto"/>
        </w:rPr>
        <w:t>Charter Amendment Proposal</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1260" w:right="419" w:firstLine="360"/>
        <w:spacing w:after="0" w:line="258" w:lineRule="auto"/>
        <w:rPr>
          <w:sz w:val="20"/>
          <w:szCs w:val="20"/>
          <w:color w:val="auto"/>
        </w:rPr>
      </w:pPr>
      <w:r>
        <w:rPr>
          <w:rFonts w:ascii="Times New Roman" w:cs="Times New Roman" w:eastAsia="Times New Roman" w:hAnsi="Times New Roman"/>
          <w:sz w:val="18"/>
          <w:szCs w:val="18"/>
          <w:color w:val="auto"/>
        </w:rPr>
        <w:t xml:space="preserve">All stockholders are encouraged to read the proposed Charter Amendment Proposals in its entirety for a more complete description of its terms. A copy of the proposed Charter Amendment Proposals is attached hereto as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Proposed Charter Amendment Proposals</w:t>
      </w:r>
    </w:p>
    <w:p>
      <w:pPr>
        <w:spacing w:after="0" w:line="162" w:lineRule="exact"/>
        <w:rPr>
          <w:sz w:val="20"/>
          <w:szCs w:val="20"/>
          <w:color w:val="auto"/>
        </w:rPr>
      </w:pPr>
    </w:p>
    <w:p>
      <w:pPr>
        <w:ind w:left="1260" w:right="479" w:firstLine="360"/>
        <w:spacing w:after="0" w:line="250" w:lineRule="auto"/>
        <w:rPr>
          <w:sz w:val="20"/>
          <w:szCs w:val="20"/>
          <w:color w:val="auto"/>
        </w:rPr>
      </w:pPr>
      <w:r>
        <w:rPr>
          <w:rFonts w:ascii="Times New Roman" w:cs="Times New Roman" w:eastAsia="Times New Roman" w:hAnsi="Times New Roman"/>
          <w:sz w:val="18"/>
          <w:szCs w:val="18"/>
          <w:color w:val="auto"/>
        </w:rPr>
        <w:t>The purpose of the Charter Amendment Proposals is to allow BurTech more time to complete its initial business combination. BurTech’s Charter provides that BurTech has only until March 15, 2023 to complete a business combination, and is subject to a net tangible asset requirement to avoid being deemed a penny stock issuer.</w:t>
      </w:r>
    </w:p>
    <w:p>
      <w:pPr>
        <w:spacing w:after="0" w:line="17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Failure to Timely Complete a Business Combination</w:t>
      </w:r>
    </w:p>
    <w:p>
      <w:pPr>
        <w:spacing w:after="0" w:line="162" w:lineRule="exact"/>
        <w:rPr>
          <w:sz w:val="20"/>
          <w:szCs w:val="20"/>
          <w:color w:val="auto"/>
        </w:rPr>
      </w:pPr>
    </w:p>
    <w:p>
      <w:pPr>
        <w:ind w:left="1260" w:right="579" w:firstLine="360"/>
        <w:spacing w:after="0" w:line="250" w:lineRule="auto"/>
        <w:rPr>
          <w:sz w:val="20"/>
          <w:szCs w:val="20"/>
          <w:color w:val="auto"/>
        </w:rPr>
      </w:pPr>
      <w:r>
        <w:rPr>
          <w:rFonts w:ascii="Times New Roman" w:cs="Times New Roman" w:eastAsia="Times New Roman" w:hAnsi="Times New Roman"/>
          <w:sz w:val="18"/>
          <w:szCs w:val="18"/>
          <w:color w:val="auto"/>
        </w:rPr>
        <w:t>As disclosed in the Company’s prospectus dated December 09, 2021 in connection with its initial public offering (the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pursuant to the Trust Agreement, and the Company’s Charter, if BurTech does not complete its initial Business Combination within 15 months from the closing of the IPO, or March 15, 2023, BurTech would cease all operations except for the purpose of winding up the Company.</w:t>
      </w:r>
    </w:p>
    <w:p>
      <w:pPr>
        <w:spacing w:after="0" w:line="110"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to hold a Special Meeting to obtain stockholder approval of, and to consummate, the Business Combination. Accordingly, BurTech’s board has determined that, given BurTech’s expenditure of time, effort and money on identifying any company as a target business and completing its initial business combination, it is in the best interests of its stockholders to approve the Charter Amendment Proposals and the Trust Amendment Proposal in order to amend the Charter and to amend the Trust Agreement. Assuming that the Charter Amendment Proposals and the Trust Amendment Proposal are so approved, and both the Charter and the Trust Agreement are amended, BurTech will have to consummate an initial business combination before the Extended Termination Date.</w:t>
      </w:r>
    </w:p>
    <w:p>
      <w:pPr>
        <w:spacing w:after="0" w:line="120" w:lineRule="exact"/>
        <w:rPr>
          <w:sz w:val="20"/>
          <w:szCs w:val="20"/>
          <w:color w:val="auto"/>
        </w:rPr>
      </w:pPr>
    </w:p>
    <w:p>
      <w:pPr>
        <w:ind w:left="1260" w:right="899" w:firstLine="360"/>
        <w:spacing w:after="0" w:line="258" w:lineRule="auto"/>
        <w:rPr>
          <w:sz w:val="20"/>
          <w:szCs w:val="20"/>
          <w:color w:val="auto"/>
        </w:rPr>
      </w:pPr>
      <w:r>
        <w:rPr>
          <w:rFonts w:ascii="Times New Roman" w:cs="Times New Roman" w:eastAsia="Times New Roman" w:hAnsi="Times New Roman"/>
          <w:sz w:val="18"/>
          <w:szCs w:val="18"/>
          <w:color w:val="auto"/>
        </w:rPr>
        <w:t>If BurTech’s board of directors determines that BurTech will not be able to consummate an initial business combination by the Extended Termination Date, BurTech would then look to wind up the Company’s affairs and redeem 100% of the outstanding public shares of Class A common stock.</w:t>
      </w:r>
    </w:p>
    <w:p>
      <w:pPr>
        <w:spacing w:after="0" w:line="16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i w:val="1"/>
          <w:iCs w:val="1"/>
          <w:color w:val="auto"/>
        </w:rPr>
        <w:t>The Net Tangible Asset Requirement (“NTA Requirement”)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Section 9.2 (a) of the Charter currently provides the following: “(a) Prior to the consummation of the</w:t>
      </w:r>
    </w:p>
    <w:p>
      <w:pPr>
        <w:spacing w:after="0" w:line="1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initial Business Combination, the Corporation shall provide all holders of Offering Shares with the</w:t>
      </w:r>
    </w:p>
    <w:p>
      <w:pPr>
        <w:ind w:left="1260"/>
        <w:spacing w:after="0"/>
        <w:rPr>
          <w:sz w:val="20"/>
          <w:szCs w:val="20"/>
          <w:color w:val="auto"/>
        </w:rPr>
      </w:pPr>
      <w:r>
        <w:rPr>
          <w:rFonts w:ascii="Times New Roman" w:cs="Times New Roman" w:eastAsia="Times New Roman" w:hAnsi="Times New Roman"/>
          <w:sz w:val="18"/>
          <w:szCs w:val="18"/>
          <w:color w:val="auto"/>
        </w:rPr>
        <w:t>opportunity to have their Offering Shares redeemed upon the consummation of the initial Business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w:t>
      </w:r>
    </w:p>
    <w:p>
      <w:pPr>
        <w:ind w:left="1260"/>
        <w:spacing w:after="0" w:line="234" w:lineRule="auto"/>
        <w:rPr>
          <w:sz w:val="20"/>
          <w:szCs w:val="20"/>
          <w:color w:val="auto"/>
        </w:rPr>
      </w:pPr>
      <w:r>
        <w:rPr>
          <w:rFonts w:ascii="Times New Roman" w:cs="Times New Roman" w:eastAsia="Times New Roman" w:hAnsi="Times New Roman"/>
          <w:sz w:val="18"/>
          <w:szCs w:val="18"/>
          <w:color w:val="auto"/>
        </w:rPr>
        <w:t>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hereof</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provided, however, that the Corporation will only redeem Offering Shares</w:t>
      </w:r>
    </w:p>
    <w:p>
      <w:pPr>
        <w:ind w:left="1260"/>
        <w:spacing w:after="0" w:line="234" w:lineRule="auto"/>
        <w:rPr>
          <w:sz w:val="20"/>
          <w:szCs w:val="20"/>
          <w:color w:val="auto"/>
        </w:rPr>
      </w:pPr>
      <w:r>
        <w:rPr>
          <w:rFonts w:ascii="Times New Roman" w:cs="Times New Roman" w:eastAsia="Times New Roman" w:hAnsi="Times New Roman"/>
          <w:sz w:val="18"/>
          <w:szCs w:val="18"/>
          <w:color w:val="auto"/>
        </w:rPr>
        <w:t>so long as (after such redemption), the Corporation’s net tangible assets (as determined in accordance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Rule 3a51-1(g)(1)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any</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successor rule)), or of any entity that succeeds the Corporation as a public company, will be at least</w:t>
      </w:r>
    </w:p>
    <w:p>
      <w:pPr>
        <w:ind w:left="1260"/>
        <w:spacing w:after="0" w:line="234" w:lineRule="auto"/>
        <w:rPr>
          <w:sz w:val="20"/>
          <w:szCs w:val="20"/>
          <w:color w:val="auto"/>
        </w:rPr>
      </w:pPr>
      <w:r>
        <w:rPr>
          <w:rFonts w:ascii="Times New Roman" w:cs="Times New Roman" w:eastAsia="Times New Roman" w:hAnsi="Times New Roman"/>
          <w:sz w:val="18"/>
          <w:szCs w:val="18"/>
          <w:color w:val="auto"/>
        </w:rPr>
        <w:t>$5,000,001 or any greater net tangible asset or cash requirement which may be contained in the agreement</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relating to the initial Business Combination either immediately prior to or upon consummation of the initial</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Business Combination (such limitation hereinafter called the “</w:t>
      </w:r>
      <w:r>
        <w:rPr>
          <w:rFonts w:ascii="Times New Roman" w:cs="Times New Roman" w:eastAsia="Times New Roman" w:hAnsi="Times New Roman"/>
          <w:sz w:val="18"/>
          <w:szCs w:val="18"/>
          <w:b w:val="1"/>
          <w:bCs w:val="1"/>
          <w:i w:val="1"/>
          <w:iCs w:val="1"/>
          <w:color w:val="auto"/>
        </w:rPr>
        <w:t>Redemption Limitation</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ind w:left="1260" w:right="459" w:firstLine="360"/>
        <w:spacing w:after="0" w:line="247" w:lineRule="auto"/>
        <w:rPr>
          <w:sz w:val="20"/>
          <w:szCs w:val="20"/>
          <w:color w:val="auto"/>
        </w:rPr>
      </w:pPr>
      <w:r>
        <w:rPr>
          <w:rFonts w:ascii="Times New Roman" w:cs="Times New Roman" w:eastAsia="Times New Roman" w:hAnsi="Times New Roman"/>
          <w:sz w:val="18"/>
          <w:szCs w:val="18"/>
          <w:color w:val="auto"/>
        </w:rPr>
        <w:t>The purpose was to ensure that, in connection with its initial business combination, BurTech would continue, as it has since the IPO, to be not subject to the “penny stock” rules of the SEC, and therefore not a “blank check company” as defined under Rule 419 of the Securities Act because it complied with</w:t>
      </w:r>
    </w:p>
    <w:p>
      <w:pPr>
        <w:jc w:val="center"/>
        <w:ind w:right="-120"/>
        <w:spacing w:after="0"/>
        <w:rPr>
          <w:sz w:val="20"/>
          <w:szCs w:val="20"/>
          <w:color w:val="auto"/>
        </w:rPr>
      </w:pPr>
      <w:r>
        <w:rPr>
          <w:rFonts w:ascii="Times New Roman" w:cs="Times New Roman" w:eastAsia="Times New Roman" w:hAnsi="Times New Roman"/>
          <w:sz w:val="18"/>
          <w:szCs w:val="18"/>
          <w:color w:val="auto"/>
        </w:rPr>
        <w:t>Rule 3a51-1(g)(1) (the “</w:t>
      </w:r>
      <w:r>
        <w:rPr>
          <w:rFonts w:ascii="Times New Roman" w:cs="Times New Roman" w:eastAsia="Times New Roman" w:hAnsi="Times New Roman"/>
          <w:sz w:val="18"/>
          <w:szCs w:val="18"/>
          <w:b w:val="1"/>
          <w:bCs w:val="1"/>
          <w:i w:val="1"/>
          <w:iCs w:val="1"/>
          <w:color w:val="auto"/>
        </w:rPr>
        <w:t>NTA Rule</w:t>
      </w:r>
      <w:r>
        <w:rPr>
          <w:rFonts w:ascii="Times New Roman" w:cs="Times New Roman" w:eastAsia="Times New Roman" w:hAnsi="Times New Roman"/>
          <w:sz w:val="18"/>
          <w:szCs w:val="18"/>
          <w:color w:val="auto"/>
        </w:rPr>
        <w:t>”). BurTech is proposing to amend its Charter to modify the NTA</w:t>
      </w:r>
    </w:p>
    <w:p>
      <w:pPr>
        <w:spacing w:after="0" w:line="36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99"/>
        <w:spacing w:after="0" w:line="251" w:lineRule="auto"/>
        <w:rPr>
          <w:sz w:val="20"/>
          <w:szCs w:val="20"/>
          <w:color w:val="auto"/>
        </w:rPr>
      </w:pPr>
      <w:r>
        <w:rPr>
          <w:rFonts w:ascii="Times New Roman" w:cs="Times New Roman" w:eastAsia="Times New Roman" w:hAnsi="Times New Roman"/>
          <w:sz w:val="18"/>
          <w:szCs w:val="18"/>
          <w:color w:val="auto"/>
        </w:rPr>
        <w:t>Requirement to state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w:t>
      </w:r>
    </w:p>
    <w:p>
      <w:pPr>
        <w:spacing w:after="0" w:line="323" w:lineRule="exact"/>
        <w:rPr>
          <w:sz w:val="20"/>
          <w:szCs w:val="20"/>
          <w:color w:val="auto"/>
        </w:rPr>
      </w:pPr>
    </w:p>
    <w:p>
      <w:pPr>
        <w:ind w:left="1260" w:right="519" w:firstLine="360"/>
        <w:spacing w:after="0" w:line="250" w:lineRule="auto"/>
        <w:rPr>
          <w:sz w:val="20"/>
          <w:szCs w:val="20"/>
          <w:color w:val="auto"/>
        </w:rPr>
      </w:pPr>
      <w:r>
        <w:rPr>
          <w:rFonts w:ascii="Times New Roman" w:cs="Times New Roman" w:eastAsia="Times New Roman" w:hAnsi="Times New Roman"/>
          <w:sz w:val="18"/>
          <w:szCs w:val="18"/>
          <w:color w:val="auto"/>
        </w:rPr>
        <w:t>The NTA Rule is one of several exclusions from the “penny stock” rules of the SEC and BurTech believes that it may rely on another exclusion, which relates to it being listed on the Nasdaq Global Market (Rule 3a51 -1(a)(2)) (the “</w:t>
      </w:r>
      <w:r>
        <w:rPr>
          <w:rFonts w:ascii="Times New Roman" w:cs="Times New Roman" w:eastAsia="Times New Roman" w:hAnsi="Times New Roman"/>
          <w:sz w:val="18"/>
          <w:szCs w:val="18"/>
          <w:b w:val="1"/>
          <w:bCs w:val="1"/>
          <w:i w:val="1"/>
          <w:iCs w:val="1"/>
          <w:color w:val="auto"/>
        </w:rPr>
        <w:t>Exchange Rule</w:t>
      </w:r>
      <w:r>
        <w:rPr>
          <w:rFonts w:ascii="Times New Roman" w:cs="Times New Roman" w:eastAsia="Times New Roman" w:hAnsi="Times New Roman"/>
          <w:sz w:val="18"/>
          <w:szCs w:val="18"/>
          <w:color w:val="auto"/>
        </w:rPr>
        <w:t>”). Therefore, BurTech intends to rely on the Exchange Rule to not be deemed a penny stock issuer.</w:t>
      </w:r>
    </w:p>
    <w:p>
      <w:pPr>
        <w:spacing w:after="0" w:line="18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Rule 419 blank check companies and “penny stock” issuers</w:t>
      </w:r>
    </w:p>
    <w:p>
      <w:pPr>
        <w:spacing w:after="0" w:line="148" w:lineRule="exact"/>
        <w:rPr>
          <w:sz w:val="20"/>
          <w:szCs w:val="20"/>
          <w:color w:val="auto"/>
        </w:rPr>
      </w:pPr>
    </w:p>
    <w:p>
      <w:pPr>
        <w:ind w:left="1260" w:right="439" w:firstLine="360"/>
        <w:spacing w:after="0" w:line="244" w:lineRule="auto"/>
        <w:rPr>
          <w:sz w:val="20"/>
          <w:szCs w:val="20"/>
          <w:color w:val="auto"/>
        </w:rPr>
      </w:pPr>
      <w:r>
        <w:rPr>
          <w:rFonts w:ascii="Times New Roman" w:cs="Times New Roman" w:eastAsia="Times New Roman" w:hAnsi="Times New Roman"/>
          <w:sz w:val="18"/>
          <w:szCs w:val="18"/>
          <w:color w:val="auto"/>
        </w:rPr>
        <w:t>As disclosed in the IPO prospectus, because the net proceeds of the IPO were to be used to complete an initial business combination with a target business that had not been selected at the time of the IPO, BurTech may be deemed to be a “blank check company”. Under Rule 419 of the Securities Act the term “blank check company” means a company that (i) is a development stage company that has no specific business plan or purpose or has indicated that its business plan is to engage in a merger or acquisition with an unidentified company or companies, or other entity or person; and (ii) is issuing “penny stock,” as defined in Rule 3a51-1 under the Exchange Act. Rule 3a51-1 sets forth that that term “penny stock” shall mean any equity security, unless it fits within certain enumerated exclusions including the NTA Rule and the Exchange Rule.</w:t>
      </w:r>
    </w:p>
    <w:p>
      <w:pPr>
        <w:spacing w:after="0" w:line="328" w:lineRule="exact"/>
        <w:rPr>
          <w:sz w:val="20"/>
          <w:szCs w:val="20"/>
          <w:color w:val="auto"/>
        </w:rPr>
      </w:pPr>
    </w:p>
    <w:p>
      <w:pPr>
        <w:ind w:left="1260" w:right="419" w:firstLine="360"/>
        <w:spacing w:after="0" w:line="246" w:lineRule="auto"/>
        <w:rPr>
          <w:sz w:val="20"/>
          <w:szCs w:val="20"/>
          <w:color w:val="auto"/>
        </w:rPr>
      </w:pPr>
      <w:r>
        <w:rPr>
          <w:rFonts w:ascii="Times New Roman" w:cs="Times New Roman" w:eastAsia="Times New Roman" w:hAnsi="Times New Roman"/>
          <w:sz w:val="18"/>
          <w:szCs w:val="18"/>
          <w:color w:val="auto"/>
        </w:rPr>
        <w:t>Historically, special purpose acquisition companies or “SPACs” have relied upon the NTA Rule to avoid being deemed a penny stock issuer. Like many SPACs, BurTech included this provision in 9.2(a) of its Charter, in order to ensure that through the consummation of its initial business combination, BurTech would not be considered a penny stock issuer and therefore not a blank check company if no other exemption from the rule was available.</w:t>
      </w:r>
    </w:p>
    <w:p>
      <w:pPr>
        <w:spacing w:after="0" w:line="1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i w:val="1"/>
          <w:iCs w:val="1"/>
          <w:color w:val="auto"/>
        </w:rPr>
        <w:t>Reliance on Rule 3a51-1(a)(2).</w:t>
      </w:r>
    </w:p>
    <w:p>
      <w:pPr>
        <w:spacing w:after="0" w:line="148" w:lineRule="exact"/>
        <w:rPr>
          <w:sz w:val="20"/>
          <w:szCs w:val="20"/>
          <w:color w:val="auto"/>
        </w:rPr>
      </w:pPr>
    </w:p>
    <w:p>
      <w:pPr>
        <w:ind w:left="1260" w:right="419" w:firstLine="360"/>
        <w:spacing w:after="0" w:line="244" w:lineRule="auto"/>
        <w:rPr>
          <w:sz w:val="20"/>
          <w:szCs w:val="20"/>
          <w:color w:val="auto"/>
        </w:rPr>
      </w:pPr>
      <w:r>
        <w:rPr>
          <w:rFonts w:ascii="Times New Roman" w:cs="Times New Roman" w:eastAsia="Times New Roman" w:hAnsi="Times New Roman"/>
          <w:sz w:val="18"/>
          <w:szCs w:val="18"/>
          <w:color w:val="auto"/>
        </w:rPr>
        <w:t>The Exchange Rule excludes from the definition of “penny stock” a security that is registered, or approved for registration upon notice of issuance, on a national securities exchange, or is listed, or approved for listing upon notice of issuance on, an automated quotation system sponsored by a registered national securities association, that has established initial listing standards that meet or exceed the criteria set forth in the Exchange Rule. BurTech’s securities are listed on the Nasdaq Global Market and have been so listed since the consummation of the IPO. BurTech believes that the Nasdaq Global Market has initial listing standards that meet the criteria identified in the Exchange Rule and that it can therefore rely on the Exchange Rule to avoid being treated as a penny stock. Therefore, the NTA Requirement is unnecessary so long as BurTech meets the requirements of the Exchange Rule.</w:t>
      </w:r>
    </w:p>
    <w:p>
      <w:pPr>
        <w:spacing w:after="0" w:line="118" w:lineRule="exact"/>
        <w:rPr>
          <w:sz w:val="20"/>
          <w:szCs w:val="20"/>
          <w:color w:val="auto"/>
        </w:rPr>
      </w:pPr>
    </w:p>
    <w:p>
      <w:pPr>
        <w:jc w:val="both"/>
        <w:ind w:left="1260" w:right="439" w:firstLine="360"/>
        <w:spacing w:after="0" w:line="250" w:lineRule="auto"/>
        <w:rPr>
          <w:sz w:val="20"/>
          <w:szCs w:val="20"/>
          <w:color w:val="auto"/>
        </w:rPr>
      </w:pPr>
      <w:r>
        <w:rPr>
          <w:rFonts w:ascii="Times New Roman" w:cs="Times New Roman" w:eastAsia="Times New Roman" w:hAnsi="Times New Roman"/>
          <w:sz w:val="18"/>
          <w:szCs w:val="18"/>
          <w:color w:val="auto"/>
        </w:rPr>
        <w:t>In addition, BurTech is proposing to amend the NTA Requirement in the Charter Amendment Proposals so it will not be required to maintain a minimum value of net tangible assets in order to complete a Business Combination.</w:t>
      </w:r>
    </w:p>
    <w:p>
      <w:pPr>
        <w:spacing w:after="0" w:line="105" w:lineRule="exact"/>
        <w:rPr>
          <w:sz w:val="20"/>
          <w:szCs w:val="20"/>
          <w:color w:val="auto"/>
        </w:rPr>
      </w:pPr>
    </w:p>
    <w:p>
      <w:pPr>
        <w:ind w:left="1260" w:right="479" w:firstLine="360"/>
        <w:spacing w:after="0" w:line="242" w:lineRule="auto"/>
        <w:rPr>
          <w:sz w:val="20"/>
          <w:szCs w:val="20"/>
          <w:color w:val="auto"/>
        </w:rPr>
      </w:pPr>
      <w:r>
        <w:rPr>
          <w:rFonts w:ascii="Times New Roman" w:cs="Times New Roman" w:eastAsia="Times New Roman" w:hAnsi="Times New Roman"/>
          <w:sz w:val="18"/>
          <w:szCs w:val="18"/>
          <w:color w:val="auto"/>
        </w:rPr>
        <w:t>In connection with the Charter Amendment Proposal, public stockholders may elect (the “</w:t>
      </w:r>
      <w:r>
        <w:rPr>
          <w:rFonts w:ascii="Times New Roman" w:cs="Times New Roman" w:eastAsia="Times New Roman" w:hAnsi="Times New Roman"/>
          <w:sz w:val="18"/>
          <w:szCs w:val="18"/>
          <w:b w:val="1"/>
          <w:bCs w:val="1"/>
          <w:u w:val="single" w:color="auto"/>
          <w:color w:val="auto"/>
        </w:rPr>
        <w:t>Election</w:t>
      </w:r>
      <w:r>
        <w:rPr>
          <w:rFonts w:ascii="Times New Roman" w:cs="Times New Roman" w:eastAsia="Times New Roman" w:hAnsi="Times New Roman"/>
          <w:sz w:val="18"/>
          <w:szCs w:val="18"/>
          <w:color w:val="auto"/>
        </w:rPr>
        <w:t>”) to redeem their shares for a per-share price, payable in cash, equal to the aggregate amount then on deposit in the Trust Account, including interest not previously released to BurTech to pay franchise and income taxes, divided by the number of then outstanding public shares of Class A common stock, regardless of whether such public stockholders vote “FOR” or “AGAINST” the Charter Amendment Proposal, the Trust Amendment Proposal and the Adjournment Proposal, and an Election can also be made by public stockholders who do not vote, or do not instruct their broker or bank how to vote, at the Special Meeting. Public stockholders may make an Election regardless of whether such public stockholders were holders as of the record date. If the Charter Amendment Proposal, the Trust Amendment Proposal and the Adjournment Proposal are approved by the requisite vote of stockholders, the remaining holders of public shares of Class A common stock will retain their right to redeem their public shares of Class A common stock when the Initial Business combination is submitted to the stockholders, subject to any limitations set forth in our Charter, as amended by the Charter Amendment. Each redemption of shares by our public stockholders will decrease the amount in our Trust Account, which held approximately $295.4 million of marketable securities as of February 8, 2023. In addition, public stockholders who do not make the Election would be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8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519"/>
        <w:spacing w:after="0" w:line="245" w:lineRule="auto"/>
        <w:rPr>
          <w:sz w:val="20"/>
          <w:szCs w:val="20"/>
          <w:color w:val="auto"/>
        </w:rPr>
      </w:pPr>
      <w:r>
        <w:rPr>
          <w:rFonts w:ascii="Times New Roman" w:cs="Times New Roman" w:eastAsia="Times New Roman" w:hAnsi="Times New Roman"/>
          <w:sz w:val="18"/>
          <w:szCs w:val="18"/>
          <w:color w:val="auto"/>
        </w:rPr>
        <w:t>entitled to have their shares redeemed for cash if BurTech has not completed a business combination by the Extended Termination Date. Our sponsor, our officers and directors and our other initial stockholders, own an aggregate of 10,385,750 shares of our common stock, which includes 9,487,500 shares of Class B common stock that we refer to as the “</w:t>
      </w:r>
      <w:r>
        <w:rPr>
          <w:rFonts w:ascii="Times New Roman" w:cs="Times New Roman" w:eastAsia="Times New Roman" w:hAnsi="Times New Roman"/>
          <w:sz w:val="18"/>
          <w:szCs w:val="18"/>
          <w:b w:val="1"/>
          <w:bCs w:val="1"/>
          <w:u w:val="single" w:color="auto"/>
          <w:color w:val="auto"/>
        </w:rPr>
        <w:t>Founder Shares</w:t>
      </w:r>
      <w:r>
        <w:rPr>
          <w:rFonts w:ascii="Times New Roman" w:cs="Times New Roman" w:eastAsia="Times New Roman" w:hAnsi="Times New Roman"/>
          <w:sz w:val="18"/>
          <w:szCs w:val="18"/>
          <w:color w:val="auto"/>
        </w:rPr>
        <w:t>”, issued prior to our initial public offering (“</w:t>
      </w:r>
      <w:r>
        <w:rPr>
          <w:rFonts w:ascii="Times New Roman" w:cs="Times New Roman" w:eastAsia="Times New Roman" w:hAnsi="Times New Roman"/>
          <w:sz w:val="18"/>
          <w:szCs w:val="18"/>
          <w:b w:val="1"/>
          <w:bCs w:val="1"/>
          <w:u w:val="single" w:color="auto"/>
          <w:color w:val="auto"/>
        </w:rPr>
        <w:t>IPO</w:t>
      </w:r>
      <w:r>
        <w:rPr>
          <w:rFonts w:ascii="Times New Roman" w:cs="Times New Roman" w:eastAsia="Times New Roman" w:hAnsi="Times New Roman"/>
          <w:sz w:val="18"/>
          <w:szCs w:val="18"/>
          <w:color w:val="auto"/>
        </w:rPr>
        <w:t>”) and 898,250 shares of our Class A common stock, which we refer to as the “</w:t>
      </w:r>
      <w:r>
        <w:rPr>
          <w:rFonts w:ascii="Times New Roman" w:cs="Times New Roman" w:eastAsia="Times New Roman" w:hAnsi="Times New Roman"/>
          <w:sz w:val="18"/>
          <w:szCs w:val="18"/>
          <w:b w:val="1"/>
          <w:bCs w:val="1"/>
          <w:u w:val="single" w:color="auto"/>
          <w:color w:val="auto"/>
        </w:rPr>
        <w:t>Private Placement Shares</w:t>
      </w:r>
      <w:r>
        <w:rPr>
          <w:rFonts w:ascii="Times New Roman" w:cs="Times New Roman" w:eastAsia="Times New Roman" w:hAnsi="Times New Roman"/>
          <w:sz w:val="18"/>
          <w:szCs w:val="18"/>
          <w:color w:val="auto"/>
        </w:rPr>
        <w:t>” that were included in the units purchased in a private placement which occurred simultaneously with the completion of the IPO.</w:t>
      </w:r>
    </w:p>
    <w:p>
      <w:pPr>
        <w:spacing w:after="0" w:line="325"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We have issued to EF Hutton, a division of Benchmark Investments, LLC or their affiliates, as</w:t>
      </w:r>
    </w:p>
    <w:p>
      <w:pPr>
        <w:spacing w:after="0" w:line="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representative of the underwriters in our IPO (the “</w:t>
      </w:r>
      <w:r>
        <w:rPr>
          <w:rFonts w:ascii="Times New Roman" w:cs="Times New Roman" w:eastAsia="Times New Roman" w:hAnsi="Times New Roman"/>
          <w:sz w:val="18"/>
          <w:szCs w:val="18"/>
          <w:b w:val="1"/>
          <w:bCs w:val="1"/>
          <w:u w:val="single" w:color="auto"/>
          <w:color w:val="auto"/>
        </w:rPr>
        <w:t>Representative</w:t>
      </w:r>
      <w:r>
        <w:rPr>
          <w:rFonts w:ascii="Times New Roman" w:cs="Times New Roman" w:eastAsia="Times New Roman" w:hAnsi="Times New Roman"/>
          <w:sz w:val="18"/>
          <w:szCs w:val="18"/>
          <w:color w:val="auto"/>
        </w:rPr>
        <w:t>”), 431,250 shares of our Class A common</w:t>
      </w:r>
    </w:p>
    <w:p>
      <w:pPr>
        <w:ind w:left="1260"/>
        <w:spacing w:after="0" w:line="234" w:lineRule="auto"/>
        <w:rPr>
          <w:sz w:val="20"/>
          <w:szCs w:val="20"/>
          <w:color w:val="auto"/>
        </w:rPr>
      </w:pPr>
      <w:r>
        <w:rPr>
          <w:rFonts w:ascii="Times New Roman" w:cs="Times New Roman" w:eastAsia="Times New Roman" w:hAnsi="Times New Roman"/>
          <w:sz w:val="18"/>
          <w:szCs w:val="18"/>
          <w:color w:val="auto"/>
        </w:rPr>
        <w:t>stock in connection with the consummation of the IPO (including share issued upon exercise of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underwriters’ over-allotment option). We refer to such shares of Class A common stock as the</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Representative Shares</w:t>
      </w:r>
      <w:r>
        <w:rPr>
          <w:rFonts w:ascii="Times New Roman" w:cs="Times New Roman" w:eastAsia="Times New Roman" w:hAnsi="Times New Roman"/>
          <w:sz w:val="18"/>
          <w:szCs w:val="18"/>
          <w:color w:val="auto"/>
        </w:rPr>
        <w:t>.” The holders of the Representative Shares have agreed not to transfer, assign or sell</w:t>
      </w:r>
    </w:p>
    <w:p>
      <w:pPr>
        <w:ind w:left="1260"/>
        <w:spacing w:after="0" w:line="234" w:lineRule="auto"/>
        <w:rPr>
          <w:sz w:val="20"/>
          <w:szCs w:val="20"/>
          <w:color w:val="auto"/>
        </w:rPr>
      </w:pPr>
      <w:r>
        <w:rPr>
          <w:rFonts w:ascii="Times New Roman" w:cs="Times New Roman" w:eastAsia="Times New Roman" w:hAnsi="Times New Roman"/>
          <w:sz w:val="18"/>
          <w:szCs w:val="18"/>
          <w:color w:val="auto"/>
        </w:rPr>
        <w:t>any such shares without our prior consent until the completion of our initial business combination. In</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addition, the holders of the Representative Shares have agreed (i) to waive their redemption rights (or right</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participate in any tender offer) with respect to such shares in connection with the completion of our initial</w:t>
      </w:r>
    </w:p>
    <w:p>
      <w:pPr>
        <w:ind w:left="1260"/>
        <w:spacing w:after="0" w:line="234" w:lineRule="auto"/>
        <w:rPr>
          <w:sz w:val="20"/>
          <w:szCs w:val="20"/>
          <w:color w:val="auto"/>
        </w:rPr>
      </w:pPr>
      <w:r>
        <w:rPr>
          <w:rFonts w:ascii="Times New Roman" w:cs="Times New Roman" w:eastAsia="Times New Roman" w:hAnsi="Times New Roman"/>
          <w:sz w:val="18"/>
          <w:szCs w:val="18"/>
          <w:color w:val="auto"/>
        </w:rPr>
        <w:t>business combination and (ii) to waive their rights to liquidating distributions from the trust account with</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respect to such shares if we fail to complete our initial business combination by the Original Termination</w:t>
      </w:r>
    </w:p>
    <w:p>
      <w:pPr>
        <w:spacing w:after="0" w:line="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Date.</w:t>
      </w:r>
    </w:p>
    <w:p>
      <w:pPr>
        <w:spacing w:after="0" w:line="18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Factors to Consider</w:t>
      </w:r>
    </w:p>
    <w:p>
      <w:pPr>
        <w:spacing w:after="0" w:line="162" w:lineRule="exact"/>
        <w:rPr>
          <w:sz w:val="20"/>
          <w:szCs w:val="20"/>
          <w:color w:val="auto"/>
        </w:rPr>
      </w:pPr>
    </w:p>
    <w:p>
      <w:pPr>
        <w:ind w:left="1260" w:right="739" w:firstLine="360"/>
        <w:spacing w:after="0" w:line="266"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consider, among other things, the following benefits and detriments of the proposals to you as the public stockholders:</w:t>
      </w:r>
    </w:p>
    <w:p>
      <w:pPr>
        <w:spacing w:after="0" w:line="54" w:lineRule="exact"/>
        <w:rPr>
          <w:sz w:val="20"/>
          <w:szCs w:val="20"/>
          <w:color w:val="auto"/>
        </w:rPr>
      </w:pPr>
    </w:p>
    <w:p>
      <w:pPr>
        <w:ind w:left="1800" w:right="459" w:hanging="180"/>
        <w:spacing w:after="0" w:line="257"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 Proposals and the Trust Amendment Proposal are approved and the Company extends the Combination Period to September 15, 2023, with six (6) one-month extensions each time after March 15, 2023, the additional redemption amount added to the trust account will be $431,250 or approximately $0.0575 per share (or a per share redemption amount of approximately $10.21, assuming payment of the extension amount for six (6) one-month extensions and no redemptions).</w:t>
      </w:r>
    </w:p>
    <w:p>
      <w:pPr>
        <w:spacing w:after="0" w:line="295" w:lineRule="exact"/>
        <w:rPr>
          <w:rFonts w:ascii="Times New Roman" w:cs="Times New Roman" w:eastAsia="Times New Roman" w:hAnsi="Times New Roman"/>
          <w:sz w:val="18"/>
          <w:szCs w:val="18"/>
          <w:color w:val="auto"/>
        </w:rPr>
      </w:pPr>
    </w:p>
    <w:p>
      <w:pPr>
        <w:ind w:left="1800" w:right="659" w:hanging="180"/>
        <w:spacing w:after="0" w:line="266"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stockholders may seek to have their shares redeemed regardless of whether they vote for or against the proposals and whether or not they are holders of our Common Stock as of the Record Date. (See “</w:t>
      </w:r>
      <w:r>
        <w:rPr>
          <w:rFonts w:ascii="Times New Roman" w:cs="Times New Roman" w:eastAsia="Times New Roman" w:hAnsi="Times New Roman"/>
          <w:sz w:val="18"/>
          <w:szCs w:val="18"/>
          <w:b w:val="1"/>
          <w:bCs w:val="1"/>
          <w:u w:val="single" w:color="auto"/>
          <w:color w:val="auto"/>
        </w:rPr>
        <w:t>Conversion Rights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800" w:right="419" w:hanging="180"/>
        <w:spacing w:after="0" w:line="282"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redemption of shares by our public stockholders will decrease the amount in our Trust Account, which held approximately $295.4 million of marketable securities as of February 8, 2023.</w:t>
      </w:r>
    </w:p>
    <w:p>
      <w:pPr>
        <w:spacing w:after="0" w:line="40" w:lineRule="exact"/>
        <w:rPr>
          <w:rFonts w:ascii="Times New Roman" w:cs="Times New Roman" w:eastAsia="Times New Roman" w:hAnsi="Times New Roman"/>
          <w:sz w:val="18"/>
          <w:szCs w:val="18"/>
          <w:color w:val="auto"/>
        </w:rPr>
      </w:pPr>
    </w:p>
    <w:p>
      <w:pPr>
        <w:jc w:val="both"/>
        <w:ind w:left="1800" w:right="539" w:hanging="180"/>
        <w:spacing w:after="0" w:line="261" w:lineRule="auto"/>
        <w:tabs>
          <w:tab w:leader="none" w:pos="18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Charter Amendments are approved, BurTech will not be subject to the NTA Requirement and may rely on other exemptions from the Exchange Rule to avoid being deemed a penny stock issuer. In addition, the Company will not be required to maintain a minimum value of net tangible assets in order to complete a Business Combination.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Interests of the Company’s Directors and Officers</w:t>
      </w:r>
    </w:p>
    <w:p>
      <w:pPr>
        <w:spacing w:after="0" w:line="162" w:lineRule="exact"/>
        <w:rPr>
          <w:sz w:val="20"/>
          <w:szCs w:val="20"/>
          <w:color w:val="auto"/>
        </w:rPr>
      </w:pPr>
    </w:p>
    <w:p>
      <w:pPr>
        <w:ind w:left="1260" w:right="739" w:firstLine="360"/>
        <w:spacing w:after="0" w:line="250" w:lineRule="auto"/>
        <w:rPr>
          <w:sz w:val="20"/>
          <w:szCs w:val="20"/>
          <w:color w:val="auto"/>
        </w:rPr>
      </w:pPr>
      <w:r>
        <w:rPr>
          <w:rFonts w:ascii="Times New Roman" w:cs="Times New Roman" w:eastAsia="Times New Roman" w:hAnsi="Times New Roman"/>
          <w:sz w:val="18"/>
          <w:szCs w:val="18"/>
          <w:color w:val="auto"/>
        </w:rPr>
        <w:t>When you consider the recommendation of our board, you should also keep in mind that BurTech’s Sponsor, initial stockholders, officers and directors have interests in the proposals and the business combination that may be different from, or in addition to, your interests as a stockholder. These interests include, among other things:</w:t>
      </w:r>
    </w:p>
    <w:p>
      <w:pPr>
        <w:spacing w:after="0" w:line="69" w:lineRule="exact"/>
        <w:rPr>
          <w:sz w:val="20"/>
          <w:szCs w:val="20"/>
          <w:color w:val="auto"/>
        </w:rPr>
      </w:pPr>
    </w:p>
    <w:p>
      <w:pPr>
        <w:ind w:left="1800" w:right="499" w:hanging="180"/>
        <w:spacing w:after="0" w:line="261"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has a fiduciary obligation to its members and Shahal Khan, (BurTech’s Chief Executive Officer and Director) is the controlling member of our Sponsor. Roman Livson our Chief Financial Officer is also a member of our Sponsor. Each of Mr. Khan and Mr. Livson has a fiduciary obligation to both BurTech and the Sponsor, and may have a conflict of interest when voting.</w:t>
      </w:r>
    </w:p>
    <w:p>
      <w:pPr>
        <w:spacing w:after="0" w:line="71" w:lineRule="exact"/>
        <w:rPr>
          <w:rFonts w:ascii="Times New Roman" w:cs="Times New Roman" w:eastAsia="Times New Roman" w:hAnsi="Times New Roman"/>
          <w:sz w:val="18"/>
          <w:szCs w:val="18"/>
          <w:color w:val="auto"/>
        </w:rPr>
      </w:pPr>
    </w:p>
    <w:p>
      <w:pPr>
        <w:ind w:left="1800" w:right="779" w:hanging="180"/>
        <w:spacing w:after="0" w:line="266" w:lineRule="auto"/>
        <w:tabs>
          <w:tab w:leader="none" w:pos="18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initial business combination is not completed, BurTech will be required to dissolve and liquidate. In such event, the 9,487,500 Founder Shares which were acquired prior to the IPO and 898,250 Private Placement Shares included in the private placement units acquired in the private</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261620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800" w:right="419"/>
        <w:spacing w:after="0" w:line="256" w:lineRule="auto"/>
        <w:rPr>
          <w:sz w:val="20"/>
          <w:szCs w:val="20"/>
          <w:color w:val="auto"/>
        </w:rPr>
      </w:pPr>
      <w:r>
        <w:rPr>
          <w:rFonts w:ascii="Times New Roman" w:cs="Times New Roman" w:eastAsia="Times New Roman" w:hAnsi="Times New Roman"/>
          <w:sz w:val="18"/>
          <w:szCs w:val="18"/>
          <w:color w:val="auto"/>
        </w:rPr>
        <w:t>placement simultaneously with the closing of the IPO currently held by the initial stockholders, will be worthless because such holders have agreed to waive their rights to any liquidation distributions. The Founder Shares were purchased for an aggregate purchase price of $25,000 and had an aggregate market value of approximately $97.6 million, and the Private Placement Shares had an aggregate market value of approximately $10.2 million, based on the closing price of $10.29 per share of BurTech’s Class A common stock on the Nasdaq Global Market as of February 8, 2023.</w:t>
      </w:r>
    </w:p>
    <w:p>
      <w:pPr>
        <w:spacing w:after="0" w:line="93" w:lineRule="exact"/>
        <w:rPr>
          <w:sz w:val="20"/>
          <w:szCs w:val="20"/>
          <w:color w:val="auto"/>
        </w:rPr>
      </w:pPr>
    </w:p>
    <w:p>
      <w:pPr>
        <w:ind w:left="1800" w:right="459" w:hanging="180"/>
        <w:spacing w:after="0" w:line="254"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of these interests, BurTech’s initial stockholders could benefit from the completion of a business combination that is not favorable to its public stockholders and may be incentivized to complete an acquisition of a less favorable target company or on terms less favorable to public stockholders rather than liquidate. For example, if the share price of the BurTech Common Stock declined to $5.00 per share after the close of the business combination, BurTech’s public stockholder that purchased shares in the initial public offering, would have a loss of $5.00 per share, while BurTech’s initial stockholders would have a gain of $4.13 per share because it acquired the Founder Shares for a nominal amount. In other words, BurTech’s initial stockholders can earn a positive rate of return on their investment even if public stockholders experience a negative rate of return in the post-combination company.</w:t>
      </w:r>
    </w:p>
    <w:p>
      <w:pPr>
        <w:spacing w:after="0" w:line="292" w:lineRule="exact"/>
        <w:rPr>
          <w:rFonts w:ascii="Times New Roman" w:cs="Times New Roman" w:eastAsia="Times New Roman" w:hAnsi="Times New Roman"/>
          <w:sz w:val="18"/>
          <w:szCs w:val="18"/>
          <w:color w:val="auto"/>
        </w:rPr>
      </w:pPr>
    </w:p>
    <w:p>
      <w:pPr>
        <w:ind w:left="1800" w:right="459" w:hanging="180"/>
        <w:spacing w:after="0" w:line="262" w:lineRule="auto"/>
        <w:tabs>
          <w:tab w:leader="none" w:pos="18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BurTech’s sponsor is BurTech LP, LLC (“</w:t>
      </w:r>
      <w:r>
        <w:rPr>
          <w:rFonts w:ascii="Times New Roman" w:cs="Times New Roman" w:eastAsia="Times New Roman" w:hAnsi="Times New Roman"/>
          <w:sz w:val="18"/>
          <w:szCs w:val="18"/>
          <w:b w:val="1"/>
          <w:bCs w:val="1"/>
          <w:u w:val="single" w:color="auto"/>
          <w:color w:val="auto"/>
        </w:rPr>
        <w:t>Sponsor</w:t>
      </w:r>
      <w:r>
        <w:rPr>
          <w:rFonts w:ascii="Times New Roman" w:cs="Times New Roman" w:eastAsia="Times New Roman" w:hAnsi="Times New Roman"/>
          <w:sz w:val="18"/>
          <w:szCs w:val="18"/>
          <w:color w:val="auto"/>
        </w:rPr>
        <w:t>”), and its managing member is Shahal Khan. If an initial business combination, such as the Initial Business Combination, is not completed, the Sponsor will lose an aggregate of approximately $10.1 million, with the potential value of approximately $107.8 million comprised of the following:</w:t>
      </w:r>
    </w:p>
    <w:p>
      <w:pPr>
        <w:spacing w:after="0" w:line="72" w:lineRule="exact"/>
        <w:rPr>
          <w:rFonts w:ascii="Times New Roman" w:cs="Times New Roman" w:eastAsia="Times New Roman" w:hAnsi="Times New Roman"/>
          <w:sz w:val="18"/>
          <w:szCs w:val="18"/>
          <w:color w:val="auto"/>
        </w:rPr>
      </w:pPr>
    </w:p>
    <w:p>
      <w:pPr>
        <w:ind w:left="2160" w:right="419" w:hanging="180"/>
        <w:spacing w:after="0" w:line="259" w:lineRule="auto"/>
        <w:tabs>
          <w:tab w:leader="none" w:pos="2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$97.6 million (based on the closing price of $10.29 per share of BurTech Class A common stock on the Nasdaq Global Market as of February 8, 2023) for the 9,487,500 Founder Shares and approximately $10.2 million for the 898,250 Private Placement Shares that were included in the units sold in the private placement simultaneously with the IPO, that the Sponsor holds;</w:t>
      </w:r>
    </w:p>
    <w:p>
      <w:pPr>
        <w:spacing w:after="0" w:line="308" w:lineRule="exact"/>
        <w:rPr>
          <w:rFonts w:ascii="Times New Roman" w:cs="Times New Roman" w:eastAsia="Times New Roman" w:hAnsi="Times New Roman"/>
          <w:sz w:val="18"/>
          <w:szCs w:val="18"/>
          <w:color w:val="auto"/>
        </w:rPr>
      </w:pPr>
    </w:p>
    <w:p>
      <w:pPr>
        <w:ind w:left="2160" w:right="539" w:hanging="180"/>
        <w:spacing w:after="0" w:line="275" w:lineRule="auto"/>
        <w:tabs>
          <w:tab w:leader="none" w:pos="216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$10,000 monthly administrative fee under the administrative support agreement pursuant to which BurTech may delay payment of the same until the consummation of a business combination.</w:t>
      </w:r>
    </w:p>
    <w:p>
      <w:pPr>
        <w:spacing w:after="0" w:line="318" w:lineRule="exact"/>
        <w:rPr>
          <w:sz w:val="20"/>
          <w:szCs w:val="20"/>
          <w:color w:val="auto"/>
        </w:rPr>
      </w:pPr>
    </w:p>
    <w:p>
      <w:pPr>
        <w:jc w:val="both"/>
        <w:ind w:left="1260" w:right="599" w:firstLine="360"/>
        <w:spacing w:after="0" w:line="291" w:lineRule="auto"/>
        <w:rPr>
          <w:sz w:val="20"/>
          <w:szCs w:val="20"/>
          <w:color w:val="auto"/>
        </w:rPr>
      </w:pPr>
      <w:r>
        <w:rPr>
          <w:rFonts w:ascii="Times New Roman" w:cs="Times New Roman" w:eastAsia="Times New Roman" w:hAnsi="Times New Roman"/>
          <w:sz w:val="17"/>
          <w:szCs w:val="17"/>
          <w:b w:val="1"/>
          <w:bCs w:val="1"/>
          <w:color w:val="auto"/>
        </w:rPr>
        <w:t>We may not be able to complete an initial business combination with a U.S. target company if such initial business combination is subject to U.S. foreign investment regulations and review by a U.S. government entity such as the Committee on Foreign Investment in the United States (CFIUS), or ultimately prohibited.</w:t>
      </w:r>
    </w:p>
    <w:p>
      <w:pPr>
        <w:spacing w:after="0" w:line="76" w:lineRule="exact"/>
        <w:rPr>
          <w:sz w:val="20"/>
          <w:szCs w:val="20"/>
          <w:color w:val="auto"/>
        </w:rPr>
      </w:pPr>
    </w:p>
    <w:p>
      <w:pPr>
        <w:ind w:left="1260" w:right="459" w:firstLine="360"/>
        <w:spacing w:after="0" w:line="252" w:lineRule="auto"/>
        <w:rPr>
          <w:sz w:val="20"/>
          <w:szCs w:val="20"/>
          <w:color w:val="auto"/>
        </w:rPr>
      </w:pPr>
      <w:r>
        <w:rPr>
          <w:rFonts w:ascii="Times New Roman" w:cs="Times New Roman" w:eastAsia="Times New Roman" w:hAnsi="Times New Roman"/>
          <w:sz w:val="18"/>
          <w:szCs w:val="18"/>
          <w:color w:val="auto"/>
        </w:rPr>
        <w:t>Our sponsor, BurTech LP, LLC is controlled by Shahal Khan, a USA citizen, and also our chief executive officer. Mr. Khan will not remain with the Company after the Initial Business Combination. For these reasons, we do not expect the post-combination company to be considered a “foreign person” under the regulations administered by CFIUS. However, if our initial business combination with a U.S. business is subject to CFIUS review, the scope of which was expanded by the Foreign Investment Risk Review Modernization Act of 2018 (“</w:t>
      </w:r>
      <w:r>
        <w:rPr>
          <w:rFonts w:ascii="Times New Roman" w:cs="Times New Roman" w:eastAsia="Times New Roman" w:hAnsi="Times New Roman"/>
          <w:sz w:val="18"/>
          <w:szCs w:val="18"/>
          <w:b w:val="1"/>
          <w:bCs w:val="1"/>
          <w:u w:val="single" w:color="auto"/>
          <w:color w:val="auto"/>
        </w:rPr>
        <w:t>FIRRMA</w:t>
      </w:r>
      <w:r>
        <w:rPr>
          <w:rFonts w:ascii="Times New Roman" w:cs="Times New Roman" w:eastAsia="Times New Roman" w:hAnsi="Times New Roman"/>
          <w:sz w:val="18"/>
          <w:szCs w:val="18"/>
          <w:color w:val="auto"/>
        </w:rPr>
        <w:t>”), to include certain non-passive, non-controlling investments in sensitive U.S. businesses and certain acquisitions of real estate even with no underlying U.S. business, this could delay us in consummating our business combination. FIRRMA, and subsequent implementing regulations that are now in force, also subjects certain categories of investments to mandatory filings. If our potential initial business combination with a U.S. business falls within CFIUS’s jurisdiction, we may determine that we are required to make a mandatory filing or that we will submit a voluntary notice to CFIUS, or to proceed with the initial business combination without notifying CFIUS and risk CFIUS intervention, before or after closing the initial business combination. CFIUS may decide to block or delay our initial business combination, impose conditions to mitigate national security concerns with respect to such initial business combination or order us to divest all or a portion of a U.S. business of the combined company without first obtaining CFIUS clearance, which may limit the attractiveness of or prevent us from pursuing certain initial business combination opportunities that we believe would otherwise be beneficial to us and our stockholders. As a result, the pool of potential targets with which we could complete an initial business combination may be limited and we may be adversely affected in terms of competing with other special purpose acquisition companies which do not have similar foreign ownership issues.</w:t>
      </w:r>
    </w:p>
    <w:p>
      <w:pPr>
        <w:spacing w:after="0" w:line="200" w:lineRule="exact"/>
        <w:rPr>
          <w:sz w:val="20"/>
          <w:szCs w:val="20"/>
          <w:color w:val="auto"/>
        </w:rPr>
      </w:pPr>
    </w:p>
    <w:p>
      <w:pPr>
        <w:spacing w:after="0" w:line="39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2" w:name="page33"/>
    <w:bookmarkEnd w:id="3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53" w:lineRule="auto"/>
        <w:rPr>
          <w:sz w:val="20"/>
          <w:szCs w:val="20"/>
          <w:color w:val="auto"/>
        </w:rPr>
      </w:pPr>
      <w:r>
        <w:rPr>
          <w:rFonts w:ascii="Times New Roman" w:cs="Times New Roman" w:eastAsia="Times New Roman" w:hAnsi="Times New Roman"/>
          <w:sz w:val="18"/>
          <w:szCs w:val="18"/>
          <w:color w:val="auto"/>
        </w:rPr>
        <w:t>Moreover, the process of government review, whether by the CFIUS or otherwise, could be lengthy and we have limited time to complete our initial business combination. If we cannot complete our initial business combination by March 15, 2023 due to the passage of time relating to any governmental review, or because any such review process drags on beyond such timeframe, or because our initial business combination is ultimately prohibited by CFIUS or another U.S. government entity, we may be required to liquidate. In such situation, BurTech would (i) cease all operations except for the purpose of winding up and</w:t>
      </w:r>
    </w:p>
    <w:p>
      <w:pPr>
        <w:spacing w:after="0" w:line="5" w:lineRule="exact"/>
        <w:rPr>
          <w:sz w:val="20"/>
          <w:szCs w:val="20"/>
          <w:color w:val="auto"/>
        </w:rPr>
      </w:pPr>
    </w:p>
    <w:p>
      <w:pPr>
        <w:ind w:left="1260" w:right="439"/>
        <w:spacing w:after="0" w:line="252" w:lineRule="auto"/>
        <w:tabs>
          <w:tab w:leader="none" w:pos="154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promptly as reasonably possible but not more than ten business days thereafter, redeem 100% of the outstanding shares of common stock, at a per-share of common stock price, payable in cash, equal to the aggregate amount then on deposit in the Trust Account, including any interest not previously released to BurTech (net of taxes payable), divided by the number of then outstanding shares of Class A common stock, which redemption will completely extinguish public stockholders’ rights as holders of shares of common stock (including the right to receive further liquidation distributions, if any), subject to applicable law.</w:t>
      </w:r>
    </w:p>
    <w:p>
      <w:pPr>
        <w:spacing w:after="0" w:line="122" w:lineRule="exact"/>
        <w:rPr>
          <w:sz w:val="20"/>
          <w:szCs w:val="20"/>
          <w:color w:val="auto"/>
        </w:rPr>
      </w:pPr>
    </w:p>
    <w:p>
      <w:pPr>
        <w:ind w:left="1260" w:right="499" w:firstLine="360"/>
        <w:spacing w:after="0" w:line="266" w:lineRule="auto"/>
        <w:rPr>
          <w:sz w:val="20"/>
          <w:szCs w:val="20"/>
          <w:color w:val="auto"/>
        </w:rPr>
      </w:pPr>
      <w:r>
        <w:rPr>
          <w:rFonts w:ascii="Times New Roman" w:cs="Times New Roman" w:eastAsia="Times New Roman" w:hAnsi="Times New Roman"/>
          <w:sz w:val="18"/>
          <w:szCs w:val="18"/>
          <w:color w:val="auto"/>
        </w:rPr>
        <w:t>As promptly as reasonably possible following such redemption, BurTech would dissolve and liquidate, subject to its obligations under Delaware law to provide for claims of creditors and the requirements of other applicable law.</w:t>
      </w:r>
    </w:p>
    <w:p>
      <w:pPr>
        <w:spacing w:after="0" w:line="108" w:lineRule="exact"/>
        <w:rPr>
          <w:sz w:val="20"/>
          <w:szCs w:val="20"/>
          <w:color w:val="auto"/>
        </w:rPr>
      </w:pPr>
    </w:p>
    <w:p>
      <w:pPr>
        <w:ind w:left="1260" w:right="519" w:firstLine="360"/>
        <w:spacing w:after="0" w:line="263" w:lineRule="auto"/>
        <w:rPr>
          <w:sz w:val="20"/>
          <w:szCs w:val="20"/>
          <w:color w:val="auto"/>
        </w:rPr>
      </w:pPr>
      <w:r>
        <w:rPr>
          <w:rFonts w:ascii="Times New Roman" w:cs="Times New Roman" w:eastAsia="Times New Roman" w:hAnsi="Times New Roman"/>
          <w:sz w:val="18"/>
          <w:szCs w:val="18"/>
          <w:color w:val="auto"/>
        </w:rPr>
        <w:t>If we liquidate, our public stockholders may only receive $10.15 per share. This will also cause you to lose the investment opportunity in the target company and the chance of realizing future gains on your investment through any price appreciation in the combined company, and our warrants will expire worthless.</w:t>
      </w:r>
    </w:p>
    <w:p>
      <w:pPr>
        <w:spacing w:after="0" w:line="319"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Company may extend the time to complete a business combination on an as-needed, month-to-month basis, until September 15, 2023.</w:t>
      </w:r>
    </w:p>
    <w:p>
      <w:pPr>
        <w:spacing w:after="0" w:line="104"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To exercise your redemption rights, you must tender your shares to the Company’s transfer agent at least two business days prior to the Special Meeting (or February 27, 2023). You may tender your shares by either delivering your share certificate to the transfer agent or by delivering your shares electronically using the Depository Trust Company’s DWAC (Deposit/Withdrawal At Custodian) system. If you hold your shares in street name, you will need to instruct your bank, broker or other nominee to withdraw the shares from your account in order to exercise your redemption rights.</w:t>
      </w:r>
    </w:p>
    <w:p>
      <w:pPr>
        <w:spacing w:after="0" w:line="119" w:lineRule="exact"/>
        <w:rPr>
          <w:sz w:val="20"/>
          <w:szCs w:val="20"/>
          <w:color w:val="auto"/>
        </w:rPr>
      </w:pPr>
    </w:p>
    <w:p>
      <w:pPr>
        <w:ind w:left="1260" w:right="419" w:firstLine="360"/>
        <w:spacing w:after="0" w:line="254" w:lineRule="auto"/>
        <w:rPr>
          <w:sz w:val="20"/>
          <w:szCs w:val="20"/>
          <w:color w:val="auto"/>
        </w:rPr>
      </w:pPr>
      <w:r>
        <w:rPr>
          <w:rFonts w:ascii="Times New Roman" w:cs="Times New Roman" w:eastAsia="Times New Roman" w:hAnsi="Times New Roman"/>
          <w:sz w:val="18"/>
          <w:szCs w:val="18"/>
          <w:color w:val="auto"/>
        </w:rPr>
        <w:t>As of February 8, 2023, there was approximately $295.4 million in the Trust Account. If the Charter Amendment Proposals and the Trust Amendment Proposal are approved and the Extension Termination Date is extended to September 15, 2023, the redemption price per share at the meeting for the Initial Business combination or the Company’s subsequent liquidation will be approximately $10.21 per share (without taking into account any interest) in comparison to the current redemption price of approximately 10.15 per share. The closing price of the Company’s common stock on February 8, 2023 was $10.29. The Company cannot assure stockholders that they will be able to sell their shares of the Company’s common stock in the open market, even if the market price per share is higher than the redemption price stated above, as there may not be sufficient liquidity in its securities when such stockholders wish to sell their shares.</w:t>
      </w:r>
    </w:p>
    <w:p>
      <w:pPr>
        <w:spacing w:after="0" w:line="107" w:lineRule="exact"/>
        <w:rPr>
          <w:sz w:val="20"/>
          <w:szCs w:val="20"/>
          <w:color w:val="auto"/>
        </w:rPr>
      </w:pPr>
    </w:p>
    <w:p>
      <w:pPr>
        <w:ind w:left="1260" w:right="419" w:firstLine="360"/>
        <w:spacing w:after="0" w:line="252" w:lineRule="auto"/>
        <w:rPr>
          <w:sz w:val="20"/>
          <w:szCs w:val="20"/>
          <w:color w:val="auto"/>
        </w:rPr>
      </w:pPr>
      <w:r>
        <w:rPr>
          <w:rFonts w:ascii="Times New Roman" w:cs="Times New Roman" w:eastAsia="Times New Roman" w:hAnsi="Times New Roman"/>
          <w:sz w:val="18"/>
          <w:szCs w:val="18"/>
          <w:color w:val="auto"/>
        </w:rPr>
        <w:t>If the Charter Amendment Proposal, the Trust Amendment Proposal and the Adjournment proposals are not approved and we do not consummate a business combination by March 15, 2023, as contemplated by our IPO prospectus and in accordance with our Charter, we will (i) cease all operations except for the purpose of winding up, (ii) as promptly as reasonably possible but not more than ten business days thereafter, redeem 100% of the outstanding public shares of Class A common stock, at a per-share price, payable in cash, equal to the aggregate amount then on deposit in the trust account, including any interest not previously released to us (net of taxes payable), divided by the number of then outstanding public shares of Class A common stock,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w:t>
      </w:r>
    </w:p>
    <w:p>
      <w:pPr>
        <w:spacing w:after="0" w:line="4" w:lineRule="exact"/>
        <w:rPr>
          <w:sz w:val="20"/>
          <w:szCs w:val="20"/>
          <w:color w:val="auto"/>
        </w:rPr>
      </w:pPr>
    </w:p>
    <w:p>
      <w:pPr>
        <w:ind w:left="1260" w:right="459"/>
        <w:spacing w:after="0" w:line="253" w:lineRule="auto"/>
        <w:tabs>
          <w:tab w:leader="none" w:pos="15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our obligations under Delaware law to provide for claims of creditors and the requirements of other applicable law. There will be no distribution from the Trust Account with respect to our rights that were included in the units purchased in the public offering, which will be worthless in the event of our winding up. In the event of a liquidation, our sponsor, the Representative, our officers and directors and</w:t>
      </w:r>
    </w:p>
    <w:p>
      <w:pPr>
        <w:sectPr>
          <w:pgSz w:w="11900" w:h="16838" w:orient="portrait"/>
          <w:cols w:equalWidth="0" w:num="1">
            <w:col w:w="9879"/>
          </w:cols>
          <w:pgMar w:left="580" w:top="97" w:right="1440" w:bottom="1440" w:gutter="0" w:footer="0" w:header="0"/>
        </w:sectPr>
      </w:pPr>
    </w:p>
    <w:p>
      <w:pPr>
        <w:spacing w:after="0" w:line="37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919"/>
        <w:spacing w:after="0" w:line="282" w:lineRule="auto"/>
        <w:rPr>
          <w:sz w:val="20"/>
          <w:szCs w:val="20"/>
          <w:color w:val="auto"/>
        </w:rPr>
      </w:pPr>
      <w:r>
        <w:rPr>
          <w:rFonts w:ascii="Times New Roman" w:cs="Times New Roman" w:eastAsia="Times New Roman" w:hAnsi="Times New Roman"/>
          <w:sz w:val="18"/>
          <w:szCs w:val="18"/>
          <w:color w:val="auto"/>
        </w:rPr>
        <w:t>our other initial stockholders will not receive any monies held in the Trust Account as a result of their ownership of the Founder Shares, the Representative Shares or the Private Placement Shares.</w:t>
      </w:r>
    </w:p>
    <w:p>
      <w:pPr>
        <w:spacing w:after="0" w:line="144"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419" w:firstLine="360"/>
        <w:spacing w:after="0" w:line="242"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the Private Placement Shares and the Representative Shares, will be required to approve the Charter Amendment Proposals and the Trust Amendment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the Charter Amendment Proposals and the Trust Amendment Proposal. This means that if one proposal is approved by the stockholders and the other proposal is not, neither proposal will take effect. Notwithstanding stockholder approval of the Charter Amendment Proposals and the Trust Amendment Proposal, our board will retain the right to abandon and not implement the Charter Amendment Proposals or the Trust Amendment Proposal at any time without any further action by our stockholders.</w:t>
      </w:r>
    </w:p>
    <w:p>
      <w:pPr>
        <w:spacing w:after="0" w:line="121" w:lineRule="exact"/>
        <w:rPr>
          <w:sz w:val="20"/>
          <w:szCs w:val="20"/>
          <w:color w:val="auto"/>
        </w:rPr>
      </w:pPr>
    </w:p>
    <w:p>
      <w:pPr>
        <w:jc w:val="both"/>
        <w:ind w:left="1260" w:right="419" w:firstLine="360"/>
        <w:spacing w:after="0" w:line="250" w:lineRule="auto"/>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 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6" w:lineRule="exact"/>
        <w:rPr>
          <w:sz w:val="20"/>
          <w:szCs w:val="20"/>
          <w:color w:val="auto"/>
        </w:rPr>
      </w:pPr>
    </w:p>
    <w:p>
      <w:pPr>
        <w:ind w:left="1260" w:right="439" w:firstLine="360"/>
        <w:spacing w:after="0" w:line="265"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Charter Amendment Proposals and the Trust Amendment Proposal are implemented and you do not elect to redeem your public shares of Class A common stock now, you will retain the right to vote on an Initial Business combination when it is submitted to stockholders and the right to redeem your public shares of Class A common stock into a pro rata portion of the Trust Account in the event a business combination is approved and completed or the Company has not consummated a business combination by the Extended Termination Date.</w:t>
      </w:r>
    </w:p>
    <w:p>
      <w:pPr>
        <w:spacing w:after="0" w:line="16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44"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Charter Amendment Proposal.</w:t>
      </w:r>
    </w:p>
    <w:p>
      <w:pPr>
        <w:spacing w:after="0" w:line="23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PROPOSAL 2: THE TRUST AMENDMENT</w:t>
      </w:r>
    </w:p>
    <w:p>
      <w:pPr>
        <w:spacing w:after="0" w:line="22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The Trust Amendment</w:t>
      </w:r>
    </w:p>
    <w:p>
      <w:pPr>
        <w:spacing w:after="0" w:line="16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The proposed Trust Amendment Proposal would amend our existing Investment Management Trust</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Agreement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dated as of March 1, 2023, by and between the Company and</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Continental Stock Transfer &amp; Trust Company (the “</w:t>
      </w:r>
      <w:r>
        <w:rPr>
          <w:rFonts w:ascii="Times New Roman" w:cs="Times New Roman" w:eastAsia="Times New Roman" w:hAnsi="Times New Roman"/>
          <w:sz w:val="18"/>
          <w:szCs w:val="18"/>
          <w:b w:val="1"/>
          <w:bCs w:val="1"/>
          <w:u w:val="single" w:color="auto"/>
          <w:color w:val="auto"/>
        </w:rPr>
        <w:t>Trustee</w:t>
      </w:r>
      <w:r>
        <w:rPr>
          <w:rFonts w:ascii="Times New Roman" w:cs="Times New Roman" w:eastAsia="Times New Roman" w:hAnsi="Times New Roman"/>
          <w:sz w:val="18"/>
          <w:szCs w:val="18"/>
          <w:color w:val="auto"/>
        </w:rPr>
        <w:t>”), allowing the Company to extend the time to</w:t>
      </w:r>
    </w:p>
    <w:p>
      <w:pPr>
        <w:ind w:left="1260"/>
        <w:spacing w:after="0" w:line="234" w:lineRule="auto"/>
        <w:rPr>
          <w:sz w:val="20"/>
          <w:szCs w:val="20"/>
          <w:color w:val="auto"/>
        </w:rPr>
      </w:pPr>
      <w:r>
        <w:rPr>
          <w:rFonts w:ascii="Times New Roman" w:cs="Times New Roman" w:eastAsia="Times New Roman" w:hAnsi="Times New Roman"/>
          <w:sz w:val="18"/>
          <w:szCs w:val="18"/>
          <w:color w:val="auto"/>
        </w:rPr>
        <w:t>complete a business combination (the “</w:t>
      </w:r>
      <w:r>
        <w:rPr>
          <w:rFonts w:ascii="Times New Roman" w:cs="Times New Roman" w:eastAsia="Times New Roman" w:hAnsi="Times New Roman"/>
          <w:sz w:val="18"/>
          <w:szCs w:val="18"/>
          <w:b w:val="1"/>
          <w:bCs w:val="1"/>
          <w:u w:val="single" w:color="auto"/>
          <w:color w:val="auto"/>
        </w:rPr>
        <w:t>Business Combination Period</w:t>
      </w:r>
      <w:r>
        <w:rPr>
          <w:rFonts w:ascii="Times New Roman" w:cs="Times New Roman" w:eastAsia="Times New Roman" w:hAnsi="Times New Roman"/>
          <w:sz w:val="18"/>
          <w:szCs w:val="18"/>
          <w:color w:val="auto"/>
        </w:rPr>
        <w:t>”) up to six (6) times on a month-to-</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month basis (each an “</w:t>
      </w:r>
      <w:r>
        <w:rPr>
          <w:rFonts w:ascii="Times New Roman" w:cs="Times New Roman" w:eastAsia="Times New Roman" w:hAnsi="Times New Roman"/>
          <w:sz w:val="18"/>
          <w:szCs w:val="18"/>
          <w:b w:val="1"/>
          <w:bCs w:val="1"/>
          <w:u w:val="single" w:color="auto"/>
          <w:color w:val="auto"/>
        </w:rPr>
        <w:t>Extension</w:t>
      </w:r>
      <w:r>
        <w:rPr>
          <w:rFonts w:ascii="Times New Roman" w:cs="Times New Roman" w:eastAsia="Times New Roman" w:hAnsi="Times New Roman"/>
          <w:sz w:val="18"/>
          <w:szCs w:val="18"/>
          <w:color w:val="auto"/>
        </w:rPr>
        <w:t>”), each such extension for an additional one-month period, to</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September 15, 2023 (the “</w:t>
      </w:r>
      <w:r>
        <w:rPr>
          <w:rFonts w:ascii="Times New Roman" w:cs="Times New Roman" w:eastAsia="Times New Roman" w:hAnsi="Times New Roman"/>
          <w:sz w:val="18"/>
          <w:szCs w:val="18"/>
          <w:b w:val="1"/>
          <w:bCs w:val="1"/>
          <w:u w:val="single" w:color="auto"/>
          <w:color w:val="auto"/>
        </w:rPr>
        <w:t>Trust Amendment</w:t>
      </w:r>
      <w:r>
        <w:rPr>
          <w:rFonts w:ascii="Times New Roman" w:cs="Times New Roman" w:eastAsia="Times New Roman" w:hAnsi="Times New Roman"/>
          <w:sz w:val="18"/>
          <w:szCs w:val="18"/>
          <w:color w:val="auto"/>
        </w:rPr>
        <w:t>”), by depositing into the Trust Account $431,250 (the</w:t>
      </w:r>
    </w:p>
    <w:p>
      <w:pPr>
        <w:ind w:left="1260"/>
        <w:spacing w:after="0" w:line="23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Extension Payment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for each one-month Extension (up to an aggregate of $2,587,500 to be placed in the</w:t>
      </w:r>
    </w:p>
    <w:p>
      <w:pPr>
        <w:spacing w:after="0" w:line="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Trust Account for the full additional six-month period). A copy of the proposed Trust Amendment is</w:t>
      </w:r>
    </w:p>
    <w:p>
      <w:pPr>
        <w:spacing w:after="0" w:line="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attached to this proxy statement as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All stockholders are encouraged to read the proposed</w:t>
      </w:r>
    </w:p>
    <w:p>
      <w:pPr>
        <w:ind w:left="1260"/>
        <w:spacing w:after="0"/>
        <w:rPr>
          <w:sz w:val="20"/>
          <w:szCs w:val="20"/>
          <w:color w:val="auto"/>
        </w:rPr>
      </w:pPr>
      <w:r>
        <w:rPr>
          <w:rFonts w:ascii="Times New Roman" w:cs="Times New Roman" w:eastAsia="Times New Roman" w:hAnsi="Times New Roman"/>
          <w:sz w:val="18"/>
          <w:szCs w:val="18"/>
          <w:color w:val="auto"/>
        </w:rPr>
        <w:t>amendment in its entirety for a more complete description of its terms.</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Reasons for the Trust Amendment</w:t>
      </w:r>
    </w:p>
    <w:p>
      <w:pPr>
        <w:spacing w:after="0" w:line="162" w:lineRule="exact"/>
        <w:rPr>
          <w:sz w:val="20"/>
          <w:szCs w:val="20"/>
          <w:color w:val="auto"/>
        </w:rPr>
      </w:pPr>
    </w:p>
    <w:p>
      <w:pPr>
        <w:ind w:left="1260" w:right="499" w:firstLine="360"/>
        <w:spacing w:after="0" w:line="246" w:lineRule="auto"/>
        <w:rPr>
          <w:sz w:val="20"/>
          <w:szCs w:val="20"/>
          <w:color w:val="auto"/>
        </w:rPr>
      </w:pPr>
      <w:r>
        <w:rPr>
          <w:rFonts w:ascii="Times New Roman" w:cs="Times New Roman" w:eastAsia="Times New Roman" w:hAnsi="Times New Roman"/>
          <w:sz w:val="18"/>
          <w:szCs w:val="18"/>
          <w:color w:val="auto"/>
        </w:rPr>
        <w:t>The purpose of the Trust Amendment Proposal is to give the Company the right to extend the Business Combination Period from March 15, 2023 up to six (6) times, each such Extension for an additional one-month period, until September 15, 2023 (i.e., 21 months from the consummation of the IPO), provided that the Extension Payment of $431,250 is deposited into the Trust Account on or prior to the date of the same applicable deadline (or up to an aggregate of $2,587,500 for the total six-month period).</w:t>
      </w:r>
    </w:p>
    <w:p>
      <w:pPr>
        <w:spacing w:after="0" w:line="114" w:lineRule="exact"/>
        <w:rPr>
          <w:sz w:val="20"/>
          <w:szCs w:val="20"/>
          <w:color w:val="auto"/>
        </w:rPr>
      </w:pPr>
    </w:p>
    <w:p>
      <w:pPr>
        <w:jc w:val="both"/>
        <w:ind w:left="1260" w:right="699" w:firstLine="360"/>
        <w:spacing w:after="0" w:line="258" w:lineRule="auto"/>
        <w:rPr>
          <w:sz w:val="20"/>
          <w:szCs w:val="20"/>
          <w:color w:val="auto"/>
        </w:rPr>
      </w:pPr>
      <w:r>
        <w:rPr>
          <w:rFonts w:ascii="Times New Roman" w:cs="Times New Roman" w:eastAsia="Times New Roman" w:hAnsi="Times New Roman"/>
          <w:sz w:val="18"/>
          <w:szCs w:val="18"/>
          <w:color w:val="auto"/>
        </w:rPr>
        <w:t>The Company’s current Charter and Trust Agreement provide that the Company has until March 15, 2023 to complete a business combination without the payment of additional amounts into the Company’s Trust Account.</w:t>
      </w:r>
    </w:p>
    <w:p>
      <w:pPr>
        <w:sectPr>
          <w:pgSz w:w="11900" w:h="16838" w:orient="portrait"/>
          <w:cols w:equalWidth="0" w:num="1">
            <w:col w:w="9879"/>
          </w:cols>
          <w:pgMar w:left="580" w:top="97" w:right="1440" w:bottom="1440" w:gutter="0" w:footer="0" w:header="0"/>
        </w:sectPr>
      </w:pPr>
    </w:p>
    <w:p>
      <w:pPr>
        <w:spacing w:after="0" w:line="3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439" w:firstLine="360"/>
        <w:spacing w:after="0" w:line="242" w:lineRule="auto"/>
        <w:rPr>
          <w:sz w:val="20"/>
          <w:szCs w:val="20"/>
          <w:color w:val="auto"/>
        </w:rPr>
      </w:pPr>
      <w:r>
        <w:rPr>
          <w:rFonts w:ascii="Times New Roman" w:cs="Times New Roman" w:eastAsia="Times New Roman" w:hAnsi="Times New Roman"/>
          <w:sz w:val="18"/>
          <w:szCs w:val="18"/>
          <w:color w:val="auto"/>
        </w:rPr>
        <w:t>BurTech and its board of directors have determined that there will not be sufficient time before March 15, 2023 (its current termination date) to hold a Special Meeting to obtain the requisite stockholder approval of, and to consummate, the Initial Business Combination. However, management believes that it can close the Initial Business Combination before September 15, 2023. Under the circumstances, the Company’s Sponsor or any of its affiliates (the “</w:t>
      </w:r>
      <w:r>
        <w:rPr>
          <w:rFonts w:ascii="Times New Roman" w:cs="Times New Roman" w:eastAsia="Times New Roman" w:hAnsi="Times New Roman"/>
          <w:sz w:val="18"/>
          <w:szCs w:val="18"/>
          <w:b w:val="1"/>
          <w:bCs w:val="1"/>
          <w:u w:val="single" w:color="auto"/>
          <w:color w:val="auto"/>
        </w:rPr>
        <w:t>Contributors</w:t>
      </w:r>
      <w:r>
        <w:rPr>
          <w:rFonts w:ascii="Times New Roman" w:cs="Times New Roman" w:eastAsia="Times New Roman" w:hAnsi="Times New Roman"/>
          <w:sz w:val="18"/>
          <w:szCs w:val="18"/>
          <w:color w:val="auto"/>
        </w:rPr>
        <w:t>”) will pay the extension amount for each proposed one-month extension on an as-needed basis, up to six (6) times for each one-month extension. After consultation with the Company’s Contributors, BurTech’s management has reasons to believe that, if the Charter Amendment Proposals and Trust Amendment Proposal are approved, the Contributors will make a $431,250 Contribution into the Trust Account as the first Extension Payment, upon five days’ advance notice prior to the applicable deadline, and extend the Combination Period for an additional one-month period each time until September 15, 2023, as needed. Each Contribution will be deposited in the Trust Account within two business days prior to the beginning of the additional extension period (or portion thereof), other than the first Contribution which will be made on the day of the approval of the Trust Amendment Proposal (or up to an aggregate of $2,587,500 for the total six -month period) . The Contribution(s) will bear no interest. The Contributions will be lost by the Contributors if the Company is unable to consummate an initial business combination except to the extent of any funds held outside of the Trust Account.</w:t>
      </w:r>
    </w:p>
    <w:p>
      <w:pPr>
        <w:spacing w:after="0" w:line="39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Is Not Approved</w:t>
      </w:r>
    </w:p>
    <w:p>
      <w:pPr>
        <w:spacing w:after="0" w:line="162" w:lineRule="exact"/>
        <w:rPr>
          <w:sz w:val="20"/>
          <w:szCs w:val="20"/>
          <w:color w:val="auto"/>
        </w:rPr>
      </w:pPr>
    </w:p>
    <w:p>
      <w:pPr>
        <w:ind w:left="1260" w:right="959" w:firstLine="360"/>
        <w:spacing w:after="0" w:line="250" w:lineRule="auto"/>
        <w:rPr>
          <w:sz w:val="20"/>
          <w:szCs w:val="20"/>
          <w:color w:val="auto"/>
        </w:rPr>
      </w:pPr>
      <w:r>
        <w:rPr>
          <w:rFonts w:ascii="Times New Roman" w:cs="Times New Roman" w:eastAsia="Times New Roman" w:hAnsi="Times New Roman"/>
          <w:sz w:val="18"/>
          <w:szCs w:val="18"/>
          <w:color w:val="auto"/>
        </w:rPr>
        <w:t>If the Trust Amendment Proposal is not approved, and we do not consummate an initial business combination by March 15, 2023, we will be required to dissolve and liquidate our Trust Account by returning the then remaining funds in such account to the public stockholders.</w:t>
      </w:r>
    </w:p>
    <w:p>
      <w:pPr>
        <w:spacing w:after="0" w:line="109" w:lineRule="exact"/>
        <w:rPr>
          <w:sz w:val="20"/>
          <w:szCs w:val="20"/>
          <w:color w:val="auto"/>
        </w:rPr>
      </w:pPr>
    </w:p>
    <w:p>
      <w:pPr>
        <w:ind w:left="1260" w:right="859" w:firstLine="360"/>
        <w:spacing w:after="0" w:line="258" w:lineRule="auto"/>
        <w:rPr>
          <w:sz w:val="20"/>
          <w:szCs w:val="20"/>
          <w:color w:val="auto"/>
        </w:rPr>
      </w:pPr>
      <w:r>
        <w:rPr>
          <w:rFonts w:ascii="Times New Roman" w:cs="Times New Roman" w:eastAsia="Times New Roman" w:hAnsi="Times New Roman"/>
          <w:sz w:val="18"/>
          <w:szCs w:val="18"/>
          <w:color w:val="auto"/>
        </w:rPr>
        <w:t>The Company’s initial stockholders have waived their rights to participate in any liquidation distribution with respect to their insider shares. The Company will pay the costs of liquidation from its remaining assets outside of the Trust Account.</w:t>
      </w:r>
    </w:p>
    <w:p>
      <w:pPr>
        <w:spacing w:after="0" w:line="165"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If the Trust Amendment Proposal Is Approved</w:t>
      </w:r>
    </w:p>
    <w:p>
      <w:pPr>
        <w:spacing w:after="0" w:line="162" w:lineRule="exact"/>
        <w:rPr>
          <w:sz w:val="20"/>
          <w:szCs w:val="20"/>
          <w:color w:val="auto"/>
        </w:rPr>
      </w:pPr>
    </w:p>
    <w:p>
      <w:pPr>
        <w:ind w:left="1260" w:right="439" w:firstLine="360"/>
        <w:spacing w:after="0" w:line="243" w:lineRule="auto"/>
        <w:rPr>
          <w:sz w:val="20"/>
          <w:szCs w:val="20"/>
          <w:color w:val="auto"/>
        </w:rPr>
      </w:pPr>
      <w:r>
        <w:rPr>
          <w:rFonts w:ascii="Times New Roman" w:cs="Times New Roman" w:eastAsia="Times New Roman" w:hAnsi="Times New Roman"/>
          <w:sz w:val="18"/>
          <w:szCs w:val="18"/>
          <w:color w:val="auto"/>
        </w:rPr>
        <w:t xml:space="preserve">If the Charter Amendment Proposals and the Trust Amendment Proposal are approved, the amendment to the Trust Agreement in the form of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will be executed and the Trust Account will not be disbursed except in connection with our completion of the Initial Business Combination or in connection with our liquidation if we do not complete an initial business combination by the applicable termination date. The Company will then continue to attempt to consummate a business combination until the applicable termination date or until the Company’s Board of Directors determines in its sole discretion that it will not be able to consummate an initial business combination by the applicable termination date as described below and does not wish to seek an additional extension.</w:t>
      </w:r>
    </w:p>
    <w:p>
      <w:pPr>
        <w:spacing w:after="0" w:line="18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619" w:firstLine="360"/>
        <w:spacing w:after="0" w:line="244" w:lineRule="auto"/>
        <w:rPr>
          <w:sz w:val="20"/>
          <w:szCs w:val="20"/>
          <w:color w:val="auto"/>
        </w:rPr>
      </w:pPr>
      <w:r>
        <w:rPr>
          <w:rFonts w:ascii="Times New Roman" w:cs="Times New Roman" w:eastAsia="Times New Roman" w:hAnsi="Times New Roman"/>
          <w:sz w:val="18"/>
          <w:szCs w:val="18"/>
          <w:color w:val="auto"/>
        </w:rPr>
        <w:t>Subject to the foregoing, the affirmative vote of at least 65% of the Company’s outstanding Common Stock, including the Founder Shares, Private Placement Shares and the Representative Shares, will be required to approve the Trust Amendment Proposal. Our Board will abandon and not implement the Trust Amendment Proposal unless our stockholders approve both the Charter Amendment Proposals and Trust Amendment Proposal. This means that if one proposal is approved by the stockholders and the other proposal is not, neither proposal will take effect. Notwithstanding stockholder approval of the Charter Amendment Proposals and Trust Amendment Proposal, our Board will retain the right to abandon and not implement the Charter Amendment and Trust Amendment at any time without any further action by our stockholders.</w:t>
      </w:r>
    </w:p>
    <w:p>
      <w:pPr>
        <w:spacing w:after="0" w:line="32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Our Board has fixed the close of business on January 26, 2023, as the date for determining</w:t>
      </w:r>
    </w:p>
    <w:p>
      <w:pPr>
        <w:spacing w:after="0" w:line="16" w:lineRule="exact"/>
        <w:rPr>
          <w:sz w:val="20"/>
          <w:szCs w:val="20"/>
          <w:color w:val="auto"/>
        </w:rPr>
      </w:pPr>
    </w:p>
    <w:p>
      <w:pPr>
        <w:ind w:left="1260" w:right="419"/>
        <w:spacing w:after="0" w:line="246" w:lineRule="auto"/>
        <w:rPr>
          <w:sz w:val="20"/>
          <w:szCs w:val="20"/>
          <w:color w:val="auto"/>
        </w:rPr>
      </w:pPr>
      <w:r>
        <w:rPr>
          <w:rFonts w:ascii="Times New Roman" w:cs="Times New Roman" w:eastAsia="Times New Roman" w:hAnsi="Times New Roman"/>
          <w:sz w:val="18"/>
          <w:szCs w:val="18"/>
          <w:color w:val="auto"/>
        </w:rPr>
        <w:t>the Company stockholders entitled to receive notice of and vote at the Special Meeting and any adjournment thereof. Only holders of record of the Company’s Common Stock on that date are entitled to have their votes counted at the Special Meeting or any adjournment thereof.</w:t>
      </w:r>
    </w:p>
    <w:p>
      <w:pPr>
        <w:spacing w:after="0" w:line="109" w:lineRule="exact"/>
        <w:rPr>
          <w:sz w:val="20"/>
          <w:szCs w:val="20"/>
          <w:color w:val="auto"/>
        </w:rPr>
      </w:pPr>
    </w:p>
    <w:p>
      <w:pPr>
        <w:ind w:left="1260" w:right="639" w:firstLine="360"/>
        <w:spacing w:after="0" w:line="301" w:lineRule="auto"/>
        <w:rPr>
          <w:sz w:val="20"/>
          <w:szCs w:val="20"/>
          <w:color w:val="auto"/>
        </w:rPr>
      </w:pPr>
      <w:r>
        <w:rPr>
          <w:rFonts w:ascii="Times New Roman" w:cs="Times New Roman" w:eastAsia="Times New Roman" w:hAnsi="Times New Roman"/>
          <w:sz w:val="17"/>
          <w:szCs w:val="17"/>
          <w:b w:val="1"/>
          <w:bCs w:val="1"/>
          <w:color w:val="auto"/>
        </w:rPr>
        <w:t>You are not being asked to vote on any business combination at this time. If the Trust Amendment is implemented and you do not elect to redeem your public shares of Class A common stock now, you will retain</w:t>
      </w:r>
    </w:p>
    <w:p>
      <w:pPr>
        <w:spacing w:after="0" w:line="32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5" w:name="page36"/>
    <w:bookmarkEnd w:id="35"/>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260" w:right="479"/>
        <w:spacing w:after="0" w:line="259" w:lineRule="auto"/>
        <w:rPr>
          <w:sz w:val="20"/>
          <w:szCs w:val="20"/>
          <w:color w:val="auto"/>
        </w:rPr>
      </w:pPr>
      <w:r>
        <w:rPr>
          <w:rFonts w:ascii="Times New Roman" w:cs="Times New Roman" w:eastAsia="Times New Roman" w:hAnsi="Times New Roman"/>
          <w:sz w:val="18"/>
          <w:szCs w:val="18"/>
          <w:b w:val="1"/>
          <w:bCs w:val="1"/>
          <w:color w:val="auto"/>
        </w:rPr>
        <w:t>the right to vote on an initial business combination when it is submitted to stockholders and the right to redeem your public shares of Class A common stock into a pro rata portion of the Trust Account in the event a business combination is approved and completed (as long as your election is made at least two (2) business days prior to the meeting at which the stockholders’ vote is sought) or the Company has not consummated the business combination by the applicable termination date.</w:t>
      </w:r>
    </w:p>
    <w:p>
      <w:pPr>
        <w:spacing w:after="0" w:line="17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The Company’s board of directors recommends that you vote “FOR” the Trust Amendment Proposal.</w:t>
      </w:r>
    </w:p>
    <w:p>
      <w:pPr>
        <w:spacing w:after="0" w:line="16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recommends that you vote “FOR” the Trust Amendment Proposal.</w:t>
      </w:r>
    </w:p>
    <w:p>
      <w:pPr>
        <w:spacing w:after="0" w:line="22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PROPOSAL 3: THE ADJOURNMENT PROPOSAL</w:t>
      </w:r>
    </w:p>
    <w:p>
      <w:pPr>
        <w:spacing w:after="0" w:line="148" w:lineRule="exact"/>
        <w:rPr>
          <w:sz w:val="20"/>
          <w:szCs w:val="20"/>
          <w:color w:val="auto"/>
        </w:rPr>
      </w:pPr>
    </w:p>
    <w:p>
      <w:pPr>
        <w:ind w:left="1260" w:right="439" w:firstLine="360"/>
        <w:spacing w:after="0" w:line="254" w:lineRule="auto"/>
        <w:rPr>
          <w:sz w:val="20"/>
          <w:szCs w:val="20"/>
          <w:color w:val="auto"/>
        </w:rPr>
      </w:pPr>
      <w:r>
        <w:rPr>
          <w:rFonts w:ascii="Times New Roman" w:cs="Times New Roman" w:eastAsia="Times New Roman" w:hAnsi="Times New Roman"/>
          <w:sz w:val="18"/>
          <w:szCs w:val="18"/>
          <w:color w:val="auto"/>
        </w:rPr>
        <w:t>The adjournment proposal, if adopted, will request the chairman of the Special Meeting (who has agreed to act accordingly) to adjourn the Special Meeting to a later date or dates to permit further solicitation of proxies. The adjournment proposal will only be presented to our stockholders in the event, based on the tabulated votes, there are not sufficient votes at the time of the Special Meeting to approve the other proposal in this proxy statement. If the adjournment proposal is not approved by our stockholders, the chairman of the meeting will not exercise his ability to adjourn the Special Meeting to a later date (which he would otherwise have under the Chairman) in the event, based on the tabulated votes, there are not sufficient votes at the time of the Special Meeting to approve the other proposal.</w:t>
      </w:r>
    </w:p>
    <w:p>
      <w:pPr>
        <w:spacing w:after="0" w:line="18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62" w:lineRule="exact"/>
        <w:rPr>
          <w:sz w:val="20"/>
          <w:szCs w:val="20"/>
          <w:color w:val="auto"/>
        </w:rPr>
      </w:pPr>
    </w:p>
    <w:p>
      <w:pPr>
        <w:ind w:left="1260" w:right="779" w:firstLine="360"/>
        <w:spacing w:after="0" w:line="266" w:lineRule="auto"/>
        <w:rPr>
          <w:sz w:val="20"/>
          <w:szCs w:val="20"/>
          <w:color w:val="auto"/>
        </w:rPr>
      </w:pPr>
      <w:r>
        <w:rPr>
          <w:rFonts w:ascii="Times New Roman" w:cs="Times New Roman" w:eastAsia="Times New Roman" w:hAnsi="Times New Roman"/>
          <w:sz w:val="18"/>
          <w:szCs w:val="18"/>
          <w:color w:val="auto"/>
        </w:rPr>
        <w:t>If a majority of the shares present in person or by proxy and voting on the matter at the Special Meeting vote for the adjournment proposal, the chairman of the Special Meeting will exercise his or her power to adjourn the meeting as set out above.</w:t>
      </w:r>
    </w:p>
    <w:p>
      <w:pPr>
        <w:spacing w:after="0" w:line="17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The Company’s board of directors recommends that you vote “FOR” the adjournment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6" w:name="page37"/>
    <w:bookmarkEnd w:id="36"/>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THE SPECIAL MEETING</w:t>
      </w:r>
    </w:p>
    <w:p>
      <w:pPr>
        <w:spacing w:after="0" w:line="158" w:lineRule="exact"/>
        <w:rPr>
          <w:sz w:val="20"/>
          <w:szCs w:val="20"/>
          <w:color w:val="auto"/>
        </w:rPr>
      </w:pPr>
    </w:p>
    <w:p>
      <w:pPr>
        <w:ind w:left="1260" w:right="439" w:firstLine="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Date, Time and Place. </w:t>
      </w:r>
      <w:r>
        <w:rPr>
          <w:rFonts w:ascii="Times New Roman" w:cs="Times New Roman" w:eastAsia="Times New Roman" w:hAnsi="Times New Roman"/>
          <w:sz w:val="18"/>
          <w:szCs w:val="18"/>
          <w:color w:val="auto"/>
        </w:rPr>
        <w:t>The Special Meeting will be held at 11:30 a.m., ET on March 1, 2023 virtually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https://www.cstproxy.com/burtechacq/2023</w:t>
      </w:r>
    </w:p>
    <w:p>
      <w:pPr>
        <w:spacing w:after="0" w:line="9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TO INSERT MEETING INFORMATION</w:t>
      </w:r>
    </w:p>
    <w:p>
      <w:pPr>
        <w:spacing w:after="0" w:line="140" w:lineRule="exact"/>
        <w:rPr>
          <w:sz w:val="20"/>
          <w:szCs w:val="20"/>
          <w:color w:val="auto"/>
        </w:rPr>
      </w:pPr>
    </w:p>
    <w:p>
      <w:pPr>
        <w:ind w:left="1260" w:right="55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Voting Power; Record Date. </w:t>
      </w:r>
      <w:r>
        <w:rPr>
          <w:rFonts w:ascii="Times New Roman" w:cs="Times New Roman" w:eastAsia="Times New Roman" w:hAnsi="Times New Roman"/>
          <w:sz w:val="18"/>
          <w:szCs w:val="18"/>
          <w:color w:val="auto"/>
        </w:rPr>
        <w:t>You will be entitled to vote or direct votes to be cast at the Special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Meeting, if you owned Public Shares at the close of business on January 26, 2023, the Record Date for the Special Meeting. At the close of business on the Record Date, there were 34,429,500 shares of Common Stock outstanding each of which entitles its holder to cast one vote on the proposal. This includes 28,750,000 shares of Class A common stock, par value $0.0001 per share, and 9,487,500 shares of Class B common stock, par value $0.0001 per share.</w:t>
      </w:r>
    </w:p>
    <w:p>
      <w:pPr>
        <w:spacing w:after="0" w:line="115" w:lineRule="exact"/>
        <w:rPr>
          <w:sz w:val="20"/>
          <w:szCs w:val="20"/>
          <w:color w:val="auto"/>
        </w:rPr>
      </w:pPr>
    </w:p>
    <w:p>
      <w:pPr>
        <w:ind w:left="1260" w:right="439" w:firstLine="36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Proxies; Board Solicitation. </w:t>
      </w:r>
      <w:r>
        <w:rPr>
          <w:rFonts w:ascii="Times New Roman" w:cs="Times New Roman" w:eastAsia="Times New Roman" w:hAnsi="Times New Roman"/>
          <w:sz w:val="18"/>
          <w:szCs w:val="18"/>
          <w:color w:val="auto"/>
        </w:rPr>
        <w:t>Your proxy is being solicited by the Board on the proposals being presented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stockholders at the Special Meeting. No recommendation is being made as to whether you should elect to redeem your shares. Proxies may be solicited in person or by telephone. If you grant a proxy, you may still revoke your proxy and vote your shares in person at the Special Meeting. Advantage is assisting the Company in the proxy solicitation process for this Special Meeting. The Company will pay that firm approximately $7,500 in fees, plus disbursements for such services.</w:t>
      </w:r>
    </w:p>
    <w:p>
      <w:pPr>
        <w:spacing w:after="0" w:line="18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Required Votes</w:t>
      </w:r>
    </w:p>
    <w:p>
      <w:pPr>
        <w:spacing w:after="0" w:line="158" w:lineRule="exact"/>
        <w:rPr>
          <w:sz w:val="20"/>
          <w:szCs w:val="20"/>
          <w:color w:val="auto"/>
        </w:rPr>
      </w:pPr>
    </w:p>
    <w:p>
      <w:pPr>
        <w:ind w:left="1620" w:right="7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Charter Amendment Proposals</w:t>
      </w:r>
      <w:r>
        <w:rPr>
          <w:rFonts w:ascii="Times New Roman" w:cs="Times New Roman" w:eastAsia="Times New Roman" w:hAnsi="Times New Roman"/>
          <w:sz w:val="18"/>
          <w:szCs w:val="18"/>
          <w:color w:val="auto"/>
        </w:rPr>
        <w:t>. The Charter Amendment Proposals must be approved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affirmative vote of more than 65% of the holders of Common Stock who, being present in person (including virtually) or represented by proxy and entitled to vote at the Special Meeting, vote at the Special Meeting.</w:t>
      </w:r>
    </w:p>
    <w:p>
      <w:pPr>
        <w:spacing w:after="0" w:line="95" w:lineRule="exact"/>
        <w:rPr>
          <w:sz w:val="20"/>
          <w:szCs w:val="20"/>
          <w:color w:val="auto"/>
        </w:rPr>
      </w:pPr>
    </w:p>
    <w:p>
      <w:pPr>
        <w:ind w:left="1620" w:right="479" w:firstLine="360"/>
        <w:spacing w:after="0" w:line="265" w:lineRule="auto"/>
        <w:rPr>
          <w:sz w:val="20"/>
          <w:szCs w:val="20"/>
          <w:color w:val="auto"/>
        </w:rPr>
      </w:pPr>
      <w:r>
        <w:rPr>
          <w:rFonts w:ascii="Times New Roman" w:cs="Times New Roman" w:eastAsia="Times New Roman" w:hAnsi="Times New Roman"/>
          <w:sz w:val="18"/>
          <w:szCs w:val="18"/>
          <w:b w:val="1"/>
          <w:bCs w:val="1"/>
          <w:color w:val="auto"/>
        </w:rPr>
        <w:t>Trust Amendment Proposal</w:t>
      </w:r>
      <w:r>
        <w:rPr>
          <w:rFonts w:ascii="Times New Roman" w:cs="Times New Roman" w:eastAsia="Times New Roman" w:hAnsi="Times New Roman"/>
          <w:sz w:val="18"/>
          <w:szCs w:val="18"/>
          <w:color w:val="auto"/>
        </w:rPr>
        <w:t>. The Trust Amendment Proposal must be approved by the affirmative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vote of more than 65% of the holders of Common Stock who, being present in person (including virtually) or represented by proxy and entitled to vote at the Special Meeting, vote at the Special Meeting.</w:t>
      </w:r>
    </w:p>
    <w:p>
      <w:pPr>
        <w:spacing w:after="0" w:line="327" w:lineRule="exact"/>
        <w:rPr>
          <w:sz w:val="20"/>
          <w:szCs w:val="20"/>
          <w:color w:val="auto"/>
        </w:rPr>
      </w:pPr>
    </w:p>
    <w:p>
      <w:pPr>
        <w:ind w:left="1620" w:right="4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Adjournment Proposal</w:t>
      </w:r>
      <w:r>
        <w:rPr>
          <w:rFonts w:ascii="Times New Roman" w:cs="Times New Roman" w:eastAsia="Times New Roman" w:hAnsi="Times New Roman"/>
          <w:sz w:val="18"/>
          <w:szCs w:val="18"/>
          <w:color w:val="auto"/>
        </w:rPr>
        <w:t>. The Adjournment Proposal must be approved by the affirmative vote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the holders of Common Stock who, being present in person (including virtually) or represented by proxy and entitled to vote at the Special Meeting, vote at the Special Meeting.</w:t>
      </w:r>
    </w:p>
    <w:p>
      <w:pPr>
        <w:spacing w:after="0" w:line="107" w:lineRule="exact"/>
        <w:rPr>
          <w:sz w:val="20"/>
          <w:szCs w:val="20"/>
          <w:color w:val="auto"/>
        </w:rPr>
      </w:pPr>
    </w:p>
    <w:p>
      <w:pPr>
        <w:jc w:val="both"/>
        <w:ind w:left="1260" w:right="499" w:firstLine="360"/>
        <w:spacing w:after="0" w:line="258" w:lineRule="auto"/>
        <w:rPr>
          <w:sz w:val="20"/>
          <w:szCs w:val="20"/>
          <w:color w:val="auto"/>
        </w:rPr>
      </w:pPr>
      <w:r>
        <w:rPr>
          <w:rFonts w:ascii="Times New Roman" w:cs="Times New Roman" w:eastAsia="Times New Roman" w:hAnsi="Times New Roman"/>
          <w:sz w:val="18"/>
          <w:szCs w:val="18"/>
          <w:color w:val="auto"/>
        </w:rPr>
        <w:t>Abstentions and broker non-votes, while considered present for the purposes of establishing a quorum, are not treated as votes cast and will have no effect on the proposals. As a result, if you abstain from voting on any of the proposals, your shares will be counted as present for purposes of establishing a quorum (if so present in accordance with the terms of our Charter), but the abstention will have no effect on the outcome of such proposal.</w:t>
      </w:r>
    </w:p>
    <w:p>
      <w:pPr>
        <w:spacing w:after="0" w:line="102" w:lineRule="exact"/>
        <w:rPr>
          <w:sz w:val="20"/>
          <w:szCs w:val="20"/>
          <w:color w:val="auto"/>
        </w:rPr>
      </w:pPr>
    </w:p>
    <w:p>
      <w:pPr>
        <w:ind w:left="1260" w:right="519" w:firstLine="360"/>
        <w:spacing w:after="0" w:line="255" w:lineRule="auto"/>
        <w:rPr>
          <w:sz w:val="20"/>
          <w:szCs w:val="20"/>
          <w:color w:val="auto"/>
        </w:rPr>
      </w:pPr>
      <w:r>
        <w:rPr>
          <w:rFonts w:ascii="Times New Roman" w:cs="Times New Roman" w:eastAsia="Times New Roman" w:hAnsi="Times New Roman"/>
          <w:sz w:val="18"/>
          <w:szCs w:val="18"/>
          <w:color w:val="auto"/>
        </w:rPr>
        <w:t>If you do not want to approve the Charter Amendment Proposal, the Trust Amendment Proposal or the Adjournment Proposal, you must vote against each proposal. The approval of the Charter Amendment Proposals and the Trust Amendment Proposal are essential to the implementation of our board’s plan to extend the date by which we must consummate our initial business combination. Therefore, our board will abandon and not implement the Charter Amendment Proposals unless our stockholders approve both the Charter Amendment Proposals and the Trust Amendment Proposal. This means that if one proposal is approved by the stockholders and the other proposal is not, neither proposal will take effect.</w:t>
      </w:r>
    </w:p>
    <w:p>
      <w:pPr>
        <w:spacing w:after="0" w:line="121" w:lineRule="exact"/>
        <w:rPr>
          <w:sz w:val="20"/>
          <w:szCs w:val="20"/>
          <w:color w:val="auto"/>
        </w:rPr>
      </w:pPr>
    </w:p>
    <w:p>
      <w:pPr>
        <w:ind w:left="1260" w:right="519" w:firstLine="360"/>
        <w:spacing w:after="0" w:line="256" w:lineRule="auto"/>
        <w:rPr>
          <w:sz w:val="20"/>
          <w:szCs w:val="20"/>
          <w:color w:val="auto"/>
        </w:rPr>
      </w:pPr>
      <w:r>
        <w:rPr>
          <w:rFonts w:ascii="Times New Roman" w:cs="Times New Roman" w:eastAsia="Times New Roman" w:hAnsi="Times New Roman"/>
          <w:sz w:val="18"/>
          <w:szCs w:val="18"/>
          <w:color w:val="auto"/>
        </w:rPr>
        <w:t>The Sponsor, the Representative and all of the Company’s directors, executive officers, initial stockholders and their affiliates are expected to vote any Common Stock owned by them in favor of the Charter Amendment Proposals and the Trust Amendment Proposal. On the Record Date, our initial stockholders beneficially owned and were entitled to vote 10,385,750 shares of Common Stock, which includes 9,487,500 shares of Class B common stock and 898,250 shares of Class A common stock from the private placement, representing approximately 26.6% of the Company’s issued and outstanding shares of Common Stock.</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7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STOCKHOLDER PROPOSALS</w:t>
      </w:r>
    </w:p>
    <w:p>
      <w:pPr>
        <w:spacing w:after="0" w:line="162" w:lineRule="exact"/>
        <w:rPr>
          <w:sz w:val="20"/>
          <w:szCs w:val="20"/>
          <w:color w:val="auto"/>
        </w:rPr>
      </w:pPr>
    </w:p>
    <w:p>
      <w:pPr>
        <w:ind w:left="1260" w:right="619" w:firstLine="360"/>
        <w:spacing w:after="0" w:line="256"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approved, the Extension Amendment is effective, the Trust Amendment is executed and the Initial Business Combination is consummated, we expect that the post-Initial Business Combination Company will hold its 2023 annual meeting of stockholders in 2023. The date of such meeting and the date by which you may submit a proposal for inclusion in the proxy statement will be included in a Current Report on Form 8-K or a Quarterly Report on Form 10-Q.</w:t>
      </w:r>
    </w:p>
    <w:p>
      <w:pPr>
        <w:spacing w:after="0" w:line="120"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If the Charter Amendment Proposals and the Trust Amendment Proposal are not approved and the Initial Business Combination is not consummated, there will be no further annual meetings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w:t>
      </w:r>
    </w:p>
    <w:p>
      <w:pPr>
        <w:spacing w:after="0" w:line="162" w:lineRule="exact"/>
        <w:rPr>
          <w:sz w:val="20"/>
          <w:szCs w:val="20"/>
          <w:color w:val="auto"/>
        </w:rPr>
      </w:pPr>
    </w:p>
    <w:p>
      <w:pPr>
        <w:ind w:left="1260" w:right="499" w:firstLine="360"/>
        <w:spacing w:after="0" w:line="255" w:lineRule="auto"/>
        <w:rPr>
          <w:sz w:val="20"/>
          <w:szCs w:val="20"/>
          <w:color w:val="auto"/>
        </w:rPr>
      </w:pPr>
      <w:r>
        <w:rPr>
          <w:rFonts w:ascii="Times New Roman" w:cs="Times New Roman" w:eastAsia="Times New Roman" w:hAnsi="Times New Roman"/>
          <w:sz w:val="18"/>
          <w:szCs w:val="18"/>
          <w:color w:val="auto"/>
        </w:rPr>
        <w:t>Pursuant to the rules of the SEC, the Company and its agents that deliver communications to its stockholders are permitted to deliver to two or more stockholders sharing the same address a single copy of the Company’s proxy statement. Upon written or oral request, the Company will deliver a separate copy of the proxy statement to any stockholder at a shared address who wishes to receive separate copies of such documents in the future. Stockholders receiving multiple copies of such documents may likewise request that the Company deliver single copies of such documents in the future. stockholders may notify the Company of their requests by calling or writing the Company’s proxy solicitation agent at:</w:t>
      </w:r>
    </w:p>
    <w:p>
      <w:pPr>
        <w:spacing w:after="0" w:line="121"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Advantage Proxy, Inc.</w:t>
      </w:r>
    </w:p>
    <w:p>
      <w:pPr>
        <w:spacing w:after="0" w:line="27"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P.O. Box 13581</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Des Moines, WA 98198</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Toll Free: (877) 870-8565</w:t>
      </w:r>
    </w:p>
    <w:p>
      <w:pPr>
        <w:spacing w:after="0" w:line="9" w:lineRule="exact"/>
        <w:rPr>
          <w:sz w:val="20"/>
          <w:szCs w:val="20"/>
          <w:color w:val="auto"/>
        </w:rPr>
      </w:pPr>
    </w:p>
    <w:p>
      <w:pPr>
        <w:jc w:val="center"/>
        <w:ind w:right="-800"/>
        <w:spacing w:after="0"/>
        <w:rPr>
          <w:sz w:val="20"/>
          <w:szCs w:val="20"/>
          <w:color w:val="auto"/>
        </w:rPr>
      </w:pPr>
      <w:r>
        <w:rPr>
          <w:rFonts w:ascii="Times New Roman" w:cs="Times New Roman" w:eastAsia="Times New Roman" w:hAnsi="Times New Roman"/>
          <w:sz w:val="18"/>
          <w:szCs w:val="18"/>
          <w:color w:val="auto"/>
        </w:rPr>
        <w:t>Collect: (206) 870-8565</w:t>
      </w:r>
    </w:p>
    <w:p>
      <w:pPr>
        <w:spacing w:after="0" w:line="9"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Email: ksmith@advantageproxy.com</w:t>
      </w:r>
    </w:p>
    <w:p>
      <w:pPr>
        <w:spacing w:after="0" w:line="20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48" w:lineRule="exact"/>
        <w:rPr>
          <w:sz w:val="20"/>
          <w:szCs w:val="20"/>
          <w:color w:val="auto"/>
        </w:rPr>
      </w:pPr>
    </w:p>
    <w:p>
      <w:pPr>
        <w:ind w:left="1260" w:right="539" w:firstLine="360"/>
        <w:spacing w:after="0" w:line="266" w:lineRule="auto"/>
        <w:rPr>
          <w:sz w:val="20"/>
          <w:szCs w:val="20"/>
          <w:color w:val="auto"/>
        </w:rPr>
      </w:pPr>
      <w:r>
        <w:rPr>
          <w:rFonts w:ascii="Times New Roman" w:cs="Times New Roman" w:eastAsia="Times New Roman" w:hAnsi="Times New Roman"/>
          <w:sz w:val="18"/>
          <w:szCs w:val="18"/>
          <w:color w:val="auto"/>
        </w:rPr>
        <w:t>The Company’s 2021 Annual Report on Form 10-K, excluding exhibits, will be mailed without charge to any shareholder entitled to vote at the meeting, upon written request to Secretary, BurTech Acquisition Corp. at roman@burkhan.world.</w:t>
      </w:r>
    </w:p>
    <w:p>
      <w:pPr>
        <w:spacing w:after="0" w:line="172"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Other Matters to Be Presented at the Special Meeting</w:t>
      </w:r>
    </w:p>
    <w:p>
      <w:pPr>
        <w:spacing w:after="0" w:line="162" w:lineRule="exact"/>
        <w:rPr>
          <w:sz w:val="20"/>
          <w:szCs w:val="20"/>
          <w:color w:val="auto"/>
        </w:rPr>
      </w:pPr>
    </w:p>
    <w:p>
      <w:pPr>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The Company did not have notice of any matter to be presented for action at the Special Meeting, except as discussed in this proxy statement. The persons authorized by the accompanying form of proxy will vote in their discretion as to any other matter that comes before the Special Meeting.</w:t>
      </w:r>
    </w:p>
    <w:p>
      <w:pPr>
        <w:spacing w:after="0" w:line="172"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62" w:lineRule="exact"/>
        <w:rPr>
          <w:sz w:val="20"/>
          <w:szCs w:val="20"/>
          <w:color w:val="auto"/>
        </w:rPr>
      </w:pPr>
    </w:p>
    <w:p>
      <w:pPr>
        <w:jc w:val="both"/>
        <w:ind w:left="1260" w:right="559" w:firstLine="360"/>
        <w:spacing w:after="0" w:line="261" w:lineRule="auto"/>
        <w:rPr>
          <w:sz w:val="20"/>
          <w:szCs w:val="20"/>
          <w:color w:val="auto"/>
        </w:rPr>
      </w:pPr>
      <w:r>
        <w:rPr>
          <w:rFonts w:ascii="Times New Roman" w:cs="Times New Roman" w:eastAsia="Times New Roman" w:hAnsi="Times New Roman"/>
          <w:sz w:val="18"/>
          <w:szCs w:val="18"/>
          <w:color w:val="auto"/>
        </w:rPr>
        <w:t>The Company files annual, quarterly and current reports, proxy statements and other information with the SEC. The SEC maintains an Internet web site that contains reports, proxy and information statements, and other information regarding issuers, including us, that file electronically with the SEC. The public can obtain any documents that we file electronically with the SEC at www.sec.gov.</w:t>
      </w:r>
    </w:p>
    <w:p>
      <w:pPr>
        <w:spacing w:after="0" w:line="99" w:lineRule="exact"/>
        <w:rPr>
          <w:sz w:val="20"/>
          <w:szCs w:val="20"/>
          <w:color w:val="auto"/>
        </w:rPr>
      </w:pPr>
    </w:p>
    <w:p>
      <w:pPr>
        <w:ind w:left="1260" w:right="419" w:firstLine="360"/>
        <w:spacing w:after="0" w:line="261" w:lineRule="auto"/>
        <w:rPr>
          <w:sz w:val="20"/>
          <w:szCs w:val="20"/>
          <w:color w:val="auto"/>
        </w:rPr>
      </w:pPr>
      <w:r>
        <w:rPr>
          <w:rFonts w:ascii="Times New Roman" w:cs="Times New Roman" w:eastAsia="Times New Roman" w:hAnsi="Times New Roman"/>
          <w:sz w:val="18"/>
          <w:szCs w:val="18"/>
          <w:color w:val="auto"/>
        </w:rPr>
        <w:t>This Proxy Statement describes the material elements of relevant contracts, exhibits and other information attached as annexes to this Proxy Statement. Information and statements contained in this Proxy Statement are qualified in all respects by reference to the copy of the relevant contract or other document included as an annex to this document.</w:t>
      </w:r>
    </w:p>
    <w:p>
      <w:pPr>
        <w:spacing w:after="0" w:line="112" w:lineRule="exact"/>
        <w:rPr>
          <w:sz w:val="20"/>
          <w:szCs w:val="20"/>
          <w:color w:val="auto"/>
        </w:rPr>
      </w:pPr>
    </w:p>
    <w:p>
      <w:pPr>
        <w:ind w:left="1260" w:right="639" w:firstLine="360"/>
        <w:spacing w:after="0" w:line="266" w:lineRule="auto"/>
        <w:rPr>
          <w:sz w:val="20"/>
          <w:szCs w:val="20"/>
          <w:color w:val="auto"/>
        </w:rPr>
      </w:pPr>
      <w:r>
        <w:rPr>
          <w:rFonts w:ascii="Times New Roman" w:cs="Times New Roman" w:eastAsia="Times New Roman" w:hAnsi="Times New Roman"/>
          <w:sz w:val="18"/>
          <w:szCs w:val="18"/>
          <w:color w:val="auto"/>
        </w:rPr>
        <w:t>You may obtain additional copies of this Proxy Statement, at no cost, and you may ask any questions you may have about the Charter Amendment Proposals or the Adjournment by contacting us at the following address or telephone number:</w:t>
      </w:r>
    </w:p>
    <w:p>
      <w:pPr>
        <w:spacing w:after="0" w:line="17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3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1300 Pennsylvania Ave NW, Suite 700</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b w:val="1"/>
          <w:bCs w:val="1"/>
          <w:color w:val="auto"/>
        </w:rPr>
        <w:t>Washington, DC 20004</w:t>
      </w:r>
    </w:p>
    <w:p>
      <w:pPr>
        <w:spacing w:after="0" w:line="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(202) 600-5757</w:t>
      </w:r>
    </w:p>
    <w:p>
      <w:pPr>
        <w:spacing w:after="0" w:line="139"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You may also obtain these documents at no cost by requesting them in writing or by telephone from the</w:t>
      </w:r>
    </w:p>
    <w:p>
      <w:pPr>
        <w:spacing w:after="0" w:line="2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Company’s proxy solicitation agent at the following address and telephone number:</w:t>
      </w:r>
    </w:p>
    <w:p>
      <w:pPr>
        <w:spacing w:after="0" w:line="203"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PROXY CO CONTACT INFORMATION</w:t>
      </w:r>
    </w:p>
    <w:p>
      <w:pPr>
        <w:spacing w:after="0" w:line="148" w:lineRule="exact"/>
        <w:rPr>
          <w:sz w:val="20"/>
          <w:szCs w:val="20"/>
          <w:color w:val="auto"/>
        </w:rPr>
      </w:pPr>
    </w:p>
    <w:p>
      <w:pPr>
        <w:ind w:left="1260" w:right="459" w:firstLine="360"/>
        <w:spacing w:after="0" w:line="282" w:lineRule="auto"/>
        <w:rPr>
          <w:sz w:val="20"/>
          <w:szCs w:val="20"/>
          <w:color w:val="auto"/>
        </w:rPr>
      </w:pPr>
      <w:r>
        <w:rPr>
          <w:rFonts w:ascii="Times New Roman" w:cs="Times New Roman" w:eastAsia="Times New Roman" w:hAnsi="Times New Roman"/>
          <w:sz w:val="18"/>
          <w:szCs w:val="18"/>
          <w:color w:val="auto"/>
        </w:rPr>
        <w:t>In order to receive timely delivery of the documents in advance of the Special Meeting, you must make your request for information no later than February 17, 2023.</w:t>
      </w:r>
    </w:p>
    <w:p>
      <w:pPr>
        <w:spacing w:after="0" w:line="35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Charter Amendment</w:t>
      </w:r>
    </w:p>
    <w:p>
      <w:pPr>
        <w:spacing w:after="0" w:line="16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AMENDMENT TO THE</w:t>
      </w:r>
    </w:p>
    <w:p>
      <w:pPr>
        <w:spacing w:after="0" w:line="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AMENDED AND RESTATED</w:t>
      </w:r>
    </w:p>
    <w:p>
      <w:pPr>
        <w:spacing w:after="0" w:line="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CERTIFICATE OF INCORPORATION OF</w:t>
      </w:r>
    </w:p>
    <w:p>
      <w:pPr>
        <w:jc w:val="center"/>
        <w:ind w:right="-8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84"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8"/>
          <w:szCs w:val="18"/>
          <w:color w:val="auto"/>
        </w:rPr>
        <w:t>March 1, 2023</w:t>
      </w:r>
    </w:p>
    <w:p>
      <w:pPr>
        <w:spacing w:after="0" w:line="158"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8"/>
          <w:szCs w:val="18"/>
          <w:color w:val="auto"/>
        </w:rPr>
        <w:t>BurTech Acquisition Corp., a corporation organized and existing under the laws of the State of</w:t>
      </w:r>
    </w:p>
    <w:p>
      <w:pPr>
        <w:spacing w:after="0" w:line="1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Delaware (the “</w:t>
      </w:r>
      <w:r>
        <w:rPr>
          <w:rFonts w:ascii="Times New Roman" w:cs="Times New Roman" w:eastAsia="Times New Roman" w:hAnsi="Times New Roman"/>
          <w:sz w:val="18"/>
          <w:szCs w:val="18"/>
          <w:b w:val="1"/>
          <w:bCs w:val="1"/>
          <w:u w:val="single" w:color="auto"/>
          <w:color w:val="auto"/>
        </w:rPr>
        <w:t>Corporation</w:t>
      </w:r>
      <w:r>
        <w:rPr>
          <w:rFonts w:ascii="Times New Roman" w:cs="Times New Roman" w:eastAsia="Times New Roman" w:hAnsi="Times New Roman"/>
          <w:sz w:val="18"/>
          <w:szCs w:val="18"/>
          <w:color w:val="auto"/>
        </w:rPr>
        <w:t>”), DOES HEREBY CERTIFY AS FOLLOWS:</w:t>
      </w:r>
    </w:p>
    <w:p>
      <w:pPr>
        <w:spacing w:after="0" w:line="124" w:lineRule="exact"/>
        <w:rPr>
          <w:sz w:val="20"/>
          <w:szCs w:val="20"/>
          <w:color w:val="auto"/>
        </w:rPr>
      </w:pPr>
    </w:p>
    <w:p>
      <w:pPr>
        <w:ind w:left="1620" w:right="579" w:firstLine="360"/>
        <w:spacing w:after="0" w:line="247" w:lineRule="auto"/>
        <w:tabs>
          <w:tab w:leader="none" w:pos="2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“BurTech Acquisition Corp.” The original certificate of incorporation of the Corporation was filed with the Secretary of State of the State of Delaware on March 02, 2021. The Amended and Restated Certificate of Incorporation of the Corporation was filed with the Secretary of State of Delaware on May 19, 2021. The Second Amended and Restated Certificate of Incorporation of the Corporation was filed with the Secretary of State of Delaware on December 13, 2021 (the “</w:t>
      </w:r>
      <w:r>
        <w:rPr>
          <w:rFonts w:ascii="Times New Roman" w:cs="Times New Roman" w:eastAsia="Times New Roman" w:hAnsi="Times New Roman"/>
          <w:sz w:val="18"/>
          <w:szCs w:val="18"/>
          <w:b w:val="1"/>
          <w:bCs w:val="1"/>
          <w:u w:val="single" w:color="auto"/>
          <w:color w:val="auto"/>
        </w:rPr>
        <w:t>Second Amended and Restated Certificate</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1620" w:right="1099" w:firstLine="360"/>
        <w:spacing w:after="0" w:line="266" w:lineRule="auto"/>
        <w:tabs>
          <w:tab w:leader="none" w:pos="2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amends the Second Amended and Restated Certificate.</w:t>
      </w:r>
    </w:p>
    <w:p>
      <w:pPr>
        <w:spacing w:after="0" w:line="94" w:lineRule="exact"/>
        <w:rPr>
          <w:rFonts w:ascii="Times New Roman" w:cs="Times New Roman" w:eastAsia="Times New Roman" w:hAnsi="Times New Roman"/>
          <w:sz w:val="18"/>
          <w:szCs w:val="18"/>
          <w:color w:val="auto"/>
        </w:rPr>
      </w:pPr>
    </w:p>
    <w:p>
      <w:pPr>
        <w:ind w:left="1620" w:right="719" w:firstLine="360"/>
        <w:spacing w:after="0" w:line="258" w:lineRule="auto"/>
        <w:tabs>
          <w:tab w:leader="none" w:pos="226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to the Second Amended and Restated Certificate was duly adopted by the Board of Directors of the Corporation and the stockholders of the Corporation in accordance with Section 242 of the General Corporation Law of the State of Delaware.</w:t>
      </w:r>
    </w:p>
    <w:p>
      <w:pPr>
        <w:spacing w:after="0" w:line="101" w:lineRule="exact"/>
        <w:rPr>
          <w:rFonts w:ascii="Times New Roman" w:cs="Times New Roman" w:eastAsia="Times New Roman" w:hAnsi="Times New Roman"/>
          <w:sz w:val="18"/>
          <w:szCs w:val="18"/>
          <w:color w:val="auto"/>
        </w:rPr>
      </w:pPr>
    </w:p>
    <w:p>
      <w:pPr>
        <w:ind w:left="2260" w:hanging="280"/>
        <w:spacing w:after="0"/>
        <w:tabs>
          <w:tab w:leader="none" w:pos="226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9.1(b) of Article NINE is hereby amended and restated to read in full as</w:t>
      </w:r>
    </w:p>
    <w:p>
      <w:pPr>
        <w:spacing w:after="0" w:line="15"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24" w:lineRule="exact"/>
        <w:rPr>
          <w:sz w:val="20"/>
          <w:szCs w:val="20"/>
          <w:color w:val="auto"/>
        </w:rPr>
      </w:pPr>
    </w:p>
    <w:p>
      <w:pPr>
        <w:ind w:left="1980" w:right="479" w:firstLine="360"/>
        <w:spacing w:after="0" w:line="242" w:lineRule="auto"/>
        <w:rPr>
          <w:sz w:val="20"/>
          <w:szCs w:val="20"/>
          <w:color w:val="auto"/>
        </w:rPr>
      </w:pPr>
      <w:r>
        <w:rPr>
          <w:rFonts w:ascii="Times New Roman" w:cs="Times New Roman" w:eastAsia="Times New Roman" w:hAnsi="Times New Roman"/>
          <w:sz w:val="18"/>
          <w:szCs w:val="18"/>
          <w:color w:val="auto"/>
        </w:rPr>
        <w:t>“9.1 (b). Immediately after the Offering, a certain amount of the net offering proceeds received by the Corporation in the Offering (including the proceeds of any exercise of the underwriters’ over-allotment option) and certain other amounts specified in the Corporation’s registration statement on Form S-1, as initially filed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August 19, 2021, as amended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shall be deposited in a trust account (the “Trust Account”), established for the benefit of the Public Stockholders (as defined below) pursuant to a trust agreement described in the Registration Statement (the “Trust Agreement”). Except for the withdrawal of interest to pay taxes (less up to $100,000 interest to pay dissolution expenses), none of the funds held in the Trust Account (including the interest earned on the funds held in the Trust Account) will be released from the Trust Account until the earliest to occur of (i) the completion of the initial Business Combination;</w:t>
      </w:r>
    </w:p>
    <w:p>
      <w:pPr>
        <w:spacing w:after="0" w:line="4" w:lineRule="exact"/>
        <w:rPr>
          <w:sz w:val="20"/>
          <w:szCs w:val="20"/>
          <w:color w:val="auto"/>
        </w:rPr>
      </w:pPr>
    </w:p>
    <w:p>
      <w:pPr>
        <w:ind w:left="1980" w:right="459"/>
        <w:spacing w:after="0" w:line="239" w:lineRule="auto"/>
        <w:tabs>
          <w:tab w:leader="none" w:pos="2263"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of 100% of the Offering Shares (as defined below) if the Corporation is unable to complete its initial Business Combination within 15 months from the closing of the Offering (or, if the Office of the Delaware Division of Corporations shall not be open for business (including filing of corporate documents) on such date the next date upon which the Office of the Delaware Division of Corporations shall be open (or such a later date pursuant to the extension set forth under Section 9.1 (c) the “</w:t>
      </w:r>
      <w:r>
        <w:rPr>
          <w:rFonts w:ascii="Times New Roman" w:cs="Times New Roman" w:eastAsia="Times New Roman" w:hAnsi="Times New Roman"/>
          <w:sz w:val="18"/>
          <w:szCs w:val="18"/>
          <w:b w:val="1"/>
          <w:bCs w:val="1"/>
          <w:color w:val="auto"/>
        </w:rPr>
        <w:t>Deadline Date</w:t>
      </w:r>
      <w:r>
        <w:rPr>
          <w:rFonts w:ascii="Times New Roman" w:cs="Times New Roman" w:eastAsia="Times New Roman" w:hAnsi="Times New Roman"/>
          <w:sz w:val="18"/>
          <w:szCs w:val="18"/>
          <w:color w:val="auto"/>
        </w:rPr>
        <w:t>”) unless the Company extends the time to complete the Business Combination after the Deadline Date for up to 21 months from the closing of the IPO with six (6) one-month extensions by depositing $431,250 into the Trust Account for each one-month extension, but has not completed the Business Combination within such 21-month period, the 21st month anniversary of the Closing (as applicable, the “</w:t>
      </w:r>
      <w:r>
        <w:rPr>
          <w:rFonts w:ascii="Times New Roman" w:cs="Times New Roman" w:eastAsia="Times New Roman" w:hAnsi="Times New Roman"/>
          <w:sz w:val="18"/>
          <w:szCs w:val="18"/>
          <w:b w:val="1"/>
          <w:bCs w:val="1"/>
          <w:color w:val="auto"/>
        </w:rPr>
        <w:t>Last Date</w:t>
      </w:r>
      <w:r>
        <w:rPr>
          <w:rFonts w:ascii="Times New Roman" w:cs="Times New Roman" w:eastAsia="Times New Roman" w:hAnsi="Times New Roman"/>
          <w:sz w:val="18"/>
          <w:szCs w:val="18"/>
          <w:color w:val="auto"/>
        </w:rPr>
        <w:t>”) (for example, if during the 15th month, the Company does not deposit $431,250 into the Trust Account by the last day of the 15th month for a one-month extension, then the Last Date shall be the last day of the 15th month); or (iii) the redemption of shares in connection with a stockholder vote to amend any provisions of this Second Amended and Restated Certificate, as amended (a) to modify the substance or timing of the Corporation’s obligation to provide for the redemption of the Offering Shares in connection with an initial Business Combination to redeem 100% of such shares if the Corporation has not consummated an initial Business Combination by the Deadline Date or</w:t>
      </w:r>
    </w:p>
    <w:p>
      <w:pPr>
        <w:spacing w:after="0" w:line="7" w:lineRule="exact"/>
        <w:rPr>
          <w:rFonts w:ascii="Times New Roman" w:cs="Times New Roman" w:eastAsia="Times New Roman" w:hAnsi="Times New Roman"/>
          <w:sz w:val="18"/>
          <w:szCs w:val="18"/>
          <w:color w:val="auto"/>
        </w:rPr>
      </w:pPr>
    </w:p>
    <w:p>
      <w:pPr>
        <w:ind w:left="2240" w:hanging="260"/>
        <w:spacing w:after="0"/>
        <w:tabs>
          <w:tab w:leader="none" w:pos="22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w:t>
      </w:r>
    </w:p>
    <w:p>
      <w:pPr>
        <w:sectPr>
          <w:pgSz w:w="11900" w:h="16838" w:orient="portrait"/>
          <w:cols w:equalWidth="0" w:num="1">
            <w:col w:w="9879"/>
          </w:cols>
          <w:pgMar w:left="580" w:top="97" w:right="1440" w:bottom="1440" w:gutter="0" w:footer="0" w:header="0"/>
        </w:sectPr>
      </w:pPr>
    </w:p>
    <w:p>
      <w:pPr>
        <w:spacing w:after="0" w:line="38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7"/>
          <w:szCs w:val="17"/>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260350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0" w:name="page41"/>
    <w:bookmarkEnd w:id="40"/>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980" w:right="539"/>
        <w:spacing w:after="0" w:line="256" w:lineRule="auto"/>
        <w:rPr>
          <w:sz w:val="20"/>
          <w:szCs w:val="20"/>
          <w:color w:val="auto"/>
        </w:rPr>
      </w:pPr>
      <w:r>
        <w:rPr>
          <w:rFonts w:ascii="Times New Roman" w:cs="Times New Roman" w:eastAsia="Times New Roman" w:hAnsi="Times New Roman"/>
          <w:sz w:val="18"/>
          <w:szCs w:val="18"/>
          <w:color w:val="auto"/>
        </w:rPr>
        <w:t>respect to any other provision relating to stockholders’ rights or pre-initial Business Combination activity (as described in Section 9.7). Holders of shares of Common Stock included as part of the units sold in the Offering (the “</w:t>
      </w:r>
      <w:r>
        <w:rPr>
          <w:rFonts w:ascii="Times New Roman" w:cs="Times New Roman" w:eastAsia="Times New Roman" w:hAnsi="Times New Roman"/>
          <w:sz w:val="18"/>
          <w:szCs w:val="18"/>
          <w:b w:val="1"/>
          <w:bCs w:val="1"/>
          <w:color w:val="auto"/>
        </w:rPr>
        <w:t>Offering Shares</w:t>
      </w:r>
      <w:r>
        <w:rPr>
          <w:rFonts w:ascii="Times New Roman" w:cs="Times New Roman" w:eastAsia="Times New Roman" w:hAnsi="Times New Roman"/>
          <w:sz w:val="18"/>
          <w:szCs w:val="18"/>
          <w:color w:val="auto"/>
        </w:rPr>
        <w:t>”) (whether such Offering Shares were purchased in the Offering or in the secondary market following the Offering and whether or not such holders are the Sponsor or officers or directors of the Corporation, or affiliates of any of the foregoing) are referred to herein as “</w:t>
      </w:r>
      <w:r>
        <w:rPr>
          <w:rFonts w:ascii="Times New Roman" w:cs="Times New Roman" w:eastAsia="Times New Roman" w:hAnsi="Times New Roman"/>
          <w:sz w:val="18"/>
          <w:szCs w:val="18"/>
          <w:b w:val="1"/>
          <w:bCs w:val="1"/>
          <w:color w:val="auto"/>
        </w:rPr>
        <w:t>Public Stockholders</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ind w:left="2260" w:hanging="280"/>
        <w:spacing w:after="0"/>
        <w:tabs>
          <w:tab w:leader="none" w:pos="226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Paragraph 9.2 (a) of Article NINE is hereby amended and restated to read in full as</w:t>
      </w:r>
    </w:p>
    <w:p>
      <w:pPr>
        <w:spacing w:after="0" w:line="27" w:lineRule="exact"/>
        <w:rPr>
          <w:rFonts w:ascii="Times New Roman" w:cs="Times New Roman" w:eastAsia="Times New Roman" w:hAnsi="Times New Roman"/>
          <w:sz w:val="18"/>
          <w:szCs w:val="18"/>
          <w:color w:val="auto"/>
        </w:rPr>
      </w:pPr>
    </w:p>
    <w:p>
      <w:pPr>
        <w:ind w:left="1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follows:</w:t>
      </w:r>
    </w:p>
    <w:p>
      <w:pPr>
        <w:spacing w:after="0" w:line="139" w:lineRule="exact"/>
        <w:rPr>
          <w:sz w:val="20"/>
          <w:szCs w:val="20"/>
          <w:color w:val="auto"/>
        </w:rPr>
      </w:pPr>
    </w:p>
    <w:p>
      <w:pPr>
        <w:ind w:left="1980" w:right="439" w:firstLine="360"/>
        <w:spacing w:after="0" w:line="253" w:lineRule="auto"/>
        <w:rPr>
          <w:sz w:val="20"/>
          <w:szCs w:val="20"/>
          <w:color w:val="auto"/>
        </w:rPr>
      </w:pPr>
      <w:r>
        <w:rPr>
          <w:rFonts w:ascii="Times New Roman" w:cs="Times New Roman" w:eastAsia="Times New Roman" w:hAnsi="Times New Roman"/>
          <w:sz w:val="18"/>
          <w:szCs w:val="18"/>
          <w:color w:val="auto"/>
        </w:rPr>
        <w:t xml:space="preserve">“9.2 (a) Prior to the consummation of the initial Business Combination, the Corporation shall provide all holders of Offering Shares with the opportunity to have their Offering Shares redeemed upon the consummation of the initial Business Combination pursuant to, and subject to the limitations of, </w:t>
      </w:r>
      <w:r>
        <w:rPr>
          <w:rFonts w:ascii="Times New Roman" w:cs="Times New Roman" w:eastAsia="Times New Roman" w:hAnsi="Times New Roman"/>
          <w:sz w:val="18"/>
          <w:szCs w:val="18"/>
          <w:u w:val="single" w:color="auto"/>
          <w:color w:val="auto"/>
        </w:rPr>
        <w:t>Sections 9.2(b)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9.2(c)</w:t>
      </w:r>
      <w:r>
        <w:rPr>
          <w:rFonts w:ascii="Times New Roman" w:cs="Times New Roman" w:eastAsia="Times New Roman" w:hAnsi="Times New Roman"/>
          <w:sz w:val="18"/>
          <w:szCs w:val="18"/>
          <w:color w:val="auto"/>
        </w:rPr>
        <w:t xml:space="preserve"> (such rights of such holders to have their Offering Shares redeemed pursuant to such Sections, the “</w:t>
      </w:r>
      <w:r>
        <w:rPr>
          <w:rFonts w:ascii="Times New Roman" w:cs="Times New Roman" w:eastAsia="Times New Roman" w:hAnsi="Times New Roman"/>
          <w:sz w:val="18"/>
          <w:szCs w:val="18"/>
          <w:b w:val="1"/>
          <w:bCs w:val="1"/>
          <w:i w:val="1"/>
          <w:iCs w:val="1"/>
          <w:color w:val="auto"/>
        </w:rPr>
        <w:t>Redemption Rights</w:t>
      </w:r>
      <w:r>
        <w:rPr>
          <w:rFonts w:ascii="Times New Roman" w:cs="Times New Roman" w:eastAsia="Times New Roman" w:hAnsi="Times New Roman"/>
          <w:sz w:val="18"/>
          <w:szCs w:val="18"/>
          <w:color w:val="auto"/>
        </w:rPr>
        <w:t xml:space="preserve">”) hereof for cash equal to the applicable redemption price per share determined in accordance with </w:t>
      </w:r>
      <w:r>
        <w:rPr>
          <w:rFonts w:ascii="Times New Roman" w:cs="Times New Roman" w:eastAsia="Times New Roman" w:hAnsi="Times New Roman"/>
          <w:sz w:val="18"/>
          <w:szCs w:val="18"/>
          <w:u w:val="single" w:color="auto"/>
          <w:color w:val="auto"/>
        </w:rPr>
        <w:t>Section 9.2(b)</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provided, however, that the Corporation will not consummate any Business Combination unless it (i) has net tangible assets of at least $5,000,001 upon consummation of such Business Combination, or (ii) is otherwise exempt from the provisions of Rule 419 promulgated under the Securities Act of 1933, as amended. Notwithstanding anything to the contrary contained in this Second Amended and Restated Certificate, as amended, there shall be no Redemption Rights or liquidating distributions with respect to any warrant issued pursuant to the Offering.”</w:t>
      </w:r>
    </w:p>
    <w:p>
      <w:pPr>
        <w:spacing w:after="0" w:line="109" w:lineRule="exact"/>
        <w:rPr>
          <w:sz w:val="20"/>
          <w:szCs w:val="20"/>
          <w:color w:val="auto"/>
        </w:rPr>
      </w:pPr>
    </w:p>
    <w:p>
      <w:pPr>
        <w:jc w:val="both"/>
        <w:ind w:left="1260" w:right="419" w:firstLine="360"/>
        <w:spacing w:after="0" w:line="266" w:lineRule="auto"/>
        <w:rPr>
          <w:sz w:val="20"/>
          <w:szCs w:val="20"/>
          <w:color w:val="auto"/>
        </w:rPr>
      </w:pPr>
      <w:r>
        <w:rPr>
          <w:rFonts w:ascii="Times New Roman" w:cs="Times New Roman" w:eastAsia="Times New Roman" w:hAnsi="Times New Roman"/>
          <w:sz w:val="18"/>
          <w:szCs w:val="18"/>
          <w:color w:val="auto"/>
        </w:rPr>
        <w:t>IN WITNESS WHEREOF, BurTech Acquisition Corp. has caused this Amendment to the Amended and Restated Certificate to be duly executed in its name and on its behalf by an authorized officer as of the date first set above.</w:t>
      </w:r>
    </w:p>
    <w:p>
      <w:pPr>
        <w:spacing w:after="0" w:line="10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1031240</wp:posOffset>
            </wp:positionH>
            <wp:positionV relativeFrom="paragraph">
              <wp:posOffset>43180</wp:posOffset>
            </wp:positionV>
            <wp:extent cx="223710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84"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7" w:lineRule="exact"/>
        <w:rPr>
          <w:sz w:val="20"/>
          <w:szCs w:val="20"/>
          <w:color w:val="auto"/>
        </w:rPr>
      </w:pPr>
    </w:p>
    <w:p>
      <w:pPr>
        <w:ind w:left="1620"/>
        <w:spacing w:after="0"/>
        <w:tabs>
          <w:tab w:leader="none" w:pos="224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1" w:name="page42"/>
    <w:bookmarkEnd w:id="41"/>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b w:val="1"/>
          <w:bCs w:val="1"/>
          <w:color w:val="auto"/>
        </w:rPr>
        <w:t>Annex B​</w:t>
      </w:r>
    </w:p>
    <w:p>
      <w:pPr>
        <w:spacing w:after="0" w:line="6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TO THE</w:t>
      </w:r>
    </w:p>
    <w:p>
      <w:pPr>
        <w:ind w:left="3180"/>
        <w:spacing w:after="0"/>
        <w:rPr>
          <w:sz w:val="20"/>
          <w:szCs w:val="20"/>
          <w:color w:val="auto"/>
        </w:rPr>
      </w:pPr>
      <w:r>
        <w:rPr>
          <w:rFonts w:ascii="Times New Roman" w:cs="Times New Roman" w:eastAsia="Times New Roman" w:hAnsi="Times New Roman"/>
          <w:sz w:val="18"/>
          <w:szCs w:val="18"/>
          <w:b w:val="1"/>
          <w:bCs w:val="1"/>
          <w:color w:val="auto"/>
        </w:rPr>
        <w:t>INVESTMENT MANAGEMENT TRUST AGREEMENT</w:t>
      </w:r>
    </w:p>
    <w:p>
      <w:pPr>
        <w:spacing w:after="0" w:line="66" w:lineRule="exact"/>
        <w:rPr>
          <w:sz w:val="20"/>
          <w:szCs w:val="20"/>
          <w:color w:val="auto"/>
        </w:rPr>
      </w:pPr>
    </w:p>
    <w:p>
      <w:pPr>
        <w:ind w:left="1260" w:right="579" w:firstLine="360"/>
        <w:spacing w:after="0" w:line="252" w:lineRule="auto"/>
        <w:rPr>
          <w:sz w:val="20"/>
          <w:szCs w:val="20"/>
          <w:color w:val="auto"/>
        </w:rPr>
      </w:pPr>
      <w:r>
        <w:rPr>
          <w:rFonts w:ascii="Times New Roman" w:cs="Times New Roman" w:eastAsia="Times New Roman" w:hAnsi="Times New Roman"/>
          <w:sz w:val="18"/>
          <w:szCs w:val="18"/>
          <w:color w:val="auto"/>
        </w:rPr>
        <w:t>This Amendment No. 1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dated as of March 1, 2023, to the Investment Management Trust Agreement (as defined below) is made by and between BurTech Acquisition Corp.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Continental Stock Transfer &amp; Trust Company, as trustee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All terms used but not defined herein shall have the meanings assigned to them in the Trust Agreement.</w:t>
      </w:r>
    </w:p>
    <w:p>
      <w:pPr>
        <w:spacing w:after="0" w:line="49" w:lineRule="exact"/>
        <w:rPr>
          <w:sz w:val="20"/>
          <w:szCs w:val="20"/>
          <w:color w:val="auto"/>
        </w:rPr>
      </w:pPr>
    </w:p>
    <w:p>
      <w:pPr>
        <w:ind w:left="1260" w:right="419" w:firstLine="360"/>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the Trustee entered into an Investment Management Trust Agreement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December 10, 2021 (the “</w:t>
      </w:r>
      <w:r>
        <w:rPr>
          <w:rFonts w:ascii="Times New Roman" w:cs="Times New Roman" w:eastAsia="Times New Roman" w:hAnsi="Times New Roman"/>
          <w:sz w:val="18"/>
          <w:szCs w:val="18"/>
          <w:b w:val="1"/>
          <w:bCs w:val="1"/>
          <w:color w:val="auto"/>
        </w:rPr>
        <w:t>Trust Agreement</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ind w:left="1260" w:right="53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Section 1(i) of the Trust Agreement sets forth the terms that govern the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 Account under the circumstances described therein;</w:t>
      </w:r>
    </w:p>
    <w:p>
      <w:pPr>
        <w:spacing w:after="0" w:line="20" w:lineRule="exact"/>
        <w:rPr>
          <w:sz w:val="20"/>
          <w:szCs w:val="20"/>
          <w:color w:val="auto"/>
        </w:rPr>
      </w:pPr>
    </w:p>
    <w:p>
      <w:pPr>
        <w:ind w:left="1260" w:right="479" w:firstLine="360"/>
        <w:spacing w:after="0" w:line="243"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at a Special Meeting of the Company held on March 1, 2023, the Company’s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approved (i) a proposal to amend the Company’s second amended and restated certificate of incorporation (the “</w:t>
      </w:r>
      <w:r>
        <w:rPr>
          <w:rFonts w:ascii="Times New Roman" w:cs="Times New Roman" w:eastAsia="Times New Roman" w:hAnsi="Times New Roman"/>
          <w:sz w:val="18"/>
          <w:szCs w:val="18"/>
          <w:b w:val="1"/>
          <w:bCs w:val="1"/>
          <w:color w:val="auto"/>
        </w:rPr>
        <w:t>2nd A&amp;R COI</w:t>
      </w:r>
      <w:r>
        <w:rPr>
          <w:rFonts w:ascii="Times New Roman" w:cs="Times New Roman" w:eastAsia="Times New Roman" w:hAnsi="Times New Roman"/>
          <w:sz w:val="18"/>
          <w:szCs w:val="18"/>
          <w:color w:val="auto"/>
        </w:rPr>
        <w:t>”) giving the Company the right to extend the date by which it has to consummate a business combination up to six (6) times for an additional one-month period each time, until September 15, 2023 (i.e., for a period of time ending 21 months from the consummation of its initial public offering); a</w:t>
      </w:r>
    </w:p>
    <w:p>
      <w:pPr>
        <w:spacing w:after="0" w:line="2" w:lineRule="exact"/>
        <w:rPr>
          <w:sz w:val="20"/>
          <w:szCs w:val="20"/>
          <w:color w:val="auto"/>
        </w:rPr>
      </w:pPr>
    </w:p>
    <w:p>
      <w:pPr>
        <w:ind w:left="1260" w:right="819"/>
        <w:spacing w:after="0" w:line="246" w:lineRule="auto"/>
        <w:tabs>
          <w:tab w:leader="none" w:pos="1543"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proposal to amend the Trust Agreement requiring the Company to deposit $431,250 into the Trust Account for each one-month extension from March 15, 2023 until September 15, 2023 (or up to an aggregate of $2,587,500 for the total six-month period); and</w:t>
      </w:r>
    </w:p>
    <w:p>
      <w:pPr>
        <w:spacing w:after="0" w:line="17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color w:val="auto"/>
        </w:rPr>
        <w:t>NOW THEREFORE, IT IS AGREED:</w:t>
      </w:r>
    </w:p>
    <w:p>
      <w:pPr>
        <w:spacing w:after="0" w:line="108" w:lineRule="exact"/>
        <w:rPr>
          <w:sz w:val="20"/>
          <w:szCs w:val="20"/>
          <w:color w:val="auto"/>
        </w:rPr>
      </w:pPr>
    </w:p>
    <w:p>
      <w:pPr>
        <w:ind w:left="1620"/>
        <w:spacing w:after="0"/>
        <w:tabs>
          <w:tab w:leader="none" w:pos="1880" w:val="left"/>
        </w:tabs>
        <w:rPr>
          <w:sz w:val="20"/>
          <w:szCs w:val="20"/>
          <w:color w:val="auto"/>
        </w:rPr>
      </w:pPr>
      <w:r>
        <w:rPr>
          <w:rFonts w:ascii="Times New Roman" w:cs="Times New Roman" w:eastAsia="Times New Roman" w:hAnsi="Times New Roman"/>
          <w:sz w:val="18"/>
          <w:szCs w:val="18"/>
          <w:color w:val="auto"/>
        </w:rPr>
        <w:t>1.</w:t>
        <w:tab/>
        <w:t>Section 1(i) of the Trust Agreement is hereby amended and restated in its entirety as follows:</w:t>
      </w:r>
    </w:p>
    <w:p>
      <w:pPr>
        <w:spacing w:after="0" w:line="90" w:lineRule="exact"/>
        <w:rPr>
          <w:sz w:val="20"/>
          <w:szCs w:val="20"/>
          <w:color w:val="auto"/>
        </w:rPr>
      </w:pPr>
    </w:p>
    <w:p>
      <w:pPr>
        <w:ind w:left="1620" w:right="419" w:firstLine="360"/>
        <w:spacing w:after="0" w:line="243" w:lineRule="auto"/>
        <w:rPr>
          <w:sz w:val="20"/>
          <w:szCs w:val="20"/>
          <w:color w:val="auto"/>
        </w:rPr>
      </w:pPr>
      <w:r>
        <w:rPr>
          <w:rFonts w:ascii="Times New Roman" w:cs="Times New Roman" w:eastAsia="Times New Roman" w:hAnsi="Times New Roman"/>
          <w:sz w:val="18"/>
          <w:szCs w:val="18"/>
          <w:color w:val="auto"/>
        </w:rPr>
        <w:t>“(i) Commence liquidation of the Trust Account only after and promptly after receipt of, and only in accordance with, the terms of a letter (“</w:t>
      </w:r>
      <w:r>
        <w:rPr>
          <w:rFonts w:ascii="Times New Roman" w:cs="Times New Roman" w:eastAsia="Times New Roman" w:hAnsi="Times New Roman"/>
          <w:sz w:val="18"/>
          <w:szCs w:val="18"/>
          <w:u w:val="single" w:color="auto"/>
          <w:color w:val="auto"/>
        </w:rPr>
        <w:t>Termination Letter</w:t>
      </w:r>
      <w:r>
        <w:rPr>
          <w:rFonts w:ascii="Times New Roman" w:cs="Times New Roman" w:eastAsia="Times New Roman" w:hAnsi="Times New Roman"/>
          <w:sz w:val="18"/>
          <w:szCs w:val="18"/>
          <w:color w:val="auto"/>
        </w:rPr>
        <w:t>”), in a form substantially similar to that attached hereto as either Exhibit A or Exhibit B, signed on behalf of the Company by its President, Chief Executive Officer and Chief Financial Officer and, in the case of a Termination Letter in a form substantially similar to that attached hereto as Exhibit A, acknowledged and agreed to by the Representative, and complete the liquidation of the Trust Account and distribute the Property in the Trust Account only as directed in the Termination Letter and the other documents referred to therein; provided, however, that in the event that a Termination Letter has not been received by the Trustee by</w:t>
      </w:r>
    </w:p>
    <w:p>
      <w:pPr>
        <w:ind w:left="1840" w:hanging="220"/>
        <w:spacing w:after="0"/>
        <w:tabs>
          <w:tab w:leader="none" w:pos="184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15-month anniversary of the closing of the IPO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or, (ii) in the event that the</w:t>
      </w:r>
    </w:p>
    <w:p>
      <w:pPr>
        <w:ind w:left="1620" w:right="419"/>
        <w:spacing w:after="0" w:line="22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extended the time to complete the Business Combination for up to 21 months from the closing of the IPO with six (6) one-month extensions by depositing $431,250 into the Trust Account for each one-month extension, but has not completed the Business Combination within such 21-month period, the 21th month anniversary of the Closing (as applicable, the “</w:t>
      </w:r>
      <w:r>
        <w:rPr>
          <w:rFonts w:ascii="Times New Roman" w:cs="Times New Roman" w:eastAsia="Times New Roman" w:hAnsi="Times New Roman"/>
          <w:sz w:val="18"/>
          <w:szCs w:val="18"/>
          <w:u w:val="single" w:color="auto"/>
          <w:color w:val="auto"/>
        </w:rPr>
        <w:t>Last Date</w:t>
      </w:r>
      <w:r>
        <w:rPr>
          <w:rFonts w:ascii="Times New Roman" w:cs="Times New Roman" w:eastAsia="Times New Roman" w:hAnsi="Times New Roman"/>
          <w:sz w:val="18"/>
          <w:szCs w:val="18"/>
          <w:color w:val="auto"/>
        </w:rPr>
        <w:t>”), the Trust Account shall be liquidated in accordance with the procedures set forth in the Termination Letter attached as Exhibit B hereto and distributed to the Public Stockholders as of the Last Date. For example, if during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the Company does not deposit $431,250 into the Trust Account by the last day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 for a one-month extension, then the Last Date shall be the last day of the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month.”</w:t>
      </w:r>
    </w:p>
    <w:p>
      <w:pPr>
        <w:ind w:left="1260" w:right="699" w:firstLine="360"/>
        <w:spacing w:after="0" w:line="255" w:lineRule="auto"/>
        <w:rPr>
          <w:sz w:val="20"/>
          <w:szCs w:val="20"/>
          <w:color w:val="auto"/>
        </w:rPr>
      </w:pPr>
      <w:r>
        <w:rPr>
          <w:rFonts w:ascii="Times New Roman" w:cs="Times New Roman" w:eastAsia="Times New Roman" w:hAnsi="Times New Roman"/>
          <w:sz w:val="18"/>
          <w:szCs w:val="18"/>
          <w:color w:val="auto"/>
        </w:rPr>
        <w:t>IN WITNESS WHEREOF, the parties have duly executed this Agreement as of the date first written above.</w:t>
      </w:r>
    </w:p>
    <w:p>
      <w:pPr>
        <w:spacing w:after="0" w:line="5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CONTINENTAL STOCK TRANSFER &amp;</w:t>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TRUST COMPANY, as Trustee</w:t>
      </w:r>
    </w:p>
    <w:p>
      <w:pPr>
        <w:spacing w:after="0" w:line="7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Francis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51435</wp:posOffset>
            </wp:positionV>
            <wp:extent cx="20142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84"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Francis Wolf</w:t>
      </w:r>
    </w:p>
    <w:p>
      <w:pPr>
        <w:spacing w:after="0" w:line="2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BURTECH ACQUISITION CORP.</w:t>
      </w:r>
    </w:p>
    <w:p>
      <w:pPr>
        <w:spacing w:after="0" w:line="90"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By: /s/ Shahal Khan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3997325</wp:posOffset>
            </wp:positionH>
            <wp:positionV relativeFrom="paragraph">
              <wp:posOffset>51435</wp:posOffset>
            </wp:positionV>
            <wp:extent cx="20142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014220" cy="8890"/>
                    </a:xfrm>
                    <a:prstGeom prst="rect">
                      <a:avLst/>
                    </a:prstGeom>
                    <a:noFill/>
                  </pic:spPr>
                </pic:pic>
              </a:graphicData>
            </a:graphic>
          </wp:anchor>
        </w:drawing>
      </w:r>
    </w:p>
    <w:p>
      <w:pPr>
        <w:spacing w:after="0" w:line="9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Name:</w:t>
        <w:tab/>
        <w:t>Shahal Khan</w:t>
      </w:r>
    </w:p>
    <w:p>
      <w:pPr>
        <w:spacing w:after="0" w:line="27" w:lineRule="exact"/>
        <w:rPr>
          <w:sz w:val="20"/>
          <w:szCs w:val="20"/>
          <w:color w:val="auto"/>
        </w:rPr>
      </w:pPr>
    </w:p>
    <w:p>
      <w:pPr>
        <w:ind w:left="6300"/>
        <w:spacing w:after="0"/>
        <w:tabs>
          <w:tab w:leader="none" w:pos="6920" w:val="left"/>
        </w:tabs>
        <w:rPr>
          <w:sz w:val="20"/>
          <w:szCs w:val="20"/>
          <w:color w:val="auto"/>
        </w:rPr>
      </w:pPr>
      <w:r>
        <w:rPr>
          <w:rFonts w:ascii="Times New Roman" w:cs="Times New Roman" w:eastAsia="Times New Roman" w:hAnsi="Times New Roman"/>
          <w:sz w:val="18"/>
          <w:szCs w:val="18"/>
          <w:color w:val="auto"/>
        </w:rPr>
        <w:t>Title:</w:t>
        <w:tab/>
        <w:t>Chief Executive Officer</w:t>
      </w:r>
    </w:p>
    <w:p>
      <w:pPr>
        <w:sectPr>
          <w:pgSz w:w="11900" w:h="16838" w:orient="portrait"/>
          <w:cols w:equalWidth="0" w:num="1">
            <w:col w:w="9879"/>
          </w:cols>
          <w:pgMar w:left="580" w:top="97" w:right="1440" w:bottom="1440" w:gutter="0" w:footer="0" w:header="0"/>
        </w:sectPr>
      </w:pPr>
    </w:p>
    <w:p>
      <w:pPr>
        <w:spacing w:after="0" w:line="382"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253365</wp:posOffset>
            </wp:positionV>
            <wp:extent cx="68319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u w:val="single" w:color="auto"/>
          <w:color w:val="auto"/>
        </w:rPr>
        <w:t>PROXY CARD</w:t>
      </w:r>
    </w:p>
    <w:p>
      <w:pPr>
        <w:spacing w:after="0" w:line="31" w:lineRule="exact"/>
        <w:rPr>
          <w:sz w:val="20"/>
          <w:szCs w:val="20"/>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BURTECH ACQUISITION CORP.</w:t>
      </w:r>
    </w:p>
    <w:p>
      <w:pPr>
        <w:spacing w:after="0" w:line="2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PROXY FOR THE SPECIAL MEETING OF STOCKHOLDERS</w:t>
      </w:r>
    </w:p>
    <w:p>
      <w:pPr>
        <w:spacing w:after="0" w:line="23" w:lineRule="exact"/>
        <w:rPr>
          <w:sz w:val="20"/>
          <w:szCs w:val="20"/>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THIS PROXY IS SOLICITED BY THE BOARD OF DIRECTORS</w:t>
      </w:r>
    </w:p>
    <w:p>
      <w:pPr>
        <w:spacing w:after="0" w:line="193" w:lineRule="exact"/>
        <w:rPr>
          <w:sz w:val="20"/>
          <w:szCs w:val="20"/>
          <w:color w:val="auto"/>
        </w:rPr>
      </w:pPr>
    </w:p>
    <w:p>
      <w:pPr>
        <w:ind w:left="1360" w:right="479" w:hanging="93"/>
        <w:spacing w:after="0" w:line="203" w:lineRule="auto"/>
        <w:rPr>
          <w:sz w:val="20"/>
          <w:szCs w:val="20"/>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Important Notice Regarding the Availability of Proxy Materials for the Stockholder Meeting to be Held</w:t>
      </w: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18"/>
          <w:szCs w:val="18"/>
          <w:color w:val="auto"/>
        </w:rPr>
        <w:t xml:space="preserve"> on March 1, 2023: The Proxy Statement is available at https://www.cstproxy.com/burtechacq/2023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-323850</wp:posOffset>
            </wp:positionV>
            <wp:extent cx="5212080" cy="3600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360045"/>
                    </a:xfrm>
                    <a:prstGeom prst="rect">
                      <a:avLst/>
                    </a:prstGeom>
                    <a:noFill/>
                  </pic:spPr>
                </pic:pic>
              </a:graphicData>
            </a:graphic>
          </wp:anchor>
        </w:drawing>
      </w:r>
    </w:p>
    <w:p>
      <w:pPr>
        <w:spacing w:after="0" w:line="194" w:lineRule="exact"/>
        <w:rPr>
          <w:sz w:val="20"/>
          <w:szCs w:val="20"/>
          <w:color w:val="auto"/>
        </w:rPr>
      </w:pPr>
    </w:p>
    <w:p>
      <w:pPr>
        <w:ind w:left="1260" w:right="479" w:firstLine="360"/>
        <w:spacing w:after="0" w:line="266" w:lineRule="auto"/>
        <w:rPr>
          <w:sz w:val="20"/>
          <w:szCs w:val="20"/>
          <w:color w:val="auto"/>
        </w:rPr>
      </w:pPr>
      <w:r>
        <w:rPr>
          <w:rFonts w:ascii="Times New Roman" w:cs="Times New Roman" w:eastAsia="Times New Roman" w:hAnsi="Times New Roman"/>
          <w:sz w:val="18"/>
          <w:szCs w:val="18"/>
          <w:color w:val="auto"/>
        </w:rPr>
        <w:t>The undersigned hereby appoints Roman Livson as proxy of the undersigned to attend the Special Meeting of Stockholders (the “</w:t>
      </w:r>
      <w:r>
        <w:rPr>
          <w:rFonts w:ascii="Times New Roman" w:cs="Times New Roman" w:eastAsia="Times New Roman" w:hAnsi="Times New Roman"/>
          <w:sz w:val="18"/>
          <w:szCs w:val="18"/>
          <w:b w:val="1"/>
          <w:bCs w:val="1"/>
          <w:u w:val="single" w:color="auto"/>
          <w:color w:val="auto"/>
        </w:rPr>
        <w:t>Special Meeting</w:t>
      </w:r>
      <w:r>
        <w:rPr>
          <w:rFonts w:ascii="Times New Roman" w:cs="Times New Roman" w:eastAsia="Times New Roman" w:hAnsi="Times New Roman"/>
          <w:sz w:val="18"/>
          <w:szCs w:val="18"/>
          <w:color w:val="auto"/>
        </w:rPr>
        <w:t>”) of BurTech Acquisition Corp.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to be held via teleconference as described in the Proxy Statement on March 1, 2023 at 11:30 a.m. Eastern time, and any postponement or adjournment thereof, and to vote as if the undersigned were then and there personally present on all matters set forth in the Notice of Special Meeting, dated February 9, 2023 (the “</w:t>
      </w:r>
      <w:r>
        <w:rPr>
          <w:rFonts w:ascii="Times New Roman" w:cs="Times New Roman" w:eastAsia="Times New Roman" w:hAnsi="Times New Roman"/>
          <w:sz w:val="18"/>
          <w:szCs w:val="18"/>
          <w:b w:val="1"/>
          <w:bCs w:val="1"/>
          <w:u w:val="single" w:color="auto"/>
          <w:color w:val="auto"/>
        </w:rPr>
        <w:t>Notice</w:t>
      </w:r>
      <w:r>
        <w:rPr>
          <w:rFonts w:ascii="Times New Roman" w:cs="Times New Roman" w:eastAsia="Times New Roman" w:hAnsi="Times New Roman"/>
          <w:sz w:val="18"/>
          <w:szCs w:val="18"/>
          <w:color w:val="auto"/>
        </w:rPr>
        <w:t>”), a copy of which has been received by the undersigned, as follows:</w:t>
      </w:r>
    </w:p>
    <w:p>
      <w:pPr>
        <w:spacing w:after="0" w:line="132" w:lineRule="exact"/>
        <w:rPr>
          <w:sz w:val="20"/>
          <w:szCs w:val="20"/>
          <w:color w:val="auto"/>
        </w:rPr>
      </w:pPr>
    </w:p>
    <w:p>
      <w:pPr>
        <w:ind w:left="1980" w:right="459" w:hanging="360"/>
        <w:spacing w:after="0" w:line="272" w:lineRule="auto"/>
        <w:tabs>
          <w:tab w:leader="none" w:pos="1980" w:val="left"/>
        </w:tabs>
        <w:numPr>
          <w:ilvl w:val="0"/>
          <w:numId w:val="8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PROPOSAL 1. CHARTER AMENDMENT PROPOSALS- APPROVAL OF AN AMENDMENT TO THE COMPANY’S AMENDED AND RESTATED CERTIFICATE OF INCORPORATION TO EXTEND THE DATE BY WHICH THE COMPANY HAS TO CONSUMMATE A BUSINESS COMBINATION (THE “EXTENSION”) SIX (6) TIMES FOR AN ADDITIONAL ONE</w:t>
      </w:r>
    </w:p>
    <w:p>
      <w:pPr>
        <w:ind w:left="1980" w:right="559"/>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(1) MONTH EACH TIME UNTIL SEPTEMBER 15, 2023 IF APPROVED BY THE COMPANY’S BOARD OF DIRECTORS.</w:t>
      </w:r>
    </w:p>
    <w:p>
      <w:pPr>
        <w:spacing w:after="0" w:line="153"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6" w:lineRule="exact"/>
        <w:rPr>
          <w:sz w:val="20"/>
          <w:szCs w:val="20"/>
          <w:color w:val="auto"/>
        </w:rPr>
      </w:pPr>
    </w:p>
    <w:p>
      <w:pPr>
        <w:ind w:left="1980" w:right="439" w:hanging="360"/>
        <w:spacing w:after="0" w:line="255" w:lineRule="auto"/>
        <w:tabs>
          <w:tab w:leader="none" w:pos="198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2. TRUST AMENDMENT — APPROVAL OF AN AMENDMENT TO THE COMPANY’S INVESTMENT MANAGEMENT TRUST AGREEMENT, DATED AS OF DECEMBER 10, 2021 (THE “TRUST AGREEMENT”), BY AND BETWEEN THE COMPANY AND CONTINENTAL STOCK TRANSFER &amp; TRUST COMPANY (THE “TRUSTEE”), ALLOWING THE COMPANY TO EXTEND THE COMBINATION PERIOD SIX (6) TIMES FOR AN ADDITIONAL ONE-MONTH PERIOD EACH TIME, FROM MARCH 15, 2023 UP TO SEPTEMBER 15, 2023 (THE “TRUST AMENDMENT”) BY DEPOSITING INTO THE TRUST ACCOUNT $431,250 FOR EACH ONE-MONTH EXTENSION.</w:t>
      </w:r>
    </w:p>
    <w:p>
      <w:pPr>
        <w:spacing w:after="0" w:line="160" w:lineRule="exact"/>
        <w:rPr>
          <w:sz w:val="20"/>
          <w:szCs w:val="20"/>
          <w:color w:val="auto"/>
        </w:rPr>
      </w:pPr>
    </w:p>
    <w:p>
      <w:pPr>
        <w:ind w:left="432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96" w:lineRule="exact"/>
        <w:rPr>
          <w:sz w:val="20"/>
          <w:szCs w:val="20"/>
          <w:color w:val="auto"/>
        </w:rPr>
      </w:pPr>
    </w:p>
    <w:p>
      <w:pPr>
        <w:ind w:left="1980" w:right="419" w:hanging="360"/>
        <w:spacing w:after="0" w:line="259" w:lineRule="auto"/>
        <w:tabs>
          <w:tab w:leader="none" w:pos="198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3. ADJOURNMENT — APPROVAL TO DIRECT THE CHAIRMAN OF THE SPECIAL MEETING TO ADJOURN THE SPECIAL MEETING TO A LATER DATE OR DATES, IF NECESSARY, TO PERMIT FURTHER SOLICITATION AND VOTE OF PROXIES IF, BASED UPON THE TABULATED VOTE AT THE TIME OF THE MEETING, THERE ARE NOT SUFFICIENT VOTES TO APPROVE THE PROPOSAL 1.</w:t>
      </w:r>
    </w:p>
    <w:p>
      <w:pPr>
        <w:spacing w:after="0" w:line="154" w:lineRule="exact"/>
        <w:rPr>
          <w:sz w:val="20"/>
          <w:szCs w:val="20"/>
          <w:color w:val="auto"/>
        </w:rPr>
      </w:pPr>
    </w:p>
    <w:p>
      <w:pPr>
        <w:jc w:val="center"/>
        <w:ind w:right="-8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For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Against </w:t>
      </w:r>
      <w:r>
        <w:rPr>
          <w:rFonts w:ascii="MS PGothic" w:cs="MS PGothic" w:eastAsia="MS PGothic" w:hAnsi="MS PGothic"/>
          <w:sz w:val="18"/>
          <w:szCs w:val="18"/>
          <w:color w:val="auto"/>
          <w:highlight w:val="black"/>
        </w:rPr>
        <w:t>☐</w:t>
      </w:r>
      <w:r>
        <w:rPr>
          <w:rFonts w:ascii="Times New Roman" w:cs="Times New Roman" w:eastAsia="Times New Roman" w:hAnsi="Times New Roman"/>
          <w:sz w:val="18"/>
          <w:szCs w:val="18"/>
          <w:b w:val="1"/>
          <w:bCs w:val="1"/>
          <w:color w:val="auto"/>
        </w:rPr>
        <w:t xml:space="preserve"> Abstain </w:t>
      </w:r>
      <w:r>
        <w:rPr>
          <w:rFonts w:ascii="MS PGothic" w:cs="MS PGothic" w:eastAsia="MS PGothic" w:hAnsi="MS PGothic"/>
          <w:sz w:val="18"/>
          <w:szCs w:val="18"/>
          <w:color w:val="auto"/>
          <w:highlight w:val="black"/>
        </w:rPr>
        <w:t>☐</w:t>
      </w:r>
    </w:p>
    <w:p>
      <w:pPr>
        <w:spacing w:after="0" w:line="182" w:lineRule="exact"/>
        <w:rPr>
          <w:sz w:val="20"/>
          <w:szCs w:val="20"/>
          <w:color w:val="auto"/>
        </w:rPr>
      </w:pPr>
    </w:p>
    <w:p>
      <w:pPr>
        <w:ind w:left="1260" w:right="599" w:firstLine="360"/>
        <w:spacing w:after="0" w:line="276" w:lineRule="auto"/>
        <w:rPr>
          <w:sz w:val="20"/>
          <w:szCs w:val="20"/>
          <w:color w:val="auto"/>
        </w:rPr>
      </w:pPr>
      <w:r>
        <w:rPr>
          <w:rFonts w:ascii="Times New Roman" w:cs="Times New Roman" w:eastAsia="Times New Roman" w:hAnsi="Times New Roman"/>
          <w:sz w:val="18"/>
          <w:szCs w:val="18"/>
          <w:b w:val="1"/>
          <w:bCs w:val="1"/>
          <w:color w:val="auto"/>
        </w:rPr>
        <w:t>NOTE: IN HIS DISCRETION, THE PROXY HOLDER IS AUTHORIZED TO VOTE UPON SUCH OTHER MATTER OR MATTERS THAT MAY PROPERLY COME BEFORE THE SPECIAL MEETING AND ANY ADJOURNMENT(S) THEREOF.</w:t>
      </w:r>
    </w:p>
    <w:p>
      <w:pPr>
        <w:spacing w:after="0" w:line="113" w:lineRule="exact"/>
        <w:rPr>
          <w:sz w:val="20"/>
          <w:szCs w:val="20"/>
          <w:color w:val="auto"/>
        </w:rPr>
      </w:pPr>
    </w:p>
    <w:p>
      <w:pPr>
        <w:ind w:left="1260" w:right="479" w:firstLine="360"/>
        <w:spacing w:after="0" w:line="274" w:lineRule="auto"/>
        <w:rPr>
          <w:sz w:val="20"/>
          <w:szCs w:val="20"/>
          <w:color w:val="auto"/>
        </w:rPr>
      </w:pPr>
      <w:r>
        <w:rPr>
          <w:rFonts w:ascii="Times New Roman" w:cs="Times New Roman" w:eastAsia="Times New Roman" w:hAnsi="Times New Roman"/>
          <w:sz w:val="18"/>
          <w:szCs w:val="18"/>
          <w:color w:val="auto"/>
        </w:rPr>
        <w:t>THIS PROXY WILL BE VOTED IN ACCORDANCE WITH THE SPECIFIC INDICATION ABOVE. IN THE ABSENCE OF SUCH INDICATION, THIS PROXY WILL BE VOTED “FOR” EACH PROPOSAL AND, AT THE DISCRETION OF THE PROXY HOLDER, ON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1331595</wp:posOffset>
            </wp:positionV>
            <wp:extent cx="68319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3" w:name="page44"/>
    <w:bookmarkEnd w:id="43"/>
    <w:p>
      <w:pPr>
        <w:spacing w:after="0"/>
        <w:rPr>
          <w:sz w:val="20"/>
          <w:szCs w:val="20"/>
          <w:color w:val="auto"/>
        </w:rPr>
      </w:pPr>
      <w:r>
        <w:rPr>
          <w:rFonts w:ascii="Calibri" w:cs="Calibri" w:eastAsia="Calibri" w:hAnsi="Calibri"/>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60" w:right="1619"/>
        <w:spacing w:after="0" w:line="282" w:lineRule="auto"/>
        <w:rPr>
          <w:sz w:val="20"/>
          <w:szCs w:val="20"/>
          <w:color w:val="auto"/>
        </w:rPr>
      </w:pPr>
      <w:r>
        <w:rPr>
          <w:rFonts w:ascii="Times New Roman" w:cs="Times New Roman" w:eastAsia="Times New Roman" w:hAnsi="Times New Roman"/>
          <w:sz w:val="18"/>
          <w:szCs w:val="18"/>
          <w:color w:val="auto"/>
        </w:rPr>
        <w:t>MATTERS THAT MAY PROPERLY COME BEFORE THE SPECIAL MEETING OR ANY POSTPONEMENT OR ADJOURNMENT THEREOF.</w:t>
      </w:r>
    </w:p>
    <w:p>
      <w:pPr>
        <w:sectPr>
          <w:pgSz w:w="11900" w:h="16838" w:orient="portrait"/>
          <w:cols w:equalWidth="0" w:num="1">
            <w:col w:w="9879"/>
          </w:cols>
          <w:pgMar w:left="580" w:top="97" w:right="1440" w:bottom="1440" w:gutter="0" w:footer="0" w:header="0"/>
        </w:sectPr>
      </w:pPr>
    </w:p>
    <w:p>
      <w:pPr>
        <w:spacing w:after="0" w:line="121" w:lineRule="exact"/>
        <w:rPr>
          <w:sz w:val="20"/>
          <w:szCs w:val="20"/>
          <w:color w:val="auto"/>
        </w:rPr>
      </w:pPr>
    </w:p>
    <w:tbl>
      <w:tblPr>
        <w:tblLayout w:type="fixed"/>
        <w:tblInd w:w="1260" w:type="dxa"/>
        <w:tblCellMar>
          <w:top w:w="0" w:type="dxa"/>
          <w:left w:w="0" w:type="dxa"/>
          <w:bottom w:w="0" w:type="dxa"/>
          <w:right w:w="0" w:type="dxa"/>
        </w:tblCellMar>
      </w:tblPr>
      <w:tr>
        <w:trPr>
          <w:trHeight w:val="255"/>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3360" w:type="dxa"/>
            <w:vAlign w:val="bottom"/>
            <w:tcBorders>
              <w:bottom w:val="single" w:sz="8" w:color="auto"/>
            </w:tcBorders>
          </w:tcPr>
          <w:p>
            <w:pPr>
              <w:spacing w:after="0"/>
              <w:rPr>
                <w:sz w:val="22"/>
                <w:szCs w:val="22"/>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527"/>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0"/>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581"/>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36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43180</wp:posOffset>
            </wp:positionV>
            <wp:extent cx="25374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of Stockholder</w:t>
      </w:r>
    </w:p>
    <w:p>
      <w:pPr>
        <w:spacing w:after="0" w:line="36"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77470</wp:posOffset>
            </wp:positionV>
            <wp:extent cx="25374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Certificate Number(s)</w:t>
      </w:r>
    </w:p>
    <w:p>
      <w:pPr>
        <w:spacing w:after="0" w:line="27" w:lineRule="exact"/>
        <w:rPr>
          <w:sz w:val="20"/>
          <w:szCs w:val="20"/>
          <w:color w:val="auto"/>
        </w:rPr>
      </w:pPr>
    </w:p>
    <w:p>
      <w:pPr>
        <w:jc w:val="right"/>
        <w:ind w:right="359"/>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66040</wp:posOffset>
            </wp:positionV>
            <wp:extent cx="25374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Number of Shares Owned</w:t>
      </w:r>
    </w:p>
    <w:p>
      <w:pPr>
        <w:spacing w:after="0" w:line="144" w:lineRule="exact"/>
        <w:rPr>
          <w:sz w:val="20"/>
          <w:szCs w:val="20"/>
          <w:color w:val="auto"/>
        </w:rPr>
      </w:pPr>
    </w:p>
    <w:p>
      <w:pPr>
        <w:sectPr>
          <w:pgSz w:w="11900" w:h="16838" w:orient="portrait"/>
          <w:cols w:equalWidth="0" w:num="2">
            <w:col w:w="5400" w:space="80"/>
            <w:col w:w="4399"/>
          </w:cols>
          <w:pgMar w:left="580" w:top="97" w:right="1440" w:bottom="1440" w:gutter="0" w:footer="0" w:header="0"/>
          <w:type w:val="continuous"/>
        </w:sectPr>
      </w:pPr>
    </w:p>
    <w:p>
      <w:pPr>
        <w:ind w:left="1260" w:right="479" w:firstLine="360"/>
        <w:spacing w:after="0" w:line="261" w:lineRule="auto"/>
        <w:rPr>
          <w:sz w:val="20"/>
          <w:szCs w:val="20"/>
          <w:color w:val="auto"/>
        </w:rPr>
      </w:pPr>
      <w:r>
        <w:rPr>
          <w:rFonts w:ascii="Times New Roman" w:cs="Times New Roman" w:eastAsia="Times New Roman" w:hAnsi="Times New Roman"/>
          <w:sz w:val="18"/>
          <w:szCs w:val="18"/>
          <w:color w:val="auto"/>
        </w:rPr>
        <w:t>Sign exactly as your name(s) appears on your stock certificate(s). A corporation is requested to sign its name by its President or other authorized officer, with the office held designated. Executors, administrators, trustees, etc., are requested to so indicate when signing. If a stock certificate is registered in two names or held as joint tenants or as community property, both interested persons should sign.</w:t>
      </w:r>
    </w:p>
    <w:p>
      <w:pPr>
        <w:spacing w:after="0" w:line="176"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COMPLETE THE FOLLOWING:</w:t>
      </w:r>
    </w:p>
    <w:p>
      <w:pPr>
        <w:spacing w:after="0" w:line="16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I plan to attend the Special Meeting (Circle one): Yes No</w:t>
      </w:r>
    </w:p>
    <w:p>
      <w:pPr>
        <w:spacing w:after="0" w:line="15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 xml:space="preserve">Number of attendees:                               </w:t>
      </w:r>
    </w:p>
    <w:p>
      <w:pPr>
        <w:spacing w:after="0" w:line="22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b w:val="1"/>
          <w:bCs w:val="1"/>
          <w:u w:val="single" w:color="auto"/>
          <w:color w:val="auto"/>
        </w:rPr>
        <w:t>PLEASE NOTE:</w:t>
      </w:r>
    </w:p>
    <w:p>
      <w:pPr>
        <w:spacing w:after="0" w:line="148" w:lineRule="exact"/>
        <w:rPr>
          <w:sz w:val="20"/>
          <w:szCs w:val="20"/>
          <w:color w:val="auto"/>
        </w:rPr>
      </w:pPr>
    </w:p>
    <w:p>
      <w:pPr>
        <w:ind w:left="1260" w:right="459" w:firstLine="360"/>
        <w:spacing w:after="0" w:line="261" w:lineRule="auto"/>
        <w:rPr>
          <w:sz w:val="20"/>
          <w:szCs w:val="20"/>
          <w:color w:val="auto"/>
        </w:rPr>
      </w:pPr>
      <w:r>
        <w:rPr>
          <w:rFonts w:ascii="Times New Roman" w:cs="Times New Roman" w:eastAsia="Times New Roman" w:hAnsi="Times New Roman"/>
          <w:sz w:val="18"/>
          <w:szCs w:val="18"/>
          <w:color w:val="auto"/>
        </w:rPr>
        <w:t>STOCKHOLDER SHOULD SIGN THE PROXY PROMPTLY AND RETURN IT IN THE ENCLOSED ENVELOPE AS SOON AS POSSIBLE TO ENSURE THAT IT IS RECEIVED BEFORE THE SPECIAL MEETING. PLEASE INDICATE ANY ADDRESS OR TELEPHONE NUMBER CHANGES IN THE SPACE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3996055</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sectPr>
      <w:pgSz w:w="11900" w:h="16838" w:orient="portrait"/>
      <w:cols w:equalWidth="0" w:num="1">
        <w:col w:w="9879"/>
      </w:cols>
      <w:pgMar w:left="580" w:top="9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1)"/>
      <w:numFmt w:val="lowerLetter"/>
      <w:start w:val="9"/>
    </w:lvl>
    <w:lvl w:ilvl="1">
      <w:lvlJc w:val="left"/>
      <w:lvlText w:val="(%2)"/>
      <w:numFmt w:val="lowerLetter"/>
      <w:start w:val="1"/>
    </w:lvl>
  </w:abstractNum>
  <w:abstractNum w:abstractNumId="6">
    <w:nsid w:val="38437FDB"/>
    <w:multiLevelType w:val="hybridMultilevel"/>
    <w:lvl w:ilvl="0">
      <w:lvlJc w:val="left"/>
      <w:lvlText w:val="(%1)"/>
      <w:numFmt w:val="lowerRoman"/>
      <w:start w:val="2"/>
    </w:lvl>
  </w:abstractNum>
  <w:abstractNum w:abstractNumId="7">
    <w:nsid w:val="7644A45C"/>
    <w:multiLevelType w:val="hybridMultilevel"/>
    <w:lvl w:ilvl="0">
      <w:lvlJc w:val="left"/>
      <w:lvlText w:val="(%1)"/>
      <w:numFmt w:val="decimal"/>
      <w:start w:val="6"/>
    </w:lvl>
  </w:abstractNum>
  <w:abstractNum w:abstractNumId="8">
    <w:nsid w:val="32FFF902"/>
    <w:multiLevelType w:val="hybridMultilevel"/>
    <w:lvl w:ilvl="0">
      <w:lvlJc w:val="left"/>
      <w:lvlText w:val="%1."/>
      <w:numFmt w:val="decimal"/>
      <w:start w:val="1"/>
    </w:lvl>
    <w:lvl w:ilvl="1">
      <w:lvlJc w:val="left"/>
      <w:lvlText w:val="(%2)"/>
      <w:numFmt w:val="lowerLetter"/>
      <w:start w:val="1"/>
    </w:lvl>
  </w:abstractNum>
  <w:abstractNum w:abstractNumId="9">
    <w:nsid w:val="684A481A"/>
    <w:multiLevelType w:val="hybridMultilevel"/>
    <w:lvl w:ilvl="0">
      <w:lvlJc w:val="left"/>
      <w:lvlText w:val="%1."/>
      <w:numFmt w:val="decimal"/>
      <w:start w:val="1"/>
    </w:lvl>
    <w:lvl w:ilvl="1">
      <w:lvlJc w:val="left"/>
      <w:lvlText w:val="(%2)"/>
      <w:numFmt w:val="lowerLetter"/>
      <w:start w:val="1"/>
    </w:lvl>
  </w:abstractNum>
  <w:abstractNum w:abstractNumId="10">
    <w:nsid w:val="579478FE"/>
    <w:multiLevelType w:val="hybridMultilevel"/>
    <w:lvl w:ilvl="0">
      <w:lvlJc w:val="left"/>
      <w:lvlText w:val="(%1)"/>
      <w:numFmt w:val="decimal"/>
      <w:start w:val="6"/>
    </w:lvl>
  </w:abstractNum>
  <w:abstractNum w:abstractNumId="11">
    <w:nsid w:val="749ABB43"/>
    <w:multiLevelType w:val="hybridMultilevel"/>
    <w:lvl w:ilvl="0">
      <w:lvlJc w:val="left"/>
      <w:lvlText w:val="%1."/>
      <w:numFmt w:val="upperLetter"/>
      <w:start w:val="17"/>
    </w:lvl>
  </w:abstractNum>
  <w:abstractNum w:abstractNumId="12">
    <w:nsid w:val="3DC240FB"/>
    <w:multiLevelType w:val="hybridMultilevel"/>
    <w:lvl w:ilvl="0">
      <w:lvlJc w:val="left"/>
      <w:lvlText w:val="%1."/>
      <w:numFmt w:val="upperLetter"/>
      <w:start w:val="1"/>
    </w:lvl>
  </w:abstractNum>
  <w:abstractNum w:abstractNumId="13">
    <w:nsid w:val="1BA026FA"/>
    <w:multiLevelType w:val="hybridMultilevel"/>
    <w:lvl w:ilvl="0">
      <w:lvlJc w:val="left"/>
      <w:lvlText w:val="%1."/>
      <w:numFmt w:val="upperLetter"/>
      <w:start w:val="17"/>
    </w:lvl>
  </w:abstractNum>
  <w:abstractNum w:abstractNumId="14">
    <w:nsid w:val="79A1DEAA"/>
    <w:multiLevelType w:val="hybridMultilevel"/>
    <w:lvl w:ilvl="0">
      <w:lvlJc w:val="left"/>
      <w:lvlText w:val="%1."/>
      <w:numFmt w:val="upperLetter"/>
      <w:start w:val="1"/>
    </w:lvl>
  </w:abstractNum>
  <w:abstractNum w:abstractNumId="15">
    <w:nsid w:val="75C6C33A"/>
    <w:multiLevelType w:val="hybridMultilevel"/>
    <w:lvl w:ilvl="0">
      <w:lvlJc w:val="left"/>
      <w:lvlText w:val="%1."/>
      <w:numFmt w:val="upperLetter"/>
      <w:start w:val="17"/>
    </w:lvl>
  </w:abstractNum>
  <w:abstractNum w:abstractNumId="16">
    <w:nsid w:val="12E685FB"/>
    <w:multiLevelType w:val="hybridMultilevel"/>
    <w:lvl w:ilvl="0">
      <w:lvlJc w:val="left"/>
      <w:lvlText w:val="%1."/>
      <w:numFmt w:val="upperLetter"/>
      <w:start w:val="1"/>
    </w:lvl>
  </w:abstractNum>
  <w:abstractNum w:abstractNumId="17">
    <w:nsid w:val="70C6A529"/>
    <w:multiLevelType w:val="hybridMultilevel"/>
    <w:lvl w:ilvl="0">
      <w:lvlJc w:val="left"/>
      <w:lvlText w:val="%1."/>
      <w:numFmt w:val="upperLetter"/>
      <w:start w:val="17"/>
    </w:lvl>
  </w:abstractNum>
  <w:abstractNum w:abstractNumId="18">
    <w:nsid w:val="520EEDD1"/>
    <w:multiLevelType w:val="hybridMultilevel"/>
    <w:lvl w:ilvl="0">
      <w:lvlJc w:val="left"/>
      <w:lvlText w:val="%1."/>
      <w:numFmt w:val="upperLetter"/>
      <w:start w:val="1"/>
    </w:lvl>
  </w:abstractNum>
  <w:abstractNum w:abstractNumId="19">
    <w:nsid w:val="374A3FE6"/>
    <w:multiLevelType w:val="hybridMultilevel"/>
    <w:lvl w:ilvl="0">
      <w:lvlJc w:val="left"/>
      <w:lvlText w:val="%1."/>
      <w:numFmt w:val="upperLetter"/>
      <w:start w:val="17"/>
    </w:lvl>
  </w:abstractNum>
  <w:abstractNum w:abstractNumId="20">
    <w:nsid w:val="4F4EF005"/>
    <w:multiLevelType w:val="hybridMultilevel"/>
    <w:lvl w:ilvl="0">
      <w:lvlJc w:val="left"/>
      <w:lvlText w:val="%1."/>
      <w:numFmt w:val="upperLetter"/>
      <w:start w:val="1"/>
    </w:lvl>
  </w:abstractNum>
  <w:abstractNum w:abstractNumId="21">
    <w:nsid w:val="23F9C13C"/>
    <w:multiLevelType w:val="hybridMultilevel"/>
    <w:lvl w:ilvl="0">
      <w:lvlJc w:val="left"/>
      <w:lvlText w:val="%1."/>
      <w:numFmt w:val="upperLetter"/>
      <w:start w:val="17"/>
    </w:lvl>
  </w:abstractNum>
  <w:abstractNum w:abstractNumId="22">
    <w:nsid w:val="649BB77C"/>
    <w:multiLevelType w:val="hybridMultilevel"/>
    <w:lvl w:ilvl="0">
      <w:lvlJc w:val="left"/>
      <w:lvlText w:val="%1."/>
      <w:numFmt w:val="upperLetter"/>
      <w:start w:val="1"/>
    </w:lvl>
  </w:abstractNum>
  <w:abstractNum w:abstractNumId="23">
    <w:nsid w:val="275AC794"/>
    <w:multiLevelType w:val="hybridMultilevel"/>
    <w:lvl w:ilvl="0">
      <w:lvlJc w:val="left"/>
      <w:lvlText w:val="%1."/>
      <w:numFmt w:val="upperLetter"/>
      <w:start w:val="17"/>
    </w:lvl>
  </w:abstractNum>
  <w:abstractNum w:abstractNumId="24">
    <w:nsid w:val="39386575"/>
    <w:multiLevelType w:val="hybridMultilevel"/>
    <w:lvl w:ilvl="0">
      <w:lvlJc w:val="left"/>
      <w:lvlText w:val="%1."/>
      <w:numFmt w:val="upperLetter"/>
      <w:start w:val="1"/>
    </w:lvl>
  </w:abstractNum>
  <w:abstractNum w:abstractNumId="25">
    <w:nsid w:val="1CF10FD8"/>
    <w:multiLevelType w:val="hybridMultilevel"/>
    <w:lvl w:ilvl="0">
      <w:lvlJc w:val="left"/>
      <w:lvlText w:val="%1."/>
      <w:numFmt w:val="upperLetter"/>
      <w:start w:val="17"/>
    </w:lvl>
  </w:abstractNum>
  <w:abstractNum w:abstractNumId="26">
    <w:nsid w:val="180115BE"/>
    <w:multiLevelType w:val="hybridMultilevel"/>
    <w:lvl w:ilvl="0">
      <w:lvlJc w:val="left"/>
      <w:lvlText w:val="%1."/>
      <w:numFmt w:val="upperLetter"/>
      <w:start w:val="1"/>
    </w:lvl>
  </w:abstractNum>
  <w:abstractNum w:abstractNumId="27">
    <w:nsid w:val="235BA861"/>
    <w:multiLevelType w:val="hybridMultilevel"/>
    <w:lvl w:ilvl="0">
      <w:lvlJc w:val="left"/>
      <w:lvlText w:val="%1."/>
      <w:numFmt w:val="upperLetter"/>
      <w:start w:val="17"/>
    </w:lvl>
  </w:abstractNum>
  <w:abstractNum w:abstractNumId="28">
    <w:nsid w:val="47398C89"/>
    <w:multiLevelType w:val="hybridMultilevel"/>
    <w:lvl w:ilvl="0">
      <w:lvlJc w:val="left"/>
      <w:lvlText w:val="%1."/>
      <w:numFmt w:val="upperLetter"/>
      <w:start w:val="1"/>
    </w:lvl>
  </w:abstractNum>
  <w:abstractNum w:abstractNumId="29">
    <w:nsid w:val="354FE9F9"/>
    <w:multiLevelType w:val="hybridMultilevel"/>
    <w:lvl w:ilvl="0">
      <w:lvlJc w:val="left"/>
      <w:lvlText w:val="%1."/>
      <w:numFmt w:val="upperLetter"/>
      <w:start w:val="17"/>
    </w:lvl>
  </w:abstractNum>
  <w:abstractNum w:abstractNumId="30">
    <w:nsid w:val="15B5AF5C"/>
    <w:multiLevelType w:val="hybridMultilevel"/>
    <w:lvl w:ilvl="0">
      <w:lvlJc w:val="left"/>
      <w:lvlText w:val="%1."/>
      <w:numFmt w:val="upperLetter"/>
      <w:start w:val="1"/>
    </w:lvl>
  </w:abstractNum>
  <w:abstractNum w:abstractNumId="31">
    <w:nsid w:val="741226BB"/>
    <w:multiLevelType w:val="hybridMultilevel"/>
    <w:lvl w:ilvl="0">
      <w:lvlJc w:val="left"/>
      <w:lvlText w:val="%1."/>
      <w:numFmt w:val="upperLetter"/>
      <w:start w:val="17"/>
    </w:lvl>
  </w:abstractNum>
  <w:abstractNum w:abstractNumId="32">
    <w:nsid w:val="D34B6A8"/>
    <w:multiLevelType w:val="hybridMultilevel"/>
    <w:lvl w:ilvl="0">
      <w:lvlJc w:val="left"/>
      <w:lvlText w:val="%1."/>
      <w:numFmt w:val="upperLetter"/>
      <w:start w:val="1"/>
    </w:lvl>
  </w:abstractNum>
  <w:abstractNum w:abstractNumId="33">
    <w:nsid w:val="10233C99"/>
    <w:multiLevelType w:val="hybridMultilevel"/>
    <w:lvl w:ilvl="0">
      <w:lvlJc w:val="left"/>
      <w:lvlText w:val="%1."/>
      <w:numFmt w:val="upperLetter"/>
      <w:start w:val="17"/>
    </w:lvl>
  </w:abstractNum>
  <w:abstractNum w:abstractNumId="34">
    <w:nsid w:val="3F6AB60F"/>
    <w:multiLevelType w:val="hybridMultilevel"/>
    <w:lvl w:ilvl="0">
      <w:lvlJc w:val="left"/>
      <w:lvlText w:val="%1."/>
      <w:numFmt w:val="upperLetter"/>
      <w:start w:val="1"/>
    </w:lvl>
  </w:abstractNum>
  <w:abstractNum w:abstractNumId="35">
    <w:nsid w:val="61574095"/>
    <w:multiLevelType w:val="hybridMultilevel"/>
    <w:lvl w:ilvl="0">
      <w:lvlJc w:val="left"/>
      <w:lvlText w:val="%1."/>
      <w:numFmt w:val="upperLetter"/>
      <w:start w:val="17"/>
    </w:lvl>
  </w:abstractNum>
  <w:abstractNum w:abstractNumId="36">
    <w:nsid w:val="7E0C57B1"/>
    <w:multiLevelType w:val="hybridMultilevel"/>
    <w:lvl w:ilvl="0">
      <w:lvlJc w:val="left"/>
      <w:lvlText w:val="%1."/>
      <w:numFmt w:val="upperLetter"/>
      <w:start w:val="1"/>
    </w:lvl>
  </w:abstractNum>
  <w:abstractNum w:abstractNumId="37">
    <w:nsid w:val="77AE35EB"/>
    <w:multiLevelType w:val="hybridMultilevel"/>
    <w:lvl w:ilvl="0">
      <w:lvlJc w:val="left"/>
      <w:lvlText w:val="%1."/>
      <w:numFmt w:val="upperLetter"/>
      <w:start w:val="17"/>
    </w:lvl>
  </w:abstractNum>
  <w:abstractNum w:abstractNumId="38">
    <w:nsid w:val="579BE4F1"/>
    <w:multiLevelType w:val="hybridMultilevel"/>
    <w:lvl w:ilvl="0">
      <w:lvlJc w:val="left"/>
      <w:lvlText w:val="%1."/>
      <w:numFmt w:val="upperLetter"/>
      <w:start w:val="1"/>
    </w:lvl>
  </w:abstractNum>
  <w:abstractNum w:abstractNumId="39">
    <w:nsid w:val="310C50B3"/>
    <w:multiLevelType w:val="hybridMultilevel"/>
    <w:lvl w:ilvl="0">
      <w:lvlJc w:val="left"/>
      <w:lvlText w:val="%1."/>
      <w:numFmt w:val="upperLetter"/>
      <w:start w:val="17"/>
    </w:lvl>
  </w:abstractNum>
  <w:abstractNum w:abstractNumId="40">
    <w:nsid w:val="5FF87E05"/>
    <w:multiLevelType w:val="hybridMultilevel"/>
    <w:lvl w:ilvl="0">
      <w:lvlJc w:val="left"/>
      <w:lvlText w:val="%1."/>
      <w:numFmt w:val="upperLetter"/>
      <w:start w:val="1"/>
    </w:lvl>
  </w:abstractNum>
  <w:abstractNum w:abstractNumId="41">
    <w:nsid w:val="2F305DEF"/>
    <w:multiLevelType w:val="hybridMultilevel"/>
    <w:lvl w:ilvl="0">
      <w:lvlJc w:val="left"/>
      <w:lvlText w:val="%1."/>
      <w:numFmt w:val="upperLetter"/>
      <w:start w:val="17"/>
    </w:lvl>
  </w:abstractNum>
  <w:abstractNum w:abstractNumId="42">
    <w:nsid w:val="25A70BF7"/>
    <w:multiLevelType w:val="hybridMultilevel"/>
    <w:lvl w:ilvl="0">
      <w:lvlJc w:val="left"/>
      <w:lvlText w:val="%1."/>
      <w:numFmt w:val="upperLetter"/>
      <w:start w:val="1"/>
    </w:lvl>
  </w:abstractNum>
  <w:abstractNum w:abstractNumId="43">
    <w:nsid w:val="1DBABF00"/>
    <w:multiLevelType w:val="hybridMultilevel"/>
    <w:lvl w:ilvl="0">
      <w:lvlJc w:val="left"/>
      <w:lvlText w:val="%1:"/>
      <w:numFmt w:val="upperLetter"/>
      <w:start w:val="17"/>
    </w:lvl>
  </w:abstractNum>
  <w:abstractNum w:abstractNumId="44">
    <w:nsid w:val="4AD084E9"/>
    <w:multiLevelType w:val="hybridMultilevel"/>
    <w:lvl w:ilvl="0">
      <w:lvlJc w:val="left"/>
      <w:lvlText w:val="%1:"/>
      <w:numFmt w:val="upperLetter"/>
      <w:start w:val="1"/>
    </w:lvl>
  </w:abstractNum>
  <w:abstractNum w:abstractNumId="45">
    <w:nsid w:val="1F48EAA1"/>
    <w:multiLevelType w:val="hybridMultilevel"/>
    <w:lvl w:ilvl="0">
      <w:lvlJc w:val="left"/>
      <w:lvlText w:val="%1:"/>
      <w:numFmt w:val="upperLetter"/>
      <w:start w:val="1"/>
    </w:lvl>
  </w:abstractNum>
  <w:abstractNum w:abstractNumId="46">
    <w:nsid w:val="1381823A"/>
    <w:multiLevelType w:val="hybridMultilevel"/>
    <w:lvl w:ilvl="0">
      <w:lvlJc w:val="left"/>
      <w:lvlText w:val="%1:"/>
      <w:numFmt w:val="upperLetter"/>
      <w:start w:val="1"/>
    </w:lvl>
  </w:abstractNum>
  <w:abstractNum w:abstractNumId="47">
    <w:nsid w:val="5DB70AE5"/>
    <w:multiLevelType w:val="hybridMultilevel"/>
    <w:lvl w:ilvl="0">
      <w:lvlJc w:val="left"/>
      <w:lvlText w:val="%1:"/>
      <w:numFmt w:val="upperLetter"/>
      <w:start w:val="1"/>
    </w:lvl>
  </w:abstractNum>
  <w:abstractNum w:abstractNumId="48">
    <w:nsid w:val="100F8FCA"/>
    <w:multiLevelType w:val="hybridMultilevel"/>
    <w:lvl w:ilvl="0">
      <w:lvlJc w:val="left"/>
      <w:lvlText w:val="%1:"/>
      <w:numFmt w:val="upperLetter"/>
      <w:start w:val="1"/>
    </w:lvl>
  </w:abstractNum>
  <w:abstractNum w:abstractNumId="49">
    <w:nsid w:val="6590700B"/>
    <w:multiLevelType w:val="hybridMultilevel"/>
    <w:lvl w:ilvl="0">
      <w:lvlJc w:val="left"/>
      <w:lvlText w:val="%1:"/>
      <w:numFmt w:val="upperLetter"/>
      <w:start w:val="1"/>
    </w:lvl>
  </w:abstractNum>
  <w:abstractNum w:abstractNumId="50">
    <w:nsid w:val="15014ACB"/>
    <w:multiLevelType w:val="hybridMultilevel"/>
    <w:lvl w:ilvl="0">
      <w:lvlJc w:val="left"/>
      <w:lvlText w:val="%1."/>
      <w:numFmt w:val="upperLetter"/>
      <w:start w:val="17"/>
    </w:lvl>
  </w:abstractNum>
  <w:abstractNum w:abstractNumId="51">
    <w:nsid w:val="5F5E7FD0"/>
    <w:multiLevelType w:val="hybridMultilevel"/>
    <w:lvl w:ilvl="0">
      <w:lvlJc w:val="left"/>
      <w:lvlText w:val="%1."/>
      <w:numFmt w:val="upperLetter"/>
      <w:start w:val="1"/>
    </w:lvl>
  </w:abstractNum>
  <w:abstractNum w:abstractNumId="52">
    <w:nsid w:val="98A3148"/>
    <w:multiLevelType w:val="hybridMultilevel"/>
    <w:lvl w:ilvl="0">
      <w:lvlJc w:val="left"/>
      <w:lvlText w:val="%1."/>
      <w:numFmt w:val="upperLetter"/>
      <w:start w:val="17"/>
    </w:lvl>
  </w:abstractNum>
  <w:abstractNum w:abstractNumId="53">
    <w:nsid w:val="799D0247"/>
    <w:multiLevelType w:val="hybridMultilevel"/>
    <w:lvl w:ilvl="0">
      <w:lvlJc w:val="left"/>
      <w:lvlText w:val="%1."/>
      <w:numFmt w:val="upperLetter"/>
      <w:start w:val="1"/>
    </w:lvl>
  </w:abstractNum>
  <w:abstractNum w:abstractNumId="54">
    <w:nsid w:val="6B94764"/>
    <w:multiLevelType w:val="hybridMultilevel"/>
    <w:lvl w:ilvl="0">
      <w:lvlJc w:val="left"/>
      <w:lvlText w:val="%1."/>
      <w:numFmt w:val="upperLetter"/>
      <w:start w:val="17"/>
    </w:lvl>
  </w:abstractNum>
  <w:abstractNum w:abstractNumId="55">
    <w:nsid w:val="42C296BD"/>
    <w:multiLevelType w:val="hybridMultilevel"/>
    <w:lvl w:ilvl="0">
      <w:lvlJc w:val="left"/>
      <w:lvlText w:val="%1."/>
      <w:numFmt w:val="upperLetter"/>
      <w:start w:val="1"/>
    </w:lvl>
  </w:abstractNum>
  <w:abstractNum w:abstractNumId="56">
    <w:nsid w:val="168E121F"/>
    <w:multiLevelType w:val="hybridMultilevel"/>
    <w:lvl w:ilvl="0">
      <w:lvlJc w:val="left"/>
      <w:lvlText w:val="%1."/>
      <w:numFmt w:val="upperLetter"/>
      <w:start w:val="17"/>
    </w:lvl>
  </w:abstractNum>
  <w:abstractNum w:abstractNumId="57">
    <w:nsid w:val="1EBA5D23"/>
    <w:multiLevelType w:val="hybridMultilevel"/>
    <w:lvl w:ilvl="0">
      <w:lvlJc w:val="left"/>
      <w:lvlText w:val="%1."/>
      <w:numFmt w:val="upperLetter"/>
      <w:start w:val="1"/>
    </w:lvl>
  </w:abstractNum>
  <w:abstractNum w:abstractNumId="58">
    <w:nsid w:val="661E3F1E"/>
    <w:multiLevelType w:val="hybridMultilevel"/>
    <w:lvl w:ilvl="0">
      <w:lvlJc w:val="left"/>
      <w:lvlText w:val="%1."/>
      <w:numFmt w:val="upperLetter"/>
      <w:start w:val="17"/>
    </w:lvl>
  </w:abstractNum>
  <w:abstractNum w:abstractNumId="59">
    <w:nsid w:val="5DC79EA8"/>
    <w:multiLevelType w:val="hybridMultilevel"/>
    <w:lvl w:ilvl="0">
      <w:lvlJc w:val="left"/>
      <w:lvlText w:val="%1."/>
      <w:numFmt w:val="upperLetter"/>
      <w:start w:val="1"/>
    </w:lvl>
  </w:abstractNum>
  <w:abstractNum w:abstractNumId="60">
    <w:nsid w:val="540A471C"/>
    <w:multiLevelType w:val="hybridMultilevel"/>
    <w:lvl w:ilvl="0">
      <w:lvlJc w:val="left"/>
      <w:lvlText w:val="%1:"/>
      <w:numFmt w:val="upperLetter"/>
      <w:start w:val="1"/>
    </w:lvl>
  </w:abstractNum>
  <w:abstractNum w:abstractNumId="61">
    <w:nsid w:val="7BD3EE7B"/>
    <w:multiLevelType w:val="hybridMultilevel"/>
    <w:lvl w:ilvl="0">
      <w:lvlJc w:val="left"/>
      <w:lvlText w:val="%1."/>
      <w:numFmt w:val="upperLetter"/>
      <w:start w:val="17"/>
    </w:lvl>
  </w:abstractNum>
  <w:abstractNum w:abstractNumId="62">
    <w:nsid w:val="51D9C564"/>
    <w:multiLevelType w:val="hybridMultilevel"/>
    <w:lvl w:ilvl="0">
      <w:lvlJc w:val="left"/>
      <w:lvlText w:val="%1."/>
      <w:numFmt w:val="upperLetter"/>
      <w:start w:val="1"/>
    </w:lvl>
  </w:abstractNum>
  <w:abstractNum w:abstractNumId="63">
    <w:nsid w:val="613EFDC5"/>
    <w:multiLevelType w:val="hybridMultilevel"/>
    <w:lvl w:ilvl="0">
      <w:lvlJc w:val="left"/>
      <w:lvlText w:val="%1:"/>
      <w:numFmt w:val="upperLetter"/>
      <w:start w:val="1"/>
    </w:lvl>
  </w:abstractNum>
  <w:abstractNum w:abstractNumId="64">
    <w:nsid w:val="BF72B14"/>
    <w:multiLevelType w:val="hybridMultilevel"/>
    <w:lvl w:ilvl="0">
      <w:lvlJc w:val="left"/>
      <w:lvlText w:val="%1:"/>
      <w:numFmt w:val="upperLetter"/>
      <w:start w:val="1"/>
    </w:lvl>
  </w:abstractNum>
  <w:abstractNum w:abstractNumId="65">
    <w:nsid w:val="11447B73"/>
    <w:multiLevelType w:val="hybridMultilevel"/>
    <w:lvl w:ilvl="0">
      <w:lvlJc w:val="left"/>
      <w:lvlText w:val="(%1)"/>
      <w:numFmt w:val="lowerRoman"/>
      <w:start w:val="3"/>
    </w:lvl>
  </w:abstractNum>
  <w:abstractNum w:abstractNumId="66">
    <w:nsid w:val="42963E5A"/>
    <w:multiLevelType w:val="hybridMultilevel"/>
    <w:lvl w:ilvl="0">
      <w:lvlJc w:val="left"/>
      <w:lvlText w:val="​"/>
      <w:numFmt w:val="bullet"/>
      <w:start w:val="1"/>
    </w:lvl>
  </w:abstractNum>
  <w:abstractNum w:abstractNumId="67">
    <w:nsid w:val="A0382C5"/>
    <w:multiLevelType w:val="hybridMultilevel"/>
    <w:lvl w:ilvl="0">
      <w:lvlJc w:val="left"/>
      <w:lvlText w:val="•"/>
      <w:numFmt w:val="bullet"/>
      <w:start w:val="1"/>
    </w:lvl>
  </w:abstractNum>
  <w:abstractNum w:abstractNumId="68">
    <w:nsid w:val="8F2B15E"/>
    <w:multiLevelType w:val="hybridMultilevel"/>
    <w:lvl w:ilvl="0">
      <w:lvlJc w:val="left"/>
      <w:lvlText w:val="•"/>
      <w:numFmt w:val="bullet"/>
      <w:start w:val="1"/>
    </w:lvl>
  </w:abstractNum>
  <w:abstractNum w:abstractNumId="69">
    <w:nsid w:val="1A32234B"/>
    <w:multiLevelType w:val="hybridMultilevel"/>
    <w:lvl w:ilvl="0">
      <w:lvlJc w:val="left"/>
      <w:lvlText w:val="•"/>
      <w:numFmt w:val="bullet"/>
      <w:start w:val="1"/>
    </w:lvl>
  </w:abstractNum>
  <w:abstractNum w:abstractNumId="70">
    <w:nsid w:val="3B0FD379"/>
    <w:multiLevelType w:val="hybridMultilevel"/>
    <w:lvl w:ilvl="0">
      <w:lvlJc w:val="left"/>
      <w:lvlText w:val="•"/>
      <w:numFmt w:val="bullet"/>
      <w:start w:val="1"/>
    </w:lvl>
  </w:abstractNum>
  <w:abstractNum w:abstractNumId="71">
    <w:nsid w:val="68EB2F63"/>
    <w:multiLevelType w:val="hybridMultilevel"/>
    <w:lvl w:ilvl="0">
      <w:lvlJc w:val="left"/>
      <w:lvlText w:val="•"/>
      <w:numFmt w:val="bullet"/>
      <w:start w:val="1"/>
    </w:lvl>
  </w:abstractNum>
  <w:abstractNum w:abstractNumId="72">
    <w:nsid w:val="4962813B"/>
    <w:multiLevelType w:val="hybridMultilevel"/>
    <w:lvl w:ilvl="0">
      <w:lvlJc w:val="left"/>
      <w:lvlText w:val="*"/>
      <w:numFmt w:val="bullet"/>
      <w:start w:val="1"/>
    </w:lvl>
  </w:abstractNum>
  <w:abstractNum w:abstractNumId="73">
    <w:nsid w:val="60B6DF70"/>
    <w:multiLevelType w:val="hybridMultilevel"/>
    <w:lvl w:ilvl="0">
      <w:lvlJc w:val="left"/>
      <w:lvlText w:val="(%1)"/>
      <w:numFmt w:val="decimal"/>
      <w:start w:val="1"/>
    </w:lvl>
  </w:abstractNum>
  <w:abstractNum w:abstractNumId="74">
    <w:nsid w:val="6A5EE64"/>
    <w:multiLevelType w:val="hybridMultilevel"/>
    <w:lvl w:ilvl="0">
      <w:lvlJc w:val="left"/>
      <w:lvlText w:val="•"/>
      <w:numFmt w:val="bullet"/>
      <w:start w:val="1"/>
    </w:lvl>
  </w:abstractNum>
  <w:abstractNum w:abstractNumId="75">
    <w:nsid w:val="14330624"/>
    <w:multiLevelType w:val="hybridMultilevel"/>
    <w:lvl w:ilvl="0">
      <w:lvlJc w:val="left"/>
      <w:lvlText w:val="•"/>
      <w:numFmt w:val="bullet"/>
      <w:start w:val="1"/>
    </w:lvl>
  </w:abstractNum>
  <w:abstractNum w:abstractNumId="76">
    <w:nsid w:val="7FFFCA11"/>
    <w:multiLevelType w:val="hybridMultilevel"/>
    <w:lvl w:ilvl="0">
      <w:lvlJc w:val="left"/>
      <w:lvlText w:val="•"/>
      <w:numFmt w:val="bullet"/>
      <w:start w:val="1"/>
    </w:lvl>
    <w:lvl w:ilvl="1">
      <w:lvlJc w:val="left"/>
      <w:lvlText w:val="•"/>
      <w:numFmt w:val="bullet"/>
      <w:start w:val="1"/>
    </w:lvl>
  </w:abstractNum>
  <w:abstractNum w:abstractNumId="77">
    <w:nsid w:val="1A27709E"/>
    <w:multiLevelType w:val="hybridMultilevel"/>
    <w:lvl w:ilvl="0">
      <w:lvlJc w:val="left"/>
      <w:lvlText w:val="(%1)"/>
      <w:numFmt w:val="lowerRoman"/>
      <w:start w:val="2"/>
    </w:lvl>
  </w:abstractNum>
  <w:abstractNum w:abstractNumId="78">
    <w:nsid w:val="71EA1109"/>
    <w:multiLevelType w:val="hybridMultilevel"/>
    <w:lvl w:ilvl="0">
      <w:lvlJc w:val="left"/>
      <w:lvlText w:val="(%1)"/>
      <w:numFmt w:val="lowerRoman"/>
      <w:start w:val="3"/>
    </w:lvl>
  </w:abstractNum>
  <w:abstractNum w:abstractNumId="79">
    <w:nsid w:val="100F59DC"/>
    <w:multiLevelType w:val="hybridMultilevel"/>
    <w:lvl w:ilvl="0">
      <w:lvlJc w:val="left"/>
      <w:lvlText w:val="%1."/>
      <w:numFmt w:val="decimal"/>
      <w:start w:val="1"/>
    </w:lvl>
  </w:abstractNum>
  <w:abstractNum w:abstractNumId="80">
    <w:nsid w:val="7FB7E0AA"/>
    <w:multiLevelType w:val="hybridMultilevel"/>
    <w:lvl w:ilvl="0">
      <w:lvlJc w:val="left"/>
      <w:lvlText w:val="(%1)"/>
      <w:numFmt w:val="lowerLetter"/>
      <w:start w:val="35"/>
    </w:lvl>
  </w:abstractNum>
  <w:abstractNum w:abstractNumId="81">
    <w:nsid w:val="6EB5BD4"/>
    <w:multiLevelType w:val="hybridMultilevel"/>
    <w:lvl w:ilvl="0">
      <w:lvlJc w:val="left"/>
      <w:lvlText w:val="(%1)"/>
      <w:numFmt w:val="lowerLetter"/>
      <w:start w:val="2"/>
    </w:lvl>
  </w:abstractNum>
  <w:abstractNum w:abstractNumId="82">
    <w:nsid w:val="6F6DD9AC"/>
    <w:multiLevelType w:val="hybridMultilevel"/>
    <w:lvl w:ilvl="0">
      <w:lvlJc w:val="left"/>
      <w:lvlText w:val="%1."/>
      <w:numFmt w:val="decimal"/>
      <w:start w:val="5"/>
    </w:lvl>
  </w:abstractNum>
  <w:abstractNum w:abstractNumId="83">
    <w:nsid w:val="94211F2"/>
    <w:multiLevelType w:val="hybridMultilevel"/>
    <w:lvl w:ilvl="0">
      <w:lvlJc w:val="left"/>
      <w:lvlText w:val="(%1)"/>
      <w:numFmt w:val="lowerRoman"/>
      <w:start w:val="2"/>
    </w:lvl>
  </w:abstractNum>
  <w:abstractNum w:abstractNumId="84">
    <w:nsid w:val="885E1B"/>
    <w:multiLevelType w:val="hybridMultilevel"/>
    <w:lvl w:ilvl="0">
      <w:lvlJc w:val="left"/>
      <w:lvlText w:val="(%1)"/>
      <w:numFmt w:val="lowerRoman"/>
      <w:start w:val="1"/>
    </w:lvl>
  </w:abstractNum>
  <w:abstractNum w:abstractNumId="85">
    <w:nsid w:val="76272110"/>
    <w:multiLevelType w:val="hybridMultilevel"/>
    <w:lvl w:ilvl="0">
      <w:lvlJc w:val="left"/>
      <w:lvlText w:val="%1."/>
      <w:numFmt w:val="decimal"/>
      <w:start w:val="1"/>
    </w:lvl>
  </w:abstractNum>
  <w:abstractNum w:abstractNumId="86">
    <w:nsid w:val="4C04A8AF"/>
    <w:multiLevelType w:val="hybridMultilevel"/>
    <w:lvl w:ilvl="0">
      <w:lvlJc w:val="left"/>
      <w:lvlText w:val="%1."/>
      <w:numFmt w:val="decimal"/>
      <w:start w:val="2"/>
    </w:lvl>
  </w:abstractNum>
  <w:abstractNum w:abstractNumId="87">
    <w:nsid w:val="1716703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2023-02-10T13:26:58Z</dcterms:created>
  <dcterms:modified xsi:type="dcterms:W3CDTF">2023-02-10T13:26:58Z</dcterms:modified>
</cp:coreProperties>
</file>