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14"/>
        <w:gridCol w:w="1800"/>
        <w:gridCol w:w="1824"/>
        <w:gridCol w:w="109"/>
        <w:gridCol w:w="109"/>
        <w:gridCol w:w="109"/>
        <w:gridCol w:w="405"/>
        <w:gridCol w:w="405"/>
        <w:gridCol w:w="407"/>
        <w:gridCol w:w="109"/>
        <w:gridCol w:w="109"/>
        <w:gridCol w:w="109"/>
        <w:gridCol w:w="728"/>
        <w:gridCol w:w="728"/>
        <w:gridCol w:w="1040"/>
      </w:tblGrid>
      <w:tr>
        <w:trPr/>
        <w:tc>
          <w:tcPr>
            <w:tcW w:w="221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Series A Junior Participating Preferred Stock, </w:t>
              <w:br/>
              <w:t>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May 14, 2026, there were 142,299,461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9390" w:type="dxa"/>
        <w:jc w:val="left"/>
        <w:tblInd w:w="0" w:type="dxa"/>
        <w:tblLayout w:type="fixed"/>
        <w:tblCellMar>
          <w:top w:w="28" w:type="dxa"/>
          <w:left w:w="28" w:type="dxa"/>
          <w:bottom w:w="28" w:type="dxa"/>
          <w:right w:w="28" w:type="dxa"/>
        </w:tblCellMar>
      </w:tblPr>
      <w:tblGrid>
        <w:gridCol w:w="3193"/>
        <w:gridCol w:w="2807"/>
        <w:gridCol w:w="2819"/>
        <w:gridCol w:w="167"/>
        <w:gridCol w:w="167"/>
        <w:gridCol w:w="237"/>
      </w:tblGrid>
      <w:tr>
        <w:trPr/>
        <w:tc>
          <w:tcPr>
            <w:tcW w:w="3193"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755">
              <w:r>
                <w:rPr>
                  <w:rStyle w:val="InternetLink"/>
                  <w:rFonts w:ascii="Times New Roman;serif" w:hAnsi="Times New Roman;serif"/>
                  <w:b w:val="false"/>
                  <w:strike w:val="false"/>
                  <w:dstrike w:val="false"/>
                  <w:color w:val="000000"/>
                  <w:sz w:val="20"/>
                  <w:u w:val="none"/>
                  <w:effect w:val="none"/>
                </w:rPr>
                <w:t>ii</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761">
              <w:r>
                <w:rPr>
                  <w:rStyle w:val="InternetLink"/>
                  <w:rFonts w:ascii="Times New Roman;serif" w:hAnsi="Times New Roman;serif"/>
                  <w:b w:val="false"/>
                  <w:strike w:val="false"/>
                  <w:dstrike w:val="false"/>
                  <w:color w:val="000000"/>
                  <w:sz w:val="20"/>
                  <w:u w:val="none"/>
                  <w:effect w:val="none"/>
                </w:rPr>
                <w:t>iii</w:t>
              </w:r>
            </w:hyperlink>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10">
              <w:r>
                <w:rPr>
                  <w:rStyle w:val="InternetLink"/>
                  <w:rFonts w:ascii="Times New Roman;serif" w:hAnsi="Times New Roman;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0">
              <w:r>
                <w:rPr>
                  <w:rStyle w:val="InternetLink"/>
                  <w:rFonts w:ascii="Times New Roman;serif" w:hAnsi="Times New Roman;serif"/>
                  <w:b w:val="false"/>
                  <w:strike w:val="false"/>
                  <w:dstrike w:val="false"/>
                  <w:color w:val="000080"/>
                  <w:sz w:val="20"/>
                  <w:u w:val="single"/>
                  <w:effect w:val="none"/>
                </w:rPr>
                <w:t>Item 1. Financial Statements</w:t>
              </w:r>
            </w:hyperlink>
            <w:hyperlink w:anchor="i42667a8e89db41dd940bed33065370f1_10">
              <w:r>
                <w:rPr>
                  <w:rStyle w:val="InternetLink"/>
                  <w:rFonts w:ascii="Times New Roman;serif" w:hAnsi="Times New Roman;serif"/>
                  <w:b w:val="false"/>
                  <w:strike w:val="false"/>
                  <w:dstrike w:val="false"/>
                  <w:color w:val="000080"/>
                  <w:sz w:val="20"/>
                  <w:u w:val="single"/>
                  <w:effect w:val="none"/>
                </w:rPr>
                <w:t xml:space="preserve"> (</w:t>
              </w:r>
            </w:hyperlink>
            <w:hyperlink w:anchor="i42667a8e89db41dd940bed33065370f1_10">
              <w:r>
                <w:rPr>
                  <w:rStyle w:val="InternetLink"/>
                  <w:rFonts w:ascii="Times New Roman;serif" w:hAnsi="Times New Roman;serif"/>
                  <w:b w:val="false"/>
                  <w:strike w:val="false"/>
                  <w:dstrike w:val="false"/>
                  <w:color w:val="000080"/>
                  <w:sz w:val="20"/>
                  <w:u w:val="single"/>
                  <w:effect w:val="none"/>
                </w:rPr>
                <w:t>U</w:t>
              </w:r>
            </w:hyperlink>
            <w:hyperlink w:anchor="i42667a8e89db41dd940bed33065370f1_10">
              <w:r>
                <w:rPr>
                  <w:rStyle w:val="InternetLink"/>
                  <w:rFonts w:ascii="Times New Roman;serif" w:hAnsi="Times New Roman;serif"/>
                  <w:b w:val="false"/>
                  <w:strike w:val="false"/>
                  <w:dstrike w:val="false"/>
                  <w:color w:val="000080"/>
                  <w:sz w:val="20"/>
                  <w:u w:val="single"/>
                  <w:effect w:val="none"/>
                </w:rPr>
                <w:t>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9">
              <w:r>
                <w:rPr>
                  <w:rStyle w:val="InternetLink"/>
                  <w:rFonts w:ascii="Times New Roman;serif" w:hAnsi="Times New Roman;serif"/>
                  <w:b w:val="false"/>
                  <w:strike w:val="false"/>
                  <w:dstrike w:val="false"/>
                  <w:color w:val="000000"/>
                  <w:sz w:val="20"/>
                  <w:u w:val="none"/>
                  <w:effect w:val="non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42667a8e89db41dd940bed33065370f1_19">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9">
              <w:r>
                <w:rPr>
                  <w:rStyle w:val="InternetLink"/>
                  <w:rFonts w:ascii="Times New Roman;serif" w:hAnsi="Times New Roman;serif"/>
                  <w:b w:val="false"/>
                  <w:strike w:val="false"/>
                  <w:dstrike w:val="false"/>
                  <w:color w:val="000000"/>
                  <w:sz w:val="20"/>
                  <w:u w:val="none"/>
                  <w:effect w:val="non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22">
              <w:r>
                <w:rPr>
                  <w:rStyle w:val="InternetLink"/>
                  <w:rFonts w:ascii="Times New Roman;serif" w:hAnsi="Times New Roman;serif"/>
                  <w:b w:val="false"/>
                  <w:strike w:val="false"/>
                  <w:dstrike w:val="false"/>
                  <w:color w:val="000080"/>
                  <w:sz w:val="20"/>
                  <w:u w:val="single"/>
                  <w:effect w:val="none"/>
                </w:rPr>
                <w:t xml:space="preserve">Condensed </w:t>
              </w:r>
            </w:hyperlink>
            <w:hyperlink w:anchor="i42667a8e89db41dd940bed33065370f1_22">
              <w:r>
                <w:rPr>
                  <w:rStyle w:val="InternetLink"/>
                  <w:rFonts w:ascii="Times New Roman;serif" w:hAnsi="Times New Roman;serif"/>
                  <w:b w:val="false"/>
                  <w:strike w:val="false"/>
                  <w:dstrike w:val="false"/>
                  <w:color w:val="000080"/>
                  <w:sz w:val="20"/>
                  <w:u w:val="single"/>
                  <w:effect w:val="none"/>
                </w:rPr>
                <w:t>Consolidated Statements of Operations</w:t>
              </w:r>
            </w:hyperlink>
            <w:hyperlink w:anchor="i42667a8e89db41dd940bed33065370f1_22">
              <w:r>
                <w:rPr>
                  <w:rStyle w:val="InternetLink"/>
                  <w:rFonts w:ascii="Times New Roman;serif" w:hAnsi="Times New Roman;serif"/>
                  <w:b w:val="false"/>
                  <w:strike w:val="false"/>
                  <w:dstrike w:val="false"/>
                  <w:color w:val="000080"/>
                  <w:sz w:val="20"/>
                  <w:u w:val="single"/>
                  <w:effect w:val="none"/>
                </w:rPr>
                <w:t xml:space="preserve">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22">
              <w:r>
                <w:rPr>
                  <w:rStyle w:val="InternetLink"/>
                  <w:rFonts w:ascii="Times New Roman;serif" w:hAnsi="Times New Roman;serif"/>
                  <w:b w:val="false"/>
                  <w:strike w:val="false"/>
                  <w:dstrike w:val="false"/>
                  <w:color w:val="000000"/>
                  <w:sz w:val="20"/>
                  <w:u w:val="none"/>
                  <w:effect w:val="none"/>
                </w:rPr>
                <w:t>2</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42667a8e89db41dd940bed33065370f1_25">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25">
              <w:r>
                <w:rPr>
                  <w:rStyle w:val="InternetLink"/>
                  <w:rFonts w:ascii="Times New Roman;serif" w:hAnsi="Times New Roman;serif"/>
                  <w:b w:val="false"/>
                  <w:strike w:val="false"/>
                  <w:dstrike w:val="false"/>
                  <w:color w:val="000000"/>
                  <w:sz w:val="20"/>
                  <w:u w:val="none"/>
                  <w:effect w:val="none"/>
                </w:rPr>
                <w:t>3</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42667a8e89db41dd940bed33065370f1_28">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28">
              <w:r>
                <w:rPr>
                  <w:rStyle w:val="InternetLink"/>
                  <w:rFonts w:ascii="Times New Roman;serif" w:hAnsi="Times New Roman;serif"/>
                  <w:b w:val="false"/>
                  <w:strike w:val="false"/>
                  <w:dstrike w:val="false"/>
                  <w:color w:val="000000"/>
                  <w:sz w:val="20"/>
                  <w:u w:val="none"/>
                  <w:effect w:val="none"/>
                </w:rPr>
                <w:t>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31">
              <w:r>
                <w:rPr>
                  <w:rStyle w:val="InternetLink"/>
                  <w:rFonts w:ascii="Times New Roman;serif" w:hAnsi="Times New Roman;serif"/>
                  <w:b w:val="false"/>
                  <w:strike w:val="false"/>
                  <w:dstrike w:val="false"/>
                  <w:color w:val="000000"/>
                  <w:sz w:val="20"/>
                  <w:u w:val="none"/>
                  <w:effect w:val="none"/>
                </w:rPr>
                <w:t>5</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34">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34">
              <w:r>
                <w:rPr>
                  <w:rStyle w:val="InternetLink"/>
                  <w:rFonts w:ascii="Times New Roman;serif" w:hAnsi="Times New Roman;serif"/>
                  <w:b w:val="false"/>
                  <w:strike w:val="false"/>
                  <w:dstrike w:val="false"/>
                  <w:color w:val="000000"/>
                  <w:sz w:val="20"/>
                  <w:u w:val="none"/>
                  <w:effect w:val="none"/>
                </w:rPr>
                <w:t>5</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37">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37">
              <w:r>
                <w:rPr>
                  <w:rStyle w:val="InternetLink"/>
                  <w:rFonts w:ascii="Times New Roman;serif" w:hAnsi="Times New Roman;serif"/>
                  <w:b w:val="false"/>
                  <w:strike w:val="false"/>
                  <w:dstrike w:val="false"/>
                  <w:color w:val="000000"/>
                  <w:sz w:val="20"/>
                  <w:u w:val="none"/>
                  <w:effect w:val="none"/>
                </w:rPr>
                <w:t>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40">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40">
              <w:r>
                <w:rPr>
                  <w:rStyle w:val="InternetLink"/>
                  <w:rFonts w:ascii="Times New Roman;serif" w:hAnsi="Times New Roman;serif"/>
                  <w:b w:val="false"/>
                  <w:strike w:val="false"/>
                  <w:dstrike w:val="false"/>
                  <w:color w:val="000000"/>
                  <w:sz w:val="20"/>
                  <w:u w:val="none"/>
                  <w:effect w:val="none"/>
                </w:rPr>
                <w:t>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43">
              <w:r>
                <w:rPr>
                  <w:rStyle w:val="InternetLink"/>
                  <w:rFonts w:ascii="Times New Roman;serif" w:hAnsi="Times New Roman;serif"/>
                  <w:b w:val="false"/>
                  <w:strike w:val="false"/>
                  <w:dstrike w:val="false"/>
                  <w:color w:val="000080"/>
                  <w:sz w:val="20"/>
                  <w:u w:val="single"/>
                  <w:effect w:val="none"/>
                </w:rPr>
                <w:t xml:space="preserve">Note 4 — Fair Value </w:t>
              </w:r>
            </w:hyperlink>
            <w:hyperlink w:anchor="i42667a8e89db41dd940bed33065370f1_43">
              <w:r>
                <w:rPr>
                  <w:rStyle w:val="InternetLink"/>
                  <w:rFonts w:ascii="Times New Roman;serif" w:hAnsi="Times New Roman;serif"/>
                  <w:b w:val="false"/>
                  <w:strike w:val="false"/>
                  <w:dstrike w:val="false"/>
                  <w:color w:val="000080"/>
                  <w:sz w:val="20"/>
                  <w:u w:val="single"/>
                  <w:effect w:val="none"/>
                </w:rPr>
                <w:t>Measure</w:t>
              </w:r>
            </w:hyperlink>
            <w:hyperlink w:anchor="i42667a8e89db41dd940bed33065370f1_43">
              <w:r>
                <w:rPr>
                  <w:rStyle w:val="InternetLink"/>
                  <w:rFonts w:ascii="Times New Roman;serif" w:hAnsi="Times New Roman;serif"/>
                  <w:b w:val="false"/>
                  <w:strike w:val="false"/>
                  <w:dstrike w:val="false"/>
                  <w:color w:val="000080"/>
                  <w:sz w:val="20"/>
                  <w:u w:val="single"/>
                  <w:effect w:val="none"/>
                </w:rPr>
                <w:t xml:space="preserve">ments </w:t>
              </w:r>
            </w:hyperlink>
            <w:hyperlink w:anchor="i42667a8e89db41dd940bed33065370f1_43">
              <w:r>
                <w:rPr>
                  <w:rStyle w:val="InternetLink"/>
                  <w:rFonts w:ascii="Times New Roman;serif" w:hAnsi="Times New Roman;serif"/>
                  <w:b w:val="false"/>
                  <w:strike w:val="false"/>
                  <w:dstrike w:val="false"/>
                  <w:color w:val="000080"/>
                  <w:sz w:val="20"/>
                  <w:u w:val="single"/>
                  <w:effect w:val="none"/>
                </w:rPr>
                <w:t>and Derivative</w:t>
              </w:r>
            </w:hyperlink>
            <w:hyperlink w:anchor="i42667a8e89db41dd940bed33065370f1_43">
              <w:r>
                <w:rPr>
                  <w:rStyle w:val="InternetLink"/>
                  <w:rFonts w:ascii="Times New Roman;serif" w:hAnsi="Times New Roman;serif"/>
                  <w:b w:val="false"/>
                  <w:strike w:val="false"/>
                  <w:dstrike w:val="false"/>
                  <w:color w:val="000080"/>
                  <w:sz w:val="20"/>
                  <w:u w:val="single"/>
                  <w:effect w:val="none"/>
                </w:rPr>
                <w:t xml:space="preser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43">
              <w:r>
                <w:rPr>
                  <w:rStyle w:val="InternetLink"/>
                  <w:rFonts w:ascii="Times New Roman;serif" w:hAnsi="Times New Roman;serif"/>
                  <w:b w:val="false"/>
                  <w:strike w:val="false"/>
                  <w:dstrike w:val="false"/>
                  <w:color w:val="000000"/>
                  <w:sz w:val="20"/>
                  <w:u w:val="none"/>
                  <w:effect w:val="none"/>
                </w:rPr>
                <w:t>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46">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46">
              <w:r>
                <w:rPr>
                  <w:rStyle w:val="InternetLink"/>
                  <w:rFonts w:ascii="Times New Roman;serif" w:hAnsi="Times New Roman;serif"/>
                  <w:b w:val="false"/>
                  <w:strike w:val="false"/>
                  <w:dstrike w:val="false"/>
                  <w:color w:val="000000"/>
                  <w:sz w:val="20"/>
                  <w:u w:val="none"/>
                  <w:effect w:val="none"/>
                </w:rPr>
                <w:t>11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49">
              <w:r>
                <w:rPr>
                  <w:rStyle w:val="InternetLink"/>
                  <w:rFonts w:ascii="Times New Roman;serif" w:hAnsi="Times New Roman;serif"/>
                  <w:b w:val="false"/>
                  <w:strike w:val="false"/>
                  <w:dstrike w:val="false"/>
                  <w:color w:val="000000"/>
                  <w:sz w:val="20"/>
                  <w:u w:val="none"/>
                  <w:effect w:val="none"/>
                </w:rPr>
                <w:t>Note 6 — Common Stock, Currently Outstanding Warrants to Purchase Common Stock, and Earnout Shares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49">
              <w:r>
                <w:rPr>
                  <w:rStyle w:val="InternetLink"/>
                  <w:rFonts w:ascii="Times New Roman;serif" w:hAnsi="Times New Roman;serif"/>
                  <w:b w:val="false"/>
                  <w:strike w:val="false"/>
                  <w:dstrike w:val="false"/>
                  <w:color w:val="000000"/>
                  <w:sz w:val="20"/>
                  <w:u w:val="none"/>
                  <w:effect w:val="none"/>
                </w:rPr>
                <w:t>12</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52">
              <w:r>
                <w:rPr>
                  <w:rStyle w:val="InternetLink"/>
                  <w:rFonts w:ascii="Times New Roman;serif" w:hAnsi="Times New Roman;serif"/>
                  <w:b w:val="false"/>
                  <w:strike w:val="false"/>
                  <w:dstrike w:val="false"/>
                  <w:color w:val="000080"/>
                  <w:sz w:val="20"/>
                  <w:u w:val="single"/>
                  <w:effect w:val="none"/>
                </w:rPr>
                <w:t xml:space="preserve">Note 7 — Net Loss </w:t>
              </w:r>
            </w:hyperlink>
            <w:hyperlink w:anchor="i42667a8e89db41dd940bed33065370f1_52">
              <w:r>
                <w:rPr>
                  <w:rStyle w:val="InternetLink"/>
                  <w:rFonts w:ascii="Times New Roman;serif" w:hAnsi="Times New Roman;serif"/>
                  <w:b w:val="false"/>
                  <w:strike w:val="false"/>
                  <w:dstrike w:val="false"/>
                  <w:color w:val="000080"/>
                  <w:sz w:val="20"/>
                  <w:u w:val="single"/>
                  <w:effect w:val="none"/>
                </w:rPr>
                <w:t>P</w:t>
              </w:r>
            </w:hyperlink>
            <w:hyperlink w:anchor="i42667a8e89db41dd940bed33065370f1_52">
              <w:r>
                <w:rPr>
                  <w:rStyle w:val="InternetLink"/>
                  <w:rFonts w:ascii="Times New Roman;serif" w:hAnsi="Times New Roman;serif"/>
                  <w:b w:val="false"/>
                  <w:strike w:val="false"/>
                  <w:dstrike w:val="false"/>
                  <w:color w:val="000080"/>
                  <w:sz w:val="20"/>
                  <w:u w:val="single"/>
                  <w:effect w:val="none"/>
                </w:rPr>
                <w:t>er Share</w:t>
              </w:r>
            </w:hyperlink>
            <w:hyperlink w:anchor="i42667a8e89db41dd940bed33065370f1_52">
              <w:r>
                <w:rPr>
                  <w:rStyle w:val="InternetLink"/>
                  <w:rFonts w:ascii="Times New Roman;serif" w:hAnsi="Times New Roman;serif"/>
                  <w:b w:val="false"/>
                  <w:strike w:val="false"/>
                  <w:dstrike w:val="false"/>
                  <w:color w:val="000080"/>
                  <w:sz w:val="20"/>
                  <w:u w:val="single"/>
                  <w:effect w:val="none"/>
                </w:rPr>
                <w:t xml:space="preserve"> o</w:t>
              </w:r>
            </w:hyperlink>
            <w:hyperlink w:anchor="i42667a8e89db41dd940bed33065370f1_52">
              <w:r>
                <w:rPr>
                  <w:rStyle w:val="InternetLink"/>
                  <w:rFonts w:ascii="Times New Roman;serif" w:hAnsi="Times New Roman;serif"/>
                  <w:b w:val="false"/>
                  <w:strike w:val="false"/>
                  <w:dstrike w:val="false"/>
                  <w:color w:val="000080"/>
                  <w:sz w:val="20"/>
                  <w:u w:val="single"/>
                  <w:effect w:val="none"/>
                </w:rPr>
                <w:t>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52">
              <w:r>
                <w:rPr>
                  <w:rStyle w:val="InternetLink"/>
                  <w:rFonts w:ascii="Times New Roman;serif" w:hAnsi="Times New Roman;serif"/>
                  <w:b w:val="false"/>
                  <w:strike w:val="false"/>
                  <w:dstrike w:val="false"/>
                  <w:color w:val="000000"/>
                  <w:sz w:val="20"/>
                  <w:u w:val="none"/>
                  <w:effect w:val="none"/>
                </w:rPr>
                <w:t>14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55">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55">
              <w:r>
                <w:rPr>
                  <w:rStyle w:val="InternetLink"/>
                  <w:rFonts w:ascii="Times New Roman;serif" w:hAnsi="Times New Roman;serif"/>
                  <w:b w:val="false"/>
                  <w:strike w:val="false"/>
                  <w:dstrike w:val="false"/>
                  <w:color w:val="000000"/>
                  <w:sz w:val="20"/>
                  <w:u w:val="none"/>
                  <w:effect w:val="none"/>
                </w:rPr>
                <w:t>14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61">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61">
              <w:r>
                <w:rPr>
                  <w:rStyle w:val="InternetLink"/>
                  <w:rFonts w:ascii="Times New Roman;serif" w:hAnsi="Times New Roman;serif"/>
                  <w:b w:val="false"/>
                  <w:strike w:val="false"/>
                  <w:dstrike w:val="false"/>
                  <w:color w:val="000000"/>
                  <w:sz w:val="20"/>
                  <w:u w:val="none"/>
                  <w:effect w:val="none"/>
                </w:rPr>
                <w:t>16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67a8e89db41dd940bed33065370f1_67">
              <w:r>
                <w:rPr>
                  <w:rStyle w:val="InternetLink"/>
                  <w:rFonts w:ascii="Times New Roman;serif" w:hAnsi="Times New Roman;serif"/>
                  <w:b w:val="false"/>
                  <w:strike w:val="false"/>
                  <w:dstrike w:val="false"/>
                  <w:color w:val="000000"/>
                  <w:sz w:val="20"/>
                  <w:u w:val="none"/>
                  <w:effect w:val="none"/>
                </w:rPr>
                <w:t>Note 10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67">
              <w:r>
                <w:rPr>
                  <w:rStyle w:val="InternetLink"/>
                  <w:rFonts w:ascii="Times New Roman;serif" w:hAnsi="Times New Roman;serif"/>
                  <w:b w:val="false"/>
                  <w:strike w:val="false"/>
                  <w:dstrike w:val="false"/>
                  <w:color w:val="000000"/>
                  <w:sz w:val="20"/>
                  <w:u w:val="none"/>
                  <w:effect w:val="none"/>
                </w:rPr>
                <w:t>17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70">
              <w:r>
                <w:rPr>
                  <w:rStyle w:val="InternetLink"/>
                  <w:rFonts w:ascii="Times New Roman;serif" w:hAnsi="Times New Roman;serif"/>
                  <w:b w:val="false"/>
                  <w:strike w:val="false"/>
                  <w:dstrike w:val="false"/>
                  <w:color w:val="000080"/>
                  <w:sz w:val="20"/>
                  <w:u w:val="single"/>
                  <w:effect w:val="none"/>
                </w:rPr>
                <w:t>Item 2. Management</w:t>
              </w:r>
            </w:hyperlink>
            <w:hyperlink w:anchor="i42667a8e89db41dd940bed33065370f1_70">
              <w:r>
                <w:rPr>
                  <w:rStyle w:val="InternetLink"/>
                  <w:rFonts w:ascii="Times New Roman;serif" w:hAnsi="Times New Roman;serif"/>
                  <w:b w:val="false"/>
                  <w:strike w:val="false"/>
                  <w:dstrike w:val="false"/>
                  <w:color w:val="000080"/>
                  <w:sz w:val="20"/>
                  <w:u w:val="single"/>
                  <w:effect w:val="none"/>
                </w:rPr>
                <w:t>’</w:t>
              </w:r>
            </w:hyperlink>
            <w:hyperlink w:anchor="i42667a8e89db41dd940bed33065370f1_70">
              <w:r>
                <w:rPr>
                  <w:rStyle w:val="InternetLink"/>
                  <w:rFonts w:ascii="Times New Roman;serif" w:hAnsi="Times New Roman;serif"/>
                  <w:b w:val="false"/>
                  <w:strike w:val="false"/>
                  <w:dstrike w:val="false"/>
                  <w:color w:val="000080"/>
                  <w:sz w:val="20"/>
                  <w:u w:val="single"/>
                  <w:effect w:val="none"/>
                </w:rPr>
                <w: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70">
              <w:r>
                <w:rPr>
                  <w:rStyle w:val="InternetLink"/>
                  <w:rFonts w:ascii="Times New Roman;serif" w:hAnsi="Times New Roman;serif"/>
                  <w:b w:val="false"/>
                  <w:strike w:val="false"/>
                  <w:dstrike w:val="false"/>
                  <w:color w:val="000000"/>
                  <w:sz w:val="20"/>
                  <w:u w:val="none"/>
                  <w:effect w:val="none"/>
                </w:rPr>
                <w:t>18</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97">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97">
              <w:r>
                <w:rPr>
                  <w:rStyle w:val="InternetLink"/>
                  <w:rFonts w:ascii="Times New Roman;serif" w:hAnsi="Times New Roman;serif"/>
                  <w:b w:val="false"/>
                  <w:strike w:val="false"/>
                  <w:dstrike w:val="false"/>
                  <w:color w:val="000000"/>
                  <w:sz w:val="20"/>
                  <w:u w:val="none"/>
                  <w:effect w:val="none"/>
                </w:rPr>
                <w:t>26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00">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00">
              <w:r>
                <w:rPr>
                  <w:rStyle w:val="InternetLink"/>
                  <w:rFonts w:ascii="Times New Roman;serif" w:hAnsi="Times New Roman;serif"/>
                  <w:b w:val="false"/>
                  <w:strike w:val="false"/>
                  <w:dstrike w:val="false"/>
                  <w:color w:val="000000"/>
                  <w:sz w:val="20"/>
                  <w:u w:val="none"/>
                  <w:effect w:val="none"/>
                </w:rPr>
                <w:t>26</w:t>
              </w:r>
            </w:hyperlink>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03">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03">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06">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06">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09">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09">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12">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12">
              <w:r>
                <w:rPr>
                  <w:rStyle w:val="InternetLink"/>
                  <w:rFonts w:ascii="Times New Roman;serif" w:hAnsi="Times New Roman;serif"/>
                  <w:b w:val="false"/>
                  <w:strike w:val="false"/>
                  <w:dstrike w:val="false"/>
                  <w:color w:val="000000"/>
                  <w:sz w:val="20"/>
                  <w:u w:val="none"/>
                  <w:effect w:val="none"/>
                </w:rPr>
                <w:t>28</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15">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15">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18">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18">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21">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21">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27">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27">
              <w:r>
                <w:rPr>
                  <w:rStyle w:val="InternetLink"/>
                  <w:rFonts w:ascii="Times New Roman;serif" w:hAnsi="Times New Roman;serif"/>
                  <w:b w:val="false"/>
                  <w:strike w:val="false"/>
                  <w:dstrike w:val="false"/>
                  <w:color w:val="000000"/>
                  <w:sz w:val="20"/>
                  <w:u w:val="none"/>
                  <w:effect w:val="none"/>
                </w:rPr>
                <w:t>30</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667a8e89db41dd940bed33065370f1_130">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2667a8e89db41dd940bed33065370f1_130">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(the “Annual Report on Form 10-K” or “Form 10-K”) filed with the U.S. Securities and Exchange Commission (“SEC”) on March 24, 2026,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the Form 10-K, as amended by Amendment No. 1 on Form 10-K/A filed with the SEC on April 30, 2026,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strike w:val="false"/>
            <w:dstrike w:val="false"/>
            <w:color w:val="0000FF"/>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56"/>
        <w:gridCol w:w="2212"/>
        <w:gridCol w:w="2147"/>
        <w:gridCol w:w="109"/>
        <w:gridCol w:w="109"/>
        <w:gridCol w:w="109"/>
        <w:gridCol w:w="223"/>
        <w:gridCol w:w="781"/>
        <w:gridCol w:w="115"/>
        <w:gridCol w:w="109"/>
        <w:gridCol w:w="109"/>
        <w:gridCol w:w="109"/>
        <w:gridCol w:w="229"/>
        <w:gridCol w:w="916"/>
        <w:gridCol w:w="172"/>
      </w:tblGrid>
      <w:tr>
        <w:trPr/>
        <w:tc>
          <w:tcPr>
            <w:tcW w:w="275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allowance for credit losses of $2,430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70,752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102,211</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loan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45,307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63,211</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600,000,000 and 600,000,000 shares authorized as of March 31, 2026 and December 31, 2025, respectively, and 122,746,757 and 122,043,966 shares issued and outstanding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675,143</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25,445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39,000</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70,752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102,211</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49580"/>
                <wp:effectExtent l="0" t="0" r="0" b="0"/>
                <wp:wrapNone/>
                <wp:docPr id="5" name="Frame5"/>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9378" w:type="dxa"/>
        <w:jc w:val="left"/>
        <w:tblInd w:w="0" w:type="dxa"/>
        <w:tblLayout w:type="fixed"/>
        <w:tblCellMar>
          <w:top w:w="28" w:type="dxa"/>
          <w:left w:w="28" w:type="dxa"/>
          <w:bottom w:w="28" w:type="dxa"/>
          <w:right w:w="28" w:type="dxa"/>
        </w:tblCellMar>
      </w:tblPr>
      <w:tblGrid>
        <w:gridCol w:w="2063"/>
        <w:gridCol w:w="1820"/>
        <w:gridCol w:w="1832"/>
        <w:gridCol w:w="109"/>
        <w:gridCol w:w="109"/>
        <w:gridCol w:w="109"/>
        <w:gridCol w:w="450"/>
        <w:gridCol w:w="396"/>
        <w:gridCol w:w="399"/>
        <w:gridCol w:w="232"/>
        <w:gridCol w:w="232"/>
        <w:gridCol w:w="232"/>
        <w:gridCol w:w="450"/>
        <w:gridCol w:w="502"/>
        <w:gridCol w:w="443"/>
      </w:tblGrid>
      <w:tr>
        <w:trPr/>
        <w:tc>
          <w:tcPr>
            <w:tcW w:w="2063"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consulting services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327</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1,576</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680</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13,118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13,108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12,043</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38,701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(23,388)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(38,021)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116,518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(109,578)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(22,554)</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(147,599)</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(22,653)</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(147,761)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(22,528)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(147,761)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122,382,195</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91,747,685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49580"/>
                <wp:effectExtent l="0" t="0" r="0" b="0"/>
                <wp:wrapNone/>
                <wp:docPr id="6" name="Frame6"/>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tbl>
      <w:tblPr>
        <w:tblW w:w="11758" w:type="dxa"/>
        <w:jc w:val="left"/>
        <w:tblInd w:w="0" w:type="dxa"/>
        <w:tblLayout w:type="fixed"/>
        <w:tblCellMar>
          <w:top w:w="28" w:type="dxa"/>
          <w:left w:w="28" w:type="dxa"/>
          <w:bottom w:w="28" w:type="dxa"/>
          <w:right w:w="28" w:type="dxa"/>
        </w:tblCellMar>
      </w:tblPr>
      <w:tblGrid>
        <w:gridCol w:w="814"/>
        <w:gridCol w:w="268"/>
        <w:gridCol w:w="269"/>
        <w:gridCol w:w="298"/>
        <w:gridCol w:w="224"/>
        <w:gridCol w:w="109"/>
        <w:gridCol w:w="109"/>
        <w:gridCol w:w="109"/>
        <w:gridCol w:w="109"/>
        <w:gridCol w:w="236"/>
        <w:gridCol w:w="406"/>
        <w:gridCol w:w="109"/>
        <w:gridCol w:w="109"/>
        <w:gridCol w:w="109"/>
        <w:gridCol w:w="109"/>
        <w:gridCol w:w="379"/>
        <w:gridCol w:w="379"/>
        <w:gridCol w:w="383"/>
        <w:gridCol w:w="109"/>
        <w:gridCol w:w="109"/>
        <w:gridCol w:w="109"/>
        <w:gridCol w:w="227"/>
        <w:gridCol w:w="405"/>
        <w:gridCol w:w="11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33"/>
        <w:gridCol w:w="812"/>
        <w:gridCol w:w="171"/>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122,043,966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122,746,757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684,116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(658,808)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25,445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158" w:type="dxa"/>
        <w:jc w:val="left"/>
        <w:tblInd w:w="0" w:type="dxa"/>
        <w:tblLayout w:type="fixed"/>
        <w:tblCellMar>
          <w:top w:w="28" w:type="dxa"/>
          <w:left w:w="28" w:type="dxa"/>
          <w:bottom w:w="28" w:type="dxa"/>
          <w:right w:w="28" w:type="dxa"/>
        </w:tblCellMar>
      </w:tblPr>
      <w:tblGrid>
        <w:gridCol w:w="724"/>
        <w:gridCol w:w="268"/>
        <w:gridCol w:w="269"/>
        <w:gridCol w:w="355"/>
        <w:gridCol w:w="355"/>
        <w:gridCol w:w="221"/>
        <w:gridCol w:w="109"/>
        <w:gridCol w:w="109"/>
        <w:gridCol w:w="109"/>
        <w:gridCol w:w="211"/>
        <w:gridCol w:w="736"/>
        <w:gridCol w:w="109"/>
        <w:gridCol w:w="109"/>
        <w:gridCol w:w="109"/>
        <w:gridCol w:w="109"/>
        <w:gridCol w:w="344"/>
        <w:gridCol w:w="344"/>
        <w:gridCol w:w="348"/>
        <w:gridCol w:w="109"/>
        <w:gridCol w:w="109"/>
        <w:gridCol w:w="109"/>
        <w:gridCol w:w="227"/>
        <w:gridCol w:w="405"/>
        <w:gridCol w:w="119"/>
        <w:gridCol w:w="109"/>
        <w:gridCol w:w="109"/>
        <w:gridCol w:w="109"/>
        <w:gridCol w:w="211"/>
        <w:gridCol w:w="841"/>
        <w:gridCol w:w="109"/>
        <w:gridCol w:w="109"/>
        <w:gridCol w:w="109"/>
        <w:gridCol w:w="109"/>
        <w:gridCol w:w="379"/>
        <w:gridCol w:w="730"/>
        <w:gridCol w:w="197"/>
        <w:gridCol w:w="109"/>
        <w:gridCol w:w="109"/>
        <w:gridCol w:w="109"/>
        <w:gridCol w:w="211"/>
        <w:gridCol w:w="841"/>
        <w:gridCol w:w="109"/>
        <w:gridCol w:w="109"/>
        <w:gridCol w:w="109"/>
        <w:gridCol w:w="109"/>
        <w:gridCol w:w="211"/>
        <w:gridCol w:w="84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(Deficit)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Stockholders’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(110,463)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on shareholder note receivable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advisors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warrants to advisor</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98,818,874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593,712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49580"/>
                <wp:effectExtent l="0" t="0" r="0" b="0"/>
                <wp:wrapNone/>
                <wp:docPr id="7"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9275" w:type="dxa"/>
        <w:jc w:val="left"/>
        <w:tblInd w:w="0" w:type="dxa"/>
        <w:tblLayout w:type="fixed"/>
        <w:tblCellMar>
          <w:top w:w="28" w:type="dxa"/>
          <w:left w:w="28" w:type="dxa"/>
          <w:bottom w:w="28" w:type="dxa"/>
          <w:right w:w="28" w:type="dxa"/>
        </w:tblCellMar>
      </w:tblPr>
      <w:tblGrid>
        <w:gridCol w:w="2288"/>
        <w:gridCol w:w="2013"/>
        <w:gridCol w:w="2028"/>
        <w:gridCol w:w="109"/>
        <w:gridCol w:w="109"/>
        <w:gridCol w:w="109"/>
        <w:gridCol w:w="212"/>
        <w:gridCol w:w="802"/>
        <w:gridCol w:w="109"/>
        <w:gridCol w:w="109"/>
        <w:gridCol w:w="109"/>
        <w:gridCol w:w="109"/>
        <w:gridCol w:w="212"/>
        <w:gridCol w:w="802"/>
        <w:gridCol w:w="155"/>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(15,944)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in 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49580"/>
                <wp:effectExtent l="0" t="0" r="0" b="0"/>
                <wp:wrapNone/>
                <wp:docPr id="8"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disclosed in Note 3 — “Summary of Significant Accounting Policies” of the Notes to the Consolidated Financial Statements included in the Annual Report on Form 10-K. The Company did not adopt any new accounting standards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the applicability and impact of all Accounting Standards Updates (“ASUs”) issued by the Financial Accounting Standards Board (“FASB”). Previously identified ASUs that are also currently applicable or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Company’s future consolidated financial statements are discussed in Note 3 of the Company’s consolidated financial statements included in the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cash and cash equivalents on hand of $33.2 million and accounts receivable less allowance for credit losses of $16.7 million, while accounts payable, accrued expenses and other current liabilities (excluding amounts due to related parties), and accrued trade payables totaled $21.4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Cash provided by financing activities was not significant for the period ended March 31, 2026 and was unrelated to any capital raising activities. Cash provided by financing activities was $11.3 million for the three months ended March 31, 2025, and was generated by capital raising activities. Cash used in operations for the three months ended March 31, 2026 and 2025 was $12.6 million and $15.9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historically incurred recurring operating losses, including a loss from operations of $23.4 million and $38.0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based on the method of revenue recognition for the three months ended March 31, 2026 and 2025:</w:t>
      </w:r>
    </w:p>
    <w:p>
      <w:pPr>
        <w:pStyle w:val="TextBody"/>
        <w:bidi w:val="0"/>
        <w:spacing w:before="0" w:after="0"/>
        <w:jc w:val="left"/>
        <w:rPr/>
      </w:pPr>
      <w:r>
        <w:rPr/>
      </w:r>
    </w:p>
    <w:tbl>
      <w:tblPr>
        <w:tblW w:w="6157" w:type="dxa"/>
        <w:jc w:val="left"/>
        <w:tblInd w:w="0" w:type="dxa"/>
        <w:tblLayout w:type="fixed"/>
        <w:tblCellMar>
          <w:top w:w="28" w:type="dxa"/>
          <w:left w:w="28" w:type="dxa"/>
          <w:bottom w:w="28" w:type="dxa"/>
          <w:right w:w="28" w:type="dxa"/>
        </w:tblCellMar>
      </w:tblPr>
      <w:tblGrid>
        <w:gridCol w:w="1163"/>
        <w:gridCol w:w="1019"/>
        <w:gridCol w:w="1028"/>
        <w:gridCol w:w="109"/>
        <w:gridCol w:w="109"/>
        <w:gridCol w:w="109"/>
        <w:gridCol w:w="246"/>
        <w:gridCol w:w="720"/>
        <w:gridCol w:w="127"/>
        <w:gridCol w:w="127"/>
        <w:gridCol w:w="127"/>
        <w:gridCol w:w="127"/>
        <w:gridCol w:w="246"/>
        <w:gridCol w:w="720"/>
        <w:gridCol w:w="180"/>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months ended March 31,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(unbilled receivables) and no material contract liabilities (deferred revenue) as of March 31, 2026 and December 31, 2025. The Company did not have any outstanding or unsatisfied performance obligations as of March 31, 2026 and December 31, 2025. The Company did not have material costs related to obtaining a contract, or fulfilling a contract that are not addressed by other accounting standards, with amortization periods greater than one year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a customer sale that occurred in the fourth quarter of 2025 included credit terms up to 90 days. As of March 31, 2026, the Company’s accounts receivable were 47% current, 0% over 60 days past due, and 53% over 90 days past due under the credit terms of the applicable customer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March 31,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three months ended March 31, 2026 and as of and for the year ended December 31, 2025 are set forth as follows:</w:t>
      </w:r>
    </w:p>
    <w:p>
      <w:pPr>
        <w:pStyle w:val="TextBody"/>
        <w:bidi w:val="0"/>
        <w:spacing w:before="0" w:after="0"/>
        <w:jc w:val="left"/>
        <w:rPr/>
      </w:pPr>
      <w:r>
        <w:rPr/>
      </w:r>
    </w:p>
    <w:tbl>
      <w:tblPr>
        <w:tblW w:w="5808" w:type="dxa"/>
        <w:jc w:val="left"/>
        <w:tblInd w:w="0" w:type="dxa"/>
        <w:tblLayout w:type="fixed"/>
        <w:tblCellMar>
          <w:top w:w="28" w:type="dxa"/>
          <w:left w:w="28" w:type="dxa"/>
          <w:bottom w:w="28" w:type="dxa"/>
          <w:right w:w="28" w:type="dxa"/>
        </w:tblCellMar>
      </w:tblPr>
      <w:tblGrid>
        <w:gridCol w:w="1630"/>
        <w:gridCol w:w="1430"/>
        <w:gridCol w:w="1440"/>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March 31,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March 31, 2026.</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87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11"/>
        <w:gridCol w:w="721"/>
        <w:gridCol w:w="109"/>
        <w:gridCol w:w="109"/>
        <w:gridCol w:w="109"/>
        <w:gridCol w:w="109"/>
        <w:gridCol w:w="255"/>
        <w:gridCol w:w="256"/>
        <w:gridCol w:w="27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May 14, 2026, the Company had received payments of $16.9 million from this customer.</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March 31, 2026 and December 31, 2025:</w:t>
      </w:r>
    </w:p>
    <w:p>
      <w:pPr>
        <w:pStyle w:val="TextBody"/>
        <w:bidi w:val="0"/>
        <w:spacing w:before="0" w:after="0"/>
        <w:jc w:val="left"/>
        <w:rPr/>
      </w:pPr>
      <w:r>
        <w:rPr/>
      </w:r>
    </w:p>
    <w:tbl>
      <w:tblPr>
        <w:tblW w:w="8336"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$2.0 million in earnout shares - related party.</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months ended March 31, 2026 or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for the prior year and three months ended March 31, 2026 about the Company’s Level 3 liabilities measured at fair value on a recurring basis:</w:t>
      </w:r>
    </w:p>
    <w:p>
      <w:pPr>
        <w:pStyle w:val="TextBody"/>
        <w:bidi w:val="0"/>
        <w:spacing w:before="0" w:after="0"/>
        <w:jc w:val="left"/>
        <w:rPr/>
      </w:pPr>
      <w:r>
        <w:rPr/>
      </w:r>
    </w:p>
    <w:tbl>
      <w:tblPr>
        <w:tblW w:w="8658" w:type="dxa"/>
        <w:jc w:val="left"/>
        <w:tblInd w:w="0" w:type="dxa"/>
        <w:tblLayout w:type="fixed"/>
        <w:tblCellMar>
          <w:top w:w="28" w:type="dxa"/>
          <w:left w:w="28" w:type="dxa"/>
          <w:bottom w:w="28" w:type="dxa"/>
          <w:right w:w="28" w:type="dxa"/>
        </w:tblCellMar>
      </w:tblPr>
      <w:tblGrid>
        <w:gridCol w:w="2586"/>
        <w:gridCol w:w="2267"/>
        <w:gridCol w:w="2287"/>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 during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March 31,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2"/>
        <w:gridCol w:w="793"/>
        <w:gridCol w:w="798"/>
        <w:gridCol w:w="109"/>
        <w:gridCol w:w="109"/>
        <w:gridCol w:w="109"/>
        <w:gridCol w:w="626"/>
        <w:gridCol w:w="618"/>
        <w:gridCol w:w="552"/>
        <w:gridCol w:w="109"/>
        <w:gridCol w:w="109"/>
        <w:gridCol w:w="109"/>
        <w:gridCol w:w="698"/>
        <w:gridCol w:w="672"/>
        <w:gridCol w:w="596"/>
        <w:gridCol w:w="109"/>
        <w:gridCol w:w="109"/>
        <w:gridCol w:w="109"/>
        <w:gridCol w:w="257"/>
        <w:gridCol w:w="624"/>
        <w:gridCol w:w="331"/>
        <w:gridCol w:w="109"/>
        <w:gridCol w:w="109"/>
        <w:gridCol w:w="109"/>
        <w:gridCol w:w="289"/>
        <w:gridCol w:w="700"/>
        <w:gridCol w:w="441"/>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4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4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three months ended March 31, 2026, the Company’s derivatives were comprised 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Earnout Shares, representing a freestanding structured forward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March 31,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6204" w:type="dxa"/>
        <w:jc w:val="left"/>
        <w:tblInd w:w="0" w:type="dxa"/>
        <w:tblLayout w:type="fixed"/>
        <w:tblCellMar>
          <w:top w:w="28" w:type="dxa"/>
          <w:left w:w="28" w:type="dxa"/>
          <w:bottom w:w="28" w:type="dxa"/>
          <w:right w:w="28" w:type="dxa"/>
        </w:tblCellMar>
      </w:tblPr>
      <w:tblGrid>
        <w:gridCol w:w="968"/>
        <w:gridCol w:w="847"/>
        <w:gridCol w:w="855"/>
        <w:gridCol w:w="109"/>
        <w:gridCol w:w="109"/>
        <w:gridCol w:w="109"/>
        <w:gridCol w:w="291"/>
        <w:gridCol w:w="849"/>
        <w:gridCol w:w="150"/>
        <w:gridCol w:w="109"/>
        <w:gridCol w:w="109"/>
        <w:gridCol w:w="109"/>
        <w:gridCol w:w="309"/>
        <w:gridCol w:w="1056"/>
        <w:gridCol w:w="225"/>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Company is a contract manufacturer, all of its inventories are manufactured by a third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purchases of finished goods for resale during the three months ended March 31, 2026 or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details of “prepaid expenses and other current assets” are set forth in the table, below:</w:t>
      </w:r>
    </w:p>
    <w:p>
      <w:pPr>
        <w:pStyle w:val="TextBody"/>
        <w:bidi w:val="0"/>
        <w:spacing w:before="0" w:after="0"/>
        <w:jc w:val="both"/>
        <w:rPr/>
      </w:pPr>
      <w:r>
        <w:rPr/>
      </w:r>
    </w:p>
    <w:tbl>
      <w:tblPr>
        <w:tblW w:w="7463" w:type="dxa"/>
        <w:jc w:val="left"/>
        <w:tblInd w:w="0" w:type="dxa"/>
        <w:tblLayout w:type="fixed"/>
        <w:tblCellMar>
          <w:top w:w="28" w:type="dxa"/>
          <w:left w:w="28" w:type="dxa"/>
          <w:bottom w:w="28" w:type="dxa"/>
          <w:right w:w="28" w:type="dxa"/>
        </w:tblCellMar>
      </w:tblPr>
      <w:tblGrid>
        <w:gridCol w:w="1423"/>
        <w:gridCol w:w="1248"/>
        <w:gridCol w:w="1258"/>
        <w:gridCol w:w="109"/>
        <w:gridCol w:w="109"/>
        <w:gridCol w:w="109"/>
        <w:gridCol w:w="291"/>
        <w:gridCol w:w="849"/>
        <w:gridCol w:w="150"/>
        <w:gridCol w:w="109"/>
        <w:gridCol w:w="109"/>
        <w:gridCol w:w="109"/>
        <w:gridCol w:w="342"/>
        <w:gridCol w:w="999"/>
        <w:gridCol w:w="249"/>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licenses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Tax assets” includes corporate income taxes receivable, sale taxes receivable and withholding taxes related to employee compensation.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detail of accrued expenses and other current liabilities is set forth in the table, below:</w:t>
      </w:r>
    </w:p>
    <w:p>
      <w:pPr>
        <w:pStyle w:val="TextBody"/>
        <w:bidi w:val="0"/>
        <w:spacing w:before="0" w:after="0"/>
        <w:jc w:val="both"/>
        <w:rPr/>
      </w:pPr>
      <w:r>
        <w:rPr/>
      </w:r>
    </w:p>
    <w:tbl>
      <w:tblPr>
        <w:tblW w:w="7794" w:type="dxa"/>
        <w:jc w:val="left"/>
        <w:tblInd w:w="0" w:type="dxa"/>
        <w:tblLayout w:type="fixed"/>
        <w:tblCellMar>
          <w:top w:w="28" w:type="dxa"/>
          <w:left w:w="28" w:type="dxa"/>
          <w:bottom w:w="28" w:type="dxa"/>
          <w:right w:w="28" w:type="dxa"/>
        </w:tblCellMar>
      </w:tblPr>
      <w:tblGrid>
        <w:gridCol w:w="1544"/>
        <w:gridCol w:w="1352"/>
        <w:gridCol w:w="1364"/>
        <w:gridCol w:w="109"/>
        <w:gridCol w:w="109"/>
        <w:gridCol w:w="109"/>
        <w:gridCol w:w="291"/>
        <w:gridCol w:w="849"/>
        <w:gridCol w:w="150"/>
        <w:gridCol w:w="109"/>
        <w:gridCol w:w="109"/>
        <w:gridCol w:w="109"/>
        <w:gridCol w:w="342"/>
        <w:gridCol w:w="999"/>
        <w:gridCol w:w="249"/>
      </w:tblGrid>
      <w:tr>
        <w:trPr/>
        <w:tc>
          <w:tcPr>
            <w:tcW w:w="15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technology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current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on 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the balance of “other current liabilities” as presented above was substantially comprised of a short-term loan for directors and officers’ insurance.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Currently Outstanding Warrants to Purchase Common Stock, and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March 31, 2026:</w:t>
      </w:r>
    </w:p>
    <w:p>
      <w:pPr>
        <w:pStyle w:val="TextBody"/>
        <w:bidi w:val="0"/>
        <w:spacing w:before="0" w:after="0"/>
        <w:jc w:val="left"/>
        <w:rPr/>
      </w:pPr>
      <w:r>
        <w:rPr/>
      </w:r>
    </w:p>
    <w:tbl>
      <w:tblPr>
        <w:tblW w:w="6076"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122,746,757 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the Company issued 18,918,918 shares of common stock in an underwritten stock offering and granted a 30-day option pursuant to which the Company may issue up to 2,837,837 additional shares of common stock. See Note 10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ended March 31, 2026, there were no changes to the Company’s outstanding warrants or any of the terms of its outstanding warrants as described in its Annual Report on Form 10-K. Subsequent to March 31, 2026, the Company amended the outstanding Polar warrants to adjust the exercise price from $5.00 per share to $3.00 per share. See Note 10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recorded $3.9 million and $3.5 million, respectively, in stock-based compensation expense related to the Employee Earnout Shares. As of March 31, 2026, there was $62.8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months ended March 31, 2026 and 2025, as the effect of any potentially dilutive security would have been anti-dilutive due to the net losses in those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7864" w:type="dxa"/>
        <w:jc w:val="left"/>
        <w:tblInd w:w="0" w:type="dxa"/>
        <w:tblLayout w:type="fixed"/>
        <w:tblCellMar>
          <w:top w:w="28" w:type="dxa"/>
          <w:left w:w="28" w:type="dxa"/>
          <w:bottom w:w="28" w:type="dxa"/>
          <w:right w:w="28" w:type="dxa"/>
        </w:tblCellMar>
      </w:tblPr>
      <w:tblGrid>
        <w:gridCol w:w="1682"/>
        <w:gridCol w:w="1481"/>
        <w:gridCol w:w="1486"/>
        <w:gridCol w:w="109"/>
        <w:gridCol w:w="109"/>
        <w:gridCol w:w="109"/>
        <w:gridCol w:w="264"/>
        <w:gridCol w:w="922"/>
        <w:gridCol w:w="109"/>
        <w:gridCol w:w="109"/>
        <w:gridCol w:w="109"/>
        <w:gridCol w:w="109"/>
        <w:gridCol w:w="211"/>
        <w:gridCol w:w="901"/>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91,747,685 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46"/>
        <w:gridCol w:w="146"/>
        <w:gridCol w:w="146"/>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28,697,076 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28,042,235 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97,777,494 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79,538,878 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“Fair Value Measurements and Derivative Instruments” for details regarding the Company’s cash equivalents. See Note 3 — “Revenue and Accounts Receivable” for details regarding the Company’s total revenue disaggregated by customer geographical location and the major customer concentrations of the Company’s total revenue and accounts receivable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6500"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7175"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$2.6 million in revenue from the Referral Agreement, inclusive of sales commissions of $0.3 million, which was reported as a reduction of revenue, and paid fully in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portion of the “other earnout shares” were issued to an affiliate of the Sponsor at the time of the Merger. See Note 6 — “Common Stock, Currently Outstanding Warrants to Purchase Common Stock, and Earnout Shares”. The fair value of these other earnout shares as of March 31, 2026 and December 31, 2025 was $2.0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Working capital loan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Company issued an unsecured promissory note to the Sponsor, pursuant to which it borrowed $1.5 million for general corporate purposes. On the date of the Merger, this loan was recorded on the Company’s condensed consolidated balance sheets, and was outstanding as of March 31, 2026 and December 31, 2025. Repayment has been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Advances from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provided the Company with certain working capital advances, which are non-interest bearing and payable on demand, in the amount of $2.9 million. These amounts are reflected on the condensed consolidated balance sheets as of March 31, 2026 and December 31, 2025 as “advances from related party”. Repayment has been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owed management fees in the amount of $0.2 million to the Sponsor as of March 31, 2026 and December 31, 2025. These amounts are reflected on the condensed consolidated balance sheets as “accounts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Shareholder note receivable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March 31, 2026 and December 31, 2025, the outstanding principal of the shareholder note receivable was $8.6 million, the amount of which has been deducted from additional paid-in capital on the Company’s condensed consolidated balance sheets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Non-Redemption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advisory and marketing services, and a related party employed by the Company are set forth in the table below:</w:t>
      </w:r>
    </w:p>
    <w:tbl>
      <w:tblPr>
        <w:tblW w:w="10205" w:type="dxa"/>
        <w:jc w:val="left"/>
        <w:tblInd w:w="0" w:type="dxa"/>
        <w:tblLayout w:type="fixed"/>
        <w:tblCellMar>
          <w:top w:w="28" w:type="dxa"/>
          <w:left w:w="28" w:type="dxa"/>
          <w:bottom w:w="28" w:type="dxa"/>
          <w:right w:w="28" w:type="dxa"/>
        </w:tblCellMar>
      </w:tblPr>
      <w:tblGrid>
        <w:gridCol w:w="2824"/>
        <w:gridCol w:w="2339"/>
        <w:gridCol w:w="2357"/>
        <w:gridCol w:w="109"/>
        <w:gridCol w:w="109"/>
        <w:gridCol w:w="109"/>
        <w:gridCol w:w="264"/>
        <w:gridCol w:w="507"/>
        <w:gridCol w:w="135"/>
        <w:gridCol w:w="135"/>
        <w:gridCol w:w="135"/>
        <w:gridCol w:w="135"/>
        <w:gridCol w:w="264"/>
        <w:gridCol w:w="583"/>
        <w:gridCol w:w="200"/>
      </w:tblGrid>
      <w:tr>
        <w:trPr/>
        <w:tc>
          <w:tcPr>
            <w:tcW w:w="282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other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compensation received by related party employee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to other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Included in “selling, general and administrative - related party” on the Company’s condensed consolidated statements of operations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Marketing expenses were incurred with a company owned by a direct family member of a minority stockholder and member of the Company’s Board of Directors.</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 relative of one of the Company’s named executive officers is employed by the Company. Compensation received is presented in “included in selling, general and administrative - related party” for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of issuance of these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Amendment No. 1 to Common Stock Purchase Warrants with the holders of the Polar warrants, amending the outstanding Polar warrants to adjust the exercise price from $5.00 per share to $3.00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Annual Report on Form 10-K for the year ended December 31, 2025 (the “Annual Report on Form 10-K”) and unaudited interim condensed consolidated financial statements as of and for the three months ended March 31,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e03c90fcbd7b4ccaab2a90dc13a0a94f_2311"/>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Amendment No. 1 to Common Stock Purchase Warrants with the holders of the Polar warrants, amending the outstanding Polar warrants to adjust the exercise price from $5.00 per share to $3.00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5d9d6a19dd9a4b94af767383d40f5a85_1832"/>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Pipeline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Proof of Concept Stage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March 31, 2026, 25 POCs were initiated or in progress with a potential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March 31, 2026, we had a total of 30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Design Wins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March 31, 2026, 20 Design Wins had been confirmed with a Partner or customer.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645e45a03b8848f490b9c18fb3690d37_1828"/>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for the three months ended March 31, 2026 and 2025:</w:t>
      </w:r>
    </w:p>
    <w:p>
      <w:pPr>
        <w:pStyle w:val="TextBody"/>
        <w:bidi w:val="0"/>
        <w:spacing w:before="0" w:after="0"/>
        <w:jc w:val="left"/>
        <w:rPr/>
      </w:pPr>
      <w:r>
        <w:rPr/>
      </w:r>
    </w:p>
    <w:tbl>
      <w:tblPr>
        <w:tblW w:w="8606" w:type="dxa"/>
        <w:jc w:val="left"/>
        <w:tblInd w:w="0" w:type="dxa"/>
        <w:tblLayout w:type="fixed"/>
        <w:tblCellMar>
          <w:top w:w="28" w:type="dxa"/>
          <w:left w:w="28" w:type="dxa"/>
          <w:bottom w:w="28" w:type="dxa"/>
          <w:right w:w="28" w:type="dxa"/>
        </w:tblCellMar>
      </w:tblPr>
      <w:tblGrid>
        <w:gridCol w:w="1269"/>
        <w:gridCol w:w="1118"/>
        <w:gridCol w:w="1122"/>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308"/>
        <w:gridCol w:w="308"/>
        <w:gridCol w:w="316"/>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revenue increased to $2.7 million compared to $1.0 million for the three months ended March 31, 2025. The increase was primarily due to hardware sales under the Sales Partner Referral Agreement (the “Referral Agreement”) with a related party, inclusive of sales commissions of $0.3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months ended March 31, 2026 and 2025:</w:t>
      </w:r>
    </w:p>
    <w:p>
      <w:pPr>
        <w:pStyle w:val="TextBody"/>
        <w:bidi w:val="0"/>
        <w:spacing w:before="0" w:after="0"/>
        <w:jc w:val="left"/>
        <w:rPr/>
      </w:pPr>
      <w:r>
        <w:rPr/>
      </w:r>
    </w:p>
    <w:tbl>
      <w:tblPr>
        <w:tblW w:w="8046" w:type="dxa"/>
        <w:jc w:val="left"/>
        <w:tblInd w:w="0" w:type="dxa"/>
        <w:tblLayout w:type="fixed"/>
        <w:tblCellMar>
          <w:top w:w="28" w:type="dxa"/>
          <w:left w:w="28" w:type="dxa"/>
          <w:bottom w:w="28" w:type="dxa"/>
          <w:right w:w="28" w:type="dxa"/>
        </w:tblCellMar>
      </w:tblPr>
      <w:tblGrid>
        <w:gridCol w:w="1269"/>
        <w:gridCol w:w="1118"/>
        <w:gridCol w:w="1122"/>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months ended March 31, 2026 and 2025:</w:t>
      </w:r>
    </w:p>
    <w:p>
      <w:pPr>
        <w:pStyle w:val="TextBody"/>
        <w:bidi w:val="0"/>
        <w:spacing w:before="0" w:after="0"/>
        <w:jc w:val="left"/>
        <w:rPr/>
      </w:pPr>
      <w:r>
        <w:rPr/>
      </w:r>
    </w:p>
    <w:tbl>
      <w:tblPr>
        <w:tblW w:w="9191" w:type="dxa"/>
        <w:jc w:val="left"/>
        <w:tblInd w:w="0" w:type="dxa"/>
        <w:tblLayout w:type="fixed"/>
        <w:tblCellMar>
          <w:top w:w="28" w:type="dxa"/>
          <w:left w:w="28" w:type="dxa"/>
          <w:bottom w:w="28" w:type="dxa"/>
          <w:right w:w="28" w:type="dxa"/>
        </w:tblCellMar>
      </w:tblPr>
      <w:tblGrid>
        <w:gridCol w:w="1492"/>
        <w:gridCol w:w="1314"/>
        <w:gridCol w:w="1319"/>
        <w:gridCol w:w="226"/>
        <w:gridCol w:w="772"/>
        <w:gridCol w:w="116"/>
        <w:gridCol w:w="116"/>
        <w:gridCol w:w="116"/>
        <w:gridCol w:w="116"/>
        <w:gridCol w:w="226"/>
        <w:gridCol w:w="772"/>
        <w:gridCol w:w="116"/>
        <w:gridCol w:w="109"/>
        <w:gridCol w:w="109"/>
        <w:gridCol w:w="109"/>
        <w:gridCol w:w="247"/>
        <w:gridCol w:w="548"/>
        <w:gridCol w:w="109"/>
        <w:gridCol w:w="109"/>
        <w:gridCol w:w="109"/>
        <w:gridCol w:w="109"/>
        <w:gridCol w:w="308"/>
        <w:gridCol w:w="308"/>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cost of revenue increased by $0.8 million to $1.2 million, compared to $0.3 million for the three months ended March 31, 2025. The increase in cost of revenue is commensurate with the increase in sales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research and development expense decreased by $3.4 million, or 26.2%, to $9.7 million, compared to $13.1 million for the three months ended March 31, 2025. The decrease was primarily due to a $2.1 million decrease in stock-based compensation expense allocated to employees within this department, as well as a general reduction in development activities related to our next generation chip.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selling, general and administrative expense increased by $2.0 million, or 15.0%, to $15.1 million, compared to $13.1 million for the three months ended March 31, 2025. The increase was primarily due to an increase in our provision for expected credit losses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months ended March 31, 2026 were comprised solely of payroll expenses for an individual related to one of our executive officers. During the three months ended March 31, 2025, selling, general and administrative - related party expenses included payroll expenses for the individual as well as advertising expenses incurred with a company owned by a relative of a shareholder and member of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months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6"/>
        <w:gridCol w:w="1572"/>
        <w:gridCol w:w="1577"/>
        <w:gridCol w:w="229"/>
        <w:gridCol w:w="506"/>
        <w:gridCol w:w="118"/>
        <w:gridCol w:w="118"/>
        <w:gridCol w:w="118"/>
        <w:gridCol w:w="118"/>
        <w:gridCol w:w="229"/>
        <w:gridCol w:w="970"/>
        <w:gridCol w:w="118"/>
        <w:gridCol w:w="109"/>
        <w:gridCol w:w="109"/>
        <w:gridCol w:w="109"/>
        <w:gridCol w:w="211"/>
        <w:gridCol w:w="826"/>
        <w:gridCol w:w="109"/>
        <w:gridCol w:w="109"/>
        <w:gridCol w:w="109"/>
        <w:gridCol w:w="109"/>
        <w:gridCol w:w="308"/>
        <w:gridCol w:w="308"/>
        <w:gridCol w:w="320"/>
      </w:tblGrid>
      <w:tr>
        <w:trPr/>
        <w:tc>
          <w:tcPr>
            <w:tcW w:w="179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earnout shares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94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“total other expense, net” for the three months ended March 31, 2026 compared to the three months ended March 31, 2025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not outstanding in 2026. “Other,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bookmarkStart w:id="3" w:name="i348627907a5b4a72a23bb8c0aac63763_7035"/>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to EBITDA and Adjusted EBITDA for the three months ended March 31, 2026 and 2025:</w:t>
      </w:r>
    </w:p>
    <w:p>
      <w:pPr>
        <w:pStyle w:val="TextBody"/>
        <w:bidi w:val="0"/>
        <w:spacing w:before="0" w:after="0"/>
        <w:jc w:val="left"/>
        <w:rPr/>
      </w:pPr>
      <w:r>
        <w:rPr/>
      </w:r>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37be5ab870404fb59941bf035d2e0e7d_9579"/>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May 14, 2026:</w:t>
      </w:r>
    </w:p>
    <w:p>
      <w:pPr>
        <w:pStyle w:val="TextBody"/>
        <w:bidi w:val="0"/>
        <w:spacing w:before="0" w:after="0"/>
        <w:jc w:val="left"/>
        <w:rPr/>
      </w:pPr>
      <w:r>
        <w:rPr/>
      </w:r>
    </w:p>
    <w:tbl>
      <w:tblPr>
        <w:tblW w:w="6076"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122,746,757 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on May 5, 2026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142,299,461 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May 5, 2026, pursuant to the Underwriting Agreement, we sold and issued 18,918,918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May 14, 2026:</w:t>
      </w:r>
    </w:p>
    <w:p>
      <w:pPr>
        <w:pStyle w:val="TextBody"/>
        <w:bidi w:val="0"/>
        <w:spacing w:before="0" w:after="0"/>
        <w:jc w:val="left"/>
        <w:rPr/>
      </w:pPr>
      <w:r>
        <w:rPr/>
      </w:r>
    </w:p>
    <w:tbl>
      <w:tblPr>
        <w:tblW w:w="7381"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92"/>
        <w:gridCol w:w="594"/>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color w:val="000000"/>
                <w:sz w:val="20"/>
              </w:rPr>
              <w:t xml:space="preserve">Greenshoe” option shares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2,837,837</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100,615,331 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we had commitments to issue 28,697,076 shares of common stock to employees and others under stock option awards, and an additional</w:t>
      </w:r>
      <w:r>
        <w:rPr>
          <w:color w:val="EE2724"/>
        </w:rPr>
        <w:t xml:space="preserve"> </w:t>
      </w:r>
      <w:r>
        <w:rPr>
          <w:rFonts w:ascii="Times New Roman;serif" w:hAnsi="Times New Roman;serif"/>
          <w:b w:val="false"/>
          <w:color w:val="000000"/>
          <w:sz w:val="20"/>
        </w:rPr>
        <w:t>9,359,499 shares of our common stock under employee and other RSU awards. These commitments did not differ materially as of May 14, 2026, as we did not issue additional such awards during the time period between March 31, 2026 and May 14,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On May 5, 2026, pursuant to the Underwriting Agreement, as part of our offering of common stock on that date, we granted the Underwriters a 30-day option to purchase up to 2,837,837 additional shares of common stock, commonly referred to as a “greenshoe” option. The greenshoe option expires on June 5,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We have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During the three months ended March 31, 2026, we made additional sales under this agreement, and also received payment in full (in respect of all sales made under this agreement during 2025 and through March 31, 2026) from the Sales Partner and then paid the sales commission in cash, although future sales commissions may be partially payable in shares of our common stock at our discretion.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The remaining number of shares that we may sell under the Committed Equity Facility varies in relation to our stock price.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Three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$12.6 million for the three months ended March 31, 2026, compared to $15.9 million for the three months ended March 31, 2025. The decrease in cash used in operating activities was primarily due to a decrease of $125.1 million in net loss, which included a decrease in adjustments to reconcile net loss to net cash used in operating expenses of $111.0 million resulting from less volatility in fair value measurements during the current period, and an increase in changes in operating assets and liabilities of $10.8 million largely arising from payment of accrued trade payables.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used $0.1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financing activities was $0.1 million, which consisted of proceeds from the exercise of stock options. During the three months ended March 31, 2025, net cash provided by financing activities consisted of $15.9 million of proceeds from the Merger and PIPE financing, partially offset by the $4.5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Material Cash Requirements, Cash Collections, and Cash Availability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as of March 31, 2026 included normal course of business near-term general corporate expenses accrued in accounts payable and accrued expenses, such as consulting fees and employee payroll.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sold certain hardware in the amount of $23.8 million, and at the same time, purchased hardware from a third-party vendor in order to fulfill that sales contract, recording the trade account payable with the remaining balance as of March 31, 2026 referred to, above. Through May 14, 2026, we have received payments of $16.9 million from our customer, and we paid our vendor in full. The remaining receivable of $6.8 million is due from our customer as of May 14,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on hand of $33.2 million. Additionally,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“Emerging Growth Company and Smaller Reporting Company Status” of our Annual Report on Form 10-K for the year ended December 31, 2025. There have been no material changes to our Emerging Growth Company and Smaller Reporting Company Statuses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6823e2e37c8a4b6993d12d94967254e2_14281"/>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March 31,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1"/>
        <w:gridCol w:w="125"/>
        <w:gridCol w:w="125"/>
        <w:gridCol w:w="125"/>
        <w:gridCol w:w="2679"/>
        <w:gridCol w:w="2607"/>
        <w:gridCol w:w="3727"/>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Certificate of Incorporation of Blaize Holdings, Inc. (incorporated by reference to Exhibit 3.1 to the Company’s Current Report on Form 8-K filed January 17,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 xml:space="preserve">Certificate of Designations of Series A Junior Participating Preferred Stock of Blaize Holdings, Inc., filed with the Secretary of State of the State of Delaware on April 22, 2026 </w:t>
              </w:r>
            </w:hyperlink>
            <w:r>
              <w:rPr>
                <w:rFonts w:ascii="Times New Roman;serif" w:hAnsi="Times New Roman;serif"/>
                <w:b w:val="false"/>
                <w:color w:val="0000FF"/>
                <w:sz w:val="20"/>
                <w:u w:val="single"/>
              </w:rPr>
              <w:t>(incorporated by reference to Exhibit 3.1 to the Company’s Current Report on Form 8-K filed on April 22, 2026)</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 xml:space="preserve">Rights Agreement, dated as of April 22, 2026, between Blaize Holdings, Inc. and Continental Stock Transfer &amp; Trust Company, which includes the Form of Certificate of Designations of Series A Junior Participating Preferred Stock as Exhibit A, the Form of Right Certificate as Exhibit B and the Summary of Rights to Purchase Preferred Stock as Exhibit C (incorporated by reference to Exhibit </w:t>
              </w:r>
            </w:hyperlink>
            <w:hyperlink r:id="rId5">
              <w:r>
                <w:rPr>
                  <w:rStyle w:val="InternetLink"/>
                  <w:rFonts w:ascii="Times New Roman;serif" w:hAnsi="Times New Roman;serif"/>
                  <w:b w:val="false"/>
                  <w:color w:val="000080"/>
                  <w:sz w:val="20"/>
                  <w:u w:val="single"/>
                </w:rPr>
                <w:t>4</w:t>
              </w:r>
            </w:hyperlink>
            <w:hyperlink r:id="rId6">
              <w:r>
                <w:rPr>
                  <w:rStyle w:val="InternetLink"/>
                  <w:rFonts w:ascii="Times New Roman;serif" w:hAnsi="Times New Roman;serif"/>
                  <w:b w:val="false"/>
                  <w:color w:val="000080"/>
                  <w:sz w:val="20"/>
                  <w:u w:val="single"/>
                </w:rPr>
                <w:t>.1 to the Company’s Current Report on Form 8-K filed on April 22,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Form of Lock-Up Agreement </w:t>
            </w:r>
            <w:hyperlink r:id="rId7">
              <w:r>
                <w:rPr>
                  <w:rStyle w:val="InternetLink"/>
                  <w:rFonts w:ascii="Times New Roman;serif" w:hAnsi="Times New Roman;serif"/>
                  <w:b w:val="false"/>
                  <w:color w:val="000080"/>
                  <w:sz w:val="20"/>
                  <w:u w:val="single"/>
                </w:rPr>
                <w:t>(incorporated by reference to Exhibit 1</w:t>
              </w:r>
            </w:hyperlink>
            <w:hyperlink r:id="rId8">
              <w:r>
                <w:rPr>
                  <w:rStyle w:val="InternetLink"/>
                  <w:rFonts w:ascii="Times New Roman;serif" w:hAnsi="Times New Roman;serif"/>
                  <w:b w:val="false"/>
                  <w:color w:val="000080"/>
                  <w:sz w:val="20"/>
                  <w:u w:val="single"/>
                </w:rPr>
                <w:t>0.1</w:t>
              </w:r>
            </w:hyperlink>
            <w:hyperlink r:id="rId9">
              <w:r>
                <w:rPr>
                  <w:rStyle w:val="InternetLink"/>
                  <w:rFonts w:ascii="Times New Roman;serif" w:hAnsi="Times New Roman;serif"/>
                  <w:b w:val="false"/>
                  <w:color w:val="000080"/>
                  <w:sz w:val="20"/>
                  <w:u w:val="single"/>
                </w:rPr>
                <w:t xml:space="preserve"> to the Company’s Current Report on Form 8-K filed on May 6,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 xml:space="preserve">Amendment No. 1 to Common Stock Purchase Warrants, by and among Blaize Holdings, Inc., Polar Long/Short Master Fund, and Polar Multi-Strategy Master Fund, dated May 5, 2026 </w:t>
              </w:r>
            </w:hyperlink>
            <w:hyperlink r:id="rId11">
              <w:r>
                <w:rPr>
                  <w:rStyle w:val="InternetLink"/>
                  <w:rFonts w:ascii="Times New Roman;serif" w:hAnsi="Times New Roman;serif"/>
                  <w:b w:val="false"/>
                  <w:color w:val="000080"/>
                  <w:sz w:val="20"/>
                  <w:u w:val="single"/>
                </w:rPr>
                <w:t>(incorporated by reference to Exhibit 10.</w:t>
              </w:r>
            </w:hyperlink>
            <w:hyperlink r:id="rId12">
              <w:r>
                <w:rPr>
                  <w:rStyle w:val="InternetLink"/>
                  <w:rFonts w:ascii="Times New Roman;serif" w:hAnsi="Times New Roman;serif"/>
                  <w:b w:val="false"/>
                  <w:color w:val="000080"/>
                  <w:sz w:val="20"/>
                  <w:u w:val="single"/>
                </w:rPr>
                <w:t>2</w:t>
              </w:r>
            </w:hyperlink>
            <w:hyperlink r:id="rId13">
              <w:r>
                <w:rPr>
                  <w:rStyle w:val="InternetLink"/>
                  <w:rFonts w:ascii="Times New Roman;serif" w:hAnsi="Times New Roman;serif"/>
                  <w:b w:val="false"/>
                  <w:color w:val="000080"/>
                  <w:sz w:val="20"/>
                  <w:u w:val="single"/>
                </w:rPr>
                <w:t xml:space="preserve"> to the Company’s Current Report on Form 8-K filed on May 6,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kimpetersonevan.htm">
              <w:r>
                <w:rPr>
                  <w:rStyle w:val="InternetLink"/>
                  <w:rFonts w:ascii="Times New Roman;serif" w:hAnsi="Times New Roman;serif"/>
                  <w:b w:val="false"/>
                  <w:color w:val="0000FF"/>
                  <w:sz w:val="20"/>
                  <w:u w:val="single"/>
                </w:rPr>
                <w:t>Offer Letter, by and between Blaize Holdings, Inc. and Kim Peterson Evans, dated May 9,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stephenpatakxof.htm">
              <w:r>
                <w:rPr>
                  <w:rStyle w:val="InternetLink"/>
                  <w:rFonts w:ascii="Times New Roman;serif" w:hAnsi="Times New Roman;serif"/>
                  <w:b w:val="false"/>
                  <w:color w:val="0000FF"/>
                  <w:sz w:val="20"/>
                  <w:u w:val="single"/>
                </w:rPr>
                <w:t>Offer Letter, by and between Blaize Holdings, Inc. and Stephen P. Patak, dated December 9,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10xqex311xmunagala.htm">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10xqex312xsehmi.htm">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10xqex321xmunagala.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10xqex322xsehmi.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Portions of this exhibit are redacted pursuant to Item 601(b)(10)(iv)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both"/>
        <w:rPr/>
      </w:pPr>
      <w:hyperlink w:anchor="i42667a8e89db41dd940bed33065370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629"/>
        <w:gridCol w:w="554"/>
        <w:gridCol w:w="557"/>
        <w:gridCol w:w="1131"/>
        <w:gridCol w:w="1131"/>
        <w:gridCol w:w="160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695450" cy="59055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14"/>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212120"/>
          <w:sz w:val="24"/>
        </w:rPr>
      </w:pPr>
      <w:r>
        <w:rPr>
          <w:rFonts w:ascii="Times New Roman;serif" w:hAnsi="Times New Roman;serif"/>
          <w:b/>
          <w:color w:val="212120"/>
          <w:sz w:val="24"/>
        </w:rPr>
        <w:t>Exhibit 10.3</w:t>
      </w:r>
    </w:p>
    <w:p>
      <w:pPr>
        <w:pStyle w:val="TextBody"/>
        <w:bidi w:val="0"/>
        <w:spacing w:lineRule="auto" w:line="288" w:before="0" w:after="0"/>
        <w:jc w:val="left"/>
        <w:rPr>
          <w:rFonts w:ascii="Times New Roman;serif" w:hAnsi="Times New Roman;serif"/>
          <w:b w:val="false"/>
          <w:color w:val="3B3B3A"/>
          <w:sz w:val="22"/>
        </w:rPr>
      </w:pPr>
      <w:r>
        <w:rPr>
          <w:rFonts w:ascii="Times New Roman;serif" w:hAnsi="Times New Roman;serif"/>
          <w:b w:val="false"/>
          <w:color w:val="3B3B3A"/>
          <w:sz w:val="22"/>
        </w:rPr>
        <w:t>[*] Certain information in this document has been omitted from this exhibit because it is both (i) not material and (ii) the type that the registrant treats as private or confidential.</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May 9,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Kim Peterson Evans        </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Dear Kim:</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On behalf of Blaize, Inc. (hereafter referred</w:t>
      </w:r>
      <w:r>
        <w:rPr>
          <w:color w:val="000000"/>
        </w:rPr>
        <w:t xml:space="preserve"> </w:t>
      </w:r>
      <w:r>
        <w:rPr>
          <w:rFonts w:ascii="Times New Roman;serif" w:hAnsi="Times New Roman;serif"/>
          <w:b w:val="false"/>
          <w:color w:val="000000"/>
          <w:sz w:val="22"/>
        </w:rPr>
        <w:t xml:space="preserve">to as “Blaize” or “the Company”), I am pleased to offer you exempt regular employment as General Counsel and Vice President reporting to Dinakar Munagala, Chief Executive Officer, on a full-time basis, starting no later than Monday, May 19, 2025. You will be based out of our San Jose </w:t>
      </w:r>
      <w:r>
        <w:rPr>
          <w:rFonts w:ascii="Times New Roman;serif" w:hAnsi="Times New Roman;serif"/>
          <w:b w:val="false"/>
          <w:color w:val="212120"/>
          <w:sz w:val="22"/>
        </w:rPr>
        <w:t xml:space="preserve">office. </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Should you accept our offer, Blaize will pay you $375,000 on an annualized basis for your services, less deductions required by law, in accordance with our normal payroll practices. In addition, we will recommend to the Board of Directors that the Company introduce a performance-</w:t>
      </w:r>
      <w:r>
        <w:rPr>
          <w:rFonts w:ascii="Times New Roman;serif" w:hAnsi="Times New Roman;serif"/>
          <w:b w:val="false"/>
          <w:color w:val="000000"/>
          <w:sz w:val="22"/>
        </w:rPr>
        <w:t>based discretionary bonus program during 2026, with a target of 30% of the annualized salary of $375,000 (or the current annual salary at 31 December 2025) for you. The actual bonus payout will be determined by the CEO and is dependent on both company and individual performance. You will be paid by Blaize on a semi-monthly basis, on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and the last day of the month.</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 xml:space="preserve">As a regular employee of the Company, you will be entitled to participate in a number of Company-sponsored benefits, including </w:t>
      </w:r>
      <w:r>
        <w:rPr>
          <w:rFonts w:ascii="Times New Roman;serif" w:hAnsi="Times New Roman;serif"/>
          <w:b w:val="false"/>
          <w:color w:val="202020"/>
          <w:sz w:val="22"/>
        </w:rPr>
        <w:t>flexible time off</w:t>
      </w:r>
      <w:r>
        <w:rPr>
          <w:color w:val="212120"/>
        </w:rPr>
        <w:t xml:space="preserve"> </w:t>
      </w:r>
      <w:r>
        <w:rPr>
          <w:rFonts w:ascii="Times New Roman;serif" w:hAnsi="Times New Roman;serif"/>
          <w:b w:val="false"/>
          <w:color w:val="212120"/>
          <w:sz w:val="22"/>
        </w:rPr>
        <w:t>in accordance with the Company’s flexible time off policy, as in effect from time to time. Additional information regarding the employment policies of the Company will be available to you when you begin work.</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We will recommend to the Board of Directors that you be granted 300,000 RSUs. Details of the stock program, including vesting and exercise price, will be as outlined in the grant agreement provided to you after Board approval. Your vesting period will commence from the date of first employment with a 4-year vest and a 1-year cliff –</w:t>
      </w:r>
      <w:r>
        <w:rPr>
          <w:color w:val="000000"/>
        </w:rPr>
        <w:t xml:space="preserve"> </w:t>
      </w:r>
      <w:r>
        <w:rPr>
          <w:rFonts w:ascii="Times New Roman;serif" w:hAnsi="Times New Roman;serif"/>
          <w:b w:val="false"/>
          <w:color w:val="000000"/>
          <w:sz w:val="22"/>
        </w:rPr>
        <w:t>25% of the grant will vest on the one-year anniversary of your employment with Blaize. Subsequently, 6.25% of your grant will vest in each of the subsequent 12 quarters.</w:t>
      </w:r>
    </w:p>
    <w:p>
      <w:pPr>
        <w:pStyle w:val="TextBody"/>
        <w:bidi w:val="0"/>
        <w:spacing w:before="0" w:after="0"/>
        <w:jc w:val="left"/>
        <w:rPr/>
      </w:pPr>
      <w:r>
        <w:rPr/>
      </w:r>
    </w:p>
    <w:p>
      <w:pPr>
        <w:pStyle w:val="TextBody"/>
        <w:bidi w:val="0"/>
        <w:spacing w:lineRule="auto" w:line="362"/>
        <w:jc w:val="left"/>
        <w:rPr>
          <w:rFonts w:ascii="Times New Roman;serif" w:hAnsi="Times New Roman;serif"/>
          <w:b w:val="false"/>
          <w:color w:val="212120"/>
          <w:sz w:val="22"/>
        </w:rPr>
      </w:pPr>
      <w:r>
        <w:rPr>
          <w:rFonts w:ascii="Times New Roman;serif" w:hAnsi="Times New Roman;serif"/>
          <w:b w:val="false"/>
          <w:color w:val="212120"/>
          <w:sz w:val="22"/>
        </w:rPr>
        <w:t xml:space="preserve">While you render services to the Company, you will not engage in any other employment, consulting, or other business activity (whether full-time or part-time) that would create a conflict of interest with the </w:t>
      </w:r>
    </w:p>
    <w:p>
      <w:pPr>
        <w:pStyle w:val="TextBody"/>
        <w:bidi w:val="0"/>
        <w:spacing w:before="0" w:after="0"/>
        <w:jc w:val="right"/>
        <w:rPr/>
      </w:pPr>
      <w:r>
        <w:rPr/>
        <w:drawing>
          <wp:inline distT="0" distB="0" distL="0" distR="0">
            <wp:extent cx="1695450" cy="590550"/>
            <wp:effectExtent l="0" t="0" r="0" b="0"/>
            <wp:docPr id="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 descr=""/>
                    <pic:cNvPicPr>
                      <a:picLocks noChangeAspect="1" noChangeArrowheads="1"/>
                    </pic:cNvPicPr>
                  </pic:nvPicPr>
                  <pic:blipFill>
                    <a:blip r:embed="rId15"/>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3060"/>
                <wp:effectExtent l="0" t="0" r="0" b="0"/>
                <wp:wrapNone/>
                <wp:docPr id="38" name="Frame3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5915025" cy="11430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16"/>
                                          <a:stretch>
                                            <a:fillRect/>
                                          </a:stretch>
                                        </pic:blipFill>
                                        <pic:spPr bwMode="auto">
                                          <a:xfrm>
                                            <a:off x="0" y="0"/>
                                            <a:ext cx="5915025" cy="1143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5915025" cy="114300"/>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17"/>
                                    <a:stretch>
                                      <a:fillRect/>
                                    </a:stretch>
                                  </pic:blipFill>
                                  <pic:spPr bwMode="auto">
                                    <a:xfrm>
                                      <a:off x="0" y="0"/>
                                      <a:ext cx="5915025" cy="114300"/>
                                    </a:xfrm>
                                    <a:prstGeom prst="rect">
                                      <a:avLst/>
                                    </a:prstGeom>
                                  </pic:spPr>
                                </pic:pic>
                              </a:graphicData>
                            </a:graphic>
                          </wp:inline>
                        </w:drawing>
                      </w:r>
                    </w:p>
                  </w:txbxContent>
                </v:textbox>
                <w10:wrap type="none"/>
              </v:rect>
            </w:pict>
          </mc:Fallback>
        </mc:AlternateConten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Company. By signing this letter, you confirm to the Company that you have no contractual commitments or other legal obligations that would prohibit you from performing your duties for the Company.</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Blaize employs its employees at will, meaning that either you or the Company may terminate the employment relationship at any time, with or without cause and with or without notice. Should you join us, Blaize will employ you on an at-will basis and apply to you the same policies and procedures applicable to its employees generally. We may, at our discretion, determine other terms and conditions of your employment, including, but not limited to, work assignments and work schedules, and may modify any terms and conditions of employment at any time, including your base salary or base pay rate. Except for the CEO of the Company, no manager or other representative of Blaize has authority to agree on behalf of the Company to employ any employee for any specific period of time, to employ any employee on other than an at-will basis, or to limit the Company’s right to modify the terms and conditions of your employment. Any agreement to employ any employee for any specific period of time, to employ any employee on other than an at-will basis, or to limit Blaize’s right to modify the terms and conditions of your employment, is binding only if signed by you and the CEO of the Company. Any contrary representations that may have been made to you are superseded by this letter. This is the full and complete agreement between you and the Company on the term of your employment.</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All forms of compensation referred to in this letter are subject to reduction to reflect applicable withholding and payroll taxes and other 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Employees of Blaize may work with and/or develop information that is considered confidential by the Company. Thus, like all Company employees, you will be required, as a condition of your employment with the Company, to sign the Company’s standard Proprietary Information and Inventions Agreement (PIIA), a copy will be provided to you via ContractWorks.</w:t>
      </w:r>
    </w:p>
    <w:p>
      <w:pPr>
        <w:pStyle w:val="TextBody"/>
        <w:bidi w:val="0"/>
        <w:spacing w:before="0" w:after="0"/>
        <w:jc w:val="left"/>
        <w:rPr/>
      </w:pPr>
      <w:r>
        <w:rPr/>
      </w:r>
    </w:p>
    <w:p>
      <w:pPr>
        <w:pStyle w:val="TextBody"/>
        <w:bidi w:val="0"/>
        <w:spacing w:lineRule="auto" w:line="362"/>
        <w:jc w:val="left"/>
        <w:rPr>
          <w:rFonts w:ascii="Times New Roman;serif" w:hAnsi="Times New Roman;serif"/>
          <w:b w:val="false"/>
          <w:color w:val="212120"/>
          <w:sz w:val="22"/>
        </w:rPr>
      </w:pPr>
      <w:r>
        <w:rPr>
          <w:rFonts w:ascii="Times New Roman;serif" w:hAnsi="Times New Roman;serif"/>
          <w:b w:val="false"/>
          <w:color w:val="212120"/>
          <w:sz w:val="22"/>
        </w:rPr>
        <w:t xml:space="preserve">This letter and the PIIA supersede and replace any prior agreements, representations, or understandings (whether written, oral, 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w:t>
      </w:r>
    </w:p>
    <w:p>
      <w:pPr>
        <w:pStyle w:val="TextBody"/>
        <w:bidi w:val="0"/>
        <w:spacing w:before="0" w:after="0"/>
        <w:jc w:val="right"/>
        <w:rPr/>
      </w:pPr>
      <w:r>
        <w:rPr/>
        <w:drawing>
          <wp:inline distT="0" distB="0" distL="0" distR="0">
            <wp:extent cx="1695450" cy="590550"/>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18"/>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3060"/>
                <wp:effectExtent l="0" t="0" r="0" b="0"/>
                <wp:wrapNone/>
                <wp:docPr id="42" name="Frame3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5915025" cy="114300"/>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19"/>
                                          <a:stretch>
                                            <a:fillRect/>
                                          </a:stretch>
                                        </pic:blipFill>
                                        <pic:spPr bwMode="auto">
                                          <a:xfrm>
                                            <a:off x="0" y="0"/>
                                            <a:ext cx="5915025" cy="1143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5915025" cy="114300"/>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20"/>
                                    <a:stretch>
                                      <a:fillRect/>
                                    </a:stretch>
                                  </pic:blipFill>
                                  <pic:spPr bwMode="auto">
                                    <a:xfrm>
                                      <a:off x="0" y="0"/>
                                      <a:ext cx="5915025" cy="114300"/>
                                    </a:xfrm>
                                    <a:prstGeom prst="rect">
                                      <a:avLst/>
                                    </a:prstGeom>
                                  </pic:spPr>
                                </pic:pic>
                              </a:graphicData>
                            </a:graphic>
                          </wp:inline>
                        </w:drawing>
                      </w:r>
                    </w:p>
                  </w:txbxContent>
                </v:textbox>
                <w10:wrap type="none"/>
              </v:rect>
            </w:pict>
          </mc:Fallback>
        </mc:AlternateConten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conflicts or choice of law. You and the Company submit to the exclusive personal jurisdiction of the federal and state courts located in El Dorado County, California in connection with any Dispute or any claim related to any Dispute.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Your offer is contingent upon completing Blaize’s Employment Application and successful completion of reference checks and background investigation. Finally, in accordance with federal law, Blaize requires all employees to present proof of their right to work in the United States prior to commencing work. Please be prepared to present documents demonstrating your right to work on or before your first day of work.</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 xml:space="preserve">We will also provide you with a separate Executive Severance and Change in Control Agreement as part of your overall employment agreement with Blaize. </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We are excited about the prospect of working with you and hope that you will decide to join us. To memorialize your acceptance of our offer, please sign this letter in the designated space below and return it, and a signed copy of the PIIA, to me by Monday, May 12, 2025. If we do not hear from you by Monday, May 12, 2025, our offer will expire at the close of business on that date.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If you have any questions about our offer or employment at Blaize in general, I encourage you to contact me at your convenience.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Sincerely,</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u w:val="single"/>
        </w:rPr>
      </w:pPr>
      <w:r>
        <w:rPr>
          <w:rFonts w:ascii="Times New Roman;serif" w:hAnsi="Times New Roman;serif"/>
          <w:b w:val="false"/>
          <w:color w:val="212120"/>
          <w:sz w:val="22"/>
          <w:u w:val="single"/>
        </w:rPr>
        <w:t>/s/ Doug Burns</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Doug Burns</w:t>
      </w:r>
    </w:p>
    <w:p>
      <w:pPr>
        <w:pStyle w:val="TextBody"/>
        <w:bidi w:val="0"/>
        <w:spacing w:lineRule="auto" w:line="362" w:before="0" w:after="360"/>
        <w:jc w:val="left"/>
        <w:rPr>
          <w:rFonts w:ascii="Times New Roman;serif" w:hAnsi="Times New Roman;serif"/>
          <w:b w:val="false"/>
          <w:color w:val="000000"/>
          <w:sz w:val="22"/>
        </w:rPr>
      </w:pPr>
      <w:r>
        <w:rPr>
          <w:rFonts w:ascii="Times New Roman;serif" w:hAnsi="Times New Roman;serif"/>
          <w:b w:val="false"/>
          <w:color w:val="000000"/>
          <w:sz w:val="22"/>
        </w:rPr>
        <w:t>Chief People Officer</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I accept the offer of employment set forth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u w:val="single"/>
        </w:rPr>
        <w:t>/s/Kim Evans</w:t>
      </w:r>
      <w:r>
        <w:rPr>
          <w:color w:val="212120"/>
        </w:rPr>
        <w:t>                            </w:t>
      </w:r>
      <w:r>
        <w:rPr>
          <w:rFonts w:ascii="Times New Roman;serif" w:hAnsi="Times New Roman;serif"/>
          <w:b w:val="false"/>
          <w:color w:val="212120"/>
          <w:sz w:val="22"/>
          <w:u w:val="single"/>
        </w:rPr>
        <w:t>May 10, 2025</w:t>
      </w:r>
    </w:p>
    <w:p>
      <w:pPr>
        <w:pStyle w:val="TextBody"/>
        <w:bidi w:val="0"/>
        <w:spacing w:lineRule="auto" w:line="362"/>
        <w:jc w:val="left"/>
        <w:rPr>
          <w:rFonts w:ascii="Times New Roman;serif" w:hAnsi="Times New Roman;serif"/>
          <w:b w:val="false"/>
          <w:color w:val="212120"/>
          <w:sz w:val="22"/>
        </w:rPr>
      </w:pPr>
      <w:r>
        <w:rPr>
          <w:rFonts w:ascii="Times New Roman;serif" w:hAnsi="Times New Roman;serif"/>
          <w:b w:val="false"/>
          <w:color w:val="212120"/>
          <w:sz w:val="22"/>
        </w:rPr>
        <w:t>Kim Peterson Evans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695450" cy="590550"/>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21"/>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3060"/>
                <wp:effectExtent l="0" t="0" r="0" b="0"/>
                <wp:wrapNone/>
                <wp:docPr id="46" name="Frame3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drawing>
                                <wp:inline distT="0" distB="0" distL="0" distR="0">
                                  <wp:extent cx="5915025" cy="114300"/>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22"/>
                                          <a:stretch>
                                            <a:fillRect/>
                                          </a:stretch>
                                        </pic:blipFill>
                                        <pic:spPr bwMode="auto">
                                          <a:xfrm>
                                            <a:off x="0" y="0"/>
                                            <a:ext cx="5915025" cy="1143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5915025" cy="114300"/>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23"/>
                                    <a:stretch>
                                      <a:fillRect/>
                                    </a:stretch>
                                  </pic:blipFill>
                                  <pic:spPr bwMode="auto">
                                    <a:xfrm>
                                      <a:off x="0" y="0"/>
                                      <a:ext cx="5915025" cy="114300"/>
                                    </a:xfrm>
                                    <a:prstGeom prst="rect">
                                      <a:avLst/>
                                    </a:prstGeom>
                                  </pic:spPr>
                                </pic:pic>
                              </a:graphicData>
                            </a:graphic>
                          </wp:inline>
                        </w:drawing>
                      </w:r>
                    </w:p>
                  </w:txbxContent>
                </v:textbox>
                <w10:wrap type="none"/>
              </v:rect>
            </w:pict>
          </mc:Fallback>
        </mc:AlternateContent>
      </w:r>
    </w:p>
    <w:p>
      <w:pPr>
        <w:pStyle w:val="TextBody"/>
        <w:bidi w:val="0"/>
        <w:spacing w:lineRule="auto" w:line="362" w:before="0" w:after="360"/>
        <w:jc w:val="right"/>
        <w:rPr>
          <w:rFonts w:ascii="Times New Roman;serif" w:hAnsi="Times New Roman;serif"/>
          <w:b/>
          <w:color w:val="212120"/>
          <w:sz w:val="24"/>
        </w:rPr>
      </w:pPr>
      <w:r>
        <w:rPr>
          <w:rFonts w:ascii="Times New Roman;serif" w:hAnsi="Times New Roman;serif"/>
          <w:b/>
          <w:color w:val="212120"/>
          <w:sz w:val="24"/>
        </w:rPr>
        <w:t>Exhibit 10.4</w:t>
      </w:r>
    </w:p>
    <w:p>
      <w:pPr>
        <w:pStyle w:val="TextBody"/>
        <w:bidi w:val="0"/>
        <w:spacing w:lineRule="auto" w:line="288" w:before="0" w:after="0"/>
        <w:jc w:val="left"/>
        <w:rPr>
          <w:rFonts w:ascii="Times New Roman;serif" w:hAnsi="Times New Roman;serif"/>
          <w:b w:val="false"/>
          <w:color w:val="3B3B3A"/>
          <w:sz w:val="22"/>
        </w:rPr>
      </w:pPr>
      <w:r>
        <w:rPr>
          <w:rFonts w:ascii="Times New Roman;serif" w:hAnsi="Times New Roman;serif"/>
          <w:b w:val="false"/>
          <w:color w:val="3B3B3A"/>
          <w:sz w:val="22"/>
        </w:rPr>
        <w:t>[*] Certain information in this document has been omitted from this exhibit because it is both (i) not material and (ii) the type that the registrant treats as private or confidential.</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December 9,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Stephen P. Patak</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Dear Stephen,</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 xml:space="preserve">On behalf of Blaize, Inc. (hereafter referred to as “Blaize” or “the Company”), I am pleased to offer you exempt regular employment as </w:t>
      </w:r>
      <w:r>
        <w:rPr>
          <w:rFonts w:ascii="Times New Roman;serif" w:hAnsi="Times New Roman;serif"/>
          <w:b/>
          <w:color w:val="212120"/>
          <w:sz w:val="22"/>
        </w:rPr>
        <w:t>Chief Revenue Officer</w:t>
      </w:r>
      <w:r>
        <w:rPr>
          <w:color w:val="212120"/>
        </w:rPr>
        <w:t xml:space="preserve"> </w:t>
      </w:r>
      <w:r>
        <w:rPr>
          <w:rFonts w:ascii="Times New Roman;serif" w:hAnsi="Times New Roman;serif"/>
          <w:b w:val="false"/>
          <w:color w:val="212120"/>
          <w:sz w:val="22"/>
        </w:rPr>
        <w:t xml:space="preserve">reporting to Dinakar Munagala, CEO, on a full-time basis, with an anticipated start date of </w:t>
      </w:r>
      <w:r>
        <w:rPr>
          <w:rFonts w:ascii="Times New Roman;serif" w:hAnsi="Times New Roman;serif"/>
          <w:b/>
          <w:color w:val="212120"/>
          <w:sz w:val="22"/>
        </w:rPr>
        <w:t>January 12, 2026</w:t>
      </w:r>
      <w:r>
        <w:rPr>
          <w:rFonts w:ascii="Times New Roman;serif" w:hAnsi="Times New Roman;serif"/>
          <w:b w:val="false"/>
          <w:color w:val="212120"/>
          <w:sz w:val="22"/>
        </w:rPr>
        <w:t xml:space="preserve">. You will be based out of </w:t>
      </w:r>
      <w:r>
        <w:rPr>
          <w:rFonts w:ascii="Times New Roman;serif" w:hAnsi="Times New Roman;serif"/>
          <w:b w:val="false"/>
          <w:color w:val="000000"/>
          <w:sz w:val="22"/>
        </w:rPr>
        <w:t>your remote home office.</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Should you accept our offer, Blaize will pay you a base salary of $375,000.00 on an annualized basis for your services, less deductions required by law, in accordance with our normal payroll practices. You will be eligible for an annual variable incentive target of $375,000.00 annualized based upon successfully achieving objectives set by the Company subject to the terms and conditions of the Company’s Sales Incentive Plan. Your objectives will be formally agreed to within two months of your start date. Your variable incentive for Q1, Q2, Q3, and Q4 of 2026 will be guaranteed at 100% ($93,750 per quarter), subject to your start date and active employment during the applicable periods. You will be paid by Blaize on a semi-monthly basis, on the 15</w:t>
      </w:r>
      <w:r>
        <w:rPr>
          <w:rFonts w:ascii="Times New Roman;serif" w:hAnsi="Times New Roman;serif"/>
          <w:b w:val="false"/>
          <w:color w:val="212120"/>
          <w:sz w:val="14"/>
        </w:rPr>
        <w:t>th</w:t>
      </w:r>
      <w:r>
        <w:rPr>
          <w:color w:val="212120"/>
        </w:rPr>
        <w:t xml:space="preserve"> </w:t>
      </w:r>
      <w:r>
        <w:rPr>
          <w:rFonts w:ascii="Times New Roman;serif" w:hAnsi="Times New Roman;serif"/>
          <w:b w:val="false"/>
          <w:color w:val="212120"/>
          <w:sz w:val="22"/>
        </w:rPr>
        <w:t>and the last day of the month.</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 xml:space="preserve">The Company will also offer a one-time signing bonus of $50,000, payable within the first month of employment. If you resign your employment with the Company within one (1) year of your start date, you must repay the bonus in full. </w:t>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rPr>
        <w:t>We will recommend to the Board of Directors that you be granted a one-time sign-on equity grant of 20,000 Restricted Stock Units (“RSUs”), which will vest quarterly over 2 years, subject to Board of Directors approval and the terms of Blaize’s standard RSU grant agreement. Additionally, w</w:t>
      </w:r>
      <w:r>
        <w:rPr>
          <w:rFonts w:ascii="Times New Roman;serif" w:hAnsi="Times New Roman;serif"/>
          <w:b w:val="false"/>
          <w:color w:val="000000"/>
          <w:sz w:val="22"/>
        </w:rPr>
        <w:t xml:space="preserve">e will recommend to the Board of Directors that you be granted 800,000 Non-Qualified (“NQ”) Stock Options. Details of the stock program will be as outlined in the grant agreement provided to you after Board approval. Twenty-five percent (25%) of the NQ options will vest on the one-year anniversary of your start date, and the remaining seventy-five percent (75%) will vest in equal quarterly installments over the following three (3) years. </w:t>
      </w:r>
    </w:p>
    <w:p>
      <w:pPr>
        <w:pStyle w:val="TextBody"/>
        <w:bidi w:val="0"/>
        <w:spacing w:before="0" w:after="283"/>
        <w:jc w:val="left"/>
        <w:rPr/>
      </w:pPr>
      <w:r>
        <w:rPr/>
      </w:r>
    </w:p>
    <w:p>
      <w:pPr>
        <w:pStyle w:val="TextBody"/>
        <w:bidi w:val="0"/>
        <w:spacing w:before="0" w:after="0"/>
        <w:jc w:val="right"/>
        <w:rPr/>
      </w:pPr>
      <w:r>
        <w:rPr/>
        <w:drawing>
          <wp:inline distT="0" distB="0" distL="0" distR="0">
            <wp:extent cx="1695450" cy="590550"/>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24"/>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41325"/>
                <wp:effectExtent l="0" t="0" r="0" b="0"/>
                <wp:wrapNone/>
                <wp:docPr id="50" name="Frame39"/>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left"/>
                              <w:rPr>
                                <w:color w:val="212120"/>
                              </w:rPr>
                            </w:pPr>
                            <w:r>
                              <w:rPr>
                                <w:color w:val="212120"/>
                              </w:rPr>
                              <w:t xml:space="preserve">                                         </w:t>
                            </w:r>
                            <w:r>
                              <w:br w:type="page"/>
                            </w:r>
                          </w:p>
                          <w:p>
                            <w:pPr>
                              <w:pStyle w:val="TextBody"/>
                              <w:bidi w:val="0"/>
                              <w:spacing w:before="0" w:after="0"/>
                              <w:jc w:val="left"/>
                              <w:rPr/>
                            </w:pPr>
                            <w:r>
                              <w:rPr/>
                              <w:drawing>
                                <wp:inline distT="0" distB="0" distL="0" distR="0">
                                  <wp:extent cx="5915025" cy="200025"/>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25"/>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lineRule="atLeast" w:line="280" w:before="0" w:after="0"/>
                        <w:jc w:val="left"/>
                        <w:rPr>
                          <w:color w:val="212120"/>
                        </w:rPr>
                      </w:pPr>
                      <w:r>
                        <w:rPr>
                          <w:color w:val="212120"/>
                        </w:rPr>
                        <w:t xml:space="preserve">                                         </w:t>
                      </w:r>
                    </w:p>
                    <w:p>
                      <w:pPr>
                        <w:pStyle w:val="TextBody"/>
                        <w:bidi w:val="0"/>
                        <w:spacing w:before="0" w:after="0"/>
                        <w:jc w:val="left"/>
                        <w:rPr/>
                      </w:pPr>
                      <w:r>
                        <w:rPr/>
                        <w:drawing>
                          <wp:inline distT="0" distB="0" distL="0" distR="0">
                            <wp:extent cx="5915025" cy="200025"/>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26"/>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As a regular employee of the Company, you will be entitled to participate in a number of Company-sponsored benefits, including flexible time off in accordance with the Company’s flexible time off policy, as in effect from time to time. Additional information regarding the employment policies of the Company will be available to you when you begin work.</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While you render services to the Company, you will not engage in any other employment, consulting, or other business activity (whether full-time or part-time) that would create a conflict of interest with the Company. By signing this letter, you confirm to the Company that you have no contractual commitments or other legal obligations that would prohibit you from performing your duties for the Company.</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Blaize employs its employees at-will, meaning that either you or the Company may terminate the employment relationship at any time, with or without cause and with or without notice. Should you join us, Blaize will employ you on an at-will basis and apply to you the same policies and procedures applicable to its employees generally. We may, at our discretion, determine other terms and conditions of your employment, including, but not limited to, work assignments and work schedules, and may modify any terms and conditions of employment at any time, including your base salary or base pay rate. Except for the CEO of the Company, no manager or other representative of Blaize has authority to agree on behalf of the Company to employ any employee for any specific period of time, to employ any employee on other than an at-will basis, or to limit the Company’s right to modify the terms and conditions of your employment. Any agreement to employ any employee for any specific period of time, to employ any employee on other than an at-will basis, or to limit Blaize’s right to modify the terms and conditions of your employment, is binding only if signed by you and the CEO of the Company. Any contrary representations that may have been made to you are superseded by this letter. This is the full and complete agreement between you and the Company on the terms of your employment.</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 xml:space="preserve">We will also provide you with a separate Executive Severance and Change in Control </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Agreement as part of your overall employment agreement with Blaize.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All forms of compensation referred to in this letter are subject to reduction to reflect applicable withholding and payroll taxes and other 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pStyle w:val="TextBody"/>
        <w:bidi w:val="0"/>
        <w:spacing w:before="0" w:after="0"/>
        <w:jc w:val="left"/>
        <w:rPr/>
      </w:pPr>
      <w:r>
        <w:rPr/>
      </w:r>
    </w:p>
    <w:p>
      <w:pPr>
        <w:pStyle w:val="TextBody"/>
        <w:bidi w:val="0"/>
        <w:spacing w:lineRule="auto" w:line="362"/>
        <w:jc w:val="left"/>
        <w:rPr>
          <w:rFonts w:ascii="Times New Roman;serif" w:hAnsi="Times New Roman;serif"/>
          <w:b w:val="false"/>
          <w:color w:val="212120"/>
          <w:sz w:val="22"/>
        </w:rPr>
      </w:pPr>
      <w:r>
        <w:rPr>
          <w:rFonts w:ascii="Times New Roman;serif" w:hAnsi="Times New Roman;serif"/>
          <w:b w:val="false"/>
          <w:color w:val="212120"/>
          <w:sz w:val="22"/>
        </w:rPr>
        <w:t xml:space="preserve">Employees of Blaize may work with and/or develop information that is considered confidential by the Company. Thus, like all Company employees, you will be required, as a condition of your employment </w:t>
      </w:r>
    </w:p>
    <w:p>
      <w:pPr>
        <w:pStyle w:val="TextBody"/>
        <w:bidi w:val="0"/>
        <w:spacing w:before="0" w:after="0"/>
        <w:jc w:val="right"/>
        <w:rPr/>
      </w:pPr>
      <w:r>
        <w:rPr/>
        <w:drawing>
          <wp:inline distT="0" distB="0" distL="0" distR="0">
            <wp:extent cx="1695450" cy="590550"/>
            <wp:effectExtent l="0" t="0" r="0" b="0"/>
            <wp:docPr id="5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1" descr=""/>
                    <pic:cNvPicPr>
                      <a:picLocks noChangeAspect="1" noChangeArrowheads="1"/>
                    </pic:cNvPicPr>
                  </pic:nvPicPr>
                  <pic:blipFill>
                    <a:blip r:embed="rId27"/>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41325"/>
                <wp:effectExtent l="0" t="0" r="0" b="0"/>
                <wp:wrapNone/>
                <wp:docPr id="54" name="Frame40"/>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left"/>
                              <w:rPr>
                                <w:color w:val="212120"/>
                              </w:rPr>
                            </w:pPr>
                            <w:r>
                              <w:rPr>
                                <w:color w:val="212120"/>
                              </w:rPr>
                              <w:t xml:space="preserve">                                         </w:t>
                            </w:r>
                            <w:r>
                              <w:br w:type="page"/>
                            </w:r>
                          </w:p>
                          <w:p>
                            <w:pPr>
                              <w:pStyle w:val="TextBody"/>
                              <w:bidi w:val="0"/>
                              <w:spacing w:before="0" w:after="0"/>
                              <w:jc w:val="left"/>
                              <w:rPr/>
                            </w:pPr>
                            <w:r>
                              <w:rPr/>
                              <w:drawing>
                                <wp:inline distT="0" distB="0" distL="0" distR="0">
                                  <wp:extent cx="5915025" cy="200025"/>
                                  <wp:effectExtent l="0" t="0" r="0" b="0"/>
                                  <wp:docPr id="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0" descr=""/>
                                          <pic:cNvPicPr>
                                            <a:picLocks noChangeAspect="1" noChangeArrowheads="1"/>
                                          </pic:cNvPicPr>
                                        </pic:nvPicPr>
                                        <pic:blipFill>
                                          <a:blip r:embed="rId28"/>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lineRule="atLeast" w:line="280" w:before="0" w:after="0"/>
                        <w:jc w:val="left"/>
                        <w:rPr>
                          <w:color w:val="212120"/>
                        </w:rPr>
                      </w:pPr>
                      <w:r>
                        <w:rPr>
                          <w:color w:val="212120"/>
                        </w:rPr>
                        <w:t xml:space="preserve">                                         </w:t>
                      </w:r>
                    </w:p>
                    <w:p>
                      <w:pPr>
                        <w:pStyle w:val="TextBody"/>
                        <w:bidi w:val="0"/>
                        <w:spacing w:before="0" w:after="0"/>
                        <w:jc w:val="left"/>
                        <w:rPr/>
                      </w:pPr>
                      <w:r>
                        <w:rPr/>
                        <w:drawing>
                          <wp:inline distT="0" distB="0" distL="0" distR="0">
                            <wp:extent cx="5915025" cy="200025"/>
                            <wp:effectExtent l="0" t="0" r="0" b="0"/>
                            <wp:docPr id="5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0" descr=""/>
                                    <pic:cNvPicPr>
                                      <a:picLocks noChangeAspect="1" noChangeArrowheads="1"/>
                                    </pic:cNvPicPr>
                                  </pic:nvPicPr>
                                  <pic:blipFill>
                                    <a:blip r:embed="rId29"/>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with the Company, to sign the Company’s standard Proprietary Information and Inventions Agreement (PIIA), a copy will be provided to you via ContractWorks.</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This letter and the PIIA supersede and replace any prior agreements, representations, or understandings (whether written, oral, 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El Dorado County, California in connection with any Dispute or any claim related to any Dispute.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Your offer is contingent upon completing Blaize’s Employment Application and successful completion of reference checks and background investigation. Finally, in accordance with federal law, Blaize requires all employees to present proof of their right to work in the United States prior to commencing work. Please be prepared to present documents demonstrating your right to work on or before your first day of work.</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We are excited about the prospect of working with you and hope that you will decide to join us. To memorialize your acceptance of our offer, please sign this letter in the designated space below and return it, and a signed copy of the PIIA, to me by December 12, 2025. If we do not hear from you by December 12, 2025, our offer will expire at the close of business on that date.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If you have any questions about our offer or employment at Blaize in general, I encourage you to contact me at your convenience.</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Sincerely,</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212120"/>
          <w:sz w:val="22"/>
          <w:u w:val="single"/>
        </w:rPr>
      </w:pPr>
      <w:r>
        <w:rPr>
          <w:rFonts w:ascii="Times New Roman;serif" w:hAnsi="Times New Roman;serif"/>
          <w:b w:val="false"/>
          <w:color w:val="212120"/>
          <w:sz w:val="22"/>
          <w:u w:val="single"/>
        </w:rPr>
        <w:t>/s/ Doug Burns</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Douglas Burns</w:t>
      </w:r>
    </w:p>
    <w:p>
      <w:pPr>
        <w:pStyle w:val="TextBody"/>
        <w:bidi w:val="0"/>
        <w:spacing w:lineRule="auto" w:line="362" w:before="0" w:after="360"/>
        <w:jc w:val="left"/>
        <w:rPr>
          <w:rFonts w:ascii="Times New Roman;serif" w:hAnsi="Times New Roman;serif"/>
          <w:b w:val="false"/>
          <w:color w:val="000000"/>
          <w:sz w:val="22"/>
        </w:rPr>
      </w:pPr>
      <w:r>
        <w:rPr>
          <w:rFonts w:ascii="Times New Roman;serif" w:hAnsi="Times New Roman;serif"/>
          <w:b w:val="false"/>
          <w:color w:val="000000"/>
          <w:sz w:val="22"/>
        </w:rPr>
        <w:t>Chief People Officer</w:t>
      </w:r>
    </w:p>
    <w:p>
      <w:pPr>
        <w:pStyle w:val="TextBody"/>
        <w:bidi w:val="0"/>
        <w:spacing w:before="0" w:after="283"/>
        <w:jc w:val="left"/>
        <w:rPr/>
      </w:pPr>
      <w:r>
        <w:rPr/>
      </w:r>
    </w:p>
    <w:p>
      <w:pPr>
        <w:pStyle w:val="TextBody"/>
        <w:bidi w:val="0"/>
        <w:spacing w:before="0" w:after="0"/>
        <w:jc w:val="right"/>
        <w:rPr/>
      </w:pPr>
      <w:r>
        <w:rPr/>
        <w:drawing>
          <wp:inline distT="0" distB="0" distL="0" distR="0">
            <wp:extent cx="1695450" cy="590550"/>
            <wp:effectExtent l="0" t="0" r="0" b="0"/>
            <wp:docPr id="5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3" descr=""/>
                    <pic:cNvPicPr>
                      <a:picLocks noChangeAspect="1" noChangeArrowheads="1"/>
                    </pic:cNvPicPr>
                  </pic:nvPicPr>
                  <pic:blipFill>
                    <a:blip r:embed="rId30"/>
                    <a:stretch>
                      <a:fillRect/>
                    </a:stretch>
                  </pic:blipFill>
                  <pic:spPr bwMode="auto">
                    <a:xfrm>
                      <a:off x="0" y="0"/>
                      <a:ext cx="1695450" cy="5905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41325"/>
                <wp:effectExtent l="0" t="0" r="0" b="0"/>
                <wp:wrapNone/>
                <wp:docPr id="58" name="Frame41"/>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left"/>
                              <w:rPr>
                                <w:color w:val="212120"/>
                              </w:rPr>
                            </w:pPr>
                            <w:r>
                              <w:rPr>
                                <w:color w:val="212120"/>
                              </w:rPr>
                              <w:t xml:space="preserve">                                         </w:t>
                            </w:r>
                            <w:r>
                              <w:br w:type="page"/>
                            </w:r>
                          </w:p>
                          <w:p>
                            <w:pPr>
                              <w:pStyle w:val="TextBody"/>
                              <w:bidi w:val="0"/>
                              <w:spacing w:before="0" w:after="0"/>
                              <w:jc w:val="left"/>
                              <w:rPr/>
                            </w:pPr>
                            <w:r>
                              <w:rPr/>
                              <w:drawing>
                                <wp:inline distT="0" distB="0" distL="0" distR="0">
                                  <wp:extent cx="5915025" cy="2000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31"/>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348.5pt;mso-position-horizontal:left;mso-position-horizontal-relative:text">
                <v:textbox>
                  <w:txbxContent>
                    <w:p>
                      <w:pPr>
                        <w:pStyle w:val="TextBody"/>
                        <w:bidi w:val="0"/>
                        <w:spacing w:lineRule="atLeast" w:line="280" w:before="0" w:after="0"/>
                        <w:jc w:val="left"/>
                        <w:rPr>
                          <w:color w:val="212120"/>
                        </w:rPr>
                      </w:pPr>
                      <w:r>
                        <w:rPr>
                          <w:color w:val="212120"/>
                        </w:rPr>
                        <w:t xml:space="preserve">                                         </w:t>
                      </w:r>
                    </w:p>
                    <w:p>
                      <w:pPr>
                        <w:pStyle w:val="TextBody"/>
                        <w:bidi w:val="0"/>
                        <w:spacing w:before="0" w:after="0"/>
                        <w:jc w:val="left"/>
                        <w:rPr/>
                      </w:pPr>
                      <w:r>
                        <w:rPr/>
                        <w:drawing>
                          <wp:inline distT="0" distB="0" distL="0" distR="0">
                            <wp:extent cx="5915025" cy="200025"/>
                            <wp:effectExtent l="0" t="0" r="0" b="0"/>
                            <wp:docPr id="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2" descr=""/>
                                    <pic:cNvPicPr>
                                      <a:picLocks noChangeAspect="1" noChangeArrowheads="1"/>
                                    </pic:cNvPicPr>
                                  </pic:nvPicPr>
                                  <pic:blipFill>
                                    <a:blip r:embed="rId32"/>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I accept the offer of employment set forth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pPr>
      <w:r>
        <w:rPr>
          <w:rFonts w:ascii="Times New Roman;serif" w:hAnsi="Times New Roman;serif"/>
          <w:b w:val="false"/>
          <w:color w:val="212120"/>
          <w:sz w:val="22"/>
          <w:u w:val="single"/>
        </w:rPr>
        <w:t>/s/ Stephen P. Patak</w:t>
      </w:r>
      <w:r>
        <w:rPr>
          <w:color w:val="212120"/>
        </w:rPr>
        <w:t>                        </w:t>
      </w:r>
      <w:r>
        <w:rPr>
          <w:rFonts w:ascii="Times New Roman;serif" w:hAnsi="Times New Roman;serif"/>
          <w:b w:val="false"/>
          <w:color w:val="212120"/>
          <w:sz w:val="22"/>
          <w:u w:val="single"/>
        </w:rPr>
        <w:t>December 10, 2025</w:t>
      </w:r>
    </w:p>
    <w:p>
      <w:pPr>
        <w:pStyle w:val="TextBody"/>
        <w:bidi w:val="0"/>
        <w:spacing w:lineRule="auto" w:line="362" w:before="0" w:after="0"/>
        <w:jc w:val="left"/>
        <w:rPr>
          <w:rFonts w:ascii="Times New Roman;serif" w:hAnsi="Times New Roman;serif"/>
          <w:b w:val="false"/>
          <w:color w:val="212120"/>
          <w:sz w:val="22"/>
        </w:rPr>
      </w:pPr>
      <w:r>
        <w:rPr>
          <w:rFonts w:ascii="Times New Roman;serif" w:hAnsi="Times New Roman;serif"/>
          <w:b w:val="false"/>
          <w:color w:val="212120"/>
          <w:sz w:val="22"/>
        </w:rPr>
        <w:t>Stephen P. Patak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41325"/>
                <wp:effectExtent l="0" t="0" r="0" b="0"/>
                <wp:wrapNone/>
                <wp:docPr id="61" name="Frame42"/>
                <a:graphic xmlns:a="http://schemas.openxmlformats.org/drawingml/2006/main">
                  <a:graphicData uri="http://schemas.microsoft.com/office/word/2010/wordprocessingShape">
                    <wps:wsp>
                      <wps:cNvSpPr txBox="1"/>
                      <wps:spPr>
                        <a:xfrm>
                          <a:off x="0" y="0"/>
                          <a:ext cx="6480175" cy="441325"/>
                        </a:xfrm>
                        <a:prstGeom prst="rect"/>
                        <a:solidFill>
                          <a:srgbClr val="FFFFFF"/>
                        </a:solidFill>
                      </wps:spPr>
                      <wps:txbx>
                        <w:txbxContent>
                          <w:p>
                            <w:pPr>
                              <w:pStyle w:val="TextBody"/>
                              <w:bidi w:val="0"/>
                              <w:spacing w:lineRule="atLeast" w:line="280" w:before="0" w:after="0"/>
                              <w:jc w:val="left"/>
                              <w:rPr>
                                <w:color w:val="212120"/>
                              </w:rPr>
                            </w:pPr>
                            <w:r>
                              <w:rPr>
                                <w:color w:val="212120"/>
                              </w:rPr>
                              <w:t xml:space="preserve">                                         </w:t>
                            </w:r>
                          </w:p>
                          <w:p>
                            <w:pPr>
                              <w:pStyle w:val="TextBody"/>
                              <w:bidi w:val="0"/>
                              <w:spacing w:before="0" w:after="0"/>
                              <w:jc w:val="left"/>
                              <w:rPr/>
                            </w:pPr>
                            <w:r>
                              <w:rPr/>
                              <w:drawing>
                                <wp:inline distT="0" distB="0" distL="0" distR="0">
                                  <wp:extent cx="5915025" cy="200025"/>
                                  <wp:effectExtent l="0" t="0" r="0" b="0"/>
                                  <wp:docPr id="6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4" descr=""/>
                                          <pic:cNvPicPr>
                                            <a:picLocks noChangeAspect="1" noChangeArrowheads="1"/>
                                          </pic:cNvPicPr>
                                        </pic:nvPicPr>
                                        <pic:blipFill>
                                          <a:blip r:embed="rId33"/>
                                          <a:stretch>
                                            <a:fillRect/>
                                          </a:stretch>
                                        </pic:blipFill>
                                        <pic:spPr bwMode="auto">
                                          <a:xfrm>
                                            <a:off x="0" y="0"/>
                                            <a:ext cx="5915025" cy="2000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212120"/>
                        </w:rPr>
                      </w:pPr>
                      <w:r>
                        <w:rPr>
                          <w:color w:val="212120"/>
                        </w:rPr>
                        <w:t xml:space="preserve">                                         </w:t>
                      </w:r>
                    </w:p>
                    <w:p>
                      <w:pPr>
                        <w:pStyle w:val="TextBody"/>
                        <w:bidi w:val="0"/>
                        <w:spacing w:before="0" w:after="0"/>
                        <w:jc w:val="left"/>
                        <w:rPr/>
                      </w:pPr>
                      <w:r>
                        <w:rPr/>
                        <w:drawing>
                          <wp:inline distT="0" distB="0" distL="0" distR="0">
                            <wp:extent cx="5915025" cy="20002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34"/>
                                    <a:stretch>
                                      <a:fillRect/>
                                    </a:stretch>
                                  </pic:blipFill>
                                  <pic:spPr bwMode="auto">
                                    <a:xfrm>
                                      <a:off x="0" y="0"/>
                                      <a:ext cx="5915025" cy="200025"/>
                                    </a:xfrm>
                                    <a:prstGeom prst="rect">
                                      <a:avLst/>
                                    </a:prstGeom>
                                  </pic:spPr>
                                </pic:pic>
                              </a:graphicData>
                            </a:graphic>
                          </wp:inline>
                        </w:drawing>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Dinakar Munagala,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 have reviewed this Annual Report of Blaize Holdings, Inc. on Form 10-K for the fiscal year ended December 31, 2025 (the “Annual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81" w:type="dxa"/>
        <w:jc w:val="left"/>
        <w:tblInd w:w="0" w:type="dxa"/>
        <w:tblLayout w:type="fixed"/>
        <w:tblCellMar>
          <w:top w:w="28" w:type="dxa"/>
          <w:left w:w="28" w:type="dxa"/>
          <w:bottom w:w="28" w:type="dxa"/>
          <w:right w:w="28" w:type="dxa"/>
        </w:tblCellMar>
      </w:tblPr>
      <w:tblGrid>
        <w:gridCol w:w="179"/>
        <w:gridCol w:w="157"/>
        <w:gridCol w:w="159"/>
        <w:gridCol w:w="369"/>
        <w:gridCol w:w="369"/>
        <w:gridCol w:w="371"/>
        <w:gridCol w:w="109"/>
        <w:gridCol w:w="109"/>
        <w:gridCol w:w="109"/>
        <w:gridCol w:w="120"/>
        <w:gridCol w:w="120"/>
        <w:gridCol w:w="120"/>
        <w:gridCol w:w="639"/>
        <w:gridCol w:w="639"/>
        <w:gridCol w:w="91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6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Harminder Sehmi,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of Blaize Holdings, Inc. on Form 10-Q for the period ended March 31, 2026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35" w:type="dxa"/>
        <w:jc w:val="left"/>
        <w:tblInd w:w="0" w:type="dxa"/>
        <w:tblLayout w:type="fixed"/>
        <w:tblCellMar>
          <w:top w:w="28" w:type="dxa"/>
          <w:left w:w="28" w:type="dxa"/>
          <w:bottom w:w="28" w:type="dxa"/>
          <w:right w:w="28" w:type="dxa"/>
        </w:tblCellMar>
      </w:tblPr>
      <w:tblGrid>
        <w:gridCol w:w="179"/>
        <w:gridCol w:w="157"/>
        <w:gridCol w:w="159"/>
        <w:gridCol w:w="369"/>
        <w:gridCol w:w="369"/>
        <w:gridCol w:w="371"/>
        <w:gridCol w:w="109"/>
        <w:gridCol w:w="109"/>
        <w:gridCol w:w="109"/>
        <w:gridCol w:w="120"/>
        <w:gridCol w:w="120"/>
        <w:gridCol w:w="120"/>
        <w:gridCol w:w="627"/>
        <w:gridCol w:w="627"/>
        <w:gridCol w:w="89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6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Dinakar Munagala, certify pursuant to 18 U.S.C. Section 1350, as adopted pursuant to Section 906 of the Sarbanes-Oxley Act of 2002, that: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Annual Report of Blaize Holdings, Inc. on Form 10-K for the fiscal year ended December 31, 2025 (the “Annual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Annual Report fairly presents, in all material respects, the financial condition and results of operations of Blaize Holdings, Inc. for the periods presented therein.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81" w:type="dxa"/>
        <w:jc w:val="left"/>
        <w:tblInd w:w="0" w:type="dxa"/>
        <w:tblLayout w:type="fixed"/>
        <w:tblCellMar>
          <w:top w:w="28" w:type="dxa"/>
          <w:left w:w="28" w:type="dxa"/>
          <w:bottom w:w="28" w:type="dxa"/>
          <w:right w:w="28" w:type="dxa"/>
        </w:tblCellMar>
      </w:tblPr>
      <w:tblGrid>
        <w:gridCol w:w="179"/>
        <w:gridCol w:w="157"/>
        <w:gridCol w:w="159"/>
        <w:gridCol w:w="369"/>
        <w:gridCol w:w="369"/>
        <w:gridCol w:w="371"/>
        <w:gridCol w:w="109"/>
        <w:gridCol w:w="109"/>
        <w:gridCol w:w="109"/>
        <w:gridCol w:w="120"/>
        <w:gridCol w:w="120"/>
        <w:gridCol w:w="120"/>
        <w:gridCol w:w="639"/>
        <w:gridCol w:w="639"/>
        <w:gridCol w:w="91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Dinakar Munagala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6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Harminder Sehmi, certify pursuant to 18 U.S.C. Section 1350, as adopted pursuant to Section 906 of the Sarbanes-Oxley Act of 2002, that: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Annual Report of Blaize Holdings, Inc. on Form 10-K for the fiscal year ended December 31, 2025 (the “Annual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Annual Report fairly presents, in all material respects, the financial condition and results of operations of Blaize Holdings, Inc. for the periods presented therein.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570" w:type="dxa"/>
        <w:jc w:val="left"/>
        <w:tblInd w:w="0" w:type="dxa"/>
        <w:tblLayout w:type="fixed"/>
        <w:tblCellMar>
          <w:top w:w="28" w:type="dxa"/>
          <w:left w:w="28" w:type="dxa"/>
          <w:bottom w:w="28" w:type="dxa"/>
          <w:right w:w="28" w:type="dxa"/>
        </w:tblCellMar>
      </w:tblPr>
      <w:tblGrid>
        <w:gridCol w:w="179"/>
        <w:gridCol w:w="157"/>
        <w:gridCol w:w="159"/>
        <w:gridCol w:w="414"/>
        <w:gridCol w:w="414"/>
        <w:gridCol w:w="416"/>
        <w:gridCol w:w="109"/>
        <w:gridCol w:w="109"/>
        <w:gridCol w:w="109"/>
        <w:gridCol w:w="120"/>
        <w:gridCol w:w="120"/>
        <w:gridCol w:w="120"/>
        <w:gridCol w:w="627"/>
        <w:gridCol w:w="627"/>
        <w:gridCol w:w="89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March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Harminder Sehmi</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1638/000119312525008517/d903961dex31.htm" TargetMode="External"/><Relationship Id="rId3" Type="http://schemas.openxmlformats.org/officeDocument/2006/relationships/hyperlink" Target="https://www.sec.gov/Archives/edgar/data/1871638/000187163826000025/exhibit31-certificateofdes.htm" TargetMode="External"/><Relationship Id="rId4" Type="http://schemas.openxmlformats.org/officeDocument/2006/relationships/hyperlink" Target="https://www.sec.gov/Archives/edgar/data/1871638/000187163826000025/exhibit41-rightsplan.htm" TargetMode="External"/><Relationship Id="rId5" Type="http://schemas.openxmlformats.org/officeDocument/2006/relationships/hyperlink" Target="https://www.sec.gov/Archives/edgar/data/1871638/000187163826000025/exhibit41-rightsplan.htm" TargetMode="External"/><Relationship Id="rId6" Type="http://schemas.openxmlformats.org/officeDocument/2006/relationships/hyperlink" Target="https://www.sec.gov/Archives/edgar/data/1871638/000187163826000025/exhibit41-rightsplan.htm" TargetMode="External"/><Relationship Id="rId7" Type="http://schemas.openxmlformats.org/officeDocument/2006/relationships/hyperlink" Target="https://www.sec.gov/Archives/edgar/data/1871638/000187163826000029/ex101-formoflockxupagreeme.htm" TargetMode="External"/><Relationship Id="rId8" Type="http://schemas.openxmlformats.org/officeDocument/2006/relationships/hyperlink" Target="https://www.sec.gov/Archives/edgar/data/1871638/000187163826000029/ex101-formoflockxupagreeme.htm" TargetMode="External"/><Relationship Id="rId9" Type="http://schemas.openxmlformats.org/officeDocument/2006/relationships/hyperlink" Target="https://www.sec.gov/Archives/edgar/data/1871638/000187163826000029/ex101-formoflockxupagreeme.htm" TargetMode="External"/><Relationship Id="rId10" Type="http://schemas.openxmlformats.org/officeDocument/2006/relationships/hyperlink" Target="https://www.sec.gov/Archives/edgar/data/1871638/000187163826000029/exhibit102-bzaixpolarwarra.htm" TargetMode="External"/><Relationship Id="rId11" Type="http://schemas.openxmlformats.org/officeDocument/2006/relationships/hyperlink" Target="https://www.sec.gov/Archives/edgar/data/1871638/000187163826000029/exhibit102-bzaixpolarwarra.htm" TargetMode="External"/><Relationship Id="rId12" Type="http://schemas.openxmlformats.org/officeDocument/2006/relationships/hyperlink" Target="https://www.sec.gov/Archives/edgar/data/1871638/000187163826000029/exhibit102-bzaixpolarwarra.htm" TargetMode="External"/><Relationship Id="rId13" Type="http://schemas.openxmlformats.org/officeDocument/2006/relationships/hyperlink" Target="https://www.sec.gov/Archives/edgar/data/1871638/000187163826000029/exhibit102-bzaixpolarwarra.htm" TargetMode="External"/><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2.png"/><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2.png"/><Relationship Id="rId24" Type="http://schemas.openxmlformats.org/officeDocument/2006/relationships/image" Target="media/image1.png"/><Relationship Id="rId25" Type="http://schemas.openxmlformats.org/officeDocument/2006/relationships/image" Target="media/image3.png"/><Relationship Id="rId26" Type="http://schemas.openxmlformats.org/officeDocument/2006/relationships/image" Target="media/image3.png"/><Relationship Id="rId27" Type="http://schemas.openxmlformats.org/officeDocument/2006/relationships/image" Target="media/image1.png"/><Relationship Id="rId28" Type="http://schemas.openxmlformats.org/officeDocument/2006/relationships/image" Target="media/image3.png"/><Relationship Id="rId29" Type="http://schemas.openxmlformats.org/officeDocument/2006/relationships/image" Target="media/image3.png"/><Relationship Id="rId30" Type="http://schemas.openxmlformats.org/officeDocument/2006/relationships/image" Target="media/image1.png"/><Relationship Id="rId31" Type="http://schemas.openxmlformats.org/officeDocument/2006/relationships/image" Target="media/image3.png"/><Relationship Id="rId32" Type="http://schemas.openxmlformats.org/officeDocument/2006/relationships/image" Target="media/image3.png"/><Relationship Id="rId33" Type="http://schemas.openxmlformats.org/officeDocument/2006/relationships/image" Target="media/image3.png"/><Relationship Id="rId34" Type="http://schemas.openxmlformats.org/officeDocument/2006/relationships/image" Target="media/image3.pn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18466</Words>
  <Characters>100703</Characters>
  <CharactersWithSpaces>118178</CharactersWithSpaces>
  <Paragraphs>2097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