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Filed Pursuant to Rule 424(b)(5)</w:t>
      </w:r>
    </w:p>
    <w:p>
      <w:pPr>
        <w:pStyle w:val="TextBody"/>
        <w:bidi w:val="0"/>
        <w:spacing w:lineRule="auto" w:line="288" w:before="0" w:after="420"/>
        <w:jc w:val="right"/>
        <w:rPr>
          <w:color w:val="000000"/>
        </w:rPr>
      </w:pPr>
      <w:r>
        <w:rPr>
          <w:color w:val="000000"/>
        </w:rPr>
        <w:t> </w:t>
      </w:r>
      <w:r>
        <w:rPr>
          <w:rFonts w:ascii="Times New Roman;serif" w:hAnsi="Times New Roman;serif"/>
          <w:b/>
          <w:color w:val="000000"/>
          <w:sz w:val="20"/>
        </w:rPr>
        <w:t xml:space="preserve">Registration No. 333-292986 </w:t>
      </w:r>
    </w:p>
    <w:p>
      <w:pPr>
        <w:pStyle w:val="TextBody"/>
        <w:bidi w:val="0"/>
        <w:spacing w:lineRule="auto" w:line="288" w:before="0" w:after="300"/>
        <w:jc w:val="left"/>
        <w:rPr>
          <w:rFonts w:ascii="Times New Roman;serif" w:hAnsi="Times New Roman;serif"/>
          <w:b/>
          <w:color w:val="000000"/>
          <w:sz w:val="20"/>
        </w:rPr>
      </w:pPr>
      <w:r>
        <w:rPr>
          <w:rFonts w:ascii="Times New Roman;serif" w:hAnsi="Times New Roman;serif"/>
          <w:b/>
          <w:color w:val="000000"/>
          <w:sz w:val="20"/>
        </w:rPr>
        <w:t>PROSPECTUS SUPPLEMENT</w:t>
      </w:r>
    </w:p>
    <w:p>
      <w:pPr>
        <w:pStyle w:val="TextBody"/>
        <w:bidi w:val="0"/>
        <w:spacing w:before="0" w:after="180"/>
        <w:jc w:val="center"/>
        <w:rPr/>
      </w:pPr>
      <w:r>
        <w:rPr/>
        <w:drawing>
          <wp:inline distT="0" distB="0" distL="0" distR="0">
            <wp:extent cx="200025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6762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Blaize Holdings, Inc.</w:t>
      </w:r>
    </w:p>
    <w:p>
      <w:pPr>
        <w:pStyle w:val="TextBody"/>
        <w:bidi w:val="0"/>
        <w:spacing w:lineRule="auto" w:line="288" w:before="0" w:after="300"/>
        <w:jc w:val="center"/>
        <w:rPr>
          <w:color w:val="000000"/>
        </w:rPr>
      </w:pPr>
      <w:r>
        <w:rPr>
          <w:color w:val="000000"/>
        </w:rPr>
        <w:t> </w:t>
      </w:r>
      <w:r>
        <w:rPr>
          <w:rFonts w:ascii="Times New Roman;serif" w:hAnsi="Times New Roman;serif"/>
          <w:b/>
          <w:color w:val="000000"/>
          <w:sz w:val="28"/>
        </w:rPr>
        <w:t>18,918,918 Shares of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this prospectus supplement and the accompanying prospectus, we are offering 18,918,918 shares of our common stock, par value $0.0001 per share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Market, or Nasdaq, under the symbol “BZAI.” On May 5, 2026, the last reported sale price of our common stock on Nasdaq was $2.31 per share.</w:t>
      </w:r>
    </w:p>
    <w:p>
      <w:pPr>
        <w:pStyle w:val="TextBody"/>
        <w:bidi w:val="0"/>
        <w:spacing w:lineRule="auto" w:line="288" w:before="0" w:after="240"/>
        <w:jc w:val="left"/>
        <w:rPr/>
      </w:pPr>
      <w:r>
        <w:rPr>
          <w:rFonts w:ascii="Times New Roman;serif" w:hAnsi="Times New Roman;serif"/>
          <w:b/>
          <w:color w:val="000000"/>
          <w:sz w:val="20"/>
        </w:rPr>
        <w:t>Investing in our securities involves a high degree of risk. See “</w:t>
      </w:r>
      <w:hyperlink w:anchor="ib9988ed507954544ad5548006f9dd89d_19">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b9988ed507954544ad5548006f9dd89d_19">
        <w:r>
          <w:rPr>
            <w:rStyle w:val="InternetLink"/>
            <w:rFonts w:ascii="Times New Roman;serif" w:hAnsi="Times New Roman;serif"/>
            <w:b/>
            <w:color w:val="0000FF"/>
            <w:sz w:val="20"/>
            <w:u w:val="single"/>
          </w:rPr>
          <w:t>S-10</w:t>
        </w:r>
      </w:hyperlink>
      <w:r>
        <w:rPr>
          <w:color w:val="000000"/>
        </w:rPr>
        <w:t xml:space="preserve"> </w:t>
      </w:r>
      <w:r>
        <w:rPr>
          <w:rFonts w:ascii="Times New Roman;serif" w:hAnsi="Times New Roman;serif"/>
          <w:b/>
          <w:color w:val="000000"/>
          <w:sz w:val="20"/>
        </w:rPr>
        <w:t>of this prospectus supplement and in the documents incorporated by reference into this prospectus supplement and the accompanying prospectus.</w:t>
      </w:r>
    </w:p>
    <w:p>
      <w:pPr>
        <w:pStyle w:val="TextBody"/>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tbl>
      <w:tblPr>
        <w:tblW w:w="7103" w:type="dxa"/>
        <w:jc w:val="left"/>
        <w:tblInd w:w="0" w:type="dxa"/>
        <w:tblLayout w:type="fixed"/>
        <w:tblCellMar>
          <w:top w:w="28" w:type="dxa"/>
          <w:left w:w="28" w:type="dxa"/>
          <w:bottom w:w="28" w:type="dxa"/>
          <w:right w:w="28" w:type="dxa"/>
        </w:tblCellMar>
      </w:tblPr>
      <w:tblGrid>
        <w:gridCol w:w="1496"/>
        <w:gridCol w:w="1318"/>
        <w:gridCol w:w="1325"/>
        <w:gridCol w:w="211"/>
        <w:gridCol w:w="616"/>
        <w:gridCol w:w="109"/>
        <w:gridCol w:w="109"/>
        <w:gridCol w:w="109"/>
        <w:gridCol w:w="109"/>
        <w:gridCol w:w="211"/>
        <w:gridCol w:w="1336"/>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34,999,998.30 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discounts and commissions</w:t>
            </w:r>
            <w:r>
              <w:rPr>
                <w:rFonts w:ascii="Times New Roman;serif" w:hAnsi="Times New Roman;serif"/>
                <w:b w:val="false"/>
                <w:color w:val="000000"/>
                <w:sz w:val="13"/>
              </w:rPr>
              <w:t>(1)</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2,099,999.90 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to Blaize Holdings, Inc. before expenses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32,899,998.40 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72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For additional information about the expenses for which we have agreed to reimburse the underwriters in connection with this offering, see “</w:t>
      </w:r>
      <w:hyperlink w:anchor="ib9988ed507954544ad5548006f9dd89d_34">
        <w:r>
          <w:rPr>
            <w:rStyle w:val="InternetLink"/>
            <w:rFonts w:ascii="Times New Roman;serif" w:hAnsi="Times New Roman;serif"/>
            <w:b w:val="false"/>
            <w:color w:val="0000FF"/>
            <w:sz w:val="16"/>
            <w:u w:val="single"/>
          </w:rPr>
          <w:t>Underwriting</w:t>
        </w:r>
      </w:hyperlink>
      <w:r>
        <w:rPr>
          <w:color w:val="000000"/>
        </w:rPr>
        <w:t xml:space="preserve">” </w:t>
      </w:r>
      <w:r>
        <w:rPr>
          <w:rFonts w:ascii="Times New Roman;serif" w:hAnsi="Times New Roman;serif"/>
          <w:b w:val="false"/>
          <w:color w:val="000000"/>
          <w:sz w:val="16"/>
        </w:rPr>
        <w:t xml:space="preserve">beginning on page </w:t>
      </w:r>
      <w:hyperlink w:anchor="ib9988ed507954544ad5548006f9dd89d_34">
        <w:r>
          <w:rPr>
            <w:rStyle w:val="InternetLink"/>
            <w:rFonts w:ascii="Times New Roman;serif" w:hAnsi="Times New Roman;serif"/>
            <w:b w:val="false"/>
            <w:color w:val="0000FF"/>
            <w:sz w:val="16"/>
            <w:u w:val="single"/>
          </w:rPr>
          <w:t>S-17</w:t>
        </w:r>
      </w:hyperlink>
      <w:r>
        <w:rPr>
          <w:color w:val="000000"/>
        </w:rPr>
        <w:t xml:space="preserve"> </w:t>
      </w:r>
      <w:r>
        <w:rPr>
          <w:rFonts w:ascii="Times New Roman;serif" w:hAnsi="Times New Roman;serif"/>
          <w:b w:val="false"/>
          <w:color w:val="000000"/>
          <w:sz w:val="16"/>
        </w:rPr>
        <w:t>of this prospectus supplement.</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Sole Book-Running Manager</w:t>
      </w:r>
    </w:p>
    <w:tbl>
      <w:tblPr>
        <w:tblW w:w="5034" w:type="dxa"/>
        <w:jc w:val="left"/>
        <w:tblInd w:w="0" w:type="dxa"/>
        <w:tblLayout w:type="fixed"/>
        <w:tblCellMar>
          <w:top w:w="28" w:type="dxa"/>
          <w:left w:w="28" w:type="dxa"/>
          <w:bottom w:w="28" w:type="dxa"/>
          <w:right w:w="28" w:type="dxa"/>
        </w:tblCellMar>
      </w:tblPr>
      <w:tblGrid>
        <w:gridCol w:w="124"/>
        <w:gridCol w:w="109"/>
        <w:gridCol w:w="109"/>
        <w:gridCol w:w="1439"/>
        <w:gridCol w:w="1439"/>
        <w:gridCol w:w="144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Northland Capital Markets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Co-Manager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Benchmark, a StoneX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supplement is May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6374" w:type="dxa"/>
        <w:jc w:val="left"/>
        <w:tblInd w:w="0" w:type="dxa"/>
        <w:tblLayout w:type="fixed"/>
        <w:tblCellMar>
          <w:top w:w="28" w:type="dxa"/>
          <w:left w:w="28" w:type="dxa"/>
          <w:bottom w:w="28" w:type="dxa"/>
          <w:right w:w="28" w:type="dxa"/>
        </w:tblCellMar>
      </w:tblPr>
      <w:tblGrid>
        <w:gridCol w:w="2120"/>
        <w:gridCol w:w="1863"/>
        <w:gridCol w:w="1866"/>
        <w:gridCol w:w="154"/>
        <w:gridCol w:w="154"/>
        <w:gridCol w:w="217"/>
      </w:tblGrid>
      <w:tr>
        <w:trPr/>
        <w:tc>
          <w:tcPr>
            <w:tcW w:w="2120"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
              <w:r>
                <w:rPr>
                  <w:rStyle w:val="InternetLink"/>
                  <w:rFonts w:ascii="Times New Roman;serif" w:hAnsi="Times New Roman;serif"/>
                  <w:b w:val="false"/>
                  <w:color w:val="0000FF"/>
                  <w:sz w:val="20"/>
                  <w:u w:val="single"/>
                </w:rPr>
                <w:t>ABOUT THIS PROSPECTUS SUPPLEMENT</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
              <w:r>
                <w:rPr>
                  <w:rStyle w:val="InternetLink"/>
                  <w:rFonts w:ascii="Times New Roman;serif" w:hAnsi="Times New Roman;serif"/>
                  <w:b w:val="false"/>
                  <w:color w:val="0000FF"/>
                  <w:sz w:val="20"/>
                  <w:u w:val="single"/>
                </w:rPr>
                <w:t>S-1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10">
              <w:r>
                <w:rPr>
                  <w:rStyle w:val="InternetLink"/>
                  <w:rFonts w:ascii="Times New Roman;serif" w:hAnsi="Times New Roman;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10">
              <w:r>
                <w:rPr>
                  <w:rStyle w:val="InternetLink"/>
                  <w:rFonts w:ascii="Times New Roman;serif" w:hAnsi="Times New Roman;serif"/>
                  <w:b w:val="false"/>
                  <w:color w:val="0000FF"/>
                  <w:sz w:val="20"/>
                  <w:u w:val="single"/>
                </w:rPr>
                <w:t>S-3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13">
              <w:r>
                <w:rPr>
                  <w:rStyle w:val="InternetLink"/>
                  <w:rFonts w:ascii="Times New Roman;serif" w:hAnsi="Times New Roman;serif"/>
                  <w:b w:val="false"/>
                  <w:color w:val="0000FF"/>
                  <w:sz w:val="20"/>
                  <w:u w:val="singl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13">
              <w:r>
                <w:rPr>
                  <w:rStyle w:val="InternetLink"/>
                  <w:rFonts w:ascii="Times New Roman;serif" w:hAnsi="Times New Roman;serif"/>
                  <w:b w:val="false"/>
                  <w:color w:val="0000FF"/>
                  <w:sz w:val="20"/>
                  <w:u w:val="single"/>
                </w:rPr>
                <w:t>S-5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16">
              <w:r>
                <w:rPr>
                  <w:rStyle w:val="InternetLink"/>
                  <w:rFonts w:ascii="Times New Roman;serif" w:hAnsi="Times New Roman;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16">
              <w:r>
                <w:rPr>
                  <w:rStyle w:val="InternetLink"/>
                  <w:rFonts w:ascii="Times New Roman;serif" w:hAnsi="Times New Roman;serif"/>
                  <w:b w:val="false"/>
                  <w:color w:val="0000FF"/>
                  <w:sz w:val="20"/>
                  <w:u w:val="single"/>
                </w:rPr>
                <w:t>S-9</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19">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19">
              <w:r>
                <w:rPr>
                  <w:rStyle w:val="InternetLink"/>
                  <w:rFonts w:ascii="Times New Roman;serif" w:hAnsi="Times New Roman;serif"/>
                  <w:b w:val="false"/>
                  <w:color w:val="0000FF"/>
                  <w:sz w:val="20"/>
                  <w:u w:val="single"/>
                </w:rPr>
                <w:t>S-10</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22">
              <w:r>
                <w:rPr>
                  <w:rStyle w:val="InternetLink"/>
                  <w:rFonts w:ascii="Times New Roman;serif" w:hAnsi="Times New Roman;serif"/>
                  <w:b w:val="false"/>
                  <w:color w:val="0000FF"/>
                  <w:sz w:val="20"/>
                  <w:u w:val="single"/>
                </w:rPr>
                <w:t>SPECIAL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22">
              <w:r>
                <w:rPr>
                  <w:rStyle w:val="InternetLink"/>
                  <w:rFonts w:ascii="Times New Roman;serif" w:hAnsi="Times New Roman;serif"/>
                  <w:b w:val="false"/>
                  <w:color w:val="0000FF"/>
                  <w:sz w:val="20"/>
                  <w:u w:val="single"/>
                </w:rPr>
                <w:t>S-13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25">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25">
              <w:r>
                <w:rPr>
                  <w:rStyle w:val="InternetLink"/>
                  <w:rFonts w:ascii="Times New Roman;serif" w:hAnsi="Times New Roman;serif"/>
                  <w:b w:val="false"/>
                  <w:color w:val="0000FF"/>
                  <w:sz w:val="20"/>
                  <w:u w:val="single"/>
                </w:rPr>
                <w:t>S-14</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28">
              <w:r>
                <w:rPr>
                  <w:rStyle w:val="InternetLink"/>
                  <w:rFonts w:ascii="Times New Roman;serif" w:hAnsi="Times New Roman;serif"/>
                  <w:b w:val="false"/>
                  <w:color w:val="0000FF"/>
                  <w:sz w:val="20"/>
                  <w:u w:val="single"/>
                </w:rPr>
                <w:t>DIVIDEND POLICY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28">
              <w:r>
                <w:rPr>
                  <w:rStyle w:val="InternetLink"/>
                  <w:rFonts w:ascii="Times New Roman;serif" w:hAnsi="Times New Roman;serif"/>
                  <w:b w:val="false"/>
                  <w:color w:val="0000FF"/>
                  <w:sz w:val="20"/>
                  <w:u w:val="single"/>
                </w:rPr>
                <w:t>S-15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31">
              <w:r>
                <w:rPr>
                  <w:rStyle w:val="InternetLink"/>
                  <w:rFonts w:ascii="Times New Roman;serif" w:hAnsi="Times New Roman;serif"/>
                  <w:b w:val="false"/>
                  <w:color w:val="0000FF"/>
                  <w:sz w:val="20"/>
                  <w:u w:val="singl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31">
              <w:r>
                <w:rPr>
                  <w:rStyle w:val="InternetLink"/>
                  <w:rFonts w:ascii="Times New Roman;serif" w:hAnsi="Times New Roman;serif"/>
                  <w:b w:val="false"/>
                  <w:color w:val="0000FF"/>
                  <w:sz w:val="20"/>
                  <w:u w:val="single"/>
                </w:rPr>
                <w:t>S-16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34">
              <w:r>
                <w:rPr>
                  <w:rStyle w:val="InternetLink"/>
                  <w:rFonts w:ascii="Times New Roman;serif" w:hAnsi="Times New Roman;serif"/>
                  <w:b w:val="false"/>
                  <w:color w:val="0000FF"/>
                  <w:sz w:val="20"/>
                  <w:u w:val="single"/>
                </w:rPr>
                <w:t>UNDERWRITING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34">
              <w:r>
                <w:rPr>
                  <w:rStyle w:val="InternetLink"/>
                  <w:rFonts w:ascii="Times New Roman;serif" w:hAnsi="Times New Roman;serif"/>
                  <w:b w:val="false"/>
                  <w:color w:val="0000FF"/>
                  <w:sz w:val="20"/>
                  <w:u w:val="single"/>
                </w:rPr>
                <w:t>S-17</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37">
              <w:r>
                <w:rPr>
                  <w:rStyle w:val="InternetLink"/>
                  <w:rFonts w:ascii="Times New Roman;serif" w:hAnsi="Times New Roman;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37">
              <w:r>
                <w:rPr>
                  <w:rStyle w:val="InternetLink"/>
                  <w:rFonts w:ascii="Times New Roman;serif" w:hAnsi="Times New Roman;serif"/>
                  <w:b w:val="false"/>
                  <w:color w:val="0000FF"/>
                  <w:sz w:val="20"/>
                  <w:u w:val="single"/>
                </w:rPr>
                <w:t>S-22</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40">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40">
              <w:r>
                <w:rPr>
                  <w:rStyle w:val="InternetLink"/>
                  <w:rFonts w:ascii="Times New Roman;serif" w:hAnsi="Times New Roman;serif"/>
                  <w:b w:val="false"/>
                  <w:color w:val="0000FF"/>
                  <w:sz w:val="20"/>
                  <w:u w:val="single"/>
                </w:rPr>
                <w:t>S-22</w:t>
              </w:r>
            </w:hyperlink>
          </w:p>
        </w:tc>
      </w:tr>
    </w:tbl>
    <w:tbl>
      <w:tblPr>
        <w:tblW w:w="6222" w:type="dxa"/>
        <w:jc w:val="left"/>
        <w:tblInd w:w="0" w:type="dxa"/>
        <w:tblLayout w:type="fixed"/>
        <w:tblCellMar>
          <w:top w:w="28" w:type="dxa"/>
          <w:left w:w="28" w:type="dxa"/>
          <w:bottom w:w="28" w:type="dxa"/>
          <w:right w:w="28" w:type="dxa"/>
        </w:tblCellMar>
      </w:tblPr>
      <w:tblGrid>
        <w:gridCol w:w="2118"/>
        <w:gridCol w:w="1863"/>
        <w:gridCol w:w="1869"/>
        <w:gridCol w:w="109"/>
        <w:gridCol w:w="109"/>
        <w:gridCol w:w="154"/>
      </w:tblGrid>
      <w:tr>
        <w:trPr/>
        <w:tc>
          <w:tcPr>
            <w:tcW w:w="211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49">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49">
              <w:r>
                <w:rPr>
                  <w:rStyle w:val="InternetLink"/>
                  <w:rFonts w:ascii="Times New Roman;serif" w:hAnsi="Times New Roman;serif"/>
                  <w:b w:val="false"/>
                  <w:color w:val="0000FF"/>
                  <w:sz w:val="20"/>
                  <w:u w:val="single"/>
                </w:rPr>
                <w:t>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52">
              <w:r>
                <w:rPr>
                  <w:rStyle w:val="InternetLink"/>
                  <w:rFonts w:ascii="Times New Roman;serif" w:hAnsi="Times New Roman;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52">
              <w:r>
                <w:rPr>
                  <w:rStyle w:val="InternetLink"/>
                  <w:rFonts w:ascii="Times New Roman;serif" w:hAnsi="Times New Roman;serif"/>
                  <w:b w:val="false"/>
                  <w:color w:val="0000FF"/>
                  <w:sz w:val="20"/>
                  <w:u w:val="single"/>
                </w:rPr>
                <w:t>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55">
              <w:r>
                <w:rPr>
                  <w:rStyle w:val="InternetLink"/>
                  <w:rFonts w:ascii="Times New Roman;serif" w:hAnsi="Times New Roman;serif"/>
                  <w:b w:val="false"/>
                  <w:color w:val="0000FF"/>
                  <w:sz w:val="20"/>
                  <w:u w:val="singl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55">
              <w:r>
                <w:rPr>
                  <w:rStyle w:val="InternetLink"/>
                  <w:rFonts w:ascii="Times New Roman;serif" w:hAnsi="Times New Roman;serif"/>
                  <w:b w:val="false"/>
                  <w:color w:val="0000FF"/>
                  <w:sz w:val="20"/>
                  <w:u w:val="single"/>
                </w:rPr>
                <w:t>4</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58">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58">
              <w:r>
                <w:rPr>
                  <w:rStyle w:val="InternetLink"/>
                  <w:rFonts w:ascii="Times New Roman;serif" w:hAnsi="Times New Roman;serif"/>
                  <w:b w:val="false"/>
                  <w:color w:val="0000FF"/>
                  <w:sz w:val="20"/>
                  <w:u w:val="single"/>
                </w:rPr>
                <w:t>6</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61">
              <w:r>
                <w:rPr>
                  <w:rStyle w:val="InternetLink"/>
                  <w:rFonts w:ascii="Times New Roman;serif" w:hAnsi="Times New Roman;serif"/>
                  <w:b w:val="false"/>
                  <w:color w:val="0000FF"/>
                  <w:sz w:val="20"/>
                  <w:u w:val="single"/>
                </w:rPr>
                <w:t>SPECIAL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61">
              <w:r>
                <w:rPr>
                  <w:rStyle w:val="InternetLink"/>
                  <w:rFonts w:ascii="Times New Roman;serif" w:hAnsi="Times New Roman;serif"/>
                  <w:b w:val="false"/>
                  <w:color w:val="0000FF"/>
                  <w:sz w:val="20"/>
                  <w:u w:val="single"/>
                </w:rPr>
                <w:t>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64">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64">
              <w:r>
                <w:rPr>
                  <w:rStyle w:val="InternetLink"/>
                  <w:rFonts w:ascii="Times New Roman;serif" w:hAnsi="Times New Roman;serif"/>
                  <w:b w:val="false"/>
                  <w:color w:val="0000FF"/>
                  <w:sz w:val="20"/>
                  <w:u w:val="single"/>
                </w:rPr>
                <w:t>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67">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67">
              <w:r>
                <w:rPr>
                  <w:rStyle w:val="InternetLink"/>
                  <w:rFonts w:ascii="Times New Roman;serif" w:hAnsi="Times New Roman;serif"/>
                  <w:b w:val="false"/>
                  <w:color w:val="0000FF"/>
                  <w:sz w:val="20"/>
                  <w:u w:val="single"/>
                </w:rPr>
                <w:t>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0">
              <w:r>
                <w:rPr>
                  <w:rStyle w:val="InternetLink"/>
                  <w:rFonts w:ascii="Times New Roman;serif" w:hAnsi="Times New Roman;serif"/>
                  <w:b w:val="false"/>
                  <w:color w:val="0000FF"/>
                  <w:sz w:val="20"/>
                  <w:u w:val="singl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0">
              <w:r>
                <w:rPr>
                  <w:rStyle w:val="InternetLink"/>
                  <w:rFonts w:ascii="Times New Roman;serif" w:hAnsi="Times New Roman;serif"/>
                  <w:b w:val="false"/>
                  <w:color w:val="0000FF"/>
                  <w:sz w:val="20"/>
                  <w:u w:val="single"/>
                </w:rPr>
                <w:t>17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3">
              <w:r>
                <w:rPr>
                  <w:rStyle w:val="InternetLink"/>
                  <w:rFonts w:ascii="Times New Roman;serif" w:hAnsi="Times New Roman;serif"/>
                  <w:b w:val="false"/>
                  <w:color w:val="0000FF"/>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3">
              <w:r>
                <w:rPr>
                  <w:rStyle w:val="InternetLink"/>
                  <w:rFonts w:ascii="Times New Roman;serif" w:hAnsi="Times New Roman;serif"/>
                  <w:b w:val="false"/>
                  <w:color w:val="0000FF"/>
                  <w:sz w:val="20"/>
                  <w:u w:val="single"/>
                </w:rPr>
                <w:t>25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6">
              <w:r>
                <w:rPr>
                  <w:rStyle w:val="InternetLink"/>
                  <w:rFonts w:ascii="Times New Roman;serif" w:hAnsi="Times New Roman;serif"/>
                  <w:b w:val="false"/>
                  <w:color w:val="0000FF"/>
                  <w:sz w:val="20"/>
                  <w:u w:val="single"/>
                </w:rPr>
                <w:t>DESCRIPTION OF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6">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9">
              <w:r>
                <w:rPr>
                  <w:rStyle w:val="InternetLink"/>
                  <w:rFonts w:ascii="Times New Roman;serif" w:hAnsi="Times New Roman;serif"/>
                  <w:b w:val="false"/>
                  <w:color w:val="0000FF"/>
                  <w:sz w:val="20"/>
                  <w:u w:val="single"/>
                </w:rPr>
                <w:t>DESCRIPTION OF UNITS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9">
              <w:r>
                <w:rPr>
                  <w:rStyle w:val="InternetLink"/>
                  <w:rFonts w:ascii="Times New Roman;serif" w:hAnsi="Times New Roman;serif"/>
                  <w:b w:val="false"/>
                  <w:color w:val="0000FF"/>
                  <w:sz w:val="20"/>
                  <w:u w:val="single"/>
                </w:rPr>
                <w:t>28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82">
              <w:r>
                <w:rPr>
                  <w:rStyle w:val="InternetLink"/>
                  <w:rFonts w:ascii="Times New Roman;serif" w:hAnsi="Times New Roman;serif"/>
                  <w:b w:val="false"/>
                  <w:color w:val="0000FF"/>
                  <w:sz w:val="20"/>
                  <w:u w:val="single"/>
                </w:rPr>
                <w:t>GLOBAL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82">
              <w:r>
                <w:rPr>
                  <w:rStyle w:val="InternetLink"/>
                  <w:rFonts w:ascii="Times New Roman;serif" w:hAnsi="Times New Roman;serif"/>
                  <w:b w:val="false"/>
                  <w:color w:val="0000FF"/>
                  <w:sz w:val="20"/>
                  <w:u w:val="single"/>
                </w:rPr>
                <w:t>29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85">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85">
              <w:r>
                <w:rPr>
                  <w:rStyle w:val="InternetLink"/>
                  <w:rFonts w:ascii="Times New Roman;serif" w:hAnsi="Times New Roman;serif"/>
                  <w:b w:val="false"/>
                  <w:color w:val="0000FF"/>
                  <w:sz w:val="20"/>
                  <w:u w:val="single"/>
                </w:rPr>
                <w:t>33</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88">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88">
              <w:r>
                <w:rPr>
                  <w:rStyle w:val="InternetLink"/>
                  <w:rFonts w:ascii="Times New Roman;serif" w:hAnsi="Times New Roman;serif"/>
                  <w:b w:val="false"/>
                  <w:color w:val="0000FF"/>
                  <w:sz w:val="20"/>
                  <w:u w:val="single"/>
                </w:rPr>
                <w:t>35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91">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91">
              <w:r>
                <w:rPr>
                  <w:rStyle w:val="InternetLink"/>
                  <w:rFonts w:ascii="Times New Roman;serif" w:hAnsi="Times New Roman;serif"/>
                  <w:b w:val="false"/>
                  <w:color w:val="0000FF"/>
                  <w:sz w:val="20"/>
                  <w:u w:val="singl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are part of a registration statement that we filed on Form S-3 with the Securities and Exchange Commission (the “SEC”), using a “shelf” registration process. By using a shelf registration statement, we may sell an unspecified amount of securities from time to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document is in two parts. The first part is this prospectus supplement, which describes the terms of this offering of securities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as exhibits to the registration statement of which this prospectus supplement is a part or as exhibits to documents incorporated by reference herein, and you may obtain copies of those documents as described below under the heading “Where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not, and the underwriters have not, authorized anyone to provide you with any information other than that contained or incorporated by reference in this prospectus supplement, the accompanying prospectus or in any free writing prospectus that we have authorized for use in connection with this offering. We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securities. Our business, financial condition, results of operations and prospects may have changed since those dates.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their entirety before making your investment decision. You should also read and consider the information in the documents to which we have referred you in the section titled “Where You Can Find More Information” in this prospectus supplement and in the accompanying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offering to sell, and seeking offers to buy, shares of our common stock only in jurisdictions in which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When we refer to “Blaize,” “we,” “our” and “us” in this prospectus, we mean Blaize Holdings, Inc. or its consolidated subsidiary, unless otherwise specified. When we refer to “you,” we mean the holders of our common stock.</w:t>
      </w: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use our registered trademark, Blaize Holdings, Inc., in this prospectus. This prospectus also includes trademarks, tradenames and service marks that are the property of other organizations.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Solely for convenience,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file reports, proxy statements and other information with the SEC. The SEC maintains a website that contains reports, proxy and information statements and other information about issuers, such as us, who file electronically with the SEC. The address of that website is https://www.sec.gov.</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website address is https://www.blaize.com. The information on our website, however, is not, and should not be deemed to be, a part of this prospectus supplement. We have included our website address as an inactive textual reference only.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part of a registration statement that we filed with the SEC and does not contain all of the information in the registration statement. The full registration statement may be obtained from the SEC or us, as provided below. Contracts and other documents are or may be filed as exhibits to the registration statement or may be incorporated by reference in the registration statement. Statements in this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statement contained in this prospectus supplement or a previously filed document incorporated by reference will be deemed to be modified or superseded for purposes of this prospectus supplement to the extent that a statement contained in this prospectus or a subsequently filed document incorporated by reference modifies or replaces that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incorporate by reference the documents set forth below that have previously been filed with the SEC (other than those documents or the portions of those documents not deemed to be filed):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10-K for the year ended December 31, 2025, filed with the SEC on </w:t>
      </w:r>
      <w:hyperlink r:id="rId3">
        <w:r>
          <w:rPr>
            <w:rStyle w:val="InternetLink"/>
            <w:rFonts w:ascii="Times New Roman;serif" w:hAnsi="Times New Roman;serif"/>
            <w:b w:val="false"/>
            <w:color w:val="0000FF"/>
            <w:sz w:val="20"/>
            <w:u w:val="single"/>
          </w:rPr>
          <w:t>March 24, 2026</w:t>
        </w:r>
      </w:hyperlink>
      <w:r>
        <w:rPr>
          <w:rFonts w:ascii="Times New Roman;serif" w:hAnsi="Times New Roman;serif"/>
          <w:b w:val="false"/>
          <w:color w:val="000000"/>
          <w:sz w:val="20"/>
        </w:rPr>
        <w:t xml:space="preserve">, as amended by Amendment No. 1 on Form 10-K/A filed with the SEC on </w:t>
      </w:r>
      <w:hyperlink r:id="rId4">
        <w:r>
          <w:rPr>
            <w:rStyle w:val="InternetLink"/>
            <w:rFonts w:ascii="Times New Roman;serif" w:hAnsi="Times New Roman;serif"/>
            <w:b w:val="false"/>
            <w:color w:val="0000FF"/>
            <w:sz w:val="20"/>
            <w:u w:val="single"/>
          </w:rPr>
          <w:t>April 30,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5">
        <w:r>
          <w:rPr>
            <w:rStyle w:val="InternetLink"/>
            <w:rFonts w:ascii="Times New Roman;serif" w:hAnsi="Times New Roman;serif"/>
            <w:b w:val="false"/>
            <w:color w:val="0000FF"/>
            <w:sz w:val="20"/>
            <w:u w:val="single"/>
          </w:rPr>
          <w:t>January 5, 2026</w:t>
        </w:r>
      </w:hyperlink>
      <w:r>
        <w:rPr>
          <w:color w:val="000000"/>
        </w:rPr>
        <w:t xml:space="preserve"> </w:t>
      </w:r>
      <w:r>
        <w:rPr>
          <w:rFonts w:ascii="Times New Roman;serif" w:hAnsi="Times New Roman;serif"/>
          <w:b w:val="false"/>
          <w:color w:val="000000"/>
          <w:sz w:val="20"/>
        </w:rPr>
        <w:t xml:space="preserve">and </w:t>
      </w:r>
      <w:hyperlink r:id="rId6">
        <w:r>
          <w:rPr>
            <w:rStyle w:val="InternetLink"/>
            <w:rFonts w:ascii="Times New Roman;serif" w:hAnsi="Times New Roman;serif"/>
            <w:b w:val="false"/>
            <w:color w:val="0000FF"/>
            <w:sz w:val="20"/>
            <w:u w:val="single"/>
          </w:rPr>
          <w:t>April 22,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our Registration Statement on Form 8-A12B, filed with the SEC on </w:t>
      </w:r>
      <w:hyperlink r:id="rId7">
        <w:r>
          <w:rPr>
            <w:rStyle w:val="InternetLink"/>
            <w:rFonts w:ascii="Times New Roman;serif" w:hAnsi="Times New Roman;serif"/>
            <w:b w:val="false"/>
            <w:color w:val="0000FF"/>
            <w:sz w:val="20"/>
            <w:u w:val="single"/>
          </w:rPr>
          <w:t>December 8, 2021</w:t>
        </w:r>
      </w:hyperlink>
      <w:r>
        <w:rPr>
          <w:rFonts w:ascii="Times New Roman;serif" w:hAnsi="Times New Roman;serif"/>
          <w:b w:val="false"/>
          <w:color w:val="000000"/>
          <w:sz w:val="20"/>
        </w:rPr>
        <w:t xml:space="preserve">, as most recently updated by </w:t>
      </w:r>
      <w:hyperlink r:id="rId8">
        <w:r>
          <w:rPr>
            <w:rStyle w:val="InternetLink"/>
            <w:rFonts w:ascii="Times New Roman;serif" w:hAnsi="Times New Roman;serif"/>
            <w:b w:val="false"/>
            <w:color w:val="0000FF"/>
            <w:sz w:val="20"/>
            <w:u w:val="single"/>
          </w:rPr>
          <w:t>Exhibit 4.4</w:t>
        </w:r>
      </w:hyperlink>
      <w:r>
        <w:rPr>
          <w:color w:val="000000"/>
        </w:rPr>
        <w:t xml:space="preserve"> </w:t>
      </w:r>
      <w:r>
        <w:rPr>
          <w:rFonts w:ascii="Times New Roman;serif" w:hAnsi="Times New Roman;serif"/>
          <w:b w:val="false"/>
          <w:color w:val="000000"/>
          <w:sz w:val="20"/>
        </w:rPr>
        <w:t>to our Annual Report on Form 10-K for the year ended December 31, 2025, filed with the SEC on March 24, 2026, including any amendments or reports filed for the purpose of updating such description.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Series A Junior Participating Preferred Stock contained in our Registration Statement on Form 8-A12B, filed with the SEC on </w:t>
      </w:r>
      <w:hyperlink r:id="rId9">
        <w:r>
          <w:rPr>
            <w:rStyle w:val="InternetLink"/>
            <w:rFonts w:ascii="Times New Roman;serif" w:hAnsi="Times New Roman;serif"/>
            <w:b w:val="false"/>
            <w:color w:val="0000FF"/>
            <w:sz w:val="20"/>
            <w:u w:val="single"/>
          </w:rPr>
          <w:t>April 22, 2026</w:t>
        </w:r>
      </w:hyperlink>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documents that we file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 Nothing in this prospectus shall be deemed to incorporate information furnished but not filed with the SEC (including without limitation, information furnished under Item 2.02 or Item 7.01 of Form 8-K, and any exhibits relating to such information).</w:t>
      </w: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request a free copy of any of the documents incorporated by reference in this prospectus by writing or telephoning us at the following address: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Blaize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4659 Golden Foothill Parkway, Suite 206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El Dorado Hills, CA 95762</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(916) 347-0050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 in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SUPPLEMENT SUMMARY</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This summary provides a general overview of selected information and does not contain all of the information you should consider before buying our common stock. You should read this entire prospectus supplement, the accompanying prospectus and any applicable free writing prospectus that we have authorized for use in connection with this offering carefully, including the information incorporated by reference, before deciding to invest in our common stock. Investors should carefully consider the information set forth under “Risk Factors” in this prospectus supplement, the accompanying prospectus and our Annual Report on Form 10-K for the year ended December 31, 2025, and in the documents incorporated by reference into this prospectus supplement and the accompanying prospectus.</w:t>
      </w:r>
    </w:p>
    <w:p>
      <w:pPr>
        <w:pStyle w:val="TextBody"/>
        <w:bidi w:val="0"/>
        <w:spacing w:lineRule="auto" w:line="288" w:before="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COMPANY</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Overview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Blaize develops purpose-built, transformative artificial intelligence (“AI”)-enabled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Recent Developments</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Preliminary First Quarter Revenue</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April 14, 2026, the Company announced preliminary expected revenue for the first quarter of 2026 of approximately $2.7 million. Results were primarily impacted by temporary supply chain constraints that affected shipment timing, despite solid underlying customer demand. The Company also confirmed that it will secure the inventory to deliver approximately $10-12 million to a customer in late April or May 2026.</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These results are preliminary, unaudited and represent the most recent current information available to Company management. The Company’s actual results may differ from these estimated financial results, including due to the completion of its financial closing procedures and final adjustments.</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Business Update</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April 14, 2026, the Company announced the receipt of a new contract (the “NeoTensr Agreement”) with NeoTensr Co., Ltd. (“NeoTensr”) for up to $50.0 million in revenue within the first year of the NeoTensr Agreement, subject to NeoTensr’s issuance of purchase orders. The up to $50.0 million of potential revenue under the NeoTensr Agreement is in addition to the $23.8 million earned by Blaize in the fourth quarter of 2025 from a NeoTensr purchase order. We expect to commence fulfillment under the NeoTensr Agreement in the second quarter of 2026.</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April 2026, at GITEX Asia, Blaize announced the launch of Blaize AI Services to transform AI infrastructure into production-ready APIs. The new platform is designed to help cloud providers, data center operators, system integrators, and enterprises deploy application-level AI services faster, reduce cost per query, and create recurring AI service revenue.</w:t>
      </w: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Warrant Amendment</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May 5, 2026, we entered into Amendment No. 1 to Common Stock Purchase Warrants (the "Warrant Amendment") with Polar Multi-Strategy Master Fund and Polar Long/Short Master Fund (together, the "Holders"), amending the outstanding warrants to purchase common stock previously issued to the Holders to adjust the exercise price from $5.00 per share to $3.00 per share.</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Customers</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Historical Revenue and Growth Expectations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revenue has been generated from a limited number of significant customers, some of whom have been, and may in the future be, related parties. For the year ended December 31, 2025, two major customers located in China accounted for 61% and 27% of our total revenue, respectively. Neither of these customers was a related party. In 2025, all of our revenue was attributable to sales of hardware and software products, with no revenue generated from services.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2024, 98% of our revenue was attributable to two different customers, located in the United States and Japan, both of whom were related parties. In 2024, substantially all of our revenue was derived from providing strategic consulting services, and these service contracts have since expired.</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Since our revenue is currently concentrated among a small number of customers, revenue recognized from any one significant customer may change the geographical mix of our revenue. Going forward, we expect to derive revenue primarily from sales of hardware and software products and also from strategic consulting services.</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Purchase Order Contract Agreement (the “POCA”) in the Persian Gulf Region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May 1, 2024, Blaize entered into a Purchase Order Contract Agreement (the “POCA”) with a UAE private company (the “POCA Counterparty”) that provides defense and other solutions to government entities in the Gulf Cooperation Council region. The initial agreement related to solutions for a defense entity in UAE (collectively, the “Customer”). The POCA was amended on October 18, 2024 to add additional detail regarding hardware and software requirements and estimated delivery schedules. Under the POCA, Blaize expects to provide several solutions to the POCA Counterparty that require low latency, low power and high-performance compute in the field. Specifically, the POCA Counterparty, as the Technical Service Provider (“TSP”) licensed by the Department of Economic Development, Abu Dhabi, Government of United Arab Emirates, and Blaize, as the supplier of equipment, software and/or managed services to TSP for the purpose of installation, provision, operations and/or maintenance of TSP’s networks (in such capacity, the “Vendor”), agreed that the Vendor will supply equipment and services for consideration of up to $104.0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POCA established a timeline for each of the projects, including deadlines for the deliverables that TSP will require, beginning in the third quarter of 2024 through the fourth quarter of 2025. The timelines were predicated on the Customer defining the first field trials based on its data, after which production of the final solutions would commence. The POCA will continue to be in full force and effect unless terminated earlier by TSP.</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Performance of the parties’ obligations under the POCA has been delayed as the Customer changed its initial field trial priorities. As of March 31, 2026, Blaize has not shipped any products or received any payments from the POCA Counterparty. Under the terms of the POCA, Blaize must receive advance payment by the POCA Counterparty before the shipment of any product. Though no revenues have been realized under the terms of the POCA to date, Blaize is expecting to initiate work on field trials once the Customer has identified the specific use cases and provides access to its data. The pace of deployment is contingent on the timing of the Customer’s decisions, and there is no guarantee that field trials will be successful.</w:t>
      </w: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that the solutions Blaize is currently developing for TSP and the Customer demonstrate Blaize’s capability to create a full-stack solution for the defense and other industries, and we have been in discussions with the POCA Counterparty throughout 2025 about additional potential opportunities, though there can be no guarantee that such discussions will result in any definitive agreement between the parties.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Emerging Growth Company and Smaller Reporting Company Status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an emerging growth company (“EGC”) as defined in the Jumpstart Our Business Startups Act of 2012, as amended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will remain an EGC under the JOBS Act until the earliest of (i) December 31, 2026, which is the last day of our first fiscal year following the fifth anniversary of the closing of BurTech Acquisition Corp.’s initial public offering,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have also elected to avail ourselves of smaller reporting company (“SRC”) status, which is currently available to us as our annual revenues are less than $100.0 million, while at the same time, our public float is less than $700.0 million. Should our annual revenues exceed $100.0 million, then we may continue to elect SRC status if our public float is less than $250.0 million. Annual revenues are determined with reference to our full year revenues as reported on Form 10-K each year, and public float is determined annually at a measurement date of June 30 of each year by multiplying the number of shares of common stock held by non-affiliates by the closing share price of our common stock on June 30 of that year. SRC status allows us, but does not require us, to provide scaled disclosures in our annual reports on Form 10-K and our quarterly reports on Form 10-Q.</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public float and revenue calculations described above also determine our status as an accelerated or non-accelerated filer. Currently, as our revenues are less than $100.0 million, we are a non-accelerated filer, and as long as we are a non-accelerated filer (as determined each year on June 30 as described above) we are not required to provide an auditor’s attestation report on our system of internal controls over financial reporting pursuant to Section 404(b) of the Sarbanes-Oxley Act. Should our revenues exceed $100.0 million and should our public float continue to be in excess of $75.0 million, we would then become an accelerated filer, commencing with our next Annual Report on Form 10-K.</w:t>
      </w: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Background</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January 13, 2025, subsequent to the end of fiscal year ended December 31, 2024, BurTech Acquisition Corp., a Delaware corporation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Corporate Information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common stock is listed on Nasdaq under the symbol “BZAI.” Our principal executive offices are located at 4659 Golden Foothill Parkway, Suite 206, El Dorado Hills, California, 95762, and our telephone number is (916) 347-0050. Our website address is www.blaize.com. The information contained in, or accessible through, our website does not constitute a part of this prospectus. We have included our website address in this prospectus solely as an inactive textual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729"/>
        <w:gridCol w:w="321"/>
        <w:gridCol w:w="323"/>
        <w:gridCol w:w="109"/>
        <w:gridCol w:w="109"/>
        <w:gridCol w:w="109"/>
        <w:gridCol w:w="2689"/>
        <w:gridCol w:w="2405"/>
        <w:gridCol w:w="3411"/>
      </w:tblGrid>
      <w:tr>
        <w:trPr/>
        <w:tc>
          <w:tcPr>
            <w:tcW w:w="72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Common stock offered by us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18,918,918 shares of our common stock (or 21,756,755 shares if the underwriters exercise in full their option to purchase additional shares).</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Common stock to be outstanding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142,225,939 shares of our common stock (or 145,063,776 shares if the underwriters exercise in full their option to purchase additional shares).</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Underwriters’ option to purchase additional 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have granted the underwriters an option to purchase up to 2,837,837 additional shares of our common stock. This option is exercisable, in whole or in part, for a period of 30 days from the date of this prospectus supplement.</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Use of proceeds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 estimate that we will receive net proceeds from this offering of $32.6 million, after deducting underwriting discounts and commissions and estimated offering expenses payable by us. We currently intend to use the net proceeds from this offering primarily for working capital and other general corporate purposes. The expected use of net proceeds of this offering represents our current intentions based on our present plans and business conditions. We cannot specify with certainty all of the particular uses for the net proceeds to be received in this offering. Pending these uses, we plan to invest the net proceeds of this offering in short- and intermediate-term, interest-bearing obligations, investment-grade instruments, certificates of deposit or direct or guaranteed obligations of the U.S. government. See “</w:t>
            </w:r>
            <w:hyperlink w:anchor="ib9988ed507954544ad5548006f9dd89d_25">
              <w:r>
                <w:rPr>
                  <w:rStyle w:val="InternetLink"/>
                  <w:rFonts w:ascii="Times New Roman;serif" w:hAnsi="Times New Roman;serif"/>
                  <w:b w:val="false"/>
                  <w:color w:val="0000FF"/>
                  <w:sz w:val="20"/>
                  <w:u w:val="single"/>
                </w:rPr>
                <w:t>Use of Proceeds</w:t>
              </w:r>
            </w:hyperlink>
            <w:r>
              <w:rPr>
                <w:color w:val="000000"/>
              </w:rPr>
              <w:t xml:space="preserve">” </w:t>
            </w:r>
            <w:r>
              <w:rPr>
                <w:rFonts w:ascii="Times New Roman;serif" w:hAnsi="Times New Roman;serif"/>
                <w:b w:val="false"/>
                <w:color w:val="000000"/>
                <w:sz w:val="20"/>
              </w:rPr>
              <w:t xml:space="preserve">on page </w:t>
            </w:r>
            <w:hyperlink w:anchor="ib9988ed507954544ad5548006f9dd89d_25">
              <w:r>
                <w:rPr>
                  <w:rStyle w:val="InternetLink"/>
                  <w:rFonts w:ascii="Times New Roman;serif" w:hAnsi="Times New Roman;serif"/>
                  <w:b w:val="false"/>
                  <w:color w:val="0000FF"/>
                  <w:sz w:val="20"/>
                  <w:u w:val="single"/>
                </w:rPr>
                <w:t>S-14</w:t>
              </w:r>
            </w:hyperlink>
            <w:r>
              <w:rPr>
                <w:rFonts w:ascii="Times New Roman;serif" w:hAnsi="Times New Roman;serif"/>
                <w:b w:val="false"/>
                <w:color w:val="000000"/>
                <w:sz w:val="20"/>
              </w:rPr>
              <w:t>.</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Risk factors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You should read the “Risk Factors” section of this prospectus supplement, the accompanying prospectus, and in the documents incorporated by reference herein for a discussion of factors to consider carefully before deciding to invest in shares of our common stock. See “</w:t>
            </w:r>
            <w:hyperlink w:anchor="ib9988ed507954544ad5548006f9dd89d_19">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 xml:space="preserve">on page </w:t>
            </w:r>
            <w:hyperlink w:anchor="ib9988ed507954544ad5548006f9dd89d_19">
              <w:r>
                <w:rPr>
                  <w:rStyle w:val="InternetLink"/>
                  <w:rFonts w:ascii="Times New Roman;serif" w:hAnsi="Times New Roman;serif"/>
                  <w:b w:val="false"/>
                  <w:color w:val="0000FF"/>
                  <w:sz w:val="20"/>
                  <w:u w:val="single"/>
                </w:rPr>
                <w:t>S-10</w:t>
              </w:r>
            </w:hyperlink>
            <w:r>
              <w:rPr>
                <w:rFonts w:ascii="Times New Roman;serif" w:hAnsi="Times New Roman;serif"/>
                <w:b w:val="false"/>
                <w:color w:val="000000"/>
                <w:sz w:val="20"/>
              </w:rPr>
              <w:t>.</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Nasdaq symbol</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BZAI”</w:t>
            </w:r>
          </w:p>
        </w:tc>
      </w:tr>
    </w:tbl>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number of shares of our common stock that will be outstanding immediately after this offering is based on 123,307,021 shares of our common stock outstanding as of May 1, 2026, and excludes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29,698,250 shares of common stock issuable upon the exercise of outstanding warrants with an exercise price of $11.50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9,375,000 shares of common stock issuable upon the exercise of outstanding warrants issued in November 2025, with an exercise price of $3.00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29,056,015 shares of common stock issuable upon the exercise of outstanding options, at an average exercise price of $1.39 per share, of which 19,765,037 were vested and exercisable as of such date;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8,693,492 shares of common stock underlying restricted stock units;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17,952,676 shares of common stock reserved for future issuance under the 2025 Incentive Award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3,047,669 shares of common stock reserved for issuance under the 2025 Employee Stock Purchase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17,600,000 shares of common stock reserved as earnout shares related to the Business Combination.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Unless otherwise indicated, all information in this prospectus assumes no exercise of the outstanding options and warrants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You should consider the risks, uncertainties and other factors described in this prospectus supplement, the accompanying prospectus, under the caption "Item 1A. Risk Factors" in our most recent Annual Report on Form 10-K for the year ended December 31, 2025, and in other documents which are incorporated by reference herein and therein, together with all of the other information included in this prospectus supplement and the accompanying prospectus. The risks and uncertainties we have described in such documents are not the only risks that we face. Additional risks and uncertainties not presently known to us or that we currently deem immaterial may also affect our operations. If any of these or any unanticipated risks actually occur, our business, financial condition and results of operations could be materially and adversely affected and the trading price of our securities could decline, causing you to lose some or all of your investment in our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this Offering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price of our common stock has and may continue to fluctuate significantly, and this may make it difficult for you to resell shares of common stock owned by you at times or at prices you find attractive.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fluctuated widely and may continue to fluctuate widely as a result of a number of factors, many of which are outside our control. In addition, the stock market is subject to fluctuations in the share prices and trading volumes that affect the market prices of the shares of many companies. These broad market fluctuations have adversely affected and may continue to adversely affect the market price of our common stock. Among the factors that could affect our stock price 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market’s expectations about our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access adequate project financing, commercial borrowings and debt and equity capital markets to fund our operations or any significant anticipated capital expenditures;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degree and nature of our competition;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operating results failing to meet the expectations of securities analysts or investors in a particular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financial estimates and recommendations by securities analysts concerning us or the industry in which we operate in general;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business developments, partnerships or acquisitions;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volume of shares of our common stock available for public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major change in the Board or management;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executive officers or significant stockholders or the perception that such sales could occur;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and political conditions such as recessions, changes in interest rates, changes in fuel prices, international currency fluctuations and acts of war, terrorism, civil unrest, or pandemics.</w:t>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us failing to meet the expectations of industry or financial analysts or investors for any period. If we are unable to realize our objectives associated with our business plan, or if our operating results fall below the expectations of analysts or investors or below any guidance we may provide, or if any guidance we provide is below the expectations of analysts or investors, it could cause the market price of our common stock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you purchase shares of our common stock sold in this offering, you will experience immediate and substantial dilution of your investment.</w:t>
      </w:r>
    </w:p>
    <w:p>
      <w:pPr>
        <w:pStyle w:val="TextBody"/>
        <w:bidi w:val="0"/>
        <w:spacing w:lineRule="auto" w:line="288" w:before="0" w:after="180"/>
        <w:jc w:val="left"/>
        <w:rPr/>
      </w:pPr>
      <w:r>
        <w:rPr>
          <w:rFonts w:ascii="Times New Roman;serif" w:hAnsi="Times New Roman;serif"/>
          <w:b w:val="false"/>
          <w:color w:val="000000"/>
          <w:sz w:val="20"/>
        </w:rPr>
        <w:t>The price of our common stock in this offering is substantially higher than the net tangible book value per share of our outstanding common stock. Therefore, if you purchase shares of our common stock in this offering, you will pay a price per share that substantially exceeds our net tangible book value per share after this offering. To the extent our outstanding options or warrants are exercised, and to the extent we issue additional shares of our common stock or securities convertible or exchangeable into shares of our common stock, you will incur further dilution. Based on a public offering price of $1.85 per share of common stock, you will experience immediate dilution of $1.35 per share of common stock, representing the difference between our as adjusted net tangible book value per share, after giving effect to this offering and the public offering price. See “</w:t>
      </w:r>
      <w:hyperlink w:anchor="ib9988ed507954544ad5548006f9dd89d_31">
        <w:r>
          <w:rPr>
            <w:rStyle w:val="InternetLink"/>
            <w:rFonts w:ascii="Times New Roman;serif" w:hAnsi="Times New Roman;serif"/>
            <w:b w:val="false"/>
            <w:color w:val="0000FF"/>
            <w:sz w:val="20"/>
            <w:u w:val="single"/>
          </w:rPr>
          <w:t>Dilution</w:t>
        </w:r>
      </w:hyperlink>
      <w:r>
        <w:rPr>
          <w:color w:val="000000"/>
        </w:rPr>
        <w:t xml:space="preserve">” </w:t>
      </w:r>
      <w:r>
        <w:rPr>
          <w:rFonts w:ascii="Times New Roman;serif" w:hAnsi="Times New Roman;serif"/>
          <w:b w:val="false"/>
          <w:color w:val="000000"/>
          <w:sz w:val="20"/>
        </w:rPr>
        <w:t xml:space="preserve">on page </w:t>
      </w:r>
      <w:hyperlink w:anchor="ib9988ed507954544ad5548006f9dd89d_31">
        <w:r>
          <w:rPr>
            <w:rStyle w:val="InternetLink"/>
            <w:rFonts w:ascii="Times New Roman;serif" w:hAnsi="Times New Roman;serif"/>
            <w:b w:val="false"/>
            <w:color w:val="0000FF"/>
            <w:sz w:val="20"/>
            <w:u w:val="single"/>
          </w:rPr>
          <w:t>S-16</w:t>
        </w:r>
      </w:hyperlink>
      <w:r>
        <w:rPr>
          <w:color w:val="000000"/>
        </w:rPr>
        <w:t xml:space="preserve"> </w:t>
      </w:r>
      <w:r>
        <w:rPr>
          <w:rFonts w:ascii="Times New Roman;serif" w:hAnsi="Times New Roman;serif"/>
          <w:b w:val="false"/>
          <w:color w:val="000000"/>
          <w:sz w:val="20"/>
        </w:rPr>
        <w:t>of this prospectus supplement.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broad discretion in the use of the net proceeds from this offering and may not use them effectively.</w:t>
      </w:r>
    </w:p>
    <w:p>
      <w:pPr>
        <w:pStyle w:val="TextBody"/>
        <w:bidi w:val="0"/>
        <w:spacing w:lineRule="auto" w:line="288" w:before="0" w:after="180"/>
        <w:jc w:val="left"/>
        <w:rPr/>
      </w:pPr>
      <w:r>
        <w:rPr>
          <w:rFonts w:ascii="Times New Roman;serif" w:hAnsi="Times New Roman;serif"/>
          <w:b w:val="false"/>
          <w:color w:val="000000"/>
          <w:sz w:val="20"/>
        </w:rPr>
        <w:t>Our management will have broad discretion in the application of the net proceeds from this offering, including for any of the purposes described in the section entitled “</w:t>
      </w:r>
      <w:r>
        <w:rPr>
          <w:rFonts w:ascii="Times New Roman;serif" w:hAnsi="Times New Roman;serif"/>
          <w:b w:val="false"/>
          <w:i/>
          <w:color w:val="000000"/>
          <w:sz w:val="20"/>
        </w:rPr>
        <w:t>Use of Proceeds</w:t>
      </w:r>
      <w:r>
        <w:rPr>
          <w:rFonts w:ascii="Times New Roman;serif" w:hAnsi="Times New Roman;serif"/>
          <w:b w:val="false"/>
          <w:color w:val="000000"/>
          <w:sz w:val="20"/>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working capital and general corporate purposes. The failure by our management to apply these funds effectively could harm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Pending their use, we plan to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sales or issuances of our common stock in the public markets, or the perception of such sales, could depress the trading price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or in one or more separate offerings. We cannot predict the effect that future sales of common stock or other equity-related securities would have on the market price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Moreover, we have filed a registration statement on Form S-8 registering all shares of common stock underlying equity awards that we may issue under our equity compensation plans. Once registered on Form S-8, shares underlying these equity awards can be freely sold in the public market upon issuance, subject to volume, notice and manner of sale limitations applicable to affiliates.</w:t>
      </w: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have on file with the SEC a universal registration statement which allows us to offer and sell up to $250.0 million of our securities from time to time pursuant to one or more offerings at prices to be determined at the time of sale, including the securities being offered in this offering.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entered into a Rights Agreement, and if the holders exercise their share purchase rights under such agreement, it could materially adversely affect the price of our common stock and cause dilution to our existing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22, 2026, our Board of Directors (the “Board”) entered into a Rights Agreement (the “Rights Agreement”) with Continental Stock Transfer &amp; Trust Company, as Rights Agent, that was previously approved by the Board. Pursuant to the Rights Agreement, the Board declared a dividend of one preferred stock purchase right (each, a “Right”) for each share of our common stock outstanding at the close of business on May 6, 2026 (the “Record Date”). As long as the Rights are attached to the common stock, the Company will issue one Right with each new share of common stock so that all such shares will have attached Rights. Each Right will entitle the registered holder thereof, after the Rights become exercisable and until April 21, 2027 (or the earlier redemption, exchange or termination of the Rights), to purchase from the Company one one-hundredth of a share of Series A Junior Participating Preferred Stock, par value $0.0001 per share (the “Series A Preferred”), of the Company at a price of $11.00 per one one-hundredth of a share of Series A Preferred (the “Purchase Price”). The Rights are not exercisable until the Distribution Date (as defined in the Rights Agreement).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Rights are designed to assure that all of our stockholders receive fair and equal treatment in the event of any proposed takeover of us and to guard against partial tender offers, open market accumulations and other abusive or coercive tactics to gain control of us without paying all stockholders a control premium. The Rights will cause substantial dilution to a person or group that acquires 10% or more of the common stock on terms not approved by the Board.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the overall effect of the Rights Agreement and the issuance of the Rights may be to render more difficult or discourage a merger, tender or exchange offer or other business combination involving us that is not approved by the Board. The Rights Agreement will not interfere with any merger or other business combination approved by the Board at any time prior to the first date that a person or group has become an Acquiring Person (as defined in the Rights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Rights have certain anti-takeover effects, including potentially discouraging a takeover that stockholders may consider favorable. The Rights will cause substantial dilution to a person or group that attempts to acquire us on terms not approved by the Board. The Rights will expire on April 21, 2027, subject to our right to extend such date, unless earlier redeemed or exchanged by us or terminated.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contracts with key customers are not subject to minimum purchase commitments, and these customers may reduce or cease orders at any time, which could materially and adversely affect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Many of our contracts with key customers, including NeoTensr and Starshine, do not have minimum purchase commitments, and these contracts are subject to the customer’s issuance of a purchase order. As a result, these customers may, at any time and for any reason, reduce, defer, or cease purchasing our products without penalty or prior notice. Any significant reduction, delay, or discontinuation of orders by any major customer would likely cause our revenues to decline and could materially and adversely affect our business, financial condition, and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we derive a significant portion of our revenues from a limited number of customers, the loss of any major customer, a material decrease in their purchases, or non-payment by the customer would have a substantial negative impact on our company. Our reliance on sales to these customers exposes us to ongoing risks of revenue fluctuation and business disruption, particularly in the absence of contractual purchase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SPECIAL NOTE REGARDING FORWARD-LOOKING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the documents incorporated by reference herein and therein and any applicable free writing prospectus may contain forward-looking statements. All statements other than statements of historical facts contained in this prospectus supplement, the documents incorporated by reference herein and therein and any applicable free writing prospectus, are forward-looking statements, including statements regarding our future results of operations and financial position, business strategy, financial results and financial position, prospective products, product approvals, research and development costs, timing and likelihood of success, and the plans and objectives of management for future operations.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documents incorporated by reference herein and therein and any applicable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prospectus supplement, the documents incorporated by reference herein and therein and any applicable free writing prospectus are only predictions and are based largely on our current expectations and projections about future events and financial trends that we believe may affect our business, financial condition, and results of operations. These forward-looking statements speak only as of the respective dates of this prospectus supplement, the documents incorporated by reference herein and therein and any applicable free writing prospectus, as applicable, and are subject to a number of known and unknown risks, uncertainties and assumptions, including, but not limited to, those described under “Risk Factors” and elsewhere in this prospectus supplement, the documents incorporated by reference herein and therein, and any applicable free writing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documents incorporated by reference herein and therein and any applicable free writing prospectus,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estimate that the net proceeds from our issuance and sale of shares of our common stock in this offering will be approximately $32.6 million, after deducting underwriting discounts and commissions and estimated offering expenses payable by us. If the underwriters exercise in full their option to purchase additional shares, we estimate that the net proceeds from this offering will be approximately $37.5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expect to use the net proceeds that we receive from this offering for working capital and general corporate purposes. The expected use of net proceeds of this offering represents our current intentions based on our present plans and business conditions. We cannot specify with certainty all of the particular uses for the net proceeds to be received in this offering. Pending these uses, we plan to invest the net proceeds of this offering in short- and intermediate-term, interest-bearing obligations, investment-grade instruments, certificates of deposit or direct or guaranteed obligations of the U.S. government.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never paid dividends and we do not currently intend to pay any cash dividends on our common stock for the foreseeable future. We currently intend to invest our future earnings, if any, to fund our growth.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net tangible book value as of December 31, 2025, was approximately $39.0 million, or $0.32 per share. Net tangible book value per share is determined by dividing our total tangible assets, less total liabilities, by the number of shares of our common stock outstanding as of December 31, 2025.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on the sale by us in this offering of 18,918,918 shares of common stock at a public offering price of $1.85 per share for net proceeds of approximately $32.6 million after deducting estimated offering expenses and underwriting commissions and expenses payable by us, our pro forma net tangible book value as of December 31, 2025 would have been approximately $71.6 million, or $0.50 per share of our common stock. This represents an immediate increase in net tangible book value to existing stockholders of $0.19 per share of our common stock and an immediate dilution to purchasers in this offering of $1.35 per share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this calculation on a per share basis.</w:t>
      </w:r>
    </w:p>
    <w:tbl>
      <w:tblPr>
        <w:tblW w:w="10205" w:type="dxa"/>
        <w:jc w:val="left"/>
        <w:tblInd w:w="0" w:type="dxa"/>
        <w:tblLayout w:type="fixed"/>
        <w:tblCellMar>
          <w:top w:w="28" w:type="dxa"/>
          <w:left w:w="28" w:type="dxa"/>
          <w:bottom w:w="28" w:type="dxa"/>
          <w:right w:w="28" w:type="dxa"/>
        </w:tblCellMar>
      </w:tblPr>
      <w:tblGrid>
        <w:gridCol w:w="2999"/>
        <w:gridCol w:w="2581"/>
        <w:gridCol w:w="2589"/>
        <w:gridCol w:w="211"/>
        <w:gridCol w:w="511"/>
        <w:gridCol w:w="109"/>
        <w:gridCol w:w="109"/>
        <w:gridCol w:w="109"/>
        <w:gridCol w:w="109"/>
        <w:gridCol w:w="211"/>
        <w:gridCol w:w="511"/>
        <w:gridCol w:w="156"/>
      </w:tblGrid>
      <w:tr>
        <w:trPr/>
        <w:tc>
          <w:tcPr>
            <w:tcW w:w="299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offering price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Historical net tangible book value per share as of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new investors purchasing shares of common stock in this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as of December 31, 2025, after giving effect to this offering</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Dilution per share to investors purchasing our common stock in this offering</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foregoing table and calculations are based on 123,307,021 shares outstanding as of May 1, 2026, and excludes: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29,698,250 shares of common stock issuable upon the exercise of outstanding warrants with an exercise price of $11.50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9,375,000 shares of common stock issuable upon the exercise of outstanding warrants issued in November 2025, with an exercise price of $3.00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29,056,015 shares of common stock issuable upon the exercise of outstanding options, at an average exercise price of $1.39 per share, of which 19,765,037 were vested and exercisable as of such date;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8,693,492 shares of common stock underlying restricted stock units;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17,952,676 shares of common stock reserved for future issuance under the 2025 Incentive Award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3,047,669 shares of common stock reserved for issuance under the 2025 Employee Stock Purchase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17,600,000 shares of common stock reserved as earnout shares related to the Business Combination.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all information in this prospectus supplement assumes no exercise of the outstanding options and warrants described above. To the extent that outstanding options or warrants are exercised, investors purchasing our common stock in this offering may experience further dilution. In addition, to the extent that we raise additional capital through the sale of equity or convertible debt securities, the issuance of these securities could result in further dilution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UNDERWRITING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offering the shares of common stock described in this prospectus supplement and the accompanying prospectus through the underwriters listed below. Northland Securities, Inc. is acting as the sole bookrunning manager for this offering. The Benchmark Company, LLC is acting as co-manager. Each underwriter has agreed to buy, subject to the terms of the underwriting agreement, the number of shares of common stock listed opposite its name below. Each underwriter is committed to purchase and pay for all of the shares if any are purchased, other than those shares covered by the over-allotment option described below. </w:t>
      </w:r>
    </w:p>
    <w:tbl>
      <w:tblPr>
        <w:tblW w:w="4497" w:type="dxa"/>
        <w:jc w:val="left"/>
        <w:tblInd w:w="0" w:type="dxa"/>
        <w:tblLayout w:type="fixed"/>
        <w:tblCellMar>
          <w:top w:w="28" w:type="dxa"/>
          <w:left w:w="28" w:type="dxa"/>
          <w:bottom w:w="28" w:type="dxa"/>
          <w:right w:w="28" w:type="dxa"/>
        </w:tblCellMar>
      </w:tblPr>
      <w:tblGrid>
        <w:gridCol w:w="984"/>
        <w:gridCol w:w="864"/>
        <w:gridCol w:w="867"/>
        <w:gridCol w:w="109"/>
        <w:gridCol w:w="109"/>
        <w:gridCol w:w="109"/>
        <w:gridCol w:w="425"/>
        <w:gridCol w:w="425"/>
        <w:gridCol w:w="605"/>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Underwriter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Northland Securities, Inc.</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ind w:left="0" w:right="0" w:firstLine="720"/>
              <w:jc w:val="both"/>
              <w:rPr/>
            </w:pPr>
            <w:r>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Benchmark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0"/>
              <w:ind w:left="0" w:right="0" w:firstLine="720"/>
              <w:jc w:val="both"/>
              <w:rPr/>
            </w:pPr>
            <w:r>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have advised us that they propose to offer the shares of common stock to the public at a price of $1.85 per share. The underwriters propose to offer the shares of common stock to certain dealers at the same price less a concession of not more than $0.31 per share. After the offering, these figures may be changed by the underwriters.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sold in this offering are expected to be ready for delivery on or about May 7, 2026, against payment in immediately available funds. The underwriters may reject all or part of any order.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granted to the underwriters an option to purchase up to an additional 2,837,837 shares of common stock from us at the same price to the public, and with the same underwriting discount, as set forth in the table below. The underwriters may exercise this option any time during the 30-day period after the date of this prospectus supplement. To the extent the underwriters exercise the option, the underwriters will become obligated, subject to certain conditions, to purchase the shares for which they exercise the option.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underwriting discounts that we will pay to the underwriters. These amounts are shown assuming both no exercise and full exercise of the over-allotment option. In addition to the underwriting discount, we have agreed to pay up to $75,000 of the fees and expenses of the underwriters, which may include the fees and expenses of counsel to the underwriters. The fees and expenses of the underwriters that we have agreed to reimburse are not included in the underwriting discounts set forth in the table below. The underwriting discount and reimbursable expenses the underwriters will receive were determined through arms’ length negotiations between us and the underwriters. </w:t>
      </w:r>
    </w:p>
    <w:tbl>
      <w:tblPr>
        <w:tblW w:w="8676" w:type="dxa"/>
        <w:jc w:val="left"/>
        <w:tblInd w:w="0" w:type="dxa"/>
        <w:tblLayout w:type="fixed"/>
        <w:tblCellMar>
          <w:top w:w="28" w:type="dxa"/>
          <w:left w:w="28" w:type="dxa"/>
          <w:bottom w:w="28" w:type="dxa"/>
          <w:right w:w="28" w:type="dxa"/>
        </w:tblCellMar>
      </w:tblPr>
      <w:tblGrid>
        <w:gridCol w:w="1206"/>
        <w:gridCol w:w="1057"/>
        <w:gridCol w:w="1067"/>
        <w:gridCol w:w="211"/>
        <w:gridCol w:w="616"/>
        <w:gridCol w:w="109"/>
        <w:gridCol w:w="109"/>
        <w:gridCol w:w="109"/>
        <w:gridCol w:w="109"/>
        <w:gridCol w:w="211"/>
        <w:gridCol w:w="1336"/>
        <w:gridCol w:w="109"/>
        <w:gridCol w:w="109"/>
        <w:gridCol w:w="109"/>
        <w:gridCol w:w="109"/>
        <w:gridCol w:w="260"/>
        <w:gridCol w:w="1650"/>
        <w:gridCol w:w="190"/>
      </w:tblGrid>
      <w:tr>
        <w:trPr/>
        <w:tc>
          <w:tcPr>
            <w:tcW w:w="120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with no</w:t>
              <w:br/>
              <w:t>Over-Allotment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with Over-Allotment</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 to the public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34,999,998.30 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40,249,996.75 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Underwriting discount to be paid by us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2,099,999.90 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2,414,999.81 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32,899,998.40 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37,834,996.95 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that the total expenses payable by us in connection with this offering, excluding underwriting discounts, will be $325,000. This includes $75,000 of the fees and expenses of the underwriters. These expenses are payable by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also have agreed to indemnify the underwriters against certain liabilities, including civil liabilities under the Securities Act or to contribute to payments that the underwriters may be required to make in respect of those liabilities.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Sales of Similar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certain limited exceptions, each of our directors and officers has agreed not to offer, sell, agree to sell, directly or indirectly, or otherwise dispose of any shares of common stock or any securities convertible into or </w:t>
      </w: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exchangeable for shares of common stock for a period of 60 days after the date of this prospectus supplement. The lock-up agreements that our directors and officers have entered into and the Company lock-up pursuant to the underwriting agreement provide limited exceptions and their restrictions may be waived at any time by the underwriters.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Price Stabilization, Short Positions and Penalty Bids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facilitate this offering, the underwriters may engage in transactions that stabilize, maintain or otherwise affect the price of our common stock during and after the offering. Specifically, the underwriters may create a short position in our common stock for their own accounts by selling more shares of common stock than we have sold to such underwriter. The underwriters may close out any short position by purchasing shares in the open market.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 underwriters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the Nasdaq or otherwise and, if commenced, may be discontinued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this offering, the underwriters and selling group members may also engage in passive market making transactions in our common stock on the Nasdaq. Passive market making consists of displaying bids on the Nasdaq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any transaction, if commenced, will not be discontinued without notice.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Market under the symbol “BZAI.”</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Other Relationships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The underwriters may in the future engage in investment banking and other commercial dealings in the ordinary course of business with us or our affiliates. The underwriters may in the future receive customary fees and commissions for these transactions.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ordinary course of its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Electronic Offer, Sale and Distribution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offering, the underwriters or certain of the securities dealers may distribute prospectuses by electronic means, such as e-mail. In addition, the underwriters may facilitate Internet distribution for this offering to certain of its Internet subscription customers. The underwriters may allocate a limited number of shares for sale to their online brokerage customers. An electronic prospectus is available on the Internet websites maintained by any such underwriter. Other than the prospectus in electronic format, the information on the websites of the underwriters is not part of this prospectus supplement or the accompanying prospectus.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Selling Restrictions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European Economic Area.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any legal entity which is a qualified investor as defined under Article 2 of the Prospectus Regulation;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fewer than 150 natural or legal persons (other than qualified investors as defined under Article 2 of the Prospectus Regulation), subject to obtaining the prior consent of the representative for any such offer;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 any other circumstances falling within Article 1(4) of the Prospectus Regulation,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 such offer of securities shall require us or any of the representative to publish a prospectus pursuant to Article 3 of the Prospectus Regulation or supplement a prospectus pursuant to Article 23 of the Prospectus Regulation.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United Kingdom.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any legal entity which is a qualified investor as defined under Article 2 of the UK Prospectus Regulation;</w:t>
      </w: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fewer than 150 natural or legal persons (other than qualified investors as defined under Article 2 of the UK Prospectus Regulation), subject to obtaining the prior consent of the representative for any such offer;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any other circumstances falling within Section 86 of the Financial Services and Markets Act 2000 (the “FSMA”),</w:t>
      </w:r>
    </w:p>
    <w:p>
      <w:pPr>
        <w:pStyle w:val="TextBody"/>
        <w:bidi w:val="0"/>
        <w:spacing w:lineRule="auto" w:line="288" w:before="0" w:after="180"/>
        <w:jc w:val="left"/>
        <w:rPr/>
      </w:pP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such offer of the securities shall require us or any representative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Canada.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Switzerland.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Neither this document nor any other offering or marketing material relating to the offering, or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shares. </w:t>
      </w: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Australia.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 placement document, prospectus, product disclosure statement or other disclosure document has been lodged with the Australian Securities and Investments Commission (“ASIC”), in relation to the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lineRule="auto" w:line="288" w:before="0" w:after="180"/>
        <w:jc w:val="left"/>
        <w:rPr/>
      </w:pPr>
      <w:r>
        <w:rPr>
          <w:rFonts w:ascii="Times New Roman;serif" w:hAnsi="Times New Roman;serif"/>
          <w:b w:val="false"/>
          <w:color w:val="000000"/>
          <w:sz w:val="20"/>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Faegre Drinker Biddle &amp; Reath LLP will pass upon certain legal matters relating to the issuance and sale of the common stock offered hereby on behalf of Blaize Holdings, Inc. Reed Smith LLP, New York, New York is acting as counsel to the underwriters in connection with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Blaize Holdings, Inc. incorporated into this prospectus supplement by reference in this Registration Statement have been audited by UHY LLP, an independent registered public accounting firm, as stated in their report (which contains an explanatory paragraph relating to Blaize’s ability to continue as a going concern), which is incorporated herein by reference. Such consolidated financial statements are incorporated by reference in reliance upon the report of such firm given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pStyle w:val="TextBody"/>
        <w:bidi w:val="0"/>
        <w:spacing w:before="0" w:after="180"/>
        <w:jc w:val="center"/>
        <w:rPr/>
      </w:pPr>
      <w:r>
        <w:rPr/>
        <w:drawing>
          <wp:inline distT="0" distB="0" distL="0" distR="0">
            <wp:extent cx="2000250" cy="676275"/>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10"/>
                    <a:stretch>
                      <a:fillRect/>
                    </a:stretch>
                  </pic:blipFill>
                  <pic:spPr bwMode="auto">
                    <a:xfrm>
                      <a:off x="0" y="0"/>
                      <a:ext cx="2000250" cy="6762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Blaize Holdings, Inc.</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$250,000,000</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Common Stock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Preferred Stock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Debt Securities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Stock Purchase Contracts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Warrants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Rights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offer and sell up to $250,000,000 in the aggregate of the securities identified above from time to time in one or more offerings. This prospectus provides you with a general description of the securities and the general manner in which these securities will be offered.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time we offer and sell securities, we will provide a supplement to this prospectus that contains specific information about the offering and the amounts, prices and terms of the securities. The prospectus supplement will also describe the specific manner in which these securities will be offered and may also add, update or change information contained in this prospectus with respect to that offering. You should carefully read this prospectus and the applicable prospectus supplement before you invest in any of our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pStyle w:val="TextBody"/>
        <w:bidi w:val="0"/>
        <w:spacing w:lineRule="auto" w:line="288" w:before="0" w:after="180"/>
        <w:jc w:val="left"/>
        <w:rPr/>
      </w:pPr>
      <w:r>
        <w:rPr>
          <w:rFonts w:ascii="Times New Roman;serif" w:hAnsi="Times New Roman;serif"/>
          <w:b/>
          <w:color w:val="000000"/>
          <w:sz w:val="20"/>
        </w:rPr>
        <w:t>INVESTING IN OUR SECURITIES INVOLVES RISKS. SEE THE “</w:t>
      </w:r>
      <w:hyperlink w:anchor="ib9988ed507954544ad5548006f9dd89d_58">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b9988ed507954544ad5548006f9dd89d_58">
        <w:r>
          <w:rPr>
            <w:rStyle w:val="InternetLink"/>
            <w:rFonts w:ascii="Times New Roman;serif" w:hAnsi="Times New Roman;serif"/>
            <w:b/>
            <w:color w:val="0000FF"/>
            <w:sz w:val="20"/>
            <w:u w:val="single"/>
          </w:rPr>
          <w:t>6</w:t>
        </w:r>
      </w:hyperlink>
      <w:r>
        <w:rPr>
          <w:color w:val="000000"/>
        </w:rPr>
        <w:t xml:space="preserve"> </w:t>
      </w:r>
      <w:r>
        <w:rPr>
          <w:rFonts w:ascii="Times New Roman;serif" w:hAnsi="Times New Roman;serif"/>
          <w:b/>
          <w:color w:val="000000"/>
          <w:sz w:val="20"/>
        </w:rPr>
        <w:t>OF THIS PROSPECTUS AND ANY SIMILAR SECTION CONTAINED IN THE APPLICABLE PROSPECTUS SUPPLEMENT CONCERNING FACTORS YOU SHOULD CONSIDER BEFORE INVESTING IN OUR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or Nasdaq, under the symbol “BZAI.” On January 26, 2026, the last reported sale price of our common stock on Nasdaq was $1.74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The date of this prospectus is February 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7707" w:type="dxa"/>
        <w:jc w:val="left"/>
        <w:tblInd w:w="0" w:type="dxa"/>
        <w:tblLayout w:type="fixed"/>
        <w:tblCellMar>
          <w:top w:w="28" w:type="dxa"/>
          <w:left w:w="28" w:type="dxa"/>
          <w:bottom w:w="28" w:type="dxa"/>
          <w:right w:w="28" w:type="dxa"/>
        </w:tblCellMar>
      </w:tblPr>
      <w:tblGrid>
        <w:gridCol w:w="2655"/>
        <w:gridCol w:w="2337"/>
        <w:gridCol w:w="2343"/>
        <w:gridCol w:w="109"/>
        <w:gridCol w:w="109"/>
        <w:gridCol w:w="154"/>
      </w:tblGrid>
      <w:tr>
        <w:trPr/>
        <w:tc>
          <w:tcPr>
            <w:tcW w:w="265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49">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49">
              <w:r>
                <w:rPr>
                  <w:rStyle w:val="InternetLink"/>
                  <w:rFonts w:ascii="Times New Roman;serif" w:hAnsi="Times New Roman;serif"/>
                  <w:b w:val="false"/>
                  <w:color w:val="0000FF"/>
                  <w:sz w:val="20"/>
                  <w:u w:val="single"/>
                </w:rPr>
                <w:t>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52">
              <w:r>
                <w:rPr>
                  <w:rStyle w:val="InternetLink"/>
                  <w:rFonts w:ascii="Times New Roman;serif" w:hAnsi="Times New Roman;serif"/>
                  <w:b w:val="false"/>
                  <w:color w:val="0000FF"/>
                  <w:sz w:val="20"/>
                  <w:u w:val="single"/>
                </w:rPr>
                <w:t>WHERE YOU CAN FIND MORE INFORMATION; 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52">
              <w:r>
                <w:rPr>
                  <w:rStyle w:val="InternetLink"/>
                  <w:rFonts w:ascii="Times New Roman;serif" w:hAnsi="Times New Roman;serif"/>
                  <w:b w:val="false"/>
                  <w:color w:val="0000FF"/>
                  <w:sz w:val="20"/>
                  <w:u w:val="single"/>
                </w:rPr>
                <w:t>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55">
              <w:r>
                <w:rPr>
                  <w:rStyle w:val="InternetLink"/>
                  <w:rFonts w:ascii="Times New Roman;serif" w:hAnsi="Times New Roman;serif"/>
                  <w:b w:val="false"/>
                  <w:color w:val="0000FF"/>
                  <w:sz w:val="20"/>
                  <w:u w:val="singl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55">
              <w:r>
                <w:rPr>
                  <w:rStyle w:val="InternetLink"/>
                  <w:rFonts w:ascii="Times New Roman;serif" w:hAnsi="Times New Roman;serif"/>
                  <w:b w:val="false"/>
                  <w:color w:val="0000FF"/>
                  <w:sz w:val="20"/>
                  <w:u w:val="single"/>
                </w:rPr>
                <w:t>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58">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58">
              <w:r>
                <w:rPr>
                  <w:rStyle w:val="InternetLink"/>
                  <w:rFonts w:ascii="Times New Roman;serif" w:hAnsi="Times New Roman;serif"/>
                  <w:b w:val="false"/>
                  <w:color w:val="0000FF"/>
                  <w:sz w:val="20"/>
                  <w:u w:val="single"/>
                </w:rPr>
                <w:t>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61">
              <w:r>
                <w:rPr>
                  <w:rStyle w:val="InternetLink"/>
                  <w:rFonts w:ascii="Times New Roman;serif" w:hAnsi="Times New Roman;serif"/>
                  <w:b w:val="false"/>
                  <w:color w:val="0000FF"/>
                  <w:sz w:val="20"/>
                  <w:u w:val="single"/>
                </w:rPr>
                <w:t>SPECIAL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61">
              <w:r>
                <w:rPr>
                  <w:rStyle w:val="InternetLink"/>
                  <w:rFonts w:ascii="Times New Roman;serif" w:hAnsi="Times New Roman;serif"/>
                  <w:b w:val="false"/>
                  <w:color w:val="0000FF"/>
                  <w:sz w:val="20"/>
                  <w:u w:val="single"/>
                </w:rPr>
                <w:t>7</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64">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64">
              <w:r>
                <w:rPr>
                  <w:rStyle w:val="InternetLink"/>
                  <w:rFonts w:ascii="Times New Roman;serif" w:hAnsi="Times New Roman;serif"/>
                  <w:b w:val="false"/>
                  <w:color w:val="0000FF"/>
                  <w:sz w:val="20"/>
                  <w:u w:val="single"/>
                </w:rPr>
                <w:t>8</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67">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67">
              <w:r>
                <w:rPr>
                  <w:rStyle w:val="InternetLink"/>
                  <w:rFonts w:ascii="Times New Roman;serif" w:hAnsi="Times New Roman;serif"/>
                  <w:b w:val="false"/>
                  <w:color w:val="0000FF"/>
                  <w:sz w:val="20"/>
                  <w:u w:val="single"/>
                </w:rPr>
                <w:t>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0">
              <w:r>
                <w:rPr>
                  <w:rStyle w:val="InternetLink"/>
                  <w:rFonts w:ascii="Times New Roman;serif" w:hAnsi="Times New Roman;serif"/>
                  <w:b w:val="false"/>
                  <w:color w:val="0000FF"/>
                  <w:sz w:val="20"/>
                  <w:u w:val="singl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0">
              <w:r>
                <w:rPr>
                  <w:rStyle w:val="InternetLink"/>
                  <w:rFonts w:ascii="Times New Roman;serif" w:hAnsi="Times New Roman;serif"/>
                  <w:b w:val="false"/>
                  <w:color w:val="0000FF"/>
                  <w:sz w:val="20"/>
                  <w:u w:val="single"/>
                </w:rPr>
                <w:t>17</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3">
              <w:r>
                <w:rPr>
                  <w:rStyle w:val="InternetLink"/>
                  <w:rFonts w:ascii="Times New Roman;serif" w:hAnsi="Times New Roman;serif"/>
                  <w:b w:val="false"/>
                  <w:color w:val="0000FF"/>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3">
              <w:r>
                <w:rPr>
                  <w:rStyle w:val="InternetLink"/>
                  <w:rFonts w:ascii="Times New Roman;serif" w:hAnsi="Times New Roman;serif"/>
                  <w:b w:val="false"/>
                  <w:color w:val="0000FF"/>
                  <w:sz w:val="20"/>
                  <w:u w:val="single"/>
                </w:rPr>
                <w:t>25</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6">
              <w:r>
                <w:rPr>
                  <w:rStyle w:val="InternetLink"/>
                  <w:rFonts w:ascii="Times New Roman;serif" w:hAnsi="Times New Roman;serif"/>
                  <w:b w:val="false"/>
                  <w:color w:val="0000FF"/>
                  <w:sz w:val="20"/>
                  <w:u w:val="single"/>
                </w:rPr>
                <w:t>DESCRIPTION OF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6">
              <w:r>
                <w:rPr>
                  <w:rStyle w:val="InternetLink"/>
                  <w:rFonts w:ascii="Times New Roman;serif" w:hAnsi="Times New Roman;serif"/>
                  <w:b w:val="false"/>
                  <w:color w:val="0000FF"/>
                  <w:sz w:val="20"/>
                  <w:u w:val="single"/>
                </w:rPr>
                <w:t>27</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79">
              <w:r>
                <w:rPr>
                  <w:rStyle w:val="InternetLink"/>
                  <w:rFonts w:ascii="Times New Roman;serif" w:hAnsi="Times New Roman;serif"/>
                  <w:b w:val="false"/>
                  <w:color w:val="0000FF"/>
                  <w:sz w:val="20"/>
                  <w:u w:val="single"/>
                </w:rPr>
                <w:t>DESCRIPTION OF UNITS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79">
              <w:r>
                <w:rPr>
                  <w:rStyle w:val="InternetLink"/>
                  <w:rFonts w:ascii="Times New Roman;serif" w:hAnsi="Times New Roman;serif"/>
                  <w:b w:val="false"/>
                  <w:color w:val="0000FF"/>
                  <w:sz w:val="20"/>
                  <w:u w:val="single"/>
                </w:rPr>
                <w:t>28</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82">
              <w:r>
                <w:rPr>
                  <w:rStyle w:val="InternetLink"/>
                  <w:rFonts w:ascii="Times New Roman;serif" w:hAnsi="Times New Roman;serif"/>
                  <w:b w:val="false"/>
                  <w:color w:val="0000FF"/>
                  <w:sz w:val="20"/>
                  <w:u w:val="single"/>
                </w:rPr>
                <w:t>GLOBAL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82">
              <w:r>
                <w:rPr>
                  <w:rStyle w:val="InternetLink"/>
                  <w:rFonts w:ascii="Times New Roman;serif" w:hAnsi="Times New Roman;serif"/>
                  <w:b w:val="false"/>
                  <w:color w:val="0000FF"/>
                  <w:sz w:val="20"/>
                  <w:u w:val="single"/>
                </w:rPr>
                <w:t>29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85">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85">
              <w:r>
                <w:rPr>
                  <w:rStyle w:val="InternetLink"/>
                  <w:rFonts w:ascii="Times New Roman;serif" w:hAnsi="Times New Roman;serif"/>
                  <w:b w:val="false"/>
                  <w:color w:val="0000FF"/>
                  <w:sz w:val="20"/>
                  <w:u w:val="single"/>
                </w:rPr>
                <w:t>33</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88">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88">
              <w:r>
                <w:rPr>
                  <w:rStyle w:val="InternetLink"/>
                  <w:rFonts w:ascii="Times New Roman;serif" w:hAnsi="Times New Roman;serif"/>
                  <w:b w:val="false"/>
                  <w:color w:val="0000FF"/>
                  <w:sz w:val="20"/>
                  <w:u w:val="single"/>
                </w:rPr>
                <w:t>35</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988ed507954544ad5548006f9dd89d_91">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88ed507954544ad5548006f9dd89d_91">
              <w:r>
                <w:rPr>
                  <w:rStyle w:val="InternetLink"/>
                  <w:rFonts w:ascii="Times New Roman;serif" w:hAnsi="Times New Roman;serif"/>
                  <w:b w:val="false"/>
                  <w:color w:val="0000FF"/>
                  <w:sz w:val="20"/>
                  <w:u w:val="singl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not authorized anyone to provide you with any information or to make any representations other than those contained in this prospectus, any applicable prospectus supplement or any applicable free writing prospectuses prepared by or on behalf of us or to which we have referred you. We take no responsibility for, and can provide no assurance as to the reliability of, any other information that others may give you.</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used in this prospectus, unless otherwise indicated or the context otherwise requires, references to “we,” “us,” “our,” the “Company,” “Registrant,” and “Blaize” refer to the consolidated operations of Blaize Holdings, Inc., formerly known as BurTech Acquisition Corporation (“BurTech”), and its subsidiaries. References to “Legacy Blaize” refer to Blaize, Inc., prior to the close of the Business Combination (as defined further herein). All references herein to the “Board” refer to the board of directors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file reports, proxy statements and other information with the SEC. The SEC maintains a website that contains reports, proxy and information statements and other information about issuers, such as us, who file electronically with the SEC. The address of that website is https://www.sec.gov.</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website address is https://www.blaize.com. The information on our website, however, is not, and should not be deemed to be, a part of this prospectus. We have included our website address as an inactive textual reference only.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may be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and any accompanying prospectus supplement incorporate by reference the documents set forth below that have previously been filed with the SEC (other than those documents or the portions of those documents not deemed to be filed):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10-K for the year ended December 31, 2024, filed with the SEC on </w:t>
      </w:r>
      <w:hyperlink r:id="rId11">
        <w:r>
          <w:rPr>
            <w:rStyle w:val="InternetLink"/>
            <w:rFonts w:ascii="Times New Roman;serif" w:hAnsi="Times New Roman;serif"/>
            <w:b w:val="false"/>
            <w:color w:val="0000FF"/>
            <w:sz w:val="20"/>
            <w:u w:val="single"/>
          </w:rPr>
          <w:t>April 15, 2025</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quarter ended March 31, 2025, filed with the SEC on </w:t>
      </w:r>
      <w:hyperlink r:id="rId12">
        <w:r>
          <w:rPr>
            <w:rStyle w:val="InternetLink"/>
            <w:rFonts w:ascii="Times New Roman;serif" w:hAnsi="Times New Roman;serif"/>
            <w:b w:val="false"/>
            <w:color w:val="0000FF"/>
            <w:sz w:val="20"/>
            <w:u w:val="single"/>
          </w:rPr>
          <w:t>May 14, 2025</w:t>
        </w:r>
      </w:hyperlink>
      <w:r>
        <w:rPr>
          <w:rFonts w:ascii="Times New Roman;serif" w:hAnsi="Times New Roman;serif"/>
          <w:b w:val="false"/>
          <w:color w:val="000000"/>
          <w:sz w:val="20"/>
        </w:rPr>
        <w:t xml:space="preserve">, for the quarter ended June 30, 2025, filed with the SEC on </w:t>
      </w:r>
      <w:hyperlink r:id="rId13">
        <w:r>
          <w:rPr>
            <w:rStyle w:val="InternetLink"/>
            <w:rFonts w:ascii="Times New Roman;serif" w:hAnsi="Times New Roman;serif"/>
            <w:b w:val="false"/>
            <w:color w:val="0000FF"/>
            <w:sz w:val="20"/>
            <w:u w:val="single"/>
          </w:rPr>
          <w:t>August 14, 2025</w:t>
        </w:r>
      </w:hyperlink>
      <w:r>
        <w:rPr>
          <w:rFonts w:ascii="Times New Roman;serif" w:hAnsi="Times New Roman;serif"/>
          <w:b w:val="false"/>
          <w:color w:val="000000"/>
          <w:sz w:val="20"/>
        </w:rPr>
        <w:t xml:space="preserve">, and for the quarter ended September 30, 2025, filed with the SEC on </w:t>
      </w:r>
      <w:hyperlink r:id="rId14">
        <w:r>
          <w:rPr>
            <w:rStyle w:val="InternetLink"/>
            <w:rFonts w:ascii="Times New Roman;serif" w:hAnsi="Times New Roman;serif"/>
            <w:b w:val="false"/>
            <w:color w:val="0000FF"/>
            <w:sz w:val="20"/>
            <w:u w:val="single"/>
          </w:rPr>
          <w:t>November 13, 2025</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or 8-K/A filed with the SEC on </w:t>
      </w:r>
      <w:hyperlink r:id="rId15">
        <w:r>
          <w:rPr>
            <w:rStyle w:val="InternetLink"/>
            <w:rFonts w:ascii="Times New Roman;serif" w:hAnsi="Times New Roman;serif"/>
            <w:b w:val="false"/>
            <w:color w:val="0000FF"/>
            <w:sz w:val="20"/>
            <w:u w:val="single"/>
          </w:rPr>
          <w:t>January 8, 2025</w:t>
        </w:r>
      </w:hyperlink>
      <w:r>
        <w:rPr>
          <w:rFonts w:ascii="Times New Roman;serif" w:hAnsi="Times New Roman;serif"/>
          <w:b w:val="false"/>
          <w:color w:val="000000"/>
          <w:sz w:val="20"/>
        </w:rPr>
        <w:t xml:space="preserve">, </w:t>
      </w:r>
      <w:hyperlink r:id="rId16">
        <w:r>
          <w:rPr>
            <w:rStyle w:val="InternetLink"/>
            <w:rFonts w:ascii="Times New Roman;serif" w:hAnsi="Times New Roman;serif"/>
            <w:b w:val="false"/>
            <w:color w:val="0000FF"/>
            <w:sz w:val="20"/>
            <w:u w:val="single"/>
          </w:rPr>
          <w:t>January 13, 2025</w:t>
        </w:r>
      </w:hyperlink>
      <w:r>
        <w:rPr>
          <w:rFonts w:ascii="Times New Roman;serif" w:hAnsi="Times New Roman;serif"/>
          <w:b w:val="false"/>
          <w:color w:val="000000"/>
          <w:sz w:val="20"/>
        </w:rPr>
        <w:t xml:space="preserve">, </w:t>
      </w:r>
      <w:hyperlink r:id="rId17">
        <w:r>
          <w:rPr>
            <w:rStyle w:val="InternetLink"/>
            <w:rFonts w:ascii="Times New Roman;serif" w:hAnsi="Times New Roman;serif"/>
            <w:b w:val="false"/>
            <w:color w:val="0000FF"/>
            <w:sz w:val="20"/>
            <w:u w:val="single"/>
          </w:rPr>
          <w:t>January 17, 2025</w:t>
        </w:r>
      </w:hyperlink>
      <w:r>
        <w:rPr>
          <w:rFonts w:ascii="Times New Roman;serif" w:hAnsi="Times New Roman;serif"/>
          <w:b w:val="false"/>
          <w:color w:val="000000"/>
          <w:sz w:val="20"/>
        </w:rPr>
        <w:t xml:space="preserve">, </w:t>
      </w:r>
      <w:hyperlink r:id="rId18">
        <w:r>
          <w:rPr>
            <w:rStyle w:val="InternetLink"/>
            <w:rFonts w:ascii="Times New Roman;serif" w:hAnsi="Times New Roman;serif"/>
            <w:b w:val="false"/>
            <w:color w:val="0000FF"/>
            <w:sz w:val="20"/>
            <w:u w:val="single"/>
          </w:rPr>
          <w:t>February 7, 2025</w:t>
        </w:r>
      </w:hyperlink>
      <w:r>
        <w:rPr>
          <w:rFonts w:ascii="Times New Roman;serif" w:hAnsi="Times New Roman;serif"/>
          <w:b w:val="false"/>
          <w:color w:val="000000"/>
          <w:sz w:val="20"/>
        </w:rPr>
        <w:t xml:space="preserve">, </w:t>
      </w:r>
      <w:hyperlink r:id="rId19">
        <w:r>
          <w:rPr>
            <w:rStyle w:val="InternetLink"/>
            <w:rFonts w:ascii="Times New Roman;serif" w:hAnsi="Times New Roman;serif"/>
            <w:b w:val="false"/>
            <w:color w:val="0000FF"/>
            <w:sz w:val="20"/>
            <w:u w:val="single"/>
          </w:rPr>
          <w:t>April 15, 2025</w:t>
        </w:r>
      </w:hyperlink>
      <w:r>
        <w:rPr>
          <w:rFonts w:ascii="Times New Roman;serif" w:hAnsi="Times New Roman;serif"/>
          <w:b w:val="false"/>
          <w:color w:val="000000"/>
          <w:sz w:val="20"/>
        </w:rPr>
        <w:t xml:space="preserve">, </w:t>
      </w:r>
      <w:hyperlink r:id="rId20">
        <w:r>
          <w:rPr>
            <w:rStyle w:val="InternetLink"/>
            <w:rFonts w:ascii="Times New Roman;serif" w:hAnsi="Times New Roman;serif"/>
            <w:b w:val="false"/>
            <w:color w:val="0000FF"/>
            <w:sz w:val="20"/>
            <w:u w:val="single"/>
          </w:rPr>
          <w:t>June 30, 2025</w:t>
        </w:r>
      </w:hyperlink>
      <w:r>
        <w:rPr>
          <w:rFonts w:ascii="Times New Roman;serif" w:hAnsi="Times New Roman;serif"/>
          <w:b w:val="false"/>
          <w:color w:val="000000"/>
          <w:sz w:val="20"/>
        </w:rPr>
        <w:t xml:space="preserve">, </w:t>
      </w:r>
      <w:hyperlink r:id="rId21">
        <w:r>
          <w:rPr>
            <w:rStyle w:val="InternetLink"/>
            <w:rFonts w:ascii="Times New Roman;serif" w:hAnsi="Times New Roman;serif"/>
            <w:b w:val="false"/>
            <w:color w:val="0000FF"/>
            <w:sz w:val="20"/>
            <w:u w:val="single"/>
          </w:rPr>
          <w:t>July 15, 2025</w:t>
        </w:r>
      </w:hyperlink>
      <w:r>
        <w:rPr>
          <w:rFonts w:ascii="Times New Roman;serif" w:hAnsi="Times New Roman;serif"/>
          <w:b w:val="false"/>
          <w:color w:val="000000"/>
          <w:sz w:val="20"/>
        </w:rPr>
        <w:t xml:space="preserve">, </w:t>
      </w:r>
      <w:hyperlink r:id="rId22">
        <w:r>
          <w:rPr>
            <w:rStyle w:val="InternetLink"/>
            <w:rFonts w:ascii="Times New Roman;serif" w:hAnsi="Times New Roman;serif"/>
            <w:b w:val="false"/>
            <w:color w:val="0000FF"/>
            <w:sz w:val="20"/>
            <w:u w:val="single"/>
          </w:rPr>
          <w:t>July 16, 2025</w:t>
        </w:r>
      </w:hyperlink>
      <w:r>
        <w:rPr>
          <w:rFonts w:ascii="Times New Roman;serif" w:hAnsi="Times New Roman;serif"/>
          <w:b w:val="false"/>
          <w:color w:val="000000"/>
          <w:sz w:val="20"/>
        </w:rPr>
        <w:t xml:space="preserve">, </w:t>
      </w:r>
      <w:hyperlink r:id="rId23">
        <w:r>
          <w:rPr>
            <w:rStyle w:val="InternetLink"/>
            <w:rFonts w:ascii="Times New Roman;serif" w:hAnsi="Times New Roman;serif"/>
            <w:b w:val="false"/>
            <w:color w:val="0000FF"/>
            <w:sz w:val="20"/>
            <w:u w:val="single"/>
          </w:rPr>
          <w:t>September 2, 2025</w:t>
        </w:r>
      </w:hyperlink>
      <w:r>
        <w:rPr>
          <w:rFonts w:ascii="Times New Roman;serif" w:hAnsi="Times New Roman;serif"/>
          <w:b w:val="false"/>
          <w:color w:val="000000"/>
          <w:sz w:val="20"/>
        </w:rPr>
        <w:t xml:space="preserve">, </w:t>
      </w:r>
      <w:hyperlink r:id="rId24">
        <w:r>
          <w:rPr>
            <w:rStyle w:val="InternetLink"/>
            <w:rFonts w:ascii="Times New Roman;serif" w:hAnsi="Times New Roman;serif"/>
            <w:b w:val="false"/>
            <w:color w:val="0000FF"/>
            <w:sz w:val="20"/>
            <w:u w:val="single"/>
          </w:rPr>
          <w:t>December 4, 2025</w:t>
        </w:r>
      </w:hyperlink>
      <w:r>
        <w:rPr>
          <w:color w:val="000000"/>
        </w:rPr>
        <w:t xml:space="preserve"> </w:t>
      </w:r>
      <w:r>
        <w:rPr>
          <w:rFonts w:ascii="Times New Roman;serif" w:hAnsi="Times New Roman;serif"/>
          <w:b w:val="false"/>
          <w:color w:val="000000"/>
          <w:sz w:val="20"/>
        </w:rPr>
        <w:t xml:space="preserve">and </w:t>
      </w:r>
      <w:hyperlink r:id="rId25">
        <w:r>
          <w:rPr>
            <w:rStyle w:val="InternetLink"/>
            <w:rFonts w:ascii="Times New Roman;serif" w:hAnsi="Times New Roman;serif"/>
            <w:b w:val="false"/>
            <w:color w:val="0000FF"/>
            <w:sz w:val="20"/>
            <w:u w:val="single"/>
          </w:rPr>
          <w:t>January 5,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our Registration Statement on Form 8-A12B, filed with the SEC on </w:t>
      </w:r>
      <w:hyperlink r:id="rId26">
        <w:r>
          <w:rPr>
            <w:rStyle w:val="InternetLink"/>
            <w:rFonts w:ascii="Times New Roman;serif" w:hAnsi="Times New Roman;serif"/>
            <w:b w:val="false"/>
            <w:color w:val="0000FF"/>
            <w:sz w:val="20"/>
            <w:u w:val="single"/>
          </w:rPr>
          <w:t>December 8, 2021</w:t>
        </w:r>
      </w:hyperlink>
      <w:r>
        <w:rPr>
          <w:rFonts w:ascii="Times New Roman;serif" w:hAnsi="Times New Roman;serif"/>
          <w:b w:val="false"/>
          <w:color w:val="000000"/>
          <w:sz w:val="20"/>
        </w:rPr>
        <w:t xml:space="preserve">, as most recently updated by </w:t>
      </w:r>
      <w:hyperlink r:id="rId27">
        <w:r>
          <w:rPr>
            <w:rStyle w:val="InternetLink"/>
            <w:rFonts w:ascii="Times New Roman;serif" w:hAnsi="Times New Roman;serif"/>
            <w:b w:val="false"/>
            <w:color w:val="0000FF"/>
            <w:sz w:val="20"/>
            <w:u w:val="single"/>
          </w:rPr>
          <w:t>Exhibit 4.4</w:t>
        </w:r>
      </w:hyperlink>
      <w:r>
        <w:rPr>
          <w:color w:val="000000"/>
        </w:rPr>
        <w:t xml:space="preserve"> </w:t>
      </w:r>
      <w:r>
        <w:rPr>
          <w:rFonts w:ascii="Times New Roman;serif" w:hAnsi="Times New Roman;serif"/>
          <w:b w:val="false"/>
          <w:color w:val="000000"/>
          <w:sz w:val="20"/>
        </w:rPr>
        <w:t>to our Annual Report on Form 10-K for the year ended December 31, 2024, filed with the SEC on April 15, 2025, including any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reports and other documents we subsequently file pursuant to Sections 13(a), 13(c), 14 or 15(d) of the Securities Exchange Act of 1934, as amended, which we refer to as the “Exchange Act” in this prospectus, on or after the date of the initial filing of the registration statement of which this prospectus is a part and prior to effectiveness of the registration statement, and on or after the date of this prospectus and prior to the termination of the offering under this prospectus and any prospectus supplement, will also be incorporated by reference in this </w:t>
      </w: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prospectus and deemed to be part of this prospectus from the date of the filing of such reports and documents. We are not, however, incorporating by reference any documents or portions thereof, whether specifically listed above or filed in the future, that are not deemed “filed” with the SEC, including any Compensation Committee report or performance graph or any information furnished pursuant to Items 2.02 or 7.01 of Form 8-K or related exhibits furnished pursuant to Item 9.01 of Form 8-K.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request a free copy of any of the documents incorporated by reference in this prospectus by writing or telephoning us at the following address: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Blaize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4659 Golden Foothill Parkway, Suite 206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El Dorado Hills, CA 95762 (916) 347-0050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(916) 347-0050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 in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COMPANY</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Overview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Blaize provides purpose-built, transformative artificial intelligence (“AI”)-enabled edge computing solutions comprised of hardware and software intended to optimize AI from the edge to the core, with a full-stack programmable processor architecture suite and low-code/no-code software platform that enables AI processing solutions for high-performance computing at both the network’s edge and at data centers. Our solutions are intended to deliver real-time insights and decision-making capabilities at low power consumption, high efficiency, minimal size, and low cost.</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Recent Developments</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Customers</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Historical Revenue and Growth Expectations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revenue is historically derived from significant customers, some of whom may be related parties. During the first nine months of 2025, our revenue was derived from two significant customers. The first significant customer, located in the Asia Pacific region, is not a related party, and comprised 70% of our revenue during the first nine months of 2025. The other significant customer, located in North America, is a related party and comprised 20% of our revenue during the first nine months of 2025. In 2025, all of our revenue was derived from sales of hardware and software products, and no revenue was derived from services.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2024, 98% of our revenue was derived from two different customers, located in both North America and Asia Pacific, both of whom were related parties. In 2024, substantially all of our revenue was derived from services revenue, and these development services contracts have expired.</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anticipate our growth to continue in the Asia-Pacific, North America, and the Persian Gulf regions, as further described below.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Since our revenue is currently concentrated among a small number of customers, revenue recognized from any one significant customer may change the geographical mix of our revenue. Going forward, we expect to derive revenue primarily from sales of hardware and software products and also from professional services.</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Purchase Order Contract Agreement (the “POCA”) in the Persian Gulf Region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May 1, 2024, Blaize entered into a Purchase Order Contract Agreement (the “POCA”) with a UAE private company (the “POCA Counterparty”) that provides defense and other solutions to government entities in the Gulf Cooperation Council region. The initial agreement related to solutions for a defense entity in UAE (collectively, the “Customer”). The POCA was amended on October 18, 2024 to add additional detail regarding hardware and software requirements and estimated delivery schedules. Under the POCA, Blaize expects to provide several solutions to the POCA Counterparty that require low latency, low power and high-performance compute in the field. Specifically, the POCA Counterparty, as the Technical Service Provider (“TSP”) licensed by the Department of Economic Development, Abu Dhabi, Government of United Arab Emirates, and Blaize, as the supplier of equipment, software and/or managed services to TSP for the purpose of installation, provision, operations and/or maintenance of TSP’s networks (in such capacity, the “Vendor”), agreed that the Vendor will supply equipment and services for consideration of up to $104.0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POCA established a timeline for each of the projects, including deadlines for the deliverables that TSP will require, beginning in the third quarter of 2024 through the fourth quarter of 2025. The timelines were predicated on the Customer defining the first field trials based on its data, after which production of the final solutions would commence. The POCA will continue to be in full force and effect unless terminated earlier by TSP.</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Performance of the parties’ obligations under the POCA has been delayed as the Customer changed its initial field trial priorities. As of January 27, 2026, Blaize has not shipped any products or received any payments from the POCA Counterparty. Under the terms of the POCA, Blaize must receive advance payment by the POCA Counterparty before the shipment of any product. Though no revenues have been realized under the terms of the POCA to date, Blaize is expecting to initiate work on field trials once the Customer has identified the specific use cases and provides access to its data. The pace of deployment is contingent on the timing of the Customer’s decisions, and there is no guarantee that field trials will be successful.</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that the solutions Blaize is currently developing for TSP and the Customer demonstrate Blaize’s capability to create a full-stack solution for the defense and other industries, and we have been in discussions with the POCA Counterparty throughout 2025 about additional potential opportunities, though there can be no guarantee that such discussions will result in any definitive agreement between the parties.</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Legal Proceedings</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Jefferies LLC v. Blaize Holdings, Inc. (formerly known as BurTech Acquisition Corp.)</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previously disclosed, the Company was involved in litigation with Jefferies LLC (“Jefferies”) in New York state court related to disputed fees and expenses under an Advisory Services Engagement Letter between BurTech Acquisition Corp and Jefferies for the Business Combination. On November 30, 2025, Blaize and Jefferies settled the matter.</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Background</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January 13, 2025, subsequent to the end of fiscal year ended December 31, 2024,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Corporate Information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Common Stock is listed on Nasdaq under the symbol “BZAI.” Our principal executive offices are located at 4659 Golden Foothill Parkway in El Dorado Hills, California, 95762, and our telephone number is (916) 347-0050. Our website address is www.blaize.com. The information contained in, or accessible through, our website does not constitute a part of this prospectus. We have included our website address in this prospectus solely as an inactive textual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a high degree of risk. You should consider the risks, uncertainties and other factors described under the caption "Item 1A. Risk Factors" in our most recent Annual Report on Form 10-K, as supplemented and updated by subsequent Quarterly Reports on Form 10-Q, that we have filed or will file with the SEC, and in other documents which are incorporated by reference in this prospectus, as well as the risk factors and other information contained in or incorporated by reference in any accompanying prospectus supplement, together with all of the other information included in this prospectus. The risks and uncertainties we have described in such documents are not the only risks that we face. Additional risks and uncertainties not presently known to us or that we currently deem immaterial may also affect our operations. If any of these or any unanticipated risks actually occur, our business, financial condition and results of operations could be materially and adversely affected and the trading price of our securities could decline, causing you to lose some or all of your investment in our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actual operating results may differ significantly from any guidance that we may provide.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may release projections or guidance in our quarterly earnings releases, quarterly earnings conference calls, or otherwise regarding our future performance that represents our management’s estimates as of the date of release. Any guidance we provide is based on certain assumptions, which may or may not prove to be correct. Failure to meet announced guidance or market expectations going forward, particularly with respect to our operational and financial results, shareholder returns, and expectations regarding the success of our business initiatives, whether due to our assumptions not being met or the impact of various risks and uncertainties, is likely to result in either or both a decline in or increased volatility in the market price of our stock. In addition, price and volume fluctuations in the stock market as a whole may affect the market price of our stock in ways that may be unrelated to our financial performance.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long-term success may in part depend on our ability to expand sales to customers located outside of the United States, and we may experience difficulties in collections of our accounts receivable, or other matters that could adversely affect our 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substantial part of our sales is expected to be outside of the United States and some of our customers have some or all of their operations in countries other than the United States, including China and India. Customers located in these markets can present unique challenges compared to other markets, including longer payment cycles, difficulties in enforcing agreements and collecting payments due to us through certain foreign legal systems,  higher credit risk, and fluctuations in the timing and amount of purchase orders. For example, several of our current customers have payment terms or payment practices that are longer than customary in the United States, which has delayed our ability to collect amounts due to us. Problems with collections from, or sales to, any one of those customers could materially and adversely affect our revenues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SPECIAL NOTE REGARDING FORWARD-LOOKING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any applicable prospectus supplement, the documents incorporated by reference herein and therein and any applicable free writing prospectus may contain forward-looking statements. All statements other than statements of historical facts contained in this prospectus, any applicable prospectus supplement, the documents incorporated by reference herein and therein and any applicable free writing prospectus, are forward-looking statements, including statements regarding our future results of operations and financial position, business strategy, financial results and financial position, prospective products, product approvals, research and development costs, timing and likelihood of success, and the plans and objectives of management for future operations.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any applicable prospectus supplement, the documents incorporated by reference herein and therein and any applicable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prospectus, any applicable prospectus supplement, the documents incorporated by reference herein and therein and any applicable free writing prospectus are only predictions and are based largely on our current expectations and projections about future events and financial trends that we believe may affect our business, financial condition, and results of operations. These forward-looking statements speak only as of the respective dates of this prospectus, any applicable prospectus supplement, the documents incorporated by reference herein and therein and any applicable free writing prospectus, as applicable, and are subject to a number of known and unknown risks, uncertainties and assumptions, including, but not limited to, those described under “Risk Factors” and elsewhere in this prospectus, any applicable prospectus supplement, the documents incorporated by reference herein and therein, and any applicable free writing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any applicable prospectus supplement, the documents incorporated by reference herein and therein and any applicable free writing prospectus,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the securities as set forth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the date of this prospectus, we had two classes of securities registered pursuant to Section 12 of the Exchange Act: our common stock and our Public Warrants (as defined below).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summarizes some of the terms of our certificate of incorporation and bylaws and the Delaware General Corporation Law (“DGCL”). This description is summarized from, and qualified in its entirety by reference to, our certificate of incorporation and bylaws, each of which has been publicly filed with the SEC and attached hereto as Exhibits 3.1 and 3.2, respectively, as well as the relevant provisions of the DGCL.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Voting Power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Liquidation, Dissolution and Winding Up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Preemptive or Other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stockholders have no preemptive or other subscription rights. No sinking fund provisions are applicable to our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and the number of shares constituting any series or the designation of any series, all to the fullest extent now or hereafter permitted by the DGCL. The issuance of our preferred stock could have the effect of </w:t>
      </w: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decreasing the trading price of our Common Stock, restricting dividends on the capital stock of Blaize, diluting the voting power of our Common Stock, impairing the liquidation rights of the capital stock of Blaize, or delaying or preventing a change in control of Blaize.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Election of Directors and Vacancies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rights of the holders of any one or more series of preferred stock to elect additional directors under specified circumstances and the terms, the number of directors of our Board is fixed solely and exclusively by our Board, but it currently consists of seven (7)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Bylaws and except as otherwise provided by the Charter, at all meetings of stockholders called for the election of directors at which a quorum is present, a plurality of the votes properly cast is sufficient to elect such directors to the Board.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w:t>
      </w:r>
    </w:p>
    <w:p>
      <w:pPr>
        <w:pStyle w:val="TextBody"/>
        <w:bidi w:val="0"/>
        <w:spacing w:lineRule="auto" w:line="288" w:before="0" w:after="180"/>
        <w:jc w:val="left"/>
        <w:rPr/>
      </w:pPr>
      <w:r>
        <w:rPr>
          <w:rFonts w:ascii="Times New Roman;serif" w:hAnsi="Times New Roman;serif"/>
          <w:b w:val="false"/>
          <w:color w:val="000000"/>
          <w:sz w:val="20"/>
        </w:rPr>
        <w:t>Subject to the rights, if any, of the holders of any one or more series of our preferred stock, any director may be removed from office only for cause and only by the affirmative vote of the holders of not less than sixty-six and two-thirds percent (66</w:t>
      </w:r>
      <w:r>
        <w:rPr>
          <w:rFonts w:ascii="Times New Roman;serif" w:hAnsi="Times New Roman;serif"/>
          <w:b w:val="false"/>
          <w:color w:val="000000"/>
          <w:sz w:val="13"/>
        </w:rPr>
        <w:t>2/3</w:t>
      </w:r>
      <w:r>
        <w:rPr>
          <w:rFonts w:ascii="Times New Roman;serif" w:hAnsi="Times New Roman;serif"/>
          <w:b w:val="false"/>
          <w:color w:val="000000"/>
          <w:sz w:val="20"/>
        </w:rPr>
        <w:t>%) of the outstanding capital stock of Blaize then entitled to vote generally in the election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Quorum; Voting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w:t>
      </w: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present, may continue to transact business until adjournment, notwithstanding the withdrawal of enough stockholders to leave less than a quorum.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Anti-takeover Effects of the Charter and the Bylaws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Authorized but Unissued 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 shares that may be issued in the future may be used for a variety of corporate purposes, including future public offerings, to raise additional capital or to facilitate acquisitions.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Meeting, Action by Written Consent and Advance Notice Requirements for Stockholder Proposals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 (c) our Board or (d) the President.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meeting. Business transacted at any special meeting of stockholders will be limited to the purposes stated in the notice.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provisions could have the effect of delaying until the next stockholder meeting any stockholder actions, even if they are favored by the holders of a majority of our outstanding voting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Amendment to Certificate of Incorporation and Bylaws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pStyle w:val="TextBody"/>
        <w:bidi w:val="0"/>
        <w:spacing w:lineRule="auto" w:line="288" w:before="0" w:after="180"/>
        <w:jc w:val="left"/>
        <w:rPr/>
      </w:pPr>
      <w:r>
        <w:rPr>
          <w:rFonts w:ascii="Times New Roman;serif" w:hAnsi="Times New Roman;serif"/>
          <w:b w:val="false"/>
          <w:color w:val="000000"/>
          <w:sz w:val="20"/>
        </w:rPr>
        <w:t>Our certificate of incorporation provides, however, in addition to the votes required by law, that the following provisions therein may be amended, altered, repealed or rescinded only by the affirmative vote of the holders of at least sixty-six and two-thirds percent (66</w:t>
      </w:r>
      <w:r>
        <w:rPr>
          <w:rFonts w:ascii="Times New Roman;serif" w:hAnsi="Times New Roman;serif"/>
          <w:b w:val="false"/>
          <w:color w:val="000000"/>
          <w:sz w:val="13"/>
        </w:rPr>
        <w:t>2/3</w:t>
      </w:r>
      <w:r>
        <w:rPr>
          <w:rFonts w:ascii="Times New Roman;serif" w:hAnsi="Times New Roman;serif"/>
          <w:b w:val="false"/>
          <w:color w:val="000000"/>
          <w:sz w:val="20"/>
        </w:rPr>
        <w:t>%) of the voting power of all of the then-outstanding shares of capital stock of Blaize entitled to thereon, voting together as a single class: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the two classes of capital stock of Blaize and the designations and the powers, privileges and rights, and the qualifications, limitations or restrictions thereof in respect of each class of capital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the management of Blaize, the size of our Board, the election and removal of directors to our Board, the filling of vacancies, preferred stockholder election rights, and bylaw amendments;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the actions of stockholders of Blaize, advance notice of business to be brought by stockholders and special meetings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the limited liability of directors or officers of Blaize;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the indemnification of the current and former officers, directors, employees and agents of Blaize;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exclusive forums for certain actions;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regarding amending our certificate of incorporation.</w:t>
      </w:r>
    </w:p>
    <w:p>
      <w:pPr>
        <w:pStyle w:val="TextBody"/>
        <w:bidi w:val="0"/>
        <w:spacing w:lineRule="auto" w:line="288" w:before="0" w:after="180"/>
        <w:jc w:val="left"/>
        <w:rPr/>
      </w:pPr>
      <w:r>
        <w:rPr>
          <w:rFonts w:ascii="Times New Roman;serif" w:hAnsi="Times New Roman;serif"/>
          <w:b w:val="false"/>
          <w:color w:val="000000"/>
          <w:sz w:val="20"/>
        </w:rPr>
        <w:t>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w:t>
      </w:r>
      <w:r>
        <w:rPr>
          <w:rFonts w:ascii="Times New Roman;serif" w:hAnsi="Times New Roman;serif"/>
          <w:b w:val="false"/>
          <w:color w:val="000000"/>
          <w:sz w:val="13"/>
        </w:rPr>
        <w:t>2/3</w:t>
      </w:r>
      <w:r>
        <w:rPr>
          <w:rFonts w:ascii="Times New Roman;serif" w:hAnsi="Times New Roman;serif"/>
          <w:b w:val="false"/>
          <w:color w:val="000000"/>
          <w:sz w:val="20"/>
        </w:rPr>
        <w:t>%) of the voting power of all of the then-outstanding shares of the capital stock of Blaize entitled to vote thereon, voting together as a single class.</w:t>
      </w: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Limitations on Liability and Indemnification of Officers and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Exclusive Forum of Certain 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 (C) 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Public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the consummation of the Merger, BurTech’s 28,750,000 legacy public warrants issued in BurTech’s initial public offering and 898,250 legacy private warrants outstanding immediately prior to the Merger became warrants to purchase the Company’s common stock. All of these warrants are now public warrants (each, a “Public Warrant”) and trade under the ticker symbol “BZAIW”.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Public Warrant entitles the registered holder to purchase one share of Common Stock at a price of $11.50 per share, subject to adjustment as discussed below. Pursuant to the warrant agreement, a Public Warrant holder may exercise its Public Warrants only for a whole number of shares of Common Stock. This means that only a whole Public Warrant may be exercised at any given time by a Public Warrant holder, and only whole Public Warrants will </w:t>
      </w: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trade. The Public Warrants will expire five years after the Closing, at 5:00 p.m., New York City time, or earlier upon redemption or liquidation.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Redemption of Public Warrants when the price per share of Common Stock equals or exceeds $18.00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call the Public Warrants for redemption for cash: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whole and not in part;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price of $0.01 per Public Warrant;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upon not less than 30 days’ prior written notice of redemption given after the Public Warrants become exercisable (the “30-day redemption period”) to each Public Warrant 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and only if, there is a current registration statement in effect with respect to the shares of Common Stock underlying such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established the last of the redemption criteria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its Public Warrant prior to the scheduled redemption date. However, the price of Common Stock may stay below the $18.00 redemption trigger price (as adjusted for stock splits, stock dividends, reorganizations, recapitalizations and the like) as well as the $11.50 (for whole shares) warrant exercise price after the redemption notice is issued.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w:t>
      </w: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market value” in such case. Requiring a cashless exercise in this manner will reduce the number of shares to be issued and thereby lessen the dilutive effect of a Public Warrant redemption.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Redemption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Anti-Dilution Adjustments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Terms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Public Warrants are issued in registered form under a warrant agreement between Continental Stock Transfer &amp; Trust Company, as warrant agent, and Blaize.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Blaize, for the number of Public Warrants being exercised. The Public Warrant holders do not have the rights or privileges of holders of Common Stock and any voting rights </w:t>
      </w: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until they exercise their Public Warrants and receive Common Stock. After the issuance of Common Stock upon exercise of the Public Warrants, each holder will be entitled to one vote for each share held of record on all matters to be voted on by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Agent and Warrant Agent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transfer agent for our Common Stock and warrant agent for the Public Warrants is Continental Stock Transfer &amp; Trust Company.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Trading Symbols and Market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and Public Warrants are listed on the Nasdaq Global Market under the symbol “BZAI” and “BZAIW,”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used in this section only, “Blaize,” “we,” “our” or “us” refer to Blaize Holdings, Inc., excluding our subsidiaries, unless expressly stated or the context otherwise requires.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and ranking of the debt securities (including the terms of any subordination provisions);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or prices (expressed as a percentage of the principal amount) at which we will sell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limit on the aggregate principal amount of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or dates on which the principal of the securities of the series is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period or periods within which, the price or prices at which and the terms and conditions upon which we may redeem the debt securities;</w:t>
      </w: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dates on which and the price or prices at which we will repurchase debt securities at the option of the holders of debt securities and other detailed terms and provisions of these repurchase obligations;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denominations in which the debt securities will be issued, if other than denominations of $1,000 and any integral multiple thereof;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will be issued in the form of certificated debt securities or global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portion of principal amount of the debt securities payable upon declaration of acceleration of the maturity date, if other than the principal amount;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of the currency, currencies or currency units in which payment of principal of, and premium and interest on, the debt securities will be made;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manner in which the amounts of payment of principal of, or premium, if any, or interest on, the debt securities will be determined, if these amounts may be determined by reference to an index based on a currency or currencies or by reference to a commodity, commodity index, stock exchange index or financial index;</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relating to any security provided for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 to, deletion of or change in the covenants described in this prospectus or in the indenture with respect to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depositaries, interest rate calculation agents, exchange rate calculation agents or other agents with respect to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any of our direct or indirect subsidiaries will guarantee the debt securities of that series, including the terms of subordination, if any, of such guarantees.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that provide for an amount less than their stated principal amount to be due and payable upon declaration of acceleration of their maturity pursuant to the terms of the indenture. We will provide </w:t>
      </w: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with information on certain U.S. federal income tax considerations and other special considerations applicable to any of these debt securities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certain U.S. federal income tax considerations, specific terms and other information with respect to that issue of debt securities and such foreign currency or currencies or foreign currency unit or units in the applicable prospectus supplement.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and Exchange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Certificated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Global Debt Securities and Book-Entry System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global debt security representing book-entry debt securities will be deposited with, or on behalf of, the Depositary, and registered in the name of the Depositary or a nominee of the Depositary. Please see “Global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Covenants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set forth in the applicable prospectus supplement any restrictive covenants applicable to any issue of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Protection in the Event of a Change in Control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Consolidation, Merger and Sale of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not consolidate with or merge with or into, or convey, transfer or lease all or substantially all of our properties and assets to, any person (a “successor person”) unless: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the surviving corporation or the successor person (if other than Blaize) is a corporation organized and validly existing under the laws of any U.S. domestic jurisdiction and expressly assumes our obligations on the debt securities and under the indenture; and</w:t>
      </w: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immediately after giving effect to the transaction, no Default or Event of Default, shall have occurred and be continuing.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Notwithstanding the above, any of our subsidiaries may consolidate with, merge into or transfer all or part of its properties to 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Events of Default</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Event of Default” means, with respect to any series of debt securities, any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default in the payment of principal of any security of that series at its maturity;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Blaize and the trustee receives written notice from the holders of not less than 25% in principal amount of the outstanding debt securities of that series as provided in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certain voluntary or involuntary events of bankruptcy, insolvency or reorganization of Blaize;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Event of Default provided with respect to debt securities of that series that is described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Event of Default with respect to debt securities of any series at the time outstanding occurs and is continuing (other than an Event of Default resulting from certain events of bankruptcy, insolvency or reorganization),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w:t>
      </w: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that holder has previously given to the trustee written notice of a continuing Event of Default with respect to debt securities of that series;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Modification and Waiver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and the trustee may modify, amend or supplement the indenture or the debt securities of any series without the consent of any holder of any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cure any ambiguity, defect or inconsistency;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covenants in the indenture described above under the heading “Consolidation, Merger and Sale of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uncertificated securities in addition to or in place of certificated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guarantees with respect to debt securities of any series or secure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surrender any of our rights or powers under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covenants or events of default for the benefit of the holders of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the applicable procedures of the applicable depositary;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make any change that does not adversely affect the rights of any holder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the issuance of and establish the form and terms and conditions of debt securities of any series as permitted by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effect the appointment of a successor trustee with respect to the debt securities of any series and to add to or change any of the provisions of the indenture to provide for or facilitate administration by more than one trustee; or</w:t>
      </w: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requirements of the SEC in order to effect or maintain the qualification of the indenture under the Trust Indenture Act of 1939, as amended.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amount of debt securities whose holders must consent to an amendment, supplement or waiver;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rate of or extend the time for payment of interest (including default interest) on any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principal of or premium on or change the fixed maturity of any debt security or reduce the amount of, or postpone the date fixed for, the payment of any sinking fund or analogous obligation with respect to any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principal amount of discount securities payable upon acceleration of maturity;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the principal of or premium or interest on any debt security payable in currency other than that stated in the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waive a redemption payment with respect to any debt security.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Defeasance of Debt Securities and Certain Covenants in Certain Circumstances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Legal Defeasance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Defeasance of Certain Covenants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provides that, unless otherwise provided by the terms of the applicable series of debt securities, upon compliance with certain conditions: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omission to comply with those covenants will not constitute a Default or an Event of Default with respect to the debt securities of that series (“covenant defeasance”).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conditions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Personal Liability of Directors, Officers, Employees or Securityholders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and the debt securities, including any claim or controversy arising out of or relating to the indenture or the securities, will be governed by the laws of the State of New York.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before="0" w:after="18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particular terms of any issue of warrants will be described in the prospectus supplement relating to the issue. Those terms may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shares of common stock or preferred stock purchasable upon the exercise of warrants to purchase such shares and the price at which such number of shares may be purchased upon such exercise;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stated value and terms (including, without limitation, liquidation, dividend, conversion and voting rights) of the series of preferred stock purchasable upon exercise of warrants to purchase preferred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principal amount of debt securities that may be purchased upon exercise of a debt warrant and the exercise price for the warrants, which may be payable in cash, securities or other property;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if any, on and after which the warrants and the related debt securities, preferred stock or common stock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of any rights to redeem or call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warrants will commence and the date on which the right will expire;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certain United States federal income tax considerations applicable to the warrants;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additional terms of the warrants, including terms, procedures, and limitations relating to the exchange, exercise and settlement of the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equity warrants will not be entitled: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vote, consent or receive dividends;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receive notice as shareholders with respect to any meeting of shareholders for the election of our directors or any other matter;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exercise any rights as shareholders of the Company.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w:t>
      </w:r>
    </w:p>
    <w:p>
      <w:pPr>
        <w:pStyle w:val="TextBody"/>
        <w:bidi w:val="0"/>
        <w:spacing w:before="0" w:after="18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exercise, including any rights to receive payments of principal of, or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prospectus supplement and any incorporated documents relating to any rights that we offer will include specific terms relating to the offering, including, among other matters: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of determining the security holders entitled to the rights distribution;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aggregate number of rights issued and the aggregate number of shares of common stock purchasable upon exercise of the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exercise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conditions to completion of the rights offering;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rights will commence and the date on which the rights will expire;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certain United States federal income tax consequences applicable to the rights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right would entitle the holder of the rights to purchase for cash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together with the additional information included in any applicable prospectus supplement, summarizes the general features of the units that we may offer under this prospectus. You should read any prospectus supplement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offer any units, certain terms of that series of units will be described in the applicable prospectus supplement, including, without limitation, the following, as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of the series of units;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identification and description of the separate constituent securities comprising the units;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or prices at which the units will be issued;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if any, on and after which the constituent securities comprising the units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certain United States federal income tax considerations applicable to the units;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units and their constituent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Book-Entry, Delivery and 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DTC has advised us that it is: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limited-purpose trust company organized under the New York Banking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“banking organization” within the meaning of the New York Banking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member of the Federal Reserve System;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“clearing corporation” within the meaning of the New York Uniform Commercial Code;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“clearing agency” registered pursuant to the provisions of Section 17A of the Exchange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w:t>
      </w:r>
    </w:p>
    <w:p>
      <w:pPr>
        <w:pStyle w:val="TextBody"/>
        <w:bidi w:val="0"/>
        <w:spacing w:before="0" w:after="18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respect of the securities and the indenture may be delivered to us and where certificated securities may be surrendered for payment, registration of transfer or exchange.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laws of some jurisdictions may require that some purchasers of securities take physical delivery of securities in definitive form. Those laws may impair the ability to transfer or pledge beneficial interests in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noted above, beneficial owners of a particular series of securities generally will not receive certificates representing their ownership interests in those securities. However, if: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t>
      </w:r>
    </w:p>
    <w:p>
      <w:pPr>
        <w:pStyle w:val="TextBody"/>
        <w:bidi w:val="0"/>
        <w:spacing w:before="0" w:after="18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within 90 days of the notification to us or of our becoming aware of DTC’s ceasing to be so registered, as the case may be;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determine, in our sole discretion, not to have such securities represented by one or more global securities;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Event of Default has occurred and is continuing with respect to such series of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Euroclear and Clearstream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 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Participants in Euroclear or Clearstream may not deliver instructions directly to their respective U.S. depositaries.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w:t>
      </w:r>
    </w:p>
    <w:p>
      <w:pPr>
        <w:pStyle w:val="TextBody"/>
        <w:bidi w:val="0"/>
        <w:spacing w:before="0" w:after="18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which may be changed;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common stock will be listed on Nasdaq,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w:t>
      </w:r>
    </w:p>
    <w:p>
      <w:pPr>
        <w:pStyle w:val="TextBody"/>
        <w:bidi w:val="0"/>
        <w:spacing w:before="0" w:after="18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these transactions may be to stabilize or maintain the market price of the securities at a level above that which might otherwise prevail in the open market. These transactions may be discontinued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specific terms of any lock-up provisions in respect of any given offering will be described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underwriters, dealers and agents may engage in transactions with us, or perform services for us, in the ordinary course of business for which they receive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validity of the issuance of securities offered hereby will be passed upon for us by Faegre Drinker Biddle &amp; Reath LLP. Certain legal matters in connection with the securities offered hereby may be passed upon for any underwriters, dealers or agents by counsel named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Blaize, Inc. and Subsidiaries as of December 31, 2024 and 2023, and for each of the years in the two-year period ended December 31, 2024 incorporated into this prospectus by reference in this Registration Statement, have been audited by UHY LLP, an independent registered public accounting firm, as set forth in their report (which contains an explanatory paragraph relating to Blaize Inc.’s ability to continue as a going concern), which is incorporated herein by reference. Such consolidated financial statements are incorporated by reference in reliance upon the report of such firm given their authority as experts in accounting and auditing.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Blaize Holdings, Inc. as of December 31, 2024 and 2023, and for each of the years in the two-year period ended December 31 2024 incorporated into this prospectus by reference in this Registration Statement, have been audited by Marcum LLP, an independent registered public accounting firm, as set forth in their report thereon (which contains an explanatory paragraph relating to substantial doubt about the ability of Blaize Holdings, Inc. to continue as a going concern as described in Note 1 to the financial statements), which is incorporated herein by reference in reliance on the report of such firm given upon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612"/>
        <w:jc w:val="center"/>
        <w:rPr/>
      </w:pPr>
      <w:r>
        <w:rPr/>
        <w:drawing>
          <wp:inline distT="0" distB="0" distL="0" distR="0">
            <wp:extent cx="2000250" cy="676275"/>
            <wp:effectExtent l="0" t="0" r="0" b="0"/>
            <wp:docPr id="6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 descr=""/>
                    <pic:cNvPicPr>
                      <a:picLocks noChangeAspect="1" noChangeArrowheads="1"/>
                    </pic:cNvPicPr>
                  </pic:nvPicPr>
                  <pic:blipFill>
                    <a:blip r:embed="rId28"/>
                    <a:stretch>
                      <a:fillRect/>
                    </a:stretch>
                  </pic:blipFill>
                  <pic:spPr bwMode="auto">
                    <a:xfrm>
                      <a:off x="0" y="0"/>
                      <a:ext cx="2000250" cy="676275"/>
                    </a:xfrm>
                    <a:prstGeom prst="rect">
                      <a:avLst/>
                    </a:prstGeom>
                  </pic:spPr>
                </pic:pic>
              </a:graphicData>
            </a:graphic>
          </wp:inline>
        </w:drawing>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Blaize Holdings, Inc.</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18,918,918 Shares of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color w:val="000000"/>
          <w:sz w:val="28"/>
        </w:rPr>
      </w:pPr>
      <w:r>
        <w:rPr>
          <w:rFonts w:ascii="Times New Roman;serif" w:hAnsi="Times New Roman;serif"/>
          <w:b/>
          <w:color w:val="000000"/>
          <w:sz w:val="28"/>
        </w:rPr>
        <w:t>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center"/>
        <w:rPr>
          <w:rFonts w:ascii="Times New Roman;serif" w:hAnsi="Times New Roman;serif"/>
          <w:b w:val="false"/>
          <w:i/>
          <w:color w:val="000000"/>
          <w:sz w:val="24"/>
        </w:rPr>
      </w:pPr>
      <w:r>
        <w:rPr>
          <w:rFonts w:ascii="Times New Roman;serif" w:hAnsi="Times New Roman;serif"/>
          <w:b w:val="false"/>
          <w:i/>
          <w:color w:val="000000"/>
          <w:sz w:val="24"/>
        </w:rPr>
        <w:t>Sole Book-Running Manager</w:t>
      </w:r>
    </w:p>
    <w:tbl>
      <w:tblPr>
        <w:tblW w:w="5034" w:type="dxa"/>
        <w:jc w:val="center"/>
        <w:tblInd w:w="0" w:type="dxa"/>
        <w:tblLayout w:type="fixed"/>
        <w:tblCellMar>
          <w:top w:w="28" w:type="dxa"/>
          <w:left w:w="28" w:type="dxa"/>
          <w:bottom w:w="28" w:type="dxa"/>
          <w:right w:w="28" w:type="dxa"/>
        </w:tblCellMar>
      </w:tblPr>
      <w:tblGrid>
        <w:gridCol w:w="124"/>
        <w:gridCol w:w="109"/>
        <w:gridCol w:w="109"/>
        <w:gridCol w:w="1439"/>
        <w:gridCol w:w="1439"/>
        <w:gridCol w:w="144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Northland Capital Markets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Co-Manager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Benchmark, a StoneX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May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71638/000187163826000011/blz-20251231.htm" TargetMode="External"/><Relationship Id="rId4" Type="http://schemas.openxmlformats.org/officeDocument/2006/relationships/hyperlink" Target="https://www.sec.gov/ix?doc=/Archives/edgar/data/0001871638/000187163826000028/blz-20251231.htm" TargetMode="External"/><Relationship Id="rId5" Type="http://schemas.openxmlformats.org/officeDocument/2006/relationships/hyperlink" Target="https://www.sec.gov/ix?doc=/Archives/edgar/data/0001871638/000187163826000001/blz-20251226.htm" TargetMode="External"/><Relationship Id="rId6" Type="http://schemas.openxmlformats.org/officeDocument/2006/relationships/hyperlink" Target="https://www.sec.gov/Archives/edgar/data/1871638/000187163826000025/blz-20260422.htm" TargetMode="External"/><Relationship Id="rId7" Type="http://schemas.openxmlformats.org/officeDocument/2006/relationships/hyperlink" Target="https://www.sec.gov/Archives/edgar/data/1871638/000110465921147615/tm2134592d3_8a12b.htm" TargetMode="External"/><Relationship Id="rId8" Type="http://schemas.openxmlformats.org/officeDocument/2006/relationships/hyperlink" Target="https://www.sec.gov/Archives/edgar/data/1871638/000095017025053870/bzai-ex4_4.htm" TargetMode="External"/><Relationship Id="rId9" Type="http://schemas.openxmlformats.org/officeDocument/2006/relationships/hyperlink" Target="https://www.sec.gov/Archives/edgar/data/1871638/000187163826000027/a2026-q204x15x26shareholde.htm" TargetMode="External"/><Relationship Id="rId10" Type="http://schemas.openxmlformats.org/officeDocument/2006/relationships/image" Target="media/image1.jpeg"/><Relationship Id="rId11" Type="http://schemas.openxmlformats.org/officeDocument/2006/relationships/hyperlink" Target="https://www.sec.gov/ix?doc=/Archives/edgar/data/0001871638/000095017025053870/bzai-20241231.htm" TargetMode="External"/><Relationship Id="rId12" Type="http://schemas.openxmlformats.org/officeDocument/2006/relationships/hyperlink" Target="https://www.sec.gov/ix?doc=/Archives/edgar/data/0001871638/000095017025071593/bzai-20250331.htm" TargetMode="External"/><Relationship Id="rId13" Type="http://schemas.openxmlformats.org/officeDocument/2006/relationships/hyperlink" Target="https://www.sec.gov/ix?doc=/Archives/edgar/data/0001871638/000095017025108998/bzai-20250630.htm" TargetMode="External"/><Relationship Id="rId14" Type="http://schemas.openxmlformats.org/officeDocument/2006/relationships/hyperlink" Target="https://www.sec.gov/ix?doc=/Archives/edgar/data/0001871638/000119312525280252/bzai-20250930.htm" TargetMode="External"/><Relationship Id="rId15" Type="http://schemas.openxmlformats.org/officeDocument/2006/relationships/hyperlink" Target="https://www.sec.gov/ix?doc=/Archives/edgar/data/0001871638/000110465925001763/tm252173d1_8k.htm" TargetMode="External"/><Relationship Id="rId16" Type="http://schemas.openxmlformats.org/officeDocument/2006/relationships/hyperlink" Target="https://www.sec.gov/ix?doc=/Archives/edgar/data/0001871638/000110465925002906/tm252930d1_8k.htm" TargetMode="External"/><Relationship Id="rId17" Type="http://schemas.openxmlformats.org/officeDocument/2006/relationships/hyperlink" Target="https://www.sec.gov/ix?doc=/Archives/edgar/data/0001871638/000119312525008517/d903961d8k.htm" TargetMode="External"/><Relationship Id="rId18" Type="http://schemas.openxmlformats.org/officeDocument/2006/relationships/hyperlink" Target="https://www.sec.gov/ix?doc=/Archives/edgar/data/0001871638/000119312525022705/d835470d8ka.htm" TargetMode="External"/><Relationship Id="rId19" Type="http://schemas.openxmlformats.org/officeDocument/2006/relationships/hyperlink" Target="https://www.sec.gov/ix?doc=/Archives/edgar/data/0001871638/000119312525080342/d853812d8ka.htm" TargetMode="External"/><Relationship Id="rId20" Type="http://schemas.openxmlformats.org/officeDocument/2006/relationships/hyperlink" Target="https://www.sec.gov/ix?doc=/Archives/edgar/data/0001871638/000119312525152119/d868639d8k.htm" TargetMode="External"/><Relationship Id="rId21" Type="http://schemas.openxmlformats.org/officeDocument/2006/relationships/hyperlink" Target="https://www.sec.gov/ix?doc=/Archives/edgar/data/0001871638/000119312525158997/d13627d8k.htm" TargetMode="External"/><Relationship Id="rId22" Type="http://schemas.openxmlformats.org/officeDocument/2006/relationships/hyperlink" Target="https://www.sec.gov/ix?doc=/Archives/edgar/data/0001871638/000119312525159935/d41376d8k.htm" TargetMode="External"/><Relationship Id="rId23" Type="http://schemas.openxmlformats.org/officeDocument/2006/relationships/hyperlink" Target="https://www.sec.gov/ix?doc=/Archives/edgar/data/0001871638/000119312525194046/d99229d8k.htm" TargetMode="External"/><Relationship Id="rId24" Type="http://schemas.openxmlformats.org/officeDocument/2006/relationships/hyperlink" Target="https://www.sec.gov/ix?doc=/Archives/edgar/data/0001871638/000187163825000008/blz-20251203.htm" TargetMode="External"/><Relationship Id="rId25" Type="http://schemas.openxmlformats.org/officeDocument/2006/relationships/hyperlink" Target="https://www.sec.gov/ix?doc=/Archives/edgar/data/0001871638/000187163826000001/blz-20251226.htm" TargetMode="External"/><Relationship Id="rId26" Type="http://schemas.openxmlformats.org/officeDocument/2006/relationships/hyperlink" Target="https://www.sec.gov/Archives/edgar/data/1871638/000110465921147615/tm2134592d3_8a12b.htm" TargetMode="External"/><Relationship Id="rId27" Type="http://schemas.openxmlformats.org/officeDocument/2006/relationships/hyperlink" Target="https://www.sec.gov/Archives/edgar/data/1871638/000095017025053870/bzai-ex4_4.htm" TargetMode="External"/><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30044</Words>
  <Characters>160132</Characters>
  <CharactersWithSpaces>189473</CharactersWithSpaces>
  <Paragraphs>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