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UNITED STATES</w:t>
      </w:r>
    </w:p>
    <w:p>
      <w:pPr>
        <w:jc w:val="center"/>
        <w:ind w:right="-9"/>
        <w:spacing w:after="0" w:line="216" w:lineRule="auto"/>
        <w:rPr>
          <w:sz w:val="20"/>
          <w:szCs w:val="20"/>
          <w:color w:val="auto"/>
        </w:rPr>
      </w:pPr>
      <w:r>
        <w:rPr>
          <w:rFonts w:ascii="Arial" w:cs="Arial" w:eastAsia="Arial" w:hAnsi="Arial"/>
          <w:sz w:val="13"/>
          <w:szCs w:val="13"/>
          <w:b w:val="1"/>
          <w:bCs w:val="1"/>
          <w:color w:val="auto"/>
        </w:rPr>
        <w:t>SECURITIES AND EXCHANGE COMMISSION</w:t>
      </w:r>
    </w:p>
    <w:p>
      <w:pPr>
        <w:jc w:val="center"/>
        <w:ind w:right="-9"/>
        <w:spacing w:after="0"/>
        <w:rPr>
          <w:sz w:val="20"/>
          <w:szCs w:val="20"/>
          <w:color w:val="auto"/>
        </w:rPr>
      </w:pPr>
      <w:r>
        <w:rPr>
          <w:rFonts w:ascii="Arial" w:cs="Arial" w:eastAsia="Arial" w:hAnsi="Arial"/>
          <w:sz w:val="13"/>
          <w:szCs w:val="13"/>
          <w:b w:val="1"/>
          <w:bCs w:val="1"/>
          <w:color w:val="auto"/>
        </w:rPr>
        <w:t>Washington, D.C. 20549</w:t>
      </w:r>
    </w:p>
    <w:p>
      <w:pPr>
        <w:spacing w:after="0" w:line="53"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FORM 10-K</w:t>
      </w:r>
    </w:p>
    <w:p>
      <w:pPr>
        <w:spacing w:after="0" w:line="134" w:lineRule="exact"/>
        <w:rPr>
          <w:sz w:val="24"/>
          <w:szCs w:val="24"/>
          <w:color w:val="auto"/>
        </w:rPr>
      </w:pPr>
    </w:p>
    <w:p>
      <w:pPr>
        <w:ind w:left="3970" w:right="3860" w:hanging="3970"/>
        <w:spacing w:after="0" w:line="483" w:lineRule="auto"/>
        <w:tabs>
          <w:tab w:leader="none" w:pos="230" w:val="left"/>
        </w:tabs>
        <w:numPr>
          <w:ilvl w:val="0"/>
          <w:numId w:val="1"/>
        </w:numPr>
        <w:rPr>
          <w:rFonts w:ascii="MS PGothic" w:cs="MS PGothic" w:eastAsia="MS PGothic" w:hAnsi="MS PGothic"/>
          <w:sz w:val="10"/>
          <w:szCs w:val="10"/>
          <w:color w:val="auto"/>
        </w:rPr>
      </w:pPr>
      <w:r>
        <w:rPr>
          <w:rFonts w:ascii="Arial" w:cs="Arial" w:eastAsia="Arial" w:hAnsi="Arial"/>
          <w:sz w:val="10"/>
          <w:szCs w:val="10"/>
          <w:b w:val="1"/>
          <w:bCs w:val="1"/>
          <w:color w:val="auto"/>
        </w:rPr>
        <w:t xml:space="preserve">ANNUAL REPORT PURSUANT TO SECTION 13 OR 15(d) OF THE SECURITIES EXCHANGE ACT OF 1934 </w:t>
      </w:r>
      <w:r>
        <w:rPr>
          <w:rFonts w:ascii="Arial" w:cs="Arial" w:eastAsia="Arial" w:hAnsi="Arial"/>
          <w:sz w:val="10"/>
          <w:szCs w:val="10"/>
          <w:color w:val="auto"/>
        </w:rPr>
        <w:t xml:space="preserve">For the fiscal year ended </w:t>
      </w:r>
      <w:r>
        <w:rPr>
          <w:rFonts w:ascii="Arial" w:cs="Arial" w:eastAsia="Arial" w:hAnsi="Arial"/>
          <w:sz w:val="10"/>
          <w:szCs w:val="10"/>
          <w:b w:val="1"/>
          <w:bCs w:val="1"/>
          <w:u w:val="single" w:color="auto"/>
          <w:color w:val="auto"/>
        </w:rPr>
        <w:t>December 31, 2022</w:t>
      </w:r>
    </w:p>
    <w:p>
      <w:pPr>
        <w:ind w:left="5070"/>
        <w:spacing w:after="0"/>
        <w:rPr>
          <w:rFonts w:ascii="MS PGothic" w:cs="MS PGothic" w:eastAsia="MS PGothic" w:hAnsi="MS PGothic"/>
          <w:sz w:val="10"/>
          <w:szCs w:val="10"/>
          <w:color w:val="auto"/>
        </w:rPr>
      </w:pPr>
      <w:r>
        <w:rPr>
          <w:rFonts w:ascii="Arial" w:cs="Arial" w:eastAsia="Arial" w:hAnsi="Arial"/>
          <w:sz w:val="13"/>
          <w:szCs w:val="13"/>
          <w:color w:val="auto"/>
        </w:rPr>
        <w:t>or</w:t>
      </w:r>
    </w:p>
    <w:p>
      <w:pPr>
        <w:spacing w:after="0" w:line="76" w:lineRule="exact"/>
        <w:rPr>
          <w:sz w:val="24"/>
          <w:szCs w:val="24"/>
          <w:color w:val="auto"/>
        </w:rPr>
      </w:pPr>
    </w:p>
    <w:p>
      <w:pPr>
        <w:ind w:left="230" w:hanging="230"/>
        <w:spacing w:after="0"/>
        <w:tabs>
          <w:tab w:leader="none" w:pos="23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UNDER SECTION 13 OR 15(d) OF THE SECURITIES EXCHANGE ACT OF 1934</w:t>
      </w:r>
    </w:p>
    <w:p>
      <w:pPr>
        <w:spacing w:after="0" w:line="70"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40" w:type="dxa"/>
            <w:vAlign w:val="bottom"/>
            <w:gridSpan w:val="5"/>
          </w:tcPr>
          <w:p>
            <w:pPr>
              <w:ind w:left="3740"/>
              <w:spacing w:after="0"/>
              <w:rPr>
                <w:sz w:val="20"/>
                <w:szCs w:val="20"/>
                <w:color w:val="auto"/>
              </w:rPr>
            </w:pPr>
            <w:r>
              <w:rPr>
                <w:rFonts w:ascii="Arial" w:cs="Arial" w:eastAsia="Arial" w:hAnsi="Arial"/>
                <w:sz w:val="13"/>
                <w:szCs w:val="13"/>
                <w:color w:val="auto"/>
                <w:w w:val="88"/>
              </w:rPr>
              <w:t>For the transition period from</w:t>
            </w:r>
          </w:p>
        </w:tc>
        <w:tc>
          <w:tcPr>
            <w:tcW w:w="560" w:type="dxa"/>
            <w:vAlign w:val="bottom"/>
            <w:tcBorders>
              <w:bottom w:val="single" w:sz="8" w:color="auto"/>
            </w:tcBorders>
            <w:gridSpan w:val="2"/>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color w:val="auto"/>
                <w:w w:val="73"/>
              </w:rPr>
              <w:t>to</w:t>
            </w:r>
          </w:p>
        </w:tc>
        <w:tc>
          <w:tcPr>
            <w:tcW w:w="540" w:type="dxa"/>
            <w:vAlign w:val="bottom"/>
            <w:tcBorders>
              <w:bottom w:val="single" w:sz="8" w:color="auto"/>
            </w:tcBorders>
            <w:gridSpan w:val="3"/>
          </w:tcPr>
          <w:p>
            <w:pPr>
              <w:spacing w:after="0"/>
              <w:rPr>
                <w:sz w:val="13"/>
                <w:szCs w:val="13"/>
                <w:color w:val="auto"/>
              </w:rPr>
            </w:pPr>
          </w:p>
        </w:tc>
        <w:tc>
          <w:tcPr>
            <w:tcW w:w="360" w:type="dxa"/>
            <w:vAlign w:val="bottom"/>
            <w:gridSpan w:val="2"/>
          </w:tcPr>
          <w:p>
            <w:pPr>
              <w:spacing w:after="0"/>
              <w:rPr>
                <w:sz w:val="13"/>
                <w:szCs w:val="13"/>
                <w:color w:val="auto"/>
              </w:rPr>
            </w:pPr>
          </w:p>
        </w:tc>
        <w:tc>
          <w:tcPr>
            <w:tcW w:w="3400" w:type="dxa"/>
            <w:vAlign w:val="bottom"/>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660" w:type="dxa"/>
            <w:vAlign w:val="bottom"/>
            <w:gridSpan w:val="12"/>
          </w:tcPr>
          <w:p>
            <w:pPr>
              <w:jc w:val="center"/>
              <w:ind w:right="760"/>
              <w:spacing w:after="0"/>
              <w:rPr>
                <w:sz w:val="20"/>
                <w:szCs w:val="20"/>
                <w:color w:val="auto"/>
              </w:rPr>
            </w:pPr>
            <w:r>
              <w:rPr>
                <w:rFonts w:ascii="Arial" w:cs="Arial" w:eastAsia="Arial" w:hAnsi="Arial"/>
                <w:sz w:val="13"/>
                <w:szCs w:val="13"/>
                <w:color w:val="auto"/>
                <w:w w:val="89"/>
              </w:rPr>
              <w:t xml:space="preserve">Commission file number: </w:t>
            </w:r>
            <w:r>
              <w:rPr>
                <w:rFonts w:ascii="Arial" w:cs="Arial" w:eastAsia="Arial" w:hAnsi="Arial"/>
                <w:sz w:val="13"/>
                <w:szCs w:val="13"/>
                <w:b w:val="1"/>
                <w:bCs w:val="1"/>
                <w:color w:val="auto"/>
                <w:w w:val="89"/>
              </w:rPr>
              <w:t>001-41139</w:t>
            </w:r>
          </w:p>
        </w:tc>
        <w:tc>
          <w:tcPr>
            <w:tcW w:w="34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6800" w:type="dxa"/>
            <w:vAlign w:val="bottom"/>
            <w:gridSpan w:val="13"/>
          </w:tcPr>
          <w:p>
            <w:pPr>
              <w:jc w:val="center"/>
              <w:ind w:left="3294"/>
              <w:spacing w:after="0"/>
              <w:rPr>
                <w:sz w:val="20"/>
                <w:szCs w:val="20"/>
                <w:color w:val="auto"/>
              </w:rPr>
            </w:pPr>
            <w:r>
              <w:rPr>
                <w:rFonts w:ascii="Arial" w:cs="Arial" w:eastAsia="Arial" w:hAnsi="Arial"/>
                <w:sz w:val="22"/>
                <w:szCs w:val="22"/>
                <w:b w:val="1"/>
                <w:bCs w:val="1"/>
                <w:color w:val="auto"/>
                <w:w w:val="98"/>
              </w:rPr>
              <w:t>BURTECH ACQUISITION CORP.</w:t>
            </w:r>
          </w:p>
        </w:tc>
        <w:tc>
          <w:tcPr>
            <w:tcW w:w="340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6800" w:type="dxa"/>
            <w:vAlign w:val="bottom"/>
            <w:gridSpan w:val="13"/>
          </w:tcPr>
          <w:p>
            <w:pPr>
              <w:jc w:val="center"/>
              <w:ind w:left="3294"/>
              <w:spacing w:after="0"/>
              <w:rPr>
                <w:sz w:val="20"/>
                <w:szCs w:val="20"/>
                <w:color w:val="auto"/>
              </w:rPr>
            </w:pPr>
            <w:r>
              <w:rPr>
                <w:rFonts w:ascii="Arial" w:cs="Arial" w:eastAsia="Arial" w:hAnsi="Arial"/>
                <w:sz w:val="13"/>
                <w:szCs w:val="13"/>
                <w:color w:val="auto"/>
                <w:w w:val="87"/>
              </w:rPr>
              <w:t>(Exact name of registrant as specified in its charter)</w:t>
            </w:r>
          </w:p>
        </w:tc>
        <w:tc>
          <w:tcPr>
            <w:tcW w:w="3400" w:type="dxa"/>
            <w:vAlign w:val="bottom"/>
          </w:tcPr>
          <w:p>
            <w:pPr>
              <w:spacing w:after="0"/>
              <w:rPr>
                <w:sz w:val="13"/>
                <w:szCs w:val="13"/>
                <w:color w:val="auto"/>
              </w:rPr>
            </w:pPr>
          </w:p>
        </w:tc>
      </w:tr>
      <w:tr>
        <w:trPr>
          <w:trHeight w:val="218"/>
        </w:trPr>
        <w:tc>
          <w:tcPr>
            <w:tcW w:w="20" w:type="dxa"/>
            <w:vAlign w:val="bottom"/>
          </w:tcPr>
          <w:p>
            <w:pPr>
              <w:spacing w:after="0"/>
              <w:rPr>
                <w:sz w:val="19"/>
                <w:szCs w:val="19"/>
                <w:color w:val="auto"/>
              </w:rPr>
            </w:pPr>
          </w:p>
        </w:tc>
        <w:tc>
          <w:tcPr>
            <w:tcW w:w="4140" w:type="dxa"/>
            <w:vAlign w:val="bottom"/>
            <w:tcBorders>
              <w:bottom w:val="single" w:sz="8" w:color="auto"/>
            </w:tcBorders>
          </w:tcPr>
          <w:p>
            <w:pPr>
              <w:jc w:val="center"/>
              <w:ind w:left="734"/>
              <w:spacing w:after="0"/>
              <w:rPr>
                <w:sz w:val="20"/>
                <w:szCs w:val="20"/>
                <w:color w:val="auto"/>
              </w:rPr>
            </w:pPr>
            <w:r>
              <w:rPr>
                <w:rFonts w:ascii="Arial" w:cs="Arial" w:eastAsia="Arial" w:hAnsi="Arial"/>
                <w:sz w:val="13"/>
                <w:szCs w:val="13"/>
                <w:b w:val="1"/>
                <w:bCs w:val="1"/>
                <w:color w:val="auto"/>
                <w:w w:val="87"/>
              </w:rPr>
              <w:t>Delaware</w:t>
            </w: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right"/>
              <w:ind w:right="2137"/>
              <w:spacing w:after="0"/>
              <w:rPr>
                <w:sz w:val="20"/>
                <w:szCs w:val="20"/>
                <w:color w:val="auto"/>
              </w:rPr>
            </w:pPr>
            <w:r>
              <w:rPr>
                <w:rFonts w:ascii="Arial" w:cs="Arial" w:eastAsia="Arial" w:hAnsi="Arial"/>
                <w:sz w:val="13"/>
                <w:szCs w:val="13"/>
                <w:b w:val="1"/>
                <w:bCs w:val="1"/>
                <w:color w:val="auto"/>
              </w:rPr>
              <w:t>85-2708752</w:t>
            </w:r>
          </w:p>
        </w:tc>
      </w:tr>
      <w:tr>
        <w:trPr>
          <w:trHeight w:val="114"/>
        </w:trPr>
        <w:tc>
          <w:tcPr>
            <w:tcW w:w="20" w:type="dxa"/>
            <w:vAlign w:val="bottom"/>
          </w:tcPr>
          <w:p>
            <w:pPr>
              <w:spacing w:after="0"/>
              <w:rPr>
                <w:sz w:val="9"/>
                <w:szCs w:val="9"/>
                <w:color w:val="auto"/>
              </w:rPr>
            </w:pPr>
          </w:p>
        </w:tc>
        <w:tc>
          <w:tcPr>
            <w:tcW w:w="4140" w:type="dxa"/>
            <w:vAlign w:val="bottom"/>
          </w:tcPr>
          <w:p>
            <w:pPr>
              <w:jc w:val="center"/>
              <w:ind w:left="734"/>
              <w:spacing w:after="0" w:line="114" w:lineRule="exact"/>
              <w:rPr>
                <w:sz w:val="20"/>
                <w:szCs w:val="20"/>
                <w:color w:val="auto"/>
              </w:rPr>
            </w:pPr>
            <w:r>
              <w:rPr>
                <w:rFonts w:ascii="Arial" w:cs="Arial" w:eastAsia="Arial" w:hAnsi="Arial"/>
                <w:sz w:val="13"/>
                <w:szCs w:val="13"/>
                <w:color w:val="auto"/>
                <w:w w:val="89"/>
              </w:rPr>
              <w:t>(State or other jurisdiction of</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0" w:type="dxa"/>
            <w:vAlign w:val="bottom"/>
          </w:tcPr>
          <w:p>
            <w:pPr>
              <w:spacing w:after="0" w:line="114" w:lineRule="exact"/>
              <w:rPr>
                <w:sz w:val="20"/>
                <w:szCs w:val="20"/>
                <w:color w:val="auto"/>
              </w:rPr>
            </w:pPr>
            <w:r>
              <w:rPr>
                <w:rFonts w:ascii="Arial" w:cs="Arial" w:eastAsia="Arial" w:hAnsi="Arial"/>
                <w:sz w:val="13"/>
                <w:szCs w:val="13"/>
                <w:color w:val="auto"/>
              </w:rPr>
              <w:t>(IRS Employer Identification No.)</w:t>
            </w:r>
          </w:p>
        </w:tc>
      </w:tr>
      <w:tr>
        <w:trPr>
          <w:trHeight w:val="160"/>
        </w:trPr>
        <w:tc>
          <w:tcPr>
            <w:tcW w:w="20" w:type="dxa"/>
            <w:vAlign w:val="bottom"/>
          </w:tcPr>
          <w:p>
            <w:pPr>
              <w:spacing w:after="0"/>
              <w:rPr>
                <w:sz w:val="13"/>
                <w:szCs w:val="13"/>
                <w:color w:val="auto"/>
              </w:rPr>
            </w:pPr>
          </w:p>
        </w:tc>
        <w:tc>
          <w:tcPr>
            <w:tcW w:w="4140" w:type="dxa"/>
            <w:vAlign w:val="bottom"/>
          </w:tcPr>
          <w:p>
            <w:pPr>
              <w:jc w:val="center"/>
              <w:ind w:left="734"/>
              <w:spacing w:after="0"/>
              <w:rPr>
                <w:sz w:val="20"/>
                <w:szCs w:val="20"/>
                <w:color w:val="auto"/>
              </w:rPr>
            </w:pPr>
            <w:r>
              <w:rPr>
                <w:rFonts w:ascii="Arial" w:cs="Arial" w:eastAsia="Arial" w:hAnsi="Arial"/>
                <w:sz w:val="13"/>
                <w:szCs w:val="13"/>
                <w:color w:val="auto"/>
                <w:w w:val="88"/>
              </w:rPr>
              <w:t>incorporation or organization)</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Pr>
          <w:p>
            <w:pPr>
              <w:spacing w:after="0"/>
              <w:rPr>
                <w:sz w:val="13"/>
                <w:szCs w:val="13"/>
                <w:color w:val="auto"/>
              </w:rPr>
            </w:pPr>
          </w:p>
        </w:tc>
      </w:tr>
      <w:tr>
        <w:trPr>
          <w:trHeight w:val="241"/>
        </w:trPr>
        <w:tc>
          <w:tcPr>
            <w:tcW w:w="20" w:type="dxa"/>
            <w:vAlign w:val="bottom"/>
          </w:tcPr>
          <w:p>
            <w:pPr>
              <w:spacing w:after="0"/>
              <w:rPr>
                <w:sz w:val="20"/>
                <w:szCs w:val="20"/>
                <w:color w:val="auto"/>
              </w:rPr>
            </w:pPr>
          </w:p>
        </w:tc>
        <w:tc>
          <w:tcPr>
            <w:tcW w:w="4140" w:type="dxa"/>
            <w:vAlign w:val="bottom"/>
          </w:tcPr>
          <w:p>
            <w:pPr>
              <w:jc w:val="center"/>
              <w:ind w:left="734"/>
              <w:spacing w:after="0"/>
              <w:rPr>
                <w:sz w:val="20"/>
                <w:szCs w:val="20"/>
                <w:color w:val="auto"/>
              </w:rPr>
            </w:pPr>
            <w:r>
              <w:rPr>
                <w:rFonts w:ascii="Arial" w:cs="Arial" w:eastAsia="Arial" w:hAnsi="Arial"/>
                <w:sz w:val="13"/>
                <w:szCs w:val="13"/>
                <w:b w:val="1"/>
                <w:bCs w:val="1"/>
                <w:color w:val="auto"/>
                <w:w w:val="86"/>
              </w:rPr>
              <w:t>1300 Pennsylvania Ave NW, Suite 700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153"/>
        </w:trPr>
        <w:tc>
          <w:tcPr>
            <w:tcW w:w="20" w:type="dxa"/>
            <w:vAlign w:val="bottom"/>
          </w:tcPr>
          <w:p>
            <w:pPr>
              <w:spacing w:after="0"/>
              <w:rPr>
                <w:sz w:val="13"/>
                <w:szCs w:val="13"/>
                <w:color w:val="auto"/>
              </w:rPr>
            </w:pPr>
          </w:p>
        </w:tc>
        <w:tc>
          <w:tcPr>
            <w:tcW w:w="4140" w:type="dxa"/>
            <w:vAlign w:val="bottom"/>
            <w:tcBorders>
              <w:bottom w:val="single" w:sz="8" w:color="auto"/>
            </w:tcBorders>
          </w:tcPr>
          <w:p>
            <w:pPr>
              <w:jc w:val="center"/>
              <w:ind w:left="734"/>
              <w:spacing w:after="0"/>
              <w:rPr>
                <w:sz w:val="20"/>
                <w:szCs w:val="20"/>
                <w:color w:val="auto"/>
              </w:rPr>
            </w:pPr>
            <w:r>
              <w:rPr>
                <w:rFonts w:ascii="Arial" w:cs="Arial" w:eastAsia="Arial" w:hAnsi="Arial"/>
                <w:sz w:val="13"/>
                <w:szCs w:val="13"/>
                <w:b w:val="1"/>
                <w:bCs w:val="1"/>
                <w:color w:val="auto"/>
                <w:w w:val="87"/>
              </w:rPr>
              <w:t>Washington, DC 20004</w:t>
            </w:r>
          </w:p>
        </w:tc>
        <w:tc>
          <w:tcPr>
            <w:tcW w:w="2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tcPr>
          <w:p>
            <w:pPr>
              <w:jc w:val="right"/>
              <w:ind w:right="2297"/>
              <w:spacing w:after="0"/>
              <w:rPr>
                <w:sz w:val="20"/>
                <w:szCs w:val="20"/>
                <w:color w:val="auto"/>
              </w:rPr>
            </w:pPr>
            <w:r>
              <w:rPr>
                <w:rFonts w:ascii="Arial" w:cs="Arial" w:eastAsia="Arial" w:hAnsi="Arial"/>
                <w:sz w:val="13"/>
                <w:szCs w:val="13"/>
                <w:b w:val="1"/>
                <w:bCs w:val="1"/>
                <w:color w:val="auto"/>
              </w:rPr>
              <w:t>20004</w:t>
            </w:r>
          </w:p>
        </w:tc>
      </w:tr>
      <w:tr>
        <w:trPr>
          <w:trHeight w:val="154"/>
        </w:trPr>
        <w:tc>
          <w:tcPr>
            <w:tcW w:w="20" w:type="dxa"/>
            <w:vAlign w:val="bottom"/>
          </w:tcPr>
          <w:p>
            <w:pPr>
              <w:spacing w:after="0"/>
              <w:rPr>
                <w:sz w:val="13"/>
                <w:szCs w:val="13"/>
                <w:color w:val="auto"/>
              </w:rPr>
            </w:pPr>
          </w:p>
        </w:tc>
        <w:tc>
          <w:tcPr>
            <w:tcW w:w="4140" w:type="dxa"/>
            <w:vAlign w:val="bottom"/>
          </w:tcPr>
          <w:p>
            <w:pPr>
              <w:jc w:val="center"/>
              <w:ind w:left="754"/>
              <w:spacing w:after="0"/>
              <w:rPr>
                <w:sz w:val="20"/>
                <w:szCs w:val="20"/>
                <w:color w:val="auto"/>
              </w:rPr>
            </w:pPr>
            <w:r>
              <w:rPr>
                <w:rFonts w:ascii="Arial" w:cs="Arial" w:eastAsia="Arial" w:hAnsi="Arial"/>
                <w:sz w:val="13"/>
                <w:szCs w:val="13"/>
                <w:color w:val="auto"/>
                <w:w w:val="89"/>
              </w:rPr>
              <w:t>(Address of principal executive offices)</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Pr>
          <w:p>
            <w:pPr>
              <w:ind w:left="620"/>
              <w:spacing w:after="0"/>
              <w:rPr>
                <w:sz w:val="20"/>
                <w:szCs w:val="20"/>
                <w:color w:val="auto"/>
              </w:rPr>
            </w:pPr>
            <w:r>
              <w:rPr>
                <w:rFonts w:ascii="Arial" w:cs="Arial" w:eastAsia="Arial" w:hAnsi="Arial"/>
                <w:sz w:val="13"/>
                <w:szCs w:val="13"/>
                <w:color w:val="auto"/>
              </w:rPr>
              <w:t>(Zip Code)</w:t>
            </w:r>
          </w:p>
        </w:tc>
      </w:tr>
      <w:tr>
        <w:trPr>
          <w:trHeight w:val="215"/>
        </w:trPr>
        <w:tc>
          <w:tcPr>
            <w:tcW w:w="20" w:type="dxa"/>
            <w:vAlign w:val="bottom"/>
          </w:tcPr>
          <w:p>
            <w:pPr>
              <w:spacing w:after="0"/>
              <w:rPr>
                <w:sz w:val="18"/>
                <w:szCs w:val="18"/>
                <w:color w:val="auto"/>
              </w:rPr>
            </w:pPr>
          </w:p>
        </w:tc>
        <w:tc>
          <w:tcPr>
            <w:tcW w:w="6800" w:type="dxa"/>
            <w:vAlign w:val="bottom"/>
            <w:gridSpan w:val="13"/>
          </w:tcPr>
          <w:p>
            <w:pPr>
              <w:jc w:val="center"/>
              <w:ind w:left="3294"/>
              <w:spacing w:after="0"/>
              <w:rPr>
                <w:sz w:val="20"/>
                <w:szCs w:val="20"/>
                <w:color w:val="auto"/>
              </w:rPr>
            </w:pPr>
            <w:r>
              <w:rPr>
                <w:rFonts w:ascii="Arial" w:cs="Arial" w:eastAsia="Arial" w:hAnsi="Arial"/>
                <w:sz w:val="13"/>
                <w:szCs w:val="13"/>
                <w:color w:val="auto"/>
                <w:w w:val="87"/>
              </w:rPr>
              <w:t xml:space="preserve">Registrant’s telephone number, including area code: </w:t>
            </w:r>
            <w:r>
              <w:rPr>
                <w:rFonts w:ascii="Arial" w:cs="Arial" w:eastAsia="Arial" w:hAnsi="Arial"/>
                <w:sz w:val="13"/>
                <w:szCs w:val="13"/>
                <w:b w:val="1"/>
                <w:bCs w:val="1"/>
                <w:color w:val="auto"/>
                <w:w w:val="87"/>
              </w:rPr>
              <w:t>(202) 600-5757</w:t>
            </w:r>
          </w:p>
        </w:tc>
        <w:tc>
          <w:tcPr>
            <w:tcW w:w="340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800" w:type="dxa"/>
            <w:vAlign w:val="bottom"/>
            <w:gridSpan w:val="13"/>
          </w:tcPr>
          <w:p>
            <w:pPr>
              <w:jc w:val="center"/>
              <w:ind w:left="3314"/>
              <w:spacing w:after="0"/>
              <w:rPr>
                <w:sz w:val="20"/>
                <w:szCs w:val="20"/>
                <w:color w:val="auto"/>
              </w:rPr>
            </w:pPr>
            <w:r>
              <w:rPr>
                <w:rFonts w:ascii="Arial" w:cs="Arial" w:eastAsia="Arial" w:hAnsi="Arial"/>
                <w:sz w:val="13"/>
                <w:szCs w:val="13"/>
                <w:color w:val="auto"/>
                <w:w w:val="87"/>
              </w:rPr>
              <w:t>Securities registered pursuant to Section 12(b) of the Act:</w:t>
            </w:r>
          </w:p>
        </w:tc>
        <w:tc>
          <w:tcPr>
            <w:tcW w:w="3400" w:type="dxa"/>
            <w:vAlign w:val="bottom"/>
          </w:tcPr>
          <w:p>
            <w:pPr>
              <w:spacing w:after="0"/>
              <w:rPr>
                <w:sz w:val="19"/>
                <w:szCs w:val="19"/>
                <w:color w:val="auto"/>
              </w:rPr>
            </w:pPr>
          </w:p>
        </w:tc>
      </w:tr>
      <w:tr>
        <w:trPr>
          <w:trHeight w:val="218"/>
        </w:trPr>
        <w:tc>
          <w:tcPr>
            <w:tcW w:w="20" w:type="dxa"/>
            <w:vAlign w:val="bottom"/>
          </w:tcPr>
          <w:p>
            <w:pPr>
              <w:spacing w:after="0"/>
              <w:rPr>
                <w:sz w:val="19"/>
                <w:szCs w:val="19"/>
                <w:color w:val="auto"/>
              </w:rPr>
            </w:pPr>
          </w:p>
        </w:tc>
        <w:tc>
          <w:tcPr>
            <w:tcW w:w="4140" w:type="dxa"/>
            <w:vAlign w:val="bottom"/>
            <w:tcBorders>
              <w:bottom w:val="single" w:sz="8" w:color="auto"/>
            </w:tcBorders>
          </w:tcPr>
          <w:p>
            <w:pPr>
              <w:ind w:left="1580"/>
              <w:spacing w:after="0"/>
              <w:rPr>
                <w:sz w:val="20"/>
                <w:szCs w:val="20"/>
                <w:color w:val="auto"/>
              </w:rPr>
            </w:pPr>
            <w:r>
              <w:rPr>
                <w:rFonts w:ascii="Arial" w:cs="Arial" w:eastAsia="Arial" w:hAnsi="Arial"/>
                <w:sz w:val="13"/>
                <w:szCs w:val="13"/>
                <w:b w:val="1"/>
                <w:bCs w:val="1"/>
                <w:color w:val="auto"/>
              </w:rPr>
              <w:t>Title of each class</w:t>
            </w:r>
          </w:p>
        </w:tc>
        <w:tc>
          <w:tcPr>
            <w:tcW w:w="280" w:type="dxa"/>
            <w:vAlign w:val="bottom"/>
          </w:tcPr>
          <w:p>
            <w:pPr>
              <w:spacing w:after="0"/>
              <w:rPr>
                <w:sz w:val="19"/>
                <w:szCs w:val="19"/>
                <w:color w:val="auto"/>
              </w:rPr>
            </w:pPr>
          </w:p>
        </w:tc>
        <w:tc>
          <w:tcPr>
            <w:tcW w:w="1380" w:type="dxa"/>
            <w:vAlign w:val="bottom"/>
            <w:tcBorders>
              <w:bottom w:val="single" w:sz="8" w:color="auto"/>
            </w:tcBorders>
            <w:gridSpan w:val="5"/>
          </w:tcPr>
          <w:p>
            <w:pPr>
              <w:jc w:val="center"/>
              <w:ind w:left="437"/>
              <w:spacing w:after="0"/>
              <w:rPr>
                <w:sz w:val="20"/>
                <w:szCs w:val="20"/>
                <w:color w:val="auto"/>
              </w:rPr>
            </w:pPr>
            <w:r>
              <w:rPr>
                <w:rFonts w:ascii="Arial" w:cs="Arial" w:eastAsia="Arial" w:hAnsi="Arial"/>
                <w:sz w:val="13"/>
                <w:szCs w:val="13"/>
                <w:b w:val="1"/>
                <w:bCs w:val="1"/>
                <w:color w:val="auto"/>
                <w:w w:val="89"/>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tcPr>
          <w:p>
            <w:pPr>
              <w:jc w:val="center"/>
              <w:ind w:right="157"/>
              <w:spacing w:after="0"/>
              <w:rPr>
                <w:sz w:val="20"/>
                <w:szCs w:val="20"/>
                <w:color w:val="auto"/>
              </w:rPr>
            </w:pPr>
            <w:r>
              <w:rPr>
                <w:rFonts w:ascii="Arial" w:cs="Arial" w:eastAsia="Arial" w:hAnsi="Arial"/>
                <w:sz w:val="13"/>
                <w:szCs w:val="13"/>
                <w:b w:val="1"/>
                <w:bCs w:val="1"/>
                <w:color w:val="auto"/>
                <w:w w:val="85"/>
              </w:rPr>
              <w:t>Name of each exchange on which registered</w:t>
            </w:r>
          </w:p>
        </w:tc>
      </w:tr>
      <w:tr>
        <w:trPr>
          <w:trHeight w:val="114"/>
        </w:trPr>
        <w:tc>
          <w:tcPr>
            <w:tcW w:w="20" w:type="dxa"/>
            <w:vAlign w:val="bottom"/>
          </w:tcPr>
          <w:p>
            <w:pPr>
              <w:spacing w:after="0"/>
              <w:rPr>
                <w:sz w:val="9"/>
                <w:szCs w:val="9"/>
                <w:color w:val="auto"/>
              </w:rPr>
            </w:pPr>
          </w:p>
        </w:tc>
        <w:tc>
          <w:tcPr>
            <w:tcW w:w="4140" w:type="dxa"/>
            <w:vAlign w:val="bottom"/>
          </w:tcPr>
          <w:p>
            <w:pPr>
              <w:spacing w:after="0" w:line="114" w:lineRule="exact"/>
              <w:rPr>
                <w:sz w:val="20"/>
                <w:szCs w:val="20"/>
                <w:color w:val="auto"/>
              </w:rPr>
            </w:pPr>
            <w:r>
              <w:rPr>
                <w:rFonts w:ascii="Arial" w:cs="Arial" w:eastAsia="Arial" w:hAnsi="Arial"/>
                <w:sz w:val="13"/>
                <w:szCs w:val="13"/>
                <w:color w:val="auto"/>
              </w:rPr>
              <w:t>Units, each consisting of one share of Class A Common Stock and one</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0" w:type="dxa"/>
            <w:vAlign w:val="bottom"/>
            <w:gridSpan w:val="4"/>
          </w:tcPr>
          <w:p>
            <w:pPr>
              <w:jc w:val="center"/>
              <w:ind w:right="60"/>
              <w:spacing w:after="0" w:line="114" w:lineRule="exact"/>
              <w:rPr>
                <w:sz w:val="20"/>
                <w:szCs w:val="20"/>
                <w:color w:val="auto"/>
              </w:rPr>
            </w:pPr>
            <w:r>
              <w:rPr>
                <w:rFonts w:ascii="Arial" w:cs="Arial" w:eastAsia="Arial" w:hAnsi="Arial"/>
                <w:sz w:val="13"/>
                <w:szCs w:val="13"/>
                <w:color w:val="auto"/>
                <w:w w:val="96"/>
              </w:rPr>
              <w:t>BRKHU</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0" w:type="dxa"/>
            <w:vAlign w:val="bottom"/>
          </w:tcPr>
          <w:p>
            <w:pPr>
              <w:jc w:val="center"/>
              <w:ind w:right="157"/>
              <w:spacing w:after="0" w:line="114" w:lineRule="exact"/>
              <w:rPr>
                <w:sz w:val="20"/>
                <w:szCs w:val="20"/>
                <w:color w:val="auto"/>
              </w:rPr>
            </w:pPr>
            <w:r>
              <w:rPr>
                <w:rFonts w:ascii="Arial" w:cs="Arial" w:eastAsia="Arial" w:hAnsi="Arial"/>
                <w:sz w:val="13"/>
                <w:szCs w:val="13"/>
                <w:color w:val="auto"/>
                <w:w w:val="88"/>
              </w:rPr>
              <w:t>The Nasdaq Stock Market LLC</w:t>
            </w: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3"/>
                <w:szCs w:val="13"/>
                <w:color w:val="auto"/>
                <w:w w:val="88"/>
              </w:rPr>
              <w:t>Redeemable Warrant to purchase one share of Class A common stock for $11.50</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spacing w:after="0"/>
              <w:rPr>
                <w:sz w:val="11"/>
                <w:szCs w:val="1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3"/>
                <w:szCs w:val="13"/>
                <w:color w:val="auto"/>
              </w:rPr>
              <w:t>per share</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spacing w:after="0"/>
              <w:rPr>
                <w:sz w:val="11"/>
                <w:szCs w:val="1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3"/>
                <w:szCs w:val="13"/>
                <w:color w:val="auto"/>
              </w:rPr>
              <w:t>Class A Common Stock, par value $0.0001 per share</w:t>
            </w: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gridSpan w:val="4"/>
          </w:tcPr>
          <w:p>
            <w:pPr>
              <w:jc w:val="center"/>
              <w:ind w:right="60"/>
              <w:spacing w:after="0" w:line="135" w:lineRule="exact"/>
              <w:rPr>
                <w:sz w:val="20"/>
                <w:szCs w:val="20"/>
                <w:color w:val="auto"/>
              </w:rPr>
            </w:pPr>
            <w:r>
              <w:rPr>
                <w:rFonts w:ascii="Arial" w:cs="Arial" w:eastAsia="Arial" w:hAnsi="Arial"/>
                <w:sz w:val="13"/>
                <w:szCs w:val="13"/>
                <w:color w:val="auto"/>
                <w:w w:val="99"/>
              </w:rPr>
              <w:t>BRKH</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0" w:type="dxa"/>
            <w:vAlign w:val="bottom"/>
          </w:tcPr>
          <w:p>
            <w:pPr>
              <w:jc w:val="center"/>
              <w:ind w:right="157"/>
              <w:spacing w:after="0" w:line="135" w:lineRule="exact"/>
              <w:rPr>
                <w:sz w:val="20"/>
                <w:szCs w:val="20"/>
                <w:color w:val="auto"/>
              </w:rPr>
            </w:pPr>
            <w:r>
              <w:rPr>
                <w:rFonts w:ascii="Arial" w:cs="Arial" w:eastAsia="Arial" w:hAnsi="Arial"/>
                <w:sz w:val="13"/>
                <w:szCs w:val="13"/>
                <w:color w:val="auto"/>
                <w:w w:val="88"/>
              </w:rPr>
              <w:t>The Nasdaq Stock Market LLC</w:t>
            </w:r>
          </w:p>
        </w:tc>
      </w:tr>
      <w:tr>
        <w:trPr>
          <w:trHeight w:val="160"/>
        </w:trPr>
        <w:tc>
          <w:tcPr>
            <w:tcW w:w="4160" w:type="dxa"/>
            <w:vAlign w:val="bottom"/>
            <w:gridSpan w:val="2"/>
          </w:tcPr>
          <w:p>
            <w:pPr>
              <w:spacing w:after="0"/>
              <w:rPr>
                <w:sz w:val="20"/>
                <w:szCs w:val="20"/>
                <w:color w:val="auto"/>
              </w:rPr>
            </w:pPr>
            <w:r>
              <w:rPr>
                <w:rFonts w:ascii="Arial" w:cs="Arial" w:eastAsia="Arial" w:hAnsi="Arial"/>
                <w:sz w:val="13"/>
                <w:szCs w:val="13"/>
                <w:color w:val="auto"/>
                <w:w w:val="88"/>
              </w:rPr>
              <w:t>Warrants, each exercisable for one share of Common Stock for $11.50 per share</w:t>
            </w: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4"/>
          </w:tcPr>
          <w:p>
            <w:pPr>
              <w:jc w:val="center"/>
              <w:ind w:right="60"/>
              <w:spacing w:after="0"/>
              <w:rPr>
                <w:sz w:val="20"/>
                <w:szCs w:val="20"/>
                <w:color w:val="auto"/>
              </w:rPr>
            </w:pPr>
            <w:r>
              <w:rPr>
                <w:rFonts w:ascii="Arial" w:cs="Arial" w:eastAsia="Arial" w:hAnsi="Arial"/>
                <w:sz w:val="13"/>
                <w:szCs w:val="13"/>
                <w:color w:val="auto"/>
                <w:w w:val="99"/>
              </w:rPr>
              <w:t>BRKHW</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0" w:type="dxa"/>
            <w:vAlign w:val="bottom"/>
          </w:tcPr>
          <w:p>
            <w:pPr>
              <w:jc w:val="center"/>
              <w:ind w:right="157"/>
              <w:spacing w:after="0"/>
              <w:rPr>
                <w:sz w:val="20"/>
                <w:szCs w:val="20"/>
                <w:color w:val="auto"/>
              </w:rPr>
            </w:pPr>
            <w:r>
              <w:rPr>
                <w:rFonts w:ascii="Arial" w:cs="Arial" w:eastAsia="Arial" w:hAnsi="Arial"/>
                <w:sz w:val="13"/>
                <w:szCs w:val="13"/>
                <w:color w:val="auto"/>
                <w:w w:val="88"/>
              </w:rPr>
              <w:t>The Nasdaq Stock Market LLC</w:t>
            </w:r>
          </w:p>
        </w:tc>
      </w:tr>
      <w:tr>
        <w:trPr>
          <w:trHeight w:val="229"/>
        </w:trPr>
        <w:tc>
          <w:tcPr>
            <w:tcW w:w="20" w:type="dxa"/>
            <w:vAlign w:val="bottom"/>
          </w:tcPr>
          <w:p>
            <w:pPr>
              <w:spacing w:after="0"/>
              <w:rPr>
                <w:sz w:val="19"/>
                <w:szCs w:val="19"/>
                <w:color w:val="auto"/>
              </w:rPr>
            </w:pPr>
          </w:p>
        </w:tc>
        <w:tc>
          <w:tcPr>
            <w:tcW w:w="6800" w:type="dxa"/>
            <w:vAlign w:val="bottom"/>
            <w:gridSpan w:val="13"/>
          </w:tcPr>
          <w:p>
            <w:pPr>
              <w:jc w:val="center"/>
              <w:ind w:left="3294"/>
              <w:spacing w:after="0"/>
              <w:rPr>
                <w:sz w:val="20"/>
                <w:szCs w:val="20"/>
                <w:color w:val="auto"/>
              </w:rPr>
            </w:pPr>
            <w:r>
              <w:rPr>
                <w:rFonts w:ascii="Arial" w:cs="Arial" w:eastAsia="Arial" w:hAnsi="Arial"/>
                <w:sz w:val="13"/>
                <w:szCs w:val="13"/>
                <w:color w:val="auto"/>
                <w:w w:val="87"/>
              </w:rPr>
              <w:t xml:space="preserve">Securities registered pursuant to Section 12(g) of the Act: </w:t>
            </w:r>
            <w:r>
              <w:rPr>
                <w:rFonts w:ascii="Arial" w:cs="Arial" w:eastAsia="Arial" w:hAnsi="Arial"/>
                <w:sz w:val="13"/>
                <w:szCs w:val="13"/>
                <w:b w:val="1"/>
                <w:bCs w:val="1"/>
                <w:color w:val="auto"/>
                <w:w w:val="87"/>
              </w:rPr>
              <w:t>None.</w:t>
            </w:r>
          </w:p>
        </w:tc>
        <w:tc>
          <w:tcPr>
            <w:tcW w:w="3400" w:type="dxa"/>
            <w:vAlign w:val="bottom"/>
          </w:tcPr>
          <w:p>
            <w:pPr>
              <w:spacing w:after="0"/>
              <w:rPr>
                <w:sz w:val="19"/>
                <w:szCs w:val="19"/>
                <w:color w:val="auto"/>
              </w:rPr>
            </w:pPr>
          </w:p>
        </w:tc>
      </w:tr>
      <w:tr>
        <w:trPr>
          <w:trHeight w:val="271"/>
        </w:trPr>
        <w:tc>
          <w:tcPr>
            <w:tcW w:w="6820" w:type="dxa"/>
            <w:vAlign w:val="bottom"/>
            <w:gridSpan w:val="14"/>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 </w:t>
            </w:r>
            <w:r>
              <w:rPr>
                <w:rFonts w:ascii="MS PGothic" w:cs="MS PGothic" w:eastAsia="MS PGothic" w:hAnsi="MS PGothic"/>
                <w:sz w:val="13"/>
                <w:szCs w:val="13"/>
                <w:color w:val="auto"/>
                <w:w w:val="90"/>
              </w:rPr>
              <w:t>☒</w:t>
            </w:r>
          </w:p>
        </w:tc>
        <w:tc>
          <w:tcPr>
            <w:tcW w:w="3400" w:type="dxa"/>
            <w:vAlign w:val="bottom"/>
          </w:tcPr>
          <w:p>
            <w:pPr>
              <w:spacing w:after="0"/>
              <w:rPr>
                <w:sz w:val="23"/>
                <w:szCs w:val="23"/>
                <w:color w:val="auto"/>
              </w:rPr>
            </w:pPr>
          </w:p>
        </w:tc>
      </w:tr>
      <w:tr>
        <w:trPr>
          <w:trHeight w:val="243"/>
        </w:trPr>
        <w:tc>
          <w:tcPr>
            <w:tcW w:w="6820" w:type="dxa"/>
            <w:vAlign w:val="bottom"/>
            <w:gridSpan w:val="14"/>
          </w:tcPr>
          <w:p>
            <w:pPr>
              <w:spacing w:after="0"/>
              <w:rPr>
                <w:sz w:val="20"/>
                <w:szCs w:val="20"/>
                <w:color w:val="auto"/>
              </w:rPr>
            </w:pPr>
            <w:r>
              <w:rPr>
                <w:rFonts w:ascii="Arial" w:cs="Arial" w:eastAsia="Arial" w:hAnsi="Arial"/>
                <w:sz w:val="13"/>
                <w:szCs w:val="13"/>
                <w:color w:val="auto"/>
                <w:w w:val="88"/>
              </w:rPr>
              <w:t>Indicate by check mark if the registrant is not required to file reports pursuant to Section 13 or Section 15(d) of the Exchange Act. Yes</w:t>
            </w:r>
          </w:p>
        </w:tc>
        <w:tc>
          <w:tcPr>
            <w:tcW w:w="3400" w:type="dxa"/>
            <w:vAlign w:val="bottom"/>
          </w:tcPr>
          <w:p>
            <w:pPr>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55" w:lineRule="exact"/>
        <w:rPr>
          <w:sz w:val="24"/>
          <w:szCs w:val="24"/>
          <w:color w:val="auto"/>
        </w:rPr>
      </w:pPr>
    </w:p>
    <w:p>
      <w:pPr>
        <w:jc w:val="both"/>
        <w:ind w:left="10"/>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jc w:val="both"/>
        <w:ind w:left="10"/>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jc w:val="both"/>
        <w:ind w:left="10"/>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10" w:type="dxa"/>
        <w:tblCellMar>
          <w:top w:w="0" w:type="dxa"/>
          <w:left w:w="0" w:type="dxa"/>
          <w:bottom w:w="0" w:type="dxa"/>
          <w:right w:w="0" w:type="dxa"/>
        </w:tblCellMar>
      </w:tblPr>
      <w:tr>
        <w:trPr>
          <w:trHeight w:val="149"/>
        </w:trPr>
        <w:tc>
          <w:tcPr>
            <w:tcW w:w="21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62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1460"/>
              <w:spacing w:after="0"/>
              <w:rPr>
                <w:sz w:val="20"/>
                <w:szCs w:val="20"/>
                <w:color w:val="auto"/>
              </w:rPr>
            </w:pPr>
            <w:r>
              <w:rPr>
                <w:rFonts w:ascii="Arial" w:cs="Arial" w:eastAsia="Arial" w:hAnsi="Arial"/>
                <w:sz w:val="13"/>
                <w:szCs w:val="13"/>
                <w:color w:val="auto"/>
              </w:rPr>
              <w:t>Accelerated filer</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2180" w:type="dxa"/>
            <w:vAlign w:val="bottom"/>
          </w:tcPr>
          <w:p>
            <w:pPr>
              <w:spacing w:after="0"/>
              <w:rPr>
                <w:sz w:val="20"/>
                <w:szCs w:val="20"/>
                <w:color w:val="auto"/>
              </w:rPr>
            </w:pPr>
            <w:r>
              <w:rPr>
                <w:rFonts w:ascii="Arial" w:cs="Arial" w:eastAsia="Arial" w:hAnsi="Arial"/>
                <w:sz w:val="13"/>
                <w:szCs w:val="13"/>
                <w:color w:val="auto"/>
              </w:rPr>
              <w:t>Non-accelerated filer</w:t>
            </w:r>
          </w:p>
        </w:tc>
        <w:tc>
          <w:tcPr>
            <w:tcW w:w="2620" w:type="dxa"/>
            <w:vAlign w:val="bottom"/>
          </w:tcPr>
          <w:p>
            <w:pPr>
              <w:ind w:left="1040"/>
              <w:spacing w:after="0" w:line="131" w:lineRule="exact"/>
              <w:rPr>
                <w:sz w:val="20"/>
                <w:szCs w:val="20"/>
                <w:color w:val="auto"/>
              </w:rPr>
            </w:pPr>
            <w:r>
              <w:rPr>
                <w:rFonts w:ascii="MS PGothic" w:cs="MS PGothic" w:eastAsia="MS PGothic" w:hAnsi="MS PGothic"/>
                <w:sz w:val="13"/>
                <w:szCs w:val="13"/>
                <w:color w:val="auto"/>
              </w:rPr>
              <w:t>☒</w:t>
            </w:r>
          </w:p>
        </w:tc>
        <w:tc>
          <w:tcPr>
            <w:tcW w:w="4000" w:type="dxa"/>
            <w:vAlign w:val="bottom"/>
          </w:tcPr>
          <w:p>
            <w:pPr>
              <w:ind w:left="1460"/>
              <w:spacing w:after="0"/>
              <w:rPr>
                <w:sz w:val="20"/>
                <w:szCs w:val="20"/>
                <w:color w:val="auto"/>
              </w:rPr>
            </w:pPr>
            <w:r>
              <w:rPr>
                <w:rFonts w:ascii="Arial" w:cs="Arial" w:eastAsia="Arial" w:hAnsi="Arial"/>
                <w:sz w:val="13"/>
                <w:szCs w:val="13"/>
                <w:color w:val="auto"/>
              </w:rPr>
              <w:t>Smaller reporting company</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1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00" w:type="dxa"/>
            <w:vAlign w:val="bottom"/>
          </w:tcPr>
          <w:p>
            <w:pPr>
              <w:ind w:left="1460"/>
              <w:spacing w:after="0"/>
              <w:rPr>
                <w:sz w:val="20"/>
                <w:szCs w:val="20"/>
                <w:color w:val="auto"/>
              </w:rPr>
            </w:pPr>
            <w:r>
              <w:rPr>
                <w:rFonts w:ascii="Arial" w:cs="Arial" w:eastAsia="Arial" w:hAnsi="Arial"/>
                <w:sz w:val="13"/>
                <w:szCs w:val="13"/>
                <w:color w:val="auto"/>
              </w:rPr>
              <w:t>Emerging Growth Company</w:t>
            </w:r>
          </w:p>
        </w:tc>
        <w:tc>
          <w:tcPr>
            <w:tcW w:w="1220" w:type="dxa"/>
            <w:vAlign w:val="bottom"/>
          </w:tcPr>
          <w:p>
            <w:pPr>
              <w:ind w:left="11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5" w:lineRule="exact"/>
        <w:rPr>
          <w:sz w:val="24"/>
          <w:szCs w:val="24"/>
          <w:color w:val="auto"/>
        </w:rPr>
      </w:pPr>
    </w:p>
    <w:p>
      <w:pPr>
        <w:ind w:left="10" w:right="20"/>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55" w:lineRule="exact"/>
        <w:rPr>
          <w:sz w:val="24"/>
          <w:szCs w:val="24"/>
          <w:color w:val="auto"/>
        </w:rPr>
      </w:pPr>
    </w:p>
    <w:p>
      <w:pPr>
        <w:ind w:left="10"/>
        <w:spacing w:after="0"/>
        <w:rPr>
          <w:sz w:val="20"/>
          <w:szCs w:val="20"/>
          <w:color w:val="auto"/>
        </w:rPr>
      </w:pPr>
      <w:r>
        <w:rPr>
          <w:rFonts w:ascii="Arial" w:cs="Arial" w:eastAsia="Arial" w:hAnsi="Arial"/>
          <w:sz w:val="10"/>
          <w:szCs w:val="10"/>
          <w:color w:val="auto"/>
        </w:rPr>
        <w:t>Indicate by check mark whether the registrant has filed a report on and attestation to its management’s assessment of the effectiveness of its internal control over financial reporting under Section 404(b)</w:t>
      </w:r>
    </w:p>
    <w:p>
      <w:pPr>
        <w:spacing w:after="0" w:line="39" w:lineRule="exact"/>
        <w:rPr>
          <w:sz w:val="24"/>
          <w:szCs w:val="24"/>
          <w:color w:val="auto"/>
        </w:rPr>
      </w:pPr>
    </w:p>
    <w:p>
      <w:pPr>
        <w:ind w:left="10"/>
        <w:spacing w:after="0" w:line="138" w:lineRule="exact"/>
        <w:tabs>
          <w:tab w:leader="none" w:pos="6950" w:val="left"/>
        </w:tabs>
        <w:rPr>
          <w:sz w:val="20"/>
          <w:szCs w:val="20"/>
          <w:color w:val="auto"/>
        </w:rPr>
      </w:pPr>
      <w:r>
        <w:rPr>
          <w:rFonts w:ascii="Arial" w:cs="Arial" w:eastAsia="Arial" w:hAnsi="Arial"/>
          <w:sz w:val="12"/>
          <w:szCs w:val="12"/>
          <w:color w:val="auto"/>
        </w:rPr>
        <w:t>of the Sarbanes-Oxley Act (15 U.S.C. 7262(b)) by the registered public accounting firm that prepared or issued its audit report.</w:t>
      </w:r>
      <w:r>
        <w:rPr>
          <w:sz w:val="20"/>
          <w:szCs w:val="20"/>
          <w:color w:val="auto"/>
        </w:rPr>
        <w:tab/>
      </w:r>
      <w:r>
        <w:rPr>
          <w:rFonts w:ascii="MS PGothic" w:cs="MS PGothic" w:eastAsia="MS PGothic" w:hAnsi="MS PGothic"/>
          <w:sz w:val="12"/>
          <w:szCs w:val="12"/>
          <w:color w:val="auto"/>
        </w:rPr>
        <w:t>☐</w:t>
      </w:r>
    </w:p>
    <w:p>
      <w:pPr>
        <w:spacing w:after="0" w:line="86" w:lineRule="exact"/>
        <w:rPr>
          <w:sz w:val="24"/>
          <w:szCs w:val="24"/>
          <w:color w:val="auto"/>
        </w:rPr>
      </w:pPr>
    </w:p>
    <w:p>
      <w:pPr>
        <w:ind w:left="10"/>
        <w:spacing w:after="0" w:line="162"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96" w:lineRule="exact"/>
        <w:rPr>
          <w:sz w:val="24"/>
          <w:szCs w:val="24"/>
          <w:color w:val="auto"/>
        </w:rPr>
      </w:pPr>
    </w:p>
    <w:p>
      <w:pPr>
        <w:ind w:left="10" w:right="20"/>
        <w:spacing w:after="0" w:line="162"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4" w:lineRule="exact"/>
        <w:rPr>
          <w:sz w:val="24"/>
          <w:szCs w:val="24"/>
          <w:color w:val="auto"/>
        </w:rPr>
      </w:pPr>
    </w:p>
    <w:p>
      <w:pPr>
        <w:ind w:left="1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5" w:lineRule="exact"/>
        <w:rPr>
          <w:sz w:val="24"/>
          <w:szCs w:val="24"/>
          <w:color w:val="auto"/>
        </w:rPr>
      </w:pPr>
    </w:p>
    <w:p>
      <w:pPr>
        <w:ind w:left="10"/>
        <w:spacing w:after="0" w:line="273" w:lineRule="auto"/>
        <w:rPr>
          <w:sz w:val="20"/>
          <w:szCs w:val="20"/>
          <w:color w:val="auto"/>
        </w:rPr>
      </w:pPr>
      <w:r>
        <w:rPr>
          <w:rFonts w:ascii="Arial" w:cs="Arial" w:eastAsia="Arial" w:hAnsi="Arial"/>
          <w:sz w:val="12"/>
          <w:szCs w:val="12"/>
          <w:color w:val="auto"/>
        </w:rPr>
        <w:t>As of June 30, 2022, the aggregate market value of the registrant’s common stock held by non-affiliates of the registrant was $0. The registrant’s units began trading on The Nasdaq Global Market (“NASDAQ”) on December 13, 2021 and the registrant’s shares of Class A common stock, par value $0.0001 and warrants began trading on the NASDAQ on January 31, 2022.</w:t>
      </w:r>
    </w:p>
    <w:p>
      <w:pPr>
        <w:spacing w:after="0" w:line="51" w:lineRule="exact"/>
        <w:rPr>
          <w:sz w:val="24"/>
          <w:szCs w:val="24"/>
          <w:color w:val="auto"/>
        </w:rPr>
      </w:pPr>
    </w:p>
    <w:p>
      <w:pPr>
        <w:ind w:left="10"/>
        <w:spacing w:after="0" w:line="236" w:lineRule="auto"/>
        <w:rPr>
          <w:sz w:val="20"/>
          <w:szCs w:val="20"/>
          <w:color w:val="auto"/>
        </w:rPr>
      </w:pPr>
      <w:r>
        <w:rPr>
          <w:rFonts w:ascii="Arial" w:cs="Arial" w:eastAsia="Arial" w:hAnsi="Arial"/>
          <w:sz w:val="13"/>
          <w:szCs w:val="13"/>
          <w:color w:val="auto"/>
        </w:rPr>
        <w:t>As of April 20, 2023, there were 6,630,703 shares of Class A common stock, par value $0.0001 per share, and 9,487,500 shares of Class B common stock, par value $0.0001 per share, issued and outstanding.</w:t>
      </w:r>
    </w:p>
    <w:p>
      <w:pPr>
        <w:spacing w:after="0" w:line="66" w:lineRule="exact"/>
        <w:rPr>
          <w:sz w:val="24"/>
          <w:szCs w:val="24"/>
          <w:color w:val="auto"/>
        </w:rPr>
      </w:pPr>
    </w:p>
    <w:p>
      <w:pPr>
        <w:jc w:val="center"/>
        <w:ind w:right="-9"/>
        <w:spacing w:after="0"/>
        <w:rPr>
          <w:sz w:val="20"/>
          <w:szCs w:val="20"/>
          <w:color w:val="auto"/>
        </w:rPr>
      </w:pPr>
      <w:r>
        <w:rPr>
          <w:rFonts w:ascii="Arial" w:cs="Arial" w:eastAsia="Arial" w:hAnsi="Arial"/>
          <w:sz w:val="13"/>
          <w:szCs w:val="13"/>
          <w:b w:val="1"/>
          <w:bCs w:val="1"/>
          <w:color w:val="auto"/>
        </w:rPr>
        <w:t>DOCUMENTS INCORPORATED BY REFERENCE</w:t>
      </w:r>
    </w:p>
    <w:p>
      <w:pPr>
        <w:spacing w:after="0" w:line="84" w:lineRule="exact"/>
        <w:rPr>
          <w:sz w:val="24"/>
          <w:szCs w:val="24"/>
          <w:color w:val="auto"/>
        </w:rPr>
      </w:pPr>
    </w:p>
    <w:p>
      <w:pPr>
        <w:ind w:left="10"/>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480060</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51435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93980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80" w:type="dxa"/>
            <w:vAlign w:val="bottom"/>
            <w:gridSpan w:val="17"/>
          </w:tcPr>
          <w:p>
            <w:pPr>
              <w:jc w:val="center"/>
              <w:ind w:right="2340"/>
              <w:spacing w:after="0"/>
              <w:rPr>
                <w:sz w:val="20"/>
                <w:szCs w:val="20"/>
                <w:color w:val="auto"/>
              </w:rPr>
            </w:pPr>
            <w:r>
              <w:rPr>
                <w:rFonts w:ascii="Arial" w:cs="Arial" w:eastAsia="Arial" w:hAnsi="Arial"/>
                <w:sz w:val="18"/>
                <w:szCs w:val="18"/>
                <w:b w:val="1"/>
                <w:bCs w:val="1"/>
                <w:color w:val="auto"/>
              </w:rPr>
              <w:t>BURTECH ACQUISITION CORP.</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700" w:type="dxa"/>
            <w:vAlign w:val="bottom"/>
            <w:gridSpan w:val="21"/>
          </w:tcPr>
          <w:p>
            <w:pPr>
              <w:jc w:val="center"/>
              <w:ind w:right="1320"/>
              <w:spacing w:after="0"/>
              <w:rPr>
                <w:sz w:val="20"/>
                <w:szCs w:val="20"/>
                <w:color w:val="auto"/>
              </w:rPr>
            </w:pPr>
            <w:r>
              <w:rPr>
                <w:rFonts w:ascii="Arial" w:cs="Arial" w:eastAsia="Arial" w:hAnsi="Arial"/>
                <w:sz w:val="18"/>
                <w:szCs w:val="18"/>
                <w:b w:val="1"/>
                <w:bCs w:val="1"/>
                <w:color w:val="auto"/>
                <w:w w:val="91"/>
              </w:rPr>
              <w:t>Annual Report on Form 10-K for the Year Ended December 31, 2022</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40" w:type="dxa"/>
            <w:vAlign w:val="bottom"/>
            <w:gridSpan w:val="4"/>
            <w:shd w:val="clear" w:color="auto" w:fill="CCEEFF"/>
          </w:tcPr>
          <w:p>
            <w:pPr>
              <w:spacing w:after="0" w:line="136" w:lineRule="exact"/>
              <w:rPr>
                <w:sz w:val="20"/>
                <w:szCs w:val="20"/>
                <w:color w:val="auto"/>
              </w:rPr>
            </w:pPr>
            <w:r>
              <w:rPr>
                <w:rFonts w:ascii="Arial" w:cs="Arial" w:eastAsia="Arial" w:hAnsi="Arial"/>
                <w:sz w:val="15"/>
                <w:szCs w:val="15"/>
                <w:color w:val="0000EE"/>
              </w:rPr>
              <w:t>PART I</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9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1.</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BUSINESS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ITEM 1A.</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Arial" w:cs="Arial" w:eastAsia="Arial" w:hAnsi="Arial"/>
                <w:sz w:val="18"/>
                <w:szCs w:val="18"/>
                <w:color w:val="0000EE"/>
                <w:w w:val="93"/>
              </w:rPr>
              <w:t>ITEM 1B.</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UNRESOLVED STAFF COMMENTS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2.</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PROPERTIES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3.</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LEGAL PROCEEDINGS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4.</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0000EE"/>
                <w:w w:val="88"/>
              </w:rPr>
              <w:t>PART II</w:t>
            </w:r>
          </w:p>
        </w:tc>
        <w:tc>
          <w:tcPr>
            <w:tcW w:w="340" w:type="dxa"/>
            <w:vAlign w:val="bottom"/>
            <w:tcBorders>
              <w:top w:val="single" w:sz="8" w:color="CCEEFF"/>
            </w:tcBorders>
            <w:gridSpan w:val="2"/>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5.</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w w:val="98"/>
              </w:rPr>
              <w:t>MARKET FOR REGISTRANT’S COMMON EQUITY, RELATED SHAREHOLDER MATTERS AND</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Arial" w:cs="Arial" w:eastAsia="Arial" w:hAnsi="Arial"/>
                <w:sz w:val="18"/>
                <w:szCs w:val="18"/>
                <w:color w:val="0000EE"/>
              </w:rPr>
              <w:t>ISSUER PURCHASES OF EQUITY SECURITIES</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6.</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[RESERVED]</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7.</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w w:val="97"/>
              </w:rPr>
              <w:t>MANAGEMENT’S DISCUSSION AND ANALYSIS OF FINANCIAL CONDITION AND RESULTS OF</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CCEEFF"/>
            </w:tcBorders>
            <w:shd w:val="clear" w:color="auto" w:fill="0000EE"/>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Arial" w:cs="Arial" w:eastAsia="Arial" w:hAnsi="Arial"/>
                <w:sz w:val="18"/>
                <w:szCs w:val="18"/>
                <w:color w:val="0000EE"/>
              </w:rPr>
              <w:t>OPERATIONS</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7A.</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8.</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FINANCIAL STATEMENTS AND SUPPLEMENTARY DATA</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9.</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CHANGES IN AND DISAGREEMENTS WITH ACCOUNTANTS ON ACCOUNTING AND</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20" w:type="dxa"/>
            <w:vAlign w:val="bottom"/>
            <w:gridSpan w:val="27"/>
          </w:tcPr>
          <w:p>
            <w:pPr>
              <w:ind w:left="220"/>
              <w:spacing w:after="0" w:line="196" w:lineRule="exact"/>
              <w:rPr>
                <w:sz w:val="20"/>
                <w:szCs w:val="20"/>
                <w:color w:val="auto"/>
              </w:rPr>
            </w:pPr>
            <w:r>
              <w:rPr>
                <w:rFonts w:ascii="Arial" w:cs="Arial" w:eastAsia="Arial" w:hAnsi="Arial"/>
                <w:sz w:val="18"/>
                <w:szCs w:val="18"/>
                <w:color w:val="0000EE"/>
              </w:rPr>
              <w:t>FINANCIAL DISCLOSURE</w:t>
            </w: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3"/>
              </w:rPr>
              <w:t>ITEM 9A.</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Arial" w:cs="Arial" w:eastAsia="Arial" w:hAnsi="Arial"/>
                <w:sz w:val="18"/>
                <w:szCs w:val="18"/>
                <w:color w:val="0000EE"/>
                <w:w w:val="93"/>
              </w:rPr>
              <w:t>ITEM 9B.</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OTHER INFORMATION</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9C.</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rPr>
              <w:t>PART III</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1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5"/>
              </w:rPr>
              <w:t>ITEM 10.</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DIRECTORS, EXECUTIVE OFFICERS AND CORPORATE GOVERNANCE</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 w:type="dxa"/>
            <w:vAlign w:val="bottom"/>
            <w:gridSpan w:val="3"/>
          </w:tcPr>
          <w:p>
            <w:pPr>
              <w:spacing w:after="0" w:line="176" w:lineRule="exact"/>
              <w:rPr>
                <w:sz w:val="20"/>
                <w:szCs w:val="20"/>
                <w:color w:val="auto"/>
              </w:rPr>
            </w:pPr>
            <w:r>
              <w:rPr>
                <w:rFonts w:ascii="Arial" w:cs="Arial" w:eastAsia="Arial" w:hAnsi="Arial"/>
                <w:sz w:val="18"/>
                <w:szCs w:val="18"/>
                <w:color w:val="0000EE"/>
                <w:w w:val="95"/>
              </w:rPr>
              <w:t>ITEM 11.</w:t>
            </w:r>
          </w:p>
        </w:tc>
        <w:tc>
          <w:tcPr>
            <w:tcW w:w="200" w:type="dxa"/>
            <w:vAlign w:val="bottom"/>
          </w:tcPr>
          <w:p>
            <w:pPr>
              <w:spacing w:after="0"/>
              <w:rPr>
                <w:sz w:val="15"/>
                <w:szCs w:val="15"/>
                <w:color w:val="auto"/>
              </w:rPr>
            </w:pP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rPr>
              <w:t>EXECUTIVE COMPENSATION</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5"/>
              </w:rPr>
              <w:t>ITEM 12.</w:t>
            </w:r>
          </w:p>
        </w:tc>
        <w:tc>
          <w:tcPr>
            <w:tcW w:w="200" w:type="dxa"/>
            <w:vAlign w:val="bottom"/>
            <w:shd w:val="clear" w:color="auto" w:fill="CCEEFF"/>
          </w:tcPr>
          <w:p>
            <w:pPr>
              <w:spacing w:after="0"/>
              <w:rPr>
                <w:sz w:val="15"/>
                <w:szCs w:val="15"/>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SECURITY OWNERSHIP OF CERTAIN BENEFICIAL OWNERS AND MANAGEMENT AND</w:t>
            </w: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20" w:type="dxa"/>
            <w:vAlign w:val="bottom"/>
            <w:gridSpan w:val="14"/>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40" w:type="dxa"/>
            <w:vAlign w:val="bottom"/>
            <w:gridSpan w:val="6"/>
            <w:shd w:val="clear" w:color="auto" w:fill="0000EE"/>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96" w:lineRule="exact"/>
              <w:rPr>
                <w:sz w:val="20"/>
                <w:szCs w:val="20"/>
                <w:color w:val="auto"/>
              </w:rPr>
            </w:pPr>
            <w:r>
              <w:rPr>
                <w:rFonts w:ascii="Arial" w:cs="Arial" w:eastAsia="Arial" w:hAnsi="Arial"/>
                <w:sz w:val="18"/>
                <w:szCs w:val="18"/>
                <w:color w:val="0000EE"/>
              </w:rPr>
              <w:t>RELATED SHAREHOLDER MATTERS</w:t>
            </w: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tcPr>
          <w:p>
            <w:pPr>
              <w:spacing w:after="0" w:line="176" w:lineRule="exact"/>
              <w:rPr>
                <w:sz w:val="20"/>
                <w:szCs w:val="20"/>
                <w:color w:val="auto"/>
              </w:rPr>
            </w:pPr>
            <w:r>
              <w:rPr>
                <w:rFonts w:ascii="Arial" w:cs="Arial" w:eastAsia="Arial" w:hAnsi="Arial"/>
                <w:sz w:val="18"/>
                <w:szCs w:val="18"/>
                <w:color w:val="0000EE"/>
              </w:rPr>
              <w:t>ITEM 13.</w:t>
            </w:r>
          </w:p>
        </w:tc>
        <w:tc>
          <w:tcPr>
            <w:tcW w:w="8020" w:type="dxa"/>
            <w:vAlign w:val="bottom"/>
            <w:gridSpan w:val="27"/>
          </w:tcPr>
          <w:p>
            <w:pPr>
              <w:ind w:left="220"/>
              <w:spacing w:after="0" w:line="176" w:lineRule="exact"/>
              <w:rPr>
                <w:sz w:val="20"/>
                <w:szCs w:val="20"/>
                <w:color w:val="auto"/>
              </w:rPr>
            </w:pPr>
            <w:r>
              <w:rPr>
                <w:rFonts w:ascii="Arial" w:cs="Arial" w:eastAsia="Arial" w:hAnsi="Arial"/>
                <w:sz w:val="18"/>
                <w:szCs w:val="18"/>
                <w:color w:val="0000EE"/>
                <w:w w:val="96"/>
              </w:rPr>
              <w:t>CERTAIN RELATIONSHIPS AND RELATED TRANSACTIONS, AND DIRECTOR INDEPENDENCE</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right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5"/>
              </w:rPr>
              <w:t>ITEM 14.</w:t>
            </w:r>
          </w:p>
        </w:tc>
        <w:tc>
          <w:tcPr>
            <w:tcW w:w="200" w:type="dxa"/>
            <w:vAlign w:val="bottom"/>
            <w:shd w:val="clear" w:color="auto" w:fill="CCEEFF"/>
          </w:tcPr>
          <w:p>
            <w:pPr>
              <w:spacing w:after="0"/>
              <w:rPr>
                <w:sz w:val="17"/>
                <w:szCs w:val="17"/>
                <w:color w:val="auto"/>
              </w:rPr>
            </w:pP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PRINCIPAL ACCOUNTANT FEES AND SERVICES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9"/>
              </w:rPr>
              <w:t>PART IV</w:t>
            </w:r>
          </w:p>
        </w:tc>
        <w:tc>
          <w:tcPr>
            <w:tcW w:w="2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ITEM 15.</w:t>
            </w:r>
          </w:p>
        </w:tc>
        <w:tc>
          <w:tcPr>
            <w:tcW w:w="8020" w:type="dxa"/>
            <w:vAlign w:val="bottom"/>
            <w:tcBorders>
              <w:right w:val="single" w:sz="8" w:color="CCEEFF"/>
            </w:tcBorders>
            <w:gridSpan w:val="27"/>
            <w:shd w:val="clear" w:color="auto" w:fill="CCEEFF"/>
          </w:tcPr>
          <w:p>
            <w:pPr>
              <w:ind w:left="220"/>
              <w:spacing w:after="0" w:line="176" w:lineRule="exact"/>
              <w:rPr>
                <w:sz w:val="20"/>
                <w:szCs w:val="20"/>
                <w:color w:val="auto"/>
              </w:rPr>
            </w:pPr>
            <w:r>
              <w:rPr>
                <w:rFonts w:ascii="Arial" w:cs="Arial" w:eastAsia="Arial" w:hAnsi="Arial"/>
                <w:sz w:val="18"/>
                <w:szCs w:val="18"/>
                <w:color w:val="0000EE"/>
              </w:rPr>
              <w:t>EXHIBITS AND FINANCIAL STATEMENT SCHEDULES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TERMS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References to “the Company,” “our,” “us” or “we” refer to BurTech Acquisition Corp., a blank check company incorporated in Delaware on March 2, 2021. References to our “Sponsor” refer to BurTech LP LLC, a Delaware limited liability company. References to our “IPO” refer to the initial public offering of BurTech Acquisition Corp., which closed on December 15, 2021.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or the Securities Act, and Section 21E of the Securities Exchange Act of 1934, or the Exchange Act. The statements contained in this report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“anticipates,”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report may include, for example, statements about our:</w:t>
      </w:r>
    </w:p>
    <w:p>
      <w:pPr>
        <w:spacing w:after="0" w:line="181" w:lineRule="exact"/>
        <w:rPr>
          <w:sz w:val="20"/>
          <w:szCs w:val="20"/>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680" w:right="20" w:hanging="321"/>
        <w:spacing w:after="0" w:line="308"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46" w:lineRule="exact"/>
        <w:rPr>
          <w:rFonts w:ascii="Arial" w:cs="Arial" w:eastAsia="Arial" w:hAnsi="Arial"/>
          <w:sz w:val="17"/>
          <w:szCs w:val="17"/>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performance following our IPO.</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forward-looking statements contained in this report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 and/or if and when management knows or has a reasonable basis on which to conclude that previously disclosed projections are no longer reasonably attainable.</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16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Registration Statement for our initial public offering was declared effective on December 10, 2021 (the “Initial Public Offering,” or “IPO”). On December 15, 2021, we consummated its Initial Public Offering of 25,000,000 units (the “</w:t>
      </w:r>
      <w:r>
        <w:rPr>
          <w:rFonts w:ascii="Arial" w:cs="Arial" w:eastAsia="Arial" w:hAnsi="Arial"/>
          <w:sz w:val="16"/>
          <w:szCs w:val="16"/>
          <w:b w:val="1"/>
          <w:bCs w:val="1"/>
          <w:color w:val="auto"/>
        </w:rPr>
        <w:t>Units</w:t>
      </w:r>
      <w:r>
        <w:rPr>
          <w:rFonts w:ascii="Arial" w:cs="Arial" w:eastAsia="Arial" w:hAnsi="Arial"/>
          <w:sz w:val="16"/>
          <w:szCs w:val="16"/>
          <w:color w:val="auto"/>
        </w:rPr>
        <w:t>”) at $10.00 per Unit, each Unit comprised of one share of Class A Common Stock, $0.0001 par value (the “</w:t>
      </w:r>
      <w:r>
        <w:rPr>
          <w:rFonts w:ascii="Arial" w:cs="Arial" w:eastAsia="Arial" w:hAnsi="Arial"/>
          <w:sz w:val="16"/>
          <w:szCs w:val="16"/>
          <w:b w:val="1"/>
          <w:bCs w:val="1"/>
          <w:color w:val="auto"/>
        </w:rPr>
        <w:t>Public Shares</w:t>
      </w:r>
      <w:r>
        <w:rPr>
          <w:rFonts w:ascii="Arial" w:cs="Arial" w:eastAsia="Arial" w:hAnsi="Arial"/>
          <w:sz w:val="16"/>
          <w:szCs w:val="16"/>
          <w:color w:val="auto"/>
        </w:rPr>
        <w:t>”), and one redeemable warrant to purchase one share of Class A Common Stock at a purchase price of $11.50 per share(the “</w:t>
      </w:r>
      <w:r>
        <w:rPr>
          <w:rFonts w:ascii="Arial" w:cs="Arial" w:eastAsia="Arial" w:hAnsi="Arial"/>
          <w:sz w:val="16"/>
          <w:szCs w:val="16"/>
          <w:b w:val="1"/>
          <w:bCs w:val="1"/>
          <w:color w:val="auto"/>
        </w:rPr>
        <w:t>Public Warrants</w:t>
      </w:r>
      <w:r>
        <w:rPr>
          <w:rFonts w:ascii="Arial" w:cs="Arial" w:eastAsia="Arial" w:hAnsi="Arial"/>
          <w:sz w:val="16"/>
          <w:szCs w:val="16"/>
          <w:color w:val="auto"/>
        </w:rPr>
        <w:t>”), generating gross proceeds of $250,000,000, and incurring offering costs of $16,919,619 of which $10,062,500 was for deferred underwriting commissions. We granted the underwriter a 45-day option to purchase up to an additional 3,750,000 Units at the Initial Public Offering price to cover over-allotments, if any. On December 15, 2021, the over-allotment option was exercised in full.</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December 15, 2021, simultaneously with the consummation of the IPO, the Company completed the private sale (the “</w:t>
      </w:r>
      <w:r>
        <w:rPr>
          <w:rFonts w:ascii="Arial" w:cs="Arial" w:eastAsia="Arial" w:hAnsi="Arial"/>
          <w:sz w:val="18"/>
          <w:szCs w:val="18"/>
          <w:b w:val="1"/>
          <w:bCs w:val="1"/>
          <w:color w:val="auto"/>
        </w:rPr>
        <w:t>Private Placement</w:t>
      </w:r>
      <w:r>
        <w:rPr>
          <w:rFonts w:ascii="Arial" w:cs="Arial" w:eastAsia="Arial" w:hAnsi="Arial"/>
          <w:sz w:val="18"/>
          <w:szCs w:val="18"/>
          <w:color w:val="auto"/>
        </w:rPr>
        <w:t>”) of 804,500 units (the “</w:t>
      </w:r>
      <w:r>
        <w:rPr>
          <w:rFonts w:ascii="Arial" w:cs="Arial" w:eastAsia="Arial" w:hAnsi="Arial"/>
          <w:sz w:val="18"/>
          <w:szCs w:val="18"/>
          <w:b w:val="1"/>
          <w:bCs w:val="1"/>
          <w:color w:val="auto"/>
        </w:rPr>
        <w:t>Placement Units</w:t>
      </w:r>
      <w:r>
        <w:rPr>
          <w:rFonts w:ascii="Arial" w:cs="Arial" w:eastAsia="Arial" w:hAnsi="Arial"/>
          <w:sz w:val="18"/>
          <w:szCs w:val="18"/>
          <w:color w:val="auto"/>
        </w:rPr>
        <w:t>”) to BurTech LP, LLC, the Company’s sponsor (the “</w:t>
      </w:r>
      <w:r>
        <w:rPr>
          <w:rFonts w:ascii="Arial" w:cs="Arial" w:eastAsia="Arial" w:hAnsi="Arial"/>
          <w:sz w:val="18"/>
          <w:szCs w:val="18"/>
          <w:b w:val="1"/>
          <w:bCs w:val="1"/>
          <w:color w:val="auto"/>
        </w:rPr>
        <w:t>Sponsor</w:t>
      </w:r>
      <w:r>
        <w:rPr>
          <w:rFonts w:ascii="Arial" w:cs="Arial" w:eastAsia="Arial" w:hAnsi="Arial"/>
          <w:sz w:val="18"/>
          <w:szCs w:val="18"/>
          <w:color w:val="auto"/>
        </w:rPr>
        <w:t>”) at a purchase price of $10.00 per Placement Unit, generating gross proceeds to the Company of $8,045,000. Also on December 15, 2021, the Sponsor purchased an additional 93,750 Placement Units when the underwriter exercised their over-allotment option, generating additional proceeds of $937,500.</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Simultaneously with the closing of the Initial Public Offering on December 15, 2021, a total of $291,812,500 ($10.15 per Unit) from the net proceeds of the sale of the Units in the Initial Public Offering and a portion of the proceeds from the sale of the Placement Units was placed in a trust account (the “Trust Account”), located in the United States and held as cash items or may be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us, until the earlier of: (i) the consummation of a Business Combination or (ii) the distribution of the funds in the Trust Account to our stockholders.</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we are unable to complete an initial business combination within fifteen (15) months from the closing of the Initial Public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newly organized blank check company incorporated in March, 2021 as a Delaware corporation and formed for the purpose of effecting a merger, capital stock exchange, asset acquisition, stock purchase, reorganization or similar business combination with one or more businesses, which we refer to throughout this prospectus as our initial business combination. We have not selected any specific business combination target and we have not, nor has anyone on our behalf, initiated any substantive discussions, directly or indirectly, with any business combination target with respect to an initial business combination with us.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intend to capitalize on the ability of our management team to identify, acquire and operate a business in any industry or sector; however, given the experience of our founders, we expect to focus on acquiring a business that participates within the retail, lifestyle, hospitality, technology or real estate markets. We believe the experience of our management team makes us well situated to identify, source, negotiate and execute an initial business combination with an attractive company or business within these markets, where our management team has significant expertise.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identify and acquire a business that could benefit from a partner that has extensive operational, capital markets and investment management experience in our areas of focus, and that presents potential for an attractive return to our investors. We believe that by optimizing its capital structure and allocating capital efficiently, and by operating under a deliberate long-term strategy, we can rapidly scale or bring about a transformation in our target business’ operations. Additionally, our management team has deep insight in building ecosystems and brands, consumer buying patterns and technologies required to put together powerful solutions and business models.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management team is led by Shahal Khan, our Chairman and Chief Executive Officer, Isaac Chetrit, our President, Roman Livson, our Chief Financial Officer, Payel Farasat, our Chief Investment Officer and Christopher Schroeder, our Chief Marketing Officer.</w:t>
      </w:r>
    </w:p>
    <w:p>
      <w:pPr>
        <w:spacing w:after="0" w:line="1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and one of our directors. Mr. Chetrit is a real estate veteran with a background in architecture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Payel Farasat </w:t>
      </w:r>
      <w:r>
        <w:rPr>
          <w:rFonts w:ascii="Arial" w:cs="Arial" w:eastAsia="Arial" w:hAnsi="Arial"/>
          <w:sz w:val="17"/>
          <w:szCs w:val="17"/>
          <w:color w:val="auto"/>
        </w:rPr>
        <w:t>is our Chief Investment Officer. Since December 2020, Ms. Farasat has been the Chief Investment Officer (CIO)</w:t>
      </w:r>
      <w:r>
        <w:rPr>
          <w:rFonts w:ascii="Arial" w:cs="Arial" w:eastAsia="Arial" w:hAnsi="Arial"/>
          <w:sz w:val="17"/>
          <w:szCs w:val="17"/>
          <w:b w:val="1"/>
          <w:bCs w:val="1"/>
          <w:color w:val="auto"/>
        </w:rPr>
        <w:t xml:space="preserve"> </w:t>
      </w:r>
      <w:r>
        <w:rPr>
          <w:rFonts w:ascii="Arial" w:cs="Arial" w:eastAsia="Arial" w:hAnsi="Arial"/>
          <w:sz w:val="17"/>
          <w:szCs w:val="17"/>
          <w:color w:val="auto"/>
        </w:rPr>
        <w:t>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w:t>
      </w:r>
      <w:r>
        <w:rPr>
          <w:rFonts w:ascii="Arial" w:cs="Arial" w:eastAsia="Arial" w:hAnsi="Arial"/>
          <w:sz w:val="16"/>
          <w:szCs w:val="16"/>
          <w:b w:val="1"/>
          <w:bCs w:val="1"/>
          <w:color w:val="auto"/>
        </w:rPr>
        <w:t xml:space="preserve"> </w:t>
      </w:r>
      <w:r>
        <w:rPr>
          <w:rFonts w:ascii="Arial" w:cs="Arial" w:eastAsia="Arial" w:hAnsi="Arial"/>
          <w:sz w:val="16"/>
          <w:szCs w:val="16"/>
          <w:color w:val="auto"/>
        </w:rPr>
        <w:t>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Directors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Leon Golden </w:t>
      </w:r>
      <w:r>
        <w:rPr>
          <w:rFonts w:ascii="Arial" w:cs="Arial" w:eastAsia="Arial" w:hAnsi="Arial"/>
          <w:sz w:val="16"/>
          <w:szCs w:val="16"/>
          <w:color w:val="auto"/>
        </w:rPr>
        <w:t>serves as a member of our Board of Directors as of the date of this prospectus. Mr. Golden is a chartered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Scott Young </w:t>
      </w:r>
      <w:r>
        <w:rPr>
          <w:rFonts w:ascii="Arial" w:cs="Arial" w:eastAsia="Arial" w:hAnsi="Arial"/>
          <w:sz w:val="16"/>
          <w:szCs w:val="16"/>
          <w:color w:val="auto"/>
        </w:rPr>
        <w:t>serves as a member of our Board of Directors as of the date of this prospectus. Since January 2010, Mr. Young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serves as a member of our Board of Directors as of the date of this prospectus. Mr. Porrello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Advisors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His Highness Sheikh Ahmed Dalmook Al Maktoum </w:t>
      </w:r>
      <w:r>
        <w:rPr>
          <w:rFonts w:ascii="Arial" w:cs="Arial" w:eastAsia="Arial" w:hAnsi="Arial"/>
          <w:sz w:val="16"/>
          <w:szCs w:val="16"/>
          <w:color w:val="auto"/>
        </w:rPr>
        <w:t>is one of our advisors. HH Sheikh Maktoum is a member of the Ruling</w:t>
      </w:r>
      <w:r>
        <w:rPr>
          <w:rFonts w:ascii="Arial" w:cs="Arial" w:eastAsia="Arial" w:hAnsi="Arial"/>
          <w:sz w:val="16"/>
          <w:szCs w:val="16"/>
          <w:b w:val="1"/>
          <w:bCs w:val="1"/>
          <w:color w:val="auto"/>
        </w:rPr>
        <w:t xml:space="preserve"> </w:t>
      </w:r>
      <w:r>
        <w:rPr>
          <w:rFonts w:ascii="Arial" w:cs="Arial" w:eastAsia="Arial" w:hAnsi="Arial"/>
          <w:sz w:val="16"/>
          <w:szCs w:val="16"/>
          <w:color w:val="auto"/>
        </w:rPr>
        <w:t>Royal Family of Dubai, United Arab Emirates. HH Sheikh Maktoum is Founder and Chairman of The Private Office of His Highness Sheikh Ahmed Dalmook Al Maktoum and owns a portfolio of privately held group of companies that focuses mainly on energy projects, large scale infrastructure development including setting up of LNG terminals, oil and commodity trading, healthcare, water desalination as well as ducation and agriculture projects operated throughout Africa, South Asia, Russia and the Middle East.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Mohammad Shaikh is one of our advisors. Mr. Shaikh is the Head of Blockchain Strategic Partnerships for Facebook, responsible for global partnerships and strategy. Mr. Shaikh has over a decade of multi-national financial services and blockchain/crypto experience. Previously, Mr. Shaikh was the Founder and CEO of Meridio, a blockchain-based company backed by ConsenSys that issued the world’s first fractional share of real estate. He also founded ConsenSys’ Middle East Office. Prior to Meridio, Mr. Shaikh consulted Sovereign Wealth Funds, energy and telecom companies with BCG’s Private Equity practice. Mr. Shaikh helped found BlackRock’s sustainability committee while he worked at the firm’s Real Estate Alternative Asset group. Mr. Shaikh is a two time founder and has advised several blockchain companies across the web3 stack. He has been invited by the World Economic Forum to consult on their global blockchain strategy including Central Bank Digital Currencies (CBDCs). He is an active angel investor and serves on the board of two logistics companies. Mr. Shaikh holds a Bachelor’s degree from Hunter College and an MBA from the University of Rochester.</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Alexis Johnson is one of our advisors. Ms. Johnson has over five years of experience in real estate development and construction management ranging from high-end residential to commercial and healthcare. Ms. Johnson launched her media company in 2015 targeting niche industries and communities. Ms. Johnson began passively investing in cryptocurrencies in early 2017, and during Spring 2018 launched the Light Node Media a new division, an events, public relations and media company which targets the Blockchain community. In Summer 2019 Ms. Johnson founded Legends Investment Network. Ms. Johnson serves as President and Board member of the Johns Hopkins Blockchain and Fintech network which connects students, alumni and professors that work or express interest within the Blockchain space. A recipient of the Little Rock 9 Scholarship, Ms. Johnson holds a bachelor’s degree in Civil Engineering from Johns Hopkins University’s Whiting School of Engineering.</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Patrick Orlando is one of our advisors. Mr. Orlando leverages decades of experience and contacts within industries including SPACs, finance, commodities, and derivatives in an effort to create significant value for stakeholders. Having held leadership roles at Digital World Acquisition Corp, (Nasdaq: DWAC) Benessere Capital Acquisition Corp, (Nasdaq: BENE) and Maquia Capital Acquisition Corp. (Nasdaq: MAQC), Deutsche Bank, JP Morgan, BT Capital Markets, Sucro Can, and Pure Biofuels Corporation, Mr. Orlando has developed an extensive network and his knowledge and exposure will enable us to locate and attract attractive potential targets, potentially negotiate favorable deals, and potentially attract significant financing on a global scale. Mr. Orlando received his B.S. in Mechanical Engineering and his B.S. in Management Science from the Sloan School of Management at the Massachusetts Institute of Technology (MIT).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stockholders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currently have five officers. These individuals are not obligated to devote any specific number of hours to our matters but they intend to devote as much of their time as they deem necessary, in the exercise of their respective business judgement, to our affairs until we have completed our initial business combination. The amount of time they will devote in any time period will vary based on whether a target business has been selected for our initial business combination and the stage of the initial business combination process we are in. We do not intend to have any full-time employees prior to the completion of our initial business combination. We do not have an employment agreement with any member of our management team.</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discussion of the general development of our business, see our final prospectus on Form 424B4, filed with the SEC on December 14, 2021.</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the Excise Tax included in the Inflation Reduction Act of 2022 in connection with redemptions of our Class A Common Stock after December 31, 2022.</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16, 2022, President Biden signed into law the Inflation Reduction Act of 2022, which, among other things, imposes a 1% excise tax on any publicly traded domestic corporation that repurchases its stock after December 31, 2022 (the “</w:t>
      </w:r>
      <w:r>
        <w:rPr>
          <w:rFonts w:ascii="Arial" w:cs="Arial" w:eastAsia="Arial" w:hAnsi="Arial"/>
          <w:sz w:val="17"/>
          <w:szCs w:val="17"/>
          <w:b w:val="1"/>
          <w:bCs w:val="1"/>
          <w:color w:val="auto"/>
        </w:rPr>
        <w:t>Excise Tax</w:t>
      </w:r>
      <w:r>
        <w:rPr>
          <w:rFonts w:ascii="Arial" w:cs="Arial" w:eastAsia="Arial" w:hAnsi="Arial"/>
          <w:sz w:val="17"/>
          <w:szCs w:val="17"/>
          <w:color w:val="auto"/>
        </w:rPr>
        <w:t>”). The Excise Tax is imposed on the fair market value of the repurchased stock, with certain exceptions. Because we are a Delaware corporation and because our securities trade on Nasdaq, we are a “covered corporation” within the meaning of the Inflation Reduction Act. While not free from doubt, absent any further guidance from the U.S. Department of the Treasury (the “</w:t>
      </w:r>
      <w:r>
        <w:rPr>
          <w:rFonts w:ascii="Arial" w:cs="Arial" w:eastAsia="Arial" w:hAnsi="Arial"/>
          <w:sz w:val="17"/>
          <w:szCs w:val="17"/>
          <w:b w:val="1"/>
          <w:bCs w:val="1"/>
          <w:color w:val="auto"/>
        </w:rPr>
        <w:t>Treasury</w:t>
      </w:r>
      <w:r>
        <w:rPr>
          <w:rFonts w:ascii="Arial" w:cs="Arial" w:eastAsia="Arial" w:hAnsi="Arial"/>
          <w:sz w:val="17"/>
          <w:szCs w:val="17"/>
          <w:color w:val="auto"/>
        </w:rPr>
        <w:t>”), who has been given authority to provide regulations and other guidance to carry out and prevent the abuse or avoidance of the Excise Tax, the Excise Tax may apply to any redemptions of our Class A Common Stock after December 31, 2022, including redemptions in connection with a business combination, unless an exemption is available. Generally, issuances of securities in connection with an initial business combination transaction (including any PIPE transaction at the time of an initial business combination) are expected to reduce the amount of the Excise Tax in connection with redemptions occurring in the same calendar year, but the number of securities redeemed may exceed the number of securities issued. In addition, the Excise Tax would be payable by us, and not by the redeeming holder, however the mechanics of any required payment of the Excise Tax have not been determined. Further, based on recently issued interim guidance from the Internal Revenue Service and Treasury in Notice 2023-2, subject to certain exceptions, the Excise Tax should not apply in the event of our liquidation.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 or our prospects.</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funds in our operating account and our trust account are held in banks or other financial institutions. Our cash held in non-interest bearing and interest-bearing accounts would exceed any applicable Federal Deposit Insurance Corporation (“FDIC”) insurance limits. Should events, including limited liquidity, defaults, non-performance or other adverse developments occur with respect to the banks or other financial institutions that hold our funds, or that affect financial institutions or the financial services industry generally, or concerns or rumors about any events of these kinds or other similar risks, our liquidity may be adversely affected. For example, on March 10, 2023, the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terms favorable to us in connection with a potential business combination, or at all, and could have material adverse impacts on our liquidity, our business, financial condition or results of operations, and our prospects. Our business may be adversely impacted by these developments in ways that we cannot predict at this time, there may be additional risks that we have not yet identified, and we cannot guarantee that we will be able to avoid negative consequences.</w:t>
      </w:r>
    </w:p>
    <w:p>
      <w:pPr>
        <w:spacing w:after="0" w:line="1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executive offices are located at 1300 Pennsylvania Ave NW, Suite 700, Washington, DC 20004, and our telephone number is (202) 600-5757.</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our securities are first listed on Nasdaq, we have agreed to pay BurTech LP, LLC, our sponsor, a total of $10,000 per month for office space, utilities and secretarial and administrative support. We consider our current office space adequate for our current operations.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be subject to legal proceedings, investigations and claims incidental to the conduct of our business from time to time. We are not currently a party to any material litigation or other legal proceedings brought against us. We are also not aware of any legal proceeding, investigation or claim, or other legal exposure that has a more than remote possibility of having a material adverse effect on our business, financial condition or results of operations.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units began to trade on The Nasdaq Global Market, or Nasdaq, under the symbol “BRKHU” on or about December 13, 2021. The Class A common stock and redeemable warrants comprising the units began separate trading on January 31, 2022, under the symbols “BRKH” and “BRKHW,”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April 20, 2023, there were 6,630,703 of our shares of Class A common stock issued and outstanding held by approximately 5 stockholders of record, and there were 9,487,500 of our shares of Class B common stock issued and outstanding held by our Sponsor. The number of record holders was determined from the records of our transfer agent and does not include beneficial owners of shares of common stock whose shares are held in the names of various security brokers, dealers, and registered clearing agencies.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share dividends in the foreseeable future. Further, if we incur any indebtedness, our ability to declare dividends may be limited by restrictive covenants we may agree to in connection therewith.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unregistered securities to report which have not been previously included in a Quarterly Report on Form 10-Q or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The following discussion and analysis should be read in conjunction with these financial statements and related notes included elsewhere in this Annual Report on Form 10-K. This discussion contains forward-looking statements reflecting our current expectations,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“Forward-Looking Statements” appearing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Annual Report on Form 10-K includes forward-looking statements within the meaning of Section 27A of the Securities Act of 1933, as amended,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Securities and Exchange Commission (“SEC”) filings.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 blank check company incorporated in Delaware on March 2, 2021, for the purpose of effecting a merger, capital stock exchange, asset acquisition, stock purchase, reorganization or similar business combination with one or more businesses. We are an emerging growth company and, as such, we are subject to all of the risks associated with emerging growth companies.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December 15, 2021, we completed the IPO of 28,750,000 units, including 3,750,000 units from the full exercise of the overallotment option by the underwriters, at $10.00 per unit (the “Units”). Each Unit consists of one Class A common stock and one redeemable warrant (the “Public Warrants”). Each whole warrant entitles the holder to purchase one Class A common stock at a price of $11.50 per share. Simultaneously with the consummation of the IPO, we consummated the private placement of 898,250 units (the “Private Placement Units”) to our sponsor, including 93,750 units from the full exercise of the overallotment option by the underwriters, at a price of $10.00 per units, generate an aggregate of $8,982,500 proceeds.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stockholders’ vote at the special meeting of stockholders held by the Company on March 10, 2023, 22,119,297 shares were tendered for redemption. As a result, approximately $227.8 million (approximately $10.30 per share redeemed) was removed from the Company’s trust account to pay such holders. Following redemptions, the Company will have 6,630,703 shares of Class A common stock outstanding, and approximately $68.0 million will remain in the Company’s trust account.</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Conjunction with the above redemptions, the stockholders’ also voted on extending the original liquidation from March 15, 2023 to December 15, 2023, (the “extended liquidation date”) extending the life of the Company to complete an initial business combination. We will have only 23 months from the closing of the IPO (the “Combination Period”) to complete the initial Business Combination. If we are unable to complete the initial business combination within the Combination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the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There will be no redemption rights or liquidating distributions with respect to the warrants, which will expire worthless if we fail to complete the initial business combination within the Combination Period.</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neither engaged in any operations nor generated any revenues to date. Our only activities through December 31, 2022 were organizational activities, those necessary to prepare for the Initial Public Offering, described below, and identifying a target company for a Business Combination. We do not expect to generate any operating revenues until after the completion of our Business Combination. We generate non-operating income in the form of interest dividends on marketable securities held in the Trust Account. We incur expenses as a result of being a public company (for legal, financial reporting, accounting and auditing compliance), as well as for due diligence and transaction expenses.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 ended December 31, 2022, we had a net income of $1,673,607, which consisted of interest from marketable securities held in our Trust Account of $3,989,294, offset by formation and operating costs of $1,523,929 and provision for income taxes of $791,758.</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period from March 2, 2021 (inception) through December 31, 2021, we had net loss of $65,892, which consisted of formation and operating costs of $66,791 and interest and dividend income of $899.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Going Concern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2022, the Company had $22,232 in its operating bank accounts, $295,802,694 in investments held in the Trust Account to be used for a Business Combination or to repurchase or redeem its Public Shares in connection therewith and working capital deficit of $96,188. As of December 31, 2022, $3,989,294 of the amount on deposit in the Trust Account represented interest income.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liquidity needs up to December 31,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December 31, 2022, there were no amounts outstanding under any Working Capital Loans.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less than 8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this Annual Report on Form 10-K are issued.</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2022 and 2021. We do not participate in transactions that create relationships with unconsolidated entities or financial partnerships, often referred to as variable interest entities, which would have been established for the purpose of facilitating off-balance sheet</w:t>
      </w:r>
    </w:p>
    <w:p>
      <w:pPr>
        <w:sectPr>
          <w:pgSz w:w="11900" w:h="16838" w:orient="portrait"/>
          <w:cols w:equalWidth="0" w:num="1">
            <w:col w:w="9920"/>
          </w:cols>
          <w:pgMar w:left="980" w:top="665"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arrangements. We have not entered into any off-balance sheet financing arrangements, established any special purpose entities, guaranteed any debt or commitments of other entities, or purchased any non-financial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our financial advisor a monthly fee of $10,000 for office space, utilities and administrative support. Upon completion of our Business Combination or the Company’s liquidation, we will cease paying these monthly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account for the public warrants and private warrants collectively (“Warrants”), as either equity or liability-classified instruments based on an assessment of the specific terms of the Warrants and the applicable authoritative guidance in Financial Accounting Standards Board (“FASB”) Accounting Standards Codification (“ASC”) 815, Derivatives and Hedging (“ASC 815”). The assessment considers whether the Warrants meet all of the requirements for equity classification under ASC 815, including whether the Warrants are indexed to our own common stocks and whether the warrant holders could potentially require “net cash settlement” in a circumstance outside of our control, among other conditions for equity classification. This assessment, which requires the use of professional judgment, is conducted at the time of issuance of the Warrants and as of each subsequent quarterly period end date while the Warrants are outstanding.</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such warrants are required to be recorded as a component of additional paid-in capital at the time of issuance. For issued or modified warrants that do not meet all the criteria for equity classification, such warrants are required to be recorded at their initial fair value on the date of issuance, and each balance sheet date thereafter. Changes in the estimated fair value of liability-classified warrants are recognized as a non-cash gain or loss on the statements of operations.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evaluated the public warrants and private warrants in accordance with ASC 815-40, “Derivatives and Hedging — Contracts in Entity’s Own Equity,” and concluded that they met the criteria for equity classification and are required to be recorded as part a component of additional paid-in capital at the time of issuance.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account for our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our control) are classified as temporary equity. At all other times, common stock is classified as stockholders’ equity. Our Class A common stock feature certain redemption rights that are considered to be outside of our control and subject to the occurrence of uncertain future events. Accordingly, as of December 31, 2022 and 2021, 28,750,000 Class A common stock subject to possible redemption are presented at redemption value as temporary equity, outside of the stockholders’ equity section of our balance sheet.</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recognize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two classes of shares, which are referred to as Class A common stock and Class B common stock. Earnings and losses are shared pro rata between the two classes of shares. The 29,648,250 potential common stocks for outstanding warrants to purchase our shares were excluded from diluted earnings per share for the year ended December 31, 2022 and 2021 because the warrants are contingently exercisable, and the contingencies have not yet been met and its inclusion would be anti-dilutive. As a result, diluted net income or loss per common stock is the same as basic net income or loss per common stock for the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We are currently assessing the impact, if any, that ASU 2020-06 would have on our financial position, results of operations or cash flows. We have not adopted this guidance as of December 31, 2022.</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does not believe that any other recently issued, but not yet effective, accounting standards if currently adopted would have a material effect on the accompanying financial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information appears following Item 15 of this Report and is included herein by reference.</w:t>
      </w:r>
    </w:p>
    <w:p>
      <w:pPr>
        <w:spacing w:after="0" w:line="221"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December 31, 2022. Based upon their evaluation, our Chief Executive Officer and Chief Financial Officer concluded that our disclosure controls and procedures (as defined in Rules 13a-15(e) and 15d-15(e) under the Exchange Act) were effective. Accordingly, management believes that the financial statements included in this Annual Report present fairly in all material respects our financial position, results of operations and cash flows for the period presented.</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financial statements for external reporting purposes in accordance with GAAP. Our internal control over financial reporting includes those policies and procedures that:</w:t>
      </w:r>
    </w:p>
    <w:p>
      <w:pPr>
        <w:spacing w:after="0" w:line="188" w:lineRule="exact"/>
        <w:rPr>
          <w:sz w:val="20"/>
          <w:szCs w:val="20"/>
          <w:color w:val="auto"/>
        </w:rPr>
      </w:pPr>
    </w:p>
    <w:p>
      <w:pPr>
        <w:ind w:right="20" w:firstLine="8"/>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our company,</w:t>
      </w:r>
    </w:p>
    <w:p>
      <w:pPr>
        <w:spacing w:after="0" w:line="170" w:lineRule="exact"/>
        <w:rPr>
          <w:rFonts w:ascii="Arial" w:cs="Arial" w:eastAsia="Arial" w:hAnsi="Arial"/>
          <w:sz w:val="18"/>
          <w:szCs w:val="18"/>
          <w:color w:val="auto"/>
        </w:rPr>
      </w:pPr>
    </w:p>
    <w:p>
      <w:pPr>
        <w:jc w:val="both"/>
        <w:ind w:firstLine="8"/>
        <w:spacing w:after="0" w:line="263"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83" w:lineRule="exact"/>
        <w:rPr>
          <w:rFonts w:ascii="Arial" w:cs="Arial" w:eastAsia="Arial" w:hAnsi="Arial"/>
          <w:sz w:val="18"/>
          <w:szCs w:val="18"/>
          <w:color w:val="auto"/>
        </w:rPr>
      </w:pPr>
    </w:p>
    <w:p>
      <w:pPr>
        <w:ind w:firstLine="8"/>
        <w:spacing w:after="0" w:line="277"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errors or misstatements in our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at December 31, 2022. In making these assessments, management used the criteria set forth by the Committee of Sponsoring Organizations of the Treadway Commission (COSO) in Internal Control — Integrated Framework (2013). Based on our assessments and those criteria, management determined that we did maintain effective internal control over financial reporting as of December 31, 2022.</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our status as an emerging growth company under the JOBS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most recent fiscal quarter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tab/>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about our directors and executive officers.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ind w:left="120"/>
              <w:spacing w:after="0"/>
              <w:rPr>
                <w:sz w:val="20"/>
                <w:szCs w:val="20"/>
                <w:color w:val="auto"/>
              </w:rPr>
            </w:pPr>
            <w:r>
              <w:rPr>
                <w:rFonts w:ascii="Arial" w:cs="Arial" w:eastAsia="Arial" w:hAnsi="Arial"/>
                <w:sz w:val="14"/>
                <w:szCs w:val="14"/>
                <w:b w:val="1"/>
                <w:bCs w:val="1"/>
                <w:color w:val="auto"/>
              </w:rPr>
              <w:t>Age</w:t>
            </w:r>
          </w:p>
        </w:tc>
        <w:tc>
          <w:tcPr>
            <w:tcW w:w="140" w:type="dxa"/>
            <w:vAlign w:val="bottom"/>
          </w:tcPr>
          <w:p>
            <w:pPr>
              <w:spacing w:after="0"/>
              <w:rPr>
                <w:sz w:val="16"/>
                <w:szCs w:val="16"/>
                <w:color w:val="auto"/>
              </w:rPr>
            </w:pPr>
          </w:p>
        </w:tc>
        <w:tc>
          <w:tcPr>
            <w:tcW w:w="4760" w:type="dxa"/>
            <w:vAlign w:val="bottom"/>
          </w:tcPr>
          <w:p>
            <w:pPr>
              <w:ind w:left="214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Shahal Khan</w:t>
            </w:r>
          </w:p>
        </w:tc>
        <w:tc>
          <w:tcPr>
            <w:tcW w:w="1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CEEFF"/>
            </w:tcBorders>
            <w:shd w:val="clear" w:color="auto" w:fill="CCEEFF"/>
          </w:tcPr>
          <w:p>
            <w:pPr>
              <w:spacing w:after="0"/>
              <w:rPr>
                <w:sz w:val="19"/>
                <w:szCs w:val="19"/>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Chairman of the Board of Directors and Chief Executive Officer</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Isaac Chetrit</w:t>
            </w:r>
          </w:p>
        </w:tc>
        <w:tc>
          <w:tcPr>
            <w:tcW w:w="480" w:type="dxa"/>
            <w:vAlign w:val="bottom"/>
          </w:tcPr>
          <w:p>
            <w:pPr>
              <w:ind w:left="120"/>
              <w:spacing w:after="0"/>
              <w:rPr>
                <w:sz w:val="20"/>
                <w:szCs w:val="20"/>
                <w:color w:val="auto"/>
              </w:rPr>
            </w:pPr>
            <w:r>
              <w:rPr>
                <w:rFonts w:ascii="Arial" w:cs="Arial" w:eastAsia="Arial" w:hAnsi="Arial"/>
                <w:sz w:val="18"/>
                <w:szCs w:val="18"/>
                <w:color w:val="auto"/>
              </w:rPr>
              <w:t>60</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President, Director</w:t>
            </w:r>
          </w:p>
        </w:tc>
      </w:tr>
      <w:tr>
        <w:trPr>
          <w:trHeight w:val="22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Roman Livson</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52</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Payel Farasat</w:t>
            </w:r>
          </w:p>
        </w:tc>
        <w:tc>
          <w:tcPr>
            <w:tcW w:w="480" w:type="dxa"/>
            <w:vAlign w:val="bottom"/>
          </w:tcPr>
          <w:p>
            <w:pPr>
              <w:ind w:left="120"/>
              <w:spacing w:after="0"/>
              <w:rPr>
                <w:sz w:val="20"/>
                <w:szCs w:val="20"/>
                <w:color w:val="auto"/>
              </w:rPr>
            </w:pPr>
            <w:r>
              <w:rPr>
                <w:rFonts w:ascii="Arial" w:cs="Arial" w:eastAsia="Arial" w:hAnsi="Arial"/>
                <w:sz w:val="18"/>
                <w:szCs w:val="18"/>
                <w:color w:val="auto"/>
              </w:rPr>
              <w:t>43</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Chief Investment Officer</w:t>
            </w: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Schroeder</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57</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Chief Marketing Officer</w:t>
            </w:r>
          </w:p>
        </w:tc>
      </w:tr>
      <w:tr>
        <w:trPr>
          <w:trHeight w:val="229"/>
        </w:trPr>
        <w:tc>
          <w:tcPr>
            <w:tcW w:w="4540" w:type="dxa"/>
            <w:vAlign w:val="bottom"/>
            <w:gridSpan w:val="2"/>
          </w:tcPr>
          <w:p>
            <w:pPr>
              <w:spacing w:after="0"/>
              <w:rPr>
                <w:sz w:val="20"/>
                <w:szCs w:val="20"/>
                <w:color w:val="auto"/>
              </w:rPr>
            </w:pPr>
            <w:r>
              <w:rPr>
                <w:rFonts w:ascii="Arial" w:cs="Arial" w:eastAsia="Arial" w:hAnsi="Arial"/>
                <w:sz w:val="18"/>
                <w:szCs w:val="18"/>
                <w:color w:val="auto"/>
              </w:rPr>
              <w:t>Leon Golden</w:t>
            </w:r>
          </w:p>
        </w:tc>
        <w:tc>
          <w:tcPr>
            <w:tcW w:w="480" w:type="dxa"/>
            <w:vAlign w:val="bottom"/>
          </w:tcPr>
          <w:p>
            <w:pPr>
              <w:ind w:left="120"/>
              <w:spacing w:after="0"/>
              <w:rPr>
                <w:sz w:val="20"/>
                <w:szCs w:val="20"/>
                <w:color w:val="auto"/>
              </w:rPr>
            </w:pPr>
            <w:r>
              <w:rPr>
                <w:rFonts w:ascii="Arial" w:cs="Arial" w:eastAsia="Arial" w:hAnsi="Arial"/>
                <w:sz w:val="18"/>
                <w:szCs w:val="18"/>
                <w:color w:val="auto"/>
              </w:rPr>
              <w:t>60</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Young</w:t>
            </w:r>
          </w:p>
        </w:tc>
        <w:tc>
          <w:tcPr>
            <w:tcW w:w="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64</w:t>
            </w:r>
          </w:p>
        </w:tc>
        <w:tc>
          <w:tcPr>
            <w:tcW w:w="4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Joseph A. Porrello</w:t>
            </w:r>
          </w:p>
        </w:tc>
        <w:tc>
          <w:tcPr>
            <w:tcW w:w="480" w:type="dxa"/>
            <w:vAlign w:val="bottom"/>
          </w:tcPr>
          <w:p>
            <w:pPr>
              <w:ind w:left="120"/>
              <w:spacing w:after="0"/>
              <w:rPr>
                <w:sz w:val="20"/>
                <w:szCs w:val="20"/>
                <w:color w:val="auto"/>
              </w:rPr>
            </w:pPr>
            <w:r>
              <w:rPr>
                <w:rFonts w:ascii="Arial" w:cs="Arial" w:eastAsia="Arial" w:hAnsi="Arial"/>
                <w:sz w:val="18"/>
                <w:szCs w:val="18"/>
                <w:color w:val="auto"/>
              </w:rPr>
              <w:t>51</w:t>
            </w:r>
          </w:p>
        </w:tc>
        <w:tc>
          <w:tcPr>
            <w:tcW w:w="49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bl>
    <w:p>
      <w:pPr>
        <w:spacing w:after="0" w:line="19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Shahal M. Khan </w:t>
      </w:r>
      <w:r>
        <w:rPr>
          <w:rFonts w:ascii="Arial" w:cs="Arial" w:eastAsia="Arial" w:hAnsi="Arial"/>
          <w:sz w:val="18"/>
          <w:szCs w:val="18"/>
          <w:color w:val="auto"/>
        </w:rPr>
        <w:t>is our Chairman of the Board of Directors and Chief Executive Officer. Mr. Khan’s career as an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entrepreneur and social venture capitalist spans over 22 years, with investments encompassing telecoms, real estate, energy, natural resources, technology (specific emphasis on Internet-related communications technologies and advanced cyber security solutions) as well as various other industrial sectors. He has contributed to the syndication of several billion in equity for projects as a principal through his family trust.</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Khan is the founder and since its inception in January 2021, serves as chief executive officer and as a director of Burkhan World Investments LLC, a holding company with diversified investments focusing on reinvesting gains from portfolio investments into companies that have the potential so accelerate sustainability. Mr. Khan is a shareholder of CYVOLVE, a Cyber security company in New York City and London with patents in data security. Since 2019, Mr. Khan has served as chief executive officer and Chairman of the Board of Trinity Hospitality Group LLC based in New York City, which is currently developing a hotel property in New York City which will be a fully tech-enabled live and work destination in New York City with WIRED, a Condé Naste company. Trinity is currently developing a multi-billion dollar a pipeline of “Digital Nomad” properties. Mr. Khan was chairman of the board of directors for Global Data Sentinel, Inc., a data security company, from 2018 through 2019. He is also the founder of Trinity White City Ventures RAK UAE (“White City”), an advisory boutique and family office based in Dubai and was a director from 2012 until 2014. White City made a bid to buy the Plaza Hotel in New York in 2018, closed the transaction, then agreed to the sale of the hotel to the Qatari SWF.</w:t>
      </w:r>
    </w:p>
    <w:p>
      <w:pPr>
        <w:spacing w:after="0" w:line="16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Mr. Khan was the founding member of CRME (Colt Middle East) in 2012, a mining company which held gold, copper and lithium concessions in Pakistan and Afghanistan. From 2004 to 2008, he was a board member and shareholder of The Quimera Project, a research and development cluster based in Barcelona, Spain, comprised of technology companies as well as universities with the aim of commercializing technologies that have a positive impact on environmental sustainability. He also has a joint venture with American Ethane Corporation of Houston to invest in up to 6,000 megawatts of power projects in Pakistan in collaboration with General Electric. Mr. Khan was one of the founders of a tier one bank in Bahrain - Fortune Investment House - and was focused on real estate investments in Bahrain and other countries in the Middle East. He was also founder of Global Voice Telecom, one of the first companies to receive a license for voice over the Internet in 1997 which subsequently merged into a Nasdaq listed company. Mr. Khan was the chief executive officer of Centile, a software company located in the South of France. In 2009 Mr. Khan founded Zebasolar, one of the first developers of Solar power in India. Mr. Khan also served as a director on the boards of GD360 from 2017 through 2019,</w:t>
      </w:r>
    </w:p>
    <w:p>
      <w:pPr>
        <w:spacing w:after="0" w:line="1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Mr. Khan is currently appointed senator of the World Business Angels Investment Forum (“WBAF”), as an affiliated partner of the G20 Global Partnership for Financial Inclusion (GPFI). WBAF is committed to collaborating globally to empowering the economic development of the world. He is also a commissioner of the U.S. Council on Competitiveness, a nonpartisan, leadership organization composed of CEOs, university presidents, labor leaders, and national lab directors committed to ensuring that the United States remains the world leader in innovation. The Council has one main goal: to strengthen America’s competitive advantage by acting as a catalyst for innovative public policy solutions. Mr. Khan was born in New York and has a Bachelor of Arts in Economics from American University and studied business management at Johns Hopkins University.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Isaac Chetrit </w:t>
      </w:r>
      <w:r>
        <w:rPr>
          <w:rFonts w:ascii="Arial" w:cs="Arial" w:eastAsia="Arial" w:hAnsi="Arial"/>
          <w:sz w:val="17"/>
          <w:szCs w:val="17"/>
          <w:color w:val="auto"/>
        </w:rPr>
        <w:t>is our President and one of our directors. Mr. Chetrit is a real estate veteran with a background in architecture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electrical engineering. Mr. Chetrit is currently the chief executive officer and a director of Monti Consulting Services, a real estate consulting firm, which positions he has held since 2015. Monti Consulting specializes in retail and hospitality real estate, property technology and management services. In addition, since 2019, Mr. Chetrit has been the president and a director of the Trinity Hospitality Group, a real estate management, consulting, and development firm. Mr. Chetrit began his real estate career at The Taubman Company, where he built a reputation across major cities in the U.S. During his career with Taubman he contributed to developing numerous properties including the Dolphin Mall as well as the expansion and business development of many other luxury high end brands, restaurants, and entertainment venues in the U.S. and overseas.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Mr. Chetrit has also spent the last 20 years merchandising malls, shopping centers, hotels, and specializing in location assessment and negotiations. Later as the vice president of Westfield, Mr. Chetrit contributed to the high-end retail and entertainment development for the eastern U.S. During the last two decades, Mr. Chetrit has been involved with a number of real estate transactions in the U.S. and internationally. For the past few years, Mr. Chetrit has delved into the fintech and proptech space to develop the next generation hospitality and real estate industries, with the objective to leverage these innovations within these industries to address continuing technologically progressive market demands. Mr. Chetrit has a bachelor of science degree in architecture and electrical engineering from ORT Toulouse, France.</w:t>
      </w:r>
    </w:p>
    <w:p>
      <w:pPr>
        <w:spacing w:after="0" w:line="19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Roman V. Livson </w:t>
      </w:r>
      <w:r>
        <w:rPr>
          <w:rFonts w:ascii="Arial" w:cs="Arial" w:eastAsia="Arial" w:hAnsi="Arial"/>
          <w:sz w:val="17"/>
          <w:szCs w:val="17"/>
          <w:color w:val="auto"/>
        </w:rPr>
        <w:t>is our Chief Financial Officer. Since February 2021, Mr. Livson has been the Chief Financial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Burkhan World, a family office investment company. Mr. Livson is also the Managing Member of BurTech LP, LLC, our Sponsor. Since July 2014, Mr. Livson has been serving as the Chief Compliance Officer at Katalyst Securities LLC, an investment banking firm. Mr. Livson started his professional career in the corporate finance department of PriceWaterhouseCoopers in London and Moscow where he focused on real estate, energy, metals and mining, shipping and logistics and telecommunications sectors. He subsequently worked in the investment banking department of Hagstromer and Qviberg, a leading Swedish brokerage firm. After moving to the U.S. in 2000, Mr. Livson established an investment banking advisory firm to assist companies from Europe and BRIC (Brazil, Russia, India and China) countries in going public in the U.S., raising capital and engaging in cross-border mergers and acquisitions transactions. Mr. Livson served as Chief Financial Officer of a US public company where he was responsible for raising capital, structuring acquisitions and divestitures and financial reporting. Mr. Livson raised over $100 million for oil &amp; gas, technology and biotechnology companies. Mr. Livson is a CFA charterholder and held Series 7, 24, and 63 registrations with the FINRA. Mr. Livson has a Master’s degree in Mathematical Finance from Columbia University, a Master’s degree in Physics from Moscow State Institute of Electronics Technology (MEIT) and a degree in Finance from The London School of Economics and Political Science.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Payel Farasat </w:t>
      </w:r>
      <w:r>
        <w:rPr>
          <w:rFonts w:ascii="Arial" w:cs="Arial" w:eastAsia="Arial" w:hAnsi="Arial"/>
          <w:sz w:val="17"/>
          <w:szCs w:val="17"/>
          <w:color w:val="auto"/>
        </w:rPr>
        <w:t>is our Chief Investment Officer. Since December 2020, Ms. Farasat has been the Chief Investment Officer (CIO)</w:t>
      </w:r>
      <w:r>
        <w:rPr>
          <w:rFonts w:ascii="Arial" w:cs="Arial" w:eastAsia="Arial" w:hAnsi="Arial"/>
          <w:sz w:val="17"/>
          <w:szCs w:val="17"/>
          <w:b w:val="1"/>
          <w:bCs w:val="1"/>
          <w:color w:val="auto"/>
        </w:rPr>
        <w:t xml:space="preserve"> </w:t>
      </w:r>
      <w:r>
        <w:rPr>
          <w:rFonts w:ascii="Arial" w:cs="Arial" w:eastAsia="Arial" w:hAnsi="Arial"/>
          <w:sz w:val="17"/>
          <w:szCs w:val="17"/>
          <w:color w:val="auto"/>
        </w:rPr>
        <w:t>of Burkhan World Investments LLC (“Burkhan”) and the Co-founder and Managing Partner of V4 Capital LLC, a consultancy and private equity firm that specializes in investing with purpose, impact and heart. Since December 2017, Ms. Farasat has been the Managing Principal of Farasat Consulting Group LLC (“FCG”), a business and management consulting firm. Ms. Farasat is also the Founder and Master Coach of Project Me Coaching, a coaching and advisory organization which she founded in June 2017. Ms. Farasat has over 20 years of experience, intuition, and conviction in asset management and financial advising. Ms. Farasat chairs Burkhan’s Investment Committee and curates investment policy and portfolio management for Burkhan’s global ecosystem of group companies. Ms. Farasat researches and analyzes the landscape of rapid growth companies in the InfraTech/PropTech/FinTech, Artificial Intelligence/Quantum Computing, MediaTech/eSports/eGaming, BioTech, Healthcare, HospitalityTech, Alternative Energy, Blockchain, and Cryptocurrency sectors - searching for exceptional businesses to invest in and creates customized capital raising solutions for Burkhan’s portfolio companies.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Prior to Burkhan, from February 2015 to November 2017, Ms. Farasat was the Chief Investment Officer of Loring Ward Securities Inc. (“Loring Ward”), a Turnkey Asset Management Provider and The SA Funds, Loring Ward’s proprietary mutual fund family with over $16 billion in assets under management. Payel chaired Loring Ward’s Investment Committee (that included Noble-laureate Dr. Harry Markowitz) and led the investment division. On the executive team, she was also responsible for the firm’s investment philosophy, policy, portfolio management, and messaging. She managed the development of many investment strategies, methodology, performance, risk attribution analysis, 3rd party manager oversight, board reporting, fintech solutions, public relations, and public commentaries. Prior to Loring Ward, Ms. Farasat was at Charles Schwab &amp; Co., Inc. (“Schwab”) from September 2007 through February 2015, as the Regional Vice President of Charles Schwab Investment Management (“CSIM”), and earlier as Senior Manager of the Strategic Trading Group (“STG”), where she specialized in complex hedging and advanced trading strategies for ultra-high net worth investors and financial advisors. Before joining Schwab, Ms. Farasat was an independent Advanced Financial Advisor with Ameriprise Financial Services, Inc. (“Ameriprise”) where she provided financial planning and asset management to clients, businesses, and 401(k)s from July 2002 to September 2007. Ms. Farasat is on the Board of The Centre for Responsible Leadership (CRL) and is responsible for leading CRL’s Empowerment initiatives. CRL is a global non-profit and NGO. Ms. Farasat earned a Bachelor’s degree in Economics summa cum laude from the University of California at Berkeley, Haas School of Business with a double minor in Computer Science and Business Administration, and a Master of Science degree in Financial Analysis (MSc FA) from University of San Francisco, magna cum laude. Ms. Farasat is also ICF Certified Coach and a PHI Certified Pranic Healer.</w:t>
      </w:r>
    </w:p>
    <w:p>
      <w:pPr>
        <w:spacing w:after="0" w:line="17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Christopher Schroeder </w:t>
      </w:r>
      <w:r>
        <w:rPr>
          <w:rFonts w:ascii="Arial" w:cs="Arial" w:eastAsia="Arial" w:hAnsi="Arial"/>
          <w:sz w:val="16"/>
          <w:szCs w:val="16"/>
          <w:color w:val="auto"/>
        </w:rPr>
        <w:t>is our Chief Marketing Officer. Over the last 30 years, Mr. Schroeder has also been an interactive</w:t>
      </w:r>
      <w:r>
        <w:rPr>
          <w:rFonts w:ascii="Arial" w:cs="Arial" w:eastAsia="Arial" w:hAnsi="Arial"/>
          <w:sz w:val="16"/>
          <w:szCs w:val="16"/>
          <w:b w:val="1"/>
          <w:bCs w:val="1"/>
          <w:color w:val="auto"/>
        </w:rPr>
        <w:t xml:space="preserve"> </w:t>
      </w:r>
      <w:r>
        <w:rPr>
          <w:rFonts w:ascii="Arial" w:cs="Arial" w:eastAsia="Arial" w:hAnsi="Arial"/>
          <w:sz w:val="16"/>
          <w:szCs w:val="16"/>
          <w:color w:val="auto"/>
        </w:rPr>
        <w:t>media resort developer, brand creator and marketer for globally recognized brands. He has a strong background in creating and implementing large scale marketing, branding, and development projects for globally recognized organizations including American Express, California Tourism Commission, UMUSIC Hotels and MGM Resorts. Since November of 2019, Mr. Schroeder has served as the chief executive officer of Experiential Ventures, LLC, an experiential hotel brand development company. From February 2016 through July 2019, Mr. Schroeder served as the managing partner and a director of Dakia Entertainment &amp; Hospitality. He was a founding partner of the UMUSIC hotel and entertainment center concept that is a partnership with one of the world’s largest music company, Universal Music Group. He is also active in its expansion, creating iconic projects. Mr. Schroeder is also leading the creation and expansion of the WIRED Hotel brand, having an exclusive license to the brand. Mr. Schroeder is also active in the creation and expansion of other projects with legacy brands including Sports Illustrated, Condé Nast, Authentic Brands Group and Emmitt Smith.</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From 2013 to 2015, Mr. Schroeder served as chief marketing officer for Veremonte, a multi-billion-dollar investment company based in London, where he worked to create leisure development projects in Europe, bringing partnerships with Hard Rock Hotels and Cirque du Soleil. He also worked to incubate and launch Formula E, one of the first fully electric racing championship in the world, with such notable partners as Leonardo di Caprio, Michael Andretti, Alain Prost, and Virgin Racing. Races are held in cities all over the world including Paris, London, and New York.</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1995 Mr. Schroeder founded Reservation, one of the world’s first internet development companies for the hospitality industry at the time. From 1995 through 2003, he led the development of the online reservation system in the travel industry for MGM Resorts and Hilton/Park Place Entertainment. During this time Mr. Schroeder also played a key role in creating and implementing a substantial rebranding and redevelopment campaign for MGM Resorts, which included developing a multimedia roadshow to present to stockholders and investors to secure funding for the project. Mr. Schroeder also served as president of the interactive division for Custom Marketing Group, the destination marketing group for American Express, where he developed and managed digital media campaigns for over 20 tourism boards.</w:t>
      </w:r>
    </w:p>
    <w:p>
      <w:pPr>
        <w:spacing w:after="0" w:line="19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Mr. Schroeder has has participated in travel marketing, incentives, and loyalty, having created a patented rewards system and founding a leading incentive company that created proprietary products and long-term marketing campaigns for companies including Capital One, American Express, Bank of America, Samsonite, and Ford Motor Company. Many of his programs were ongoing and included cooperative marketing initiatives incorporating local tourism boards, corporate partners, attractions, media, airlines, and hotels. Schroeder also created the first custom travel offers for NBC’s Today Show in addition to Fox and Friends, CBS, and others. Additionally, Schroeder, in partnership with Steve Burks, created a proprietary travel rewards system that multiple companies used including the world’s largest online travel company, Priceline/booking.com. During college, Mr. Schroeder founded one of the largest college travel and marketing companies in the country, with clients including Ocean Pacific, Miller Beer, Hawaiian Tropics and Ujena Swimwear. This led to him being hired directly from college to serve as the National Marketing and Retail Director for the company owning Ujena Swimwear, Swimwear Illustrated and Runner’s World Magazines. Mr. Schroeder attended Texas State University, San Marcos.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Our Directors</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Leon Golden </w:t>
      </w:r>
      <w:r>
        <w:rPr>
          <w:rFonts w:ascii="Arial" w:cs="Arial" w:eastAsia="Arial" w:hAnsi="Arial"/>
          <w:sz w:val="16"/>
          <w:szCs w:val="16"/>
          <w:color w:val="auto"/>
        </w:rPr>
        <w:t>serves as a member of our Board of Directors as of the date of this prospectus. Mr. Golden is a chartered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accountant and has worked as an accountant at ARG Associates, Inc. an accounting firm in Brooklyn, New York since 1996. Mr. Golden has also been serving as a director for ARG Associates, Inc. since 1996. Mr. Golden has spent the past 25 years representing public and private companies in all areas of accounting practices. Through his expertise as a financial accountant, we believe he will be an integral part of the team. Mr. Golden is a certified public accountant (CPA) and has a bachelor’s degree from Brooklyn College.</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Scott Young </w:t>
      </w:r>
      <w:r>
        <w:rPr>
          <w:rFonts w:ascii="Arial" w:cs="Arial" w:eastAsia="Arial" w:hAnsi="Arial"/>
          <w:sz w:val="16"/>
          <w:szCs w:val="16"/>
          <w:color w:val="auto"/>
        </w:rPr>
        <w:t>serves as a member of our Board of Directors as of the date of this prospectus. Since January 2010, Mr. Young has</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a Senior Advisor and director of Dial Partners LLP, And advisory firm specializing in mergers and acquisitions and corporate finance. Mr. Young was one of the three founding board members of Cambridge Quantum Computing Ltd, in Cambridge, England (“Cambridge”), serving from April 2015 through October 2017. After the recent announcement of a merger with Honeywell Quantum Solutions, Cambridge has become a leading integrated quantum computing company, incorporating quantum software, Honeywell’s quantum hardware, and a quantum operating system which was developed by Cambridge Quantum. Key attributes of the combined entity are quantum-enabled cybersecurity solutions, quantum chemistry for accelerated drug discovery and securities and commodities trading enhancement, all with the incorporation of artificial intelligence, machine learning and other technologies. Mr. Young also served as a director of Globomass Holdings Ltd. from January 2012 until October 2016. Mr. Young has served as a director of Omnicyte Limited since November 2003 and is currently a member of its Nominating and Corporate Governance Committee.</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Mr. Young provides strategic advice to a wide range of entities, including private businesses, multinational companies, family offices, private equity groups and sovereign wealth funds. He is particularly focusing on companies that have developed technologies that are scalable on a worldwide basis, have strong management teams, and supported by solid commercial business models. Mr. Young was previously with Morgan Stanley &amp; Company in New York in the International Capital Markets group where his responsibilities included assisting sovereign governments in raising debt on the international capital markets, working with large investment groups such as Templeton, JP Morgan Investment Management, Fidelity and Soros in providing investment advice and hedging strategies. He worked closely with Morgan Stanley’s Wealth Management group worldwide in identifying international investment strategies for its clients. Earlier positions include Corporate Finance, Fixed Income and Equity Sales and Syndication with the securities trading and merchant banking firm LF Rothschild &amp; Co in New York providing financing, stock exchange listings and mergers &amp; acquisitions advice to companies primarily in the Technology and Biotech sectors. Mr. Young worked with the U.S. office of the Organization for Economic Co-operation and Development in New York, providing guidance to the U.S. Government as well as a wide range of multinational companies with inter-European and EU policy and regulations governing financial services, labor practices, information sharing between police forces and security-related issues, space cooperation and other key areas. Mr. Young has a Bachelor of Science in Economics and International Studies, as well as a Juris Doctor degree and Master of Business Administration degree from the University of North Carolina at Chapel Hill.</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Joseph A. Porrello </w:t>
      </w:r>
      <w:r>
        <w:rPr>
          <w:rFonts w:ascii="Arial" w:cs="Arial" w:eastAsia="Arial" w:hAnsi="Arial"/>
          <w:sz w:val="17"/>
          <w:szCs w:val="17"/>
          <w:color w:val="auto"/>
        </w:rPr>
        <w:t>serves as a member of our Board of Directors as of the date of this prospectus. Mr. Porrello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practicing law in South Florida for over twenty four years, representing the needs of physicians, high net worth individuals and their families, including founding his own law firm, Joseph A. Porrello, P.A., in 2002. Prior to founding Joseph A. Porrello, P.A., Mr. Porrello was a member of the Tax, Trusts &amp; Estates and Corporate Departments of Bilzin Sumberg, LLP, a South Florida law firm. Mr. Porrello has extensive experience in designing and implementing sophisticated strategies to protect business assets from creditors and the effects of income, estate and other taxes. Mr. Porrello has been a director of Benessere Capital Acquisition Corp., a special purpose acquisition company, since November 2021. Mr. Porrello has served as a director of Compass East, LLC, an accounting and financial planning advisory firm, since 2010. Mr. Porrello received a Bachelors of Arts degree from the University of Florida, a Juris Doctor degree from the University of Denver and a Master of Laws degree in taxation from the University of Florida.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consists of five directors. In accordance with Nasdaq corporate governance requirements, we are not required to hold an annual meeting until one year after our first fiscal year end following our listing on Nasdaq. Our board is divided into two classes with only one class of directors being elected in each year and each class (except for those directors appointed prior to our first annual meeting of stockholders) serving a two-year term. In accordance with Nasdaq corporate governance requirements, we are not required to hold an annual meeting until one year after our first fiscal year end following our listing on Nasdaq. The term of office of the first class of directors, consisting of Joseph Porrello and Isaac Chetrit, will expire at our first annual meeting of stockholders. The term of office of the second class of directors, consisting of Shahal Khan, Scott Young and Leon Golden will expire at the second annual meeting of stockholders.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Chief Executive Officer, Chief Financial Officer, Chief Investment Officer, Chief Operating Officer, President, Vice Presidents, Secretary, Treasurer, Assistant Secretaries and such other offices as may be determined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expect that our board of directors will determine that Scott Young, Joseph Porrello and Leon Golden and are “independent directors” as defined in the Nasdaq listing standards and applicable SEC rules. Our independent directors will have regularly scheduled meetings at which only independent directors are present.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has two standing committees: an audit committee and a compensation committee. Subject to phase-in rules and a limited exception, Nasdaq rules and Rule 10A-3 of the Exchange Act require that the audit committee of a listed company be comprised solely of independent directors, and Nasdaq rules require that the compensation committee of a listed company be comprised solely of independent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Leon Golden, Scott Young and Joseph Porrello serve as members of our audit committee, and Leon Golden chairs the audit committee. Under the Nasdaq listing standards and applicable SEC rules, we are required to have at least three members of the audit committee, all of whom must be independent. Each of Leon Golden, Scott Young and Josph Porrello meet the independent director standard under Nasdaq listing standards and under Rule 10-A-3(b)(1) of the Exchange Act.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Committee’s duties, which are specified in our Audit Committee Charter, include, but are not limited to:</w:t>
      </w:r>
    </w:p>
    <w:p>
      <w:pPr>
        <w:spacing w:after="0" w:line="225" w:lineRule="exact"/>
        <w:rPr>
          <w:sz w:val="20"/>
          <w:szCs w:val="20"/>
          <w:color w:val="auto"/>
        </w:rPr>
      </w:pPr>
    </w:p>
    <w:p>
      <w:pPr>
        <w:ind w:left="1000" w:right="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1000" w:hanging="317"/>
        <w:spacing w:after="0" w:line="259"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discussing and, as appropriate, reviewing with management and the independent registered public accounting firm our financial statements and annual and quarterly reports, discussing with the independent registered public accounting firm any other matters required to be discussed by accounting and auditing standards, and recommending to the Board whether the audited financial statements should be included in our annual report;</w:t>
      </w:r>
    </w:p>
    <w:p>
      <w:pPr>
        <w:spacing w:after="0" w:line="186" w:lineRule="exact"/>
        <w:rPr>
          <w:rFonts w:ascii="Arial" w:cs="Arial" w:eastAsia="Arial" w:hAnsi="Arial"/>
          <w:sz w:val="18"/>
          <w:szCs w:val="18"/>
          <w:color w:val="auto"/>
        </w:rPr>
      </w:pPr>
    </w:p>
    <w:p>
      <w:pPr>
        <w:jc w:val="both"/>
        <w:ind w:left="1000" w:hanging="317"/>
        <w:spacing w:after="0" w:line="272"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independent registered public accounting firm, or by any inquiry or investigation by governmental or professional authorities, within the preceding five years, respecting one or more independent audits carried out by the independent registered public accounting firm and any steps taken to deal with such issues and (iii) all relationships between the independent registered public accounting firm and us to assess the independent registered public accounting firm’s independence;</w:t>
      </w:r>
    </w:p>
    <w:p>
      <w:pPr>
        <w:sectPr>
          <w:pgSz w:w="11900" w:h="16838" w:orient="portrait"/>
          <w:cols w:equalWidth="0" w:num="1">
            <w:col w:w="9920"/>
          </w:cols>
          <w:pgMar w:left="980" w:top="665" w:right="99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 policies and procedures on a regular basis;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1000" w:hanging="317"/>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Experts on Audit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Nasdaq rules, the audit committee will at all times be composed exclusively of “independent directors” who are able to read and understand fundamental financial statements, including a company’s balance sheet, income statement and cash flow statement.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Golden qualifies as an “audit committee financial expert” as defined in applicable SEC rules, which generally is any person who has past employment experience in finance or accounting, requisite professional certification in accounting, or other comparable experience or background that results in the individual’s financial sophistication.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Compensation Committee consists of Leon Golden and Scott Young each of whom is an independent director under the Nasdaq listing standards. Mr. Young is the Chairperson of the compensation committee. The compensation committee’s duties, which are specified in our Compensation Committee Charter, include, but are not limited to:</w:t>
      </w:r>
    </w:p>
    <w:p>
      <w:pPr>
        <w:spacing w:after="0" w:line="184" w:lineRule="exact"/>
        <w:rPr>
          <w:sz w:val="20"/>
          <w:szCs w:val="20"/>
          <w:color w:val="auto"/>
        </w:rPr>
      </w:pPr>
    </w:p>
    <w:p>
      <w:pPr>
        <w:jc w:val="both"/>
        <w:ind w:left="1000" w:hanging="317"/>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6"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the foregoing, as indicated above, 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entered into in connection with such initial business combination.</w:t>
      </w:r>
    </w:p>
    <w:p>
      <w:pPr>
        <w:sectPr>
          <w:pgSz w:w="11900" w:h="16838" w:orient="portrait"/>
          <w:cols w:equalWidth="0" w:num="1">
            <w:col w:w="9920"/>
          </w:cols>
          <w:pgMar w:left="980" w:top="665" w:right="999" w:bottom="1440" w:gutter="0" w:footer="0" w:header="0"/>
        </w:sect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will participate in the consideration and recommendation of director nominees are Leon Golden, Scott Young and Joseph Porrello. In accordance with Rule 5605 of the Nasdaq rules, all such directors are independent. As there is no standing nominating committee, we do not have a nominating committee charter in place.</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adopted a Code of Ethics applicable to our directors, officers and employees. We have filed copies of our Code of Ethics and our audit and compensation committee charters as exhibits to the registration statement of which this prospectus is a part. You can review these documents by accessing our public filings at the SEC’s web site at www.sec.gov. In addition, a copy of the Code of Ethics will be provided without charge upon request from us. In addition, a copy of our Code of Ethics will be provided without charge upon request from us. We intend to disclose any amendments to or waivers of certain provisions of our Code of Ethics in a Current Report on Form 8-K.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shares of common stock and other equity securities. These executive officers, directors, and greater than 10% beneficial owners are required by SEC regulation to furnish us with copies of all Section 16(a) forms filed by such reporting persons.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entered into any employment agreements with our executive officers and have not made any agreements to provide benefits upon termination of employment.</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 Compensation</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No executive officer has received any cash compensation for services rendered to us. No compensation of any kind, including any finder’s fee, reimbursement, consulting fee or monies in respect of any payment of a loan, will be paid by us to our Sponsor, officers or directors or any affiliate of our Sponsor, officers or directors, prior to, or in connection with any services rendered in order to effectuate, the consummation of our initial business combination (regardless of the type of transaction that it is).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executive officers for their out-of-pocket expenses incurred in connection with identifying and consummating an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166" w:lineRule="exact"/>
        <w:rPr>
          <w:sz w:val="20"/>
          <w:szCs w:val="20"/>
          <w:color w:val="auto"/>
        </w:rPr>
      </w:pPr>
    </w:p>
    <w:p>
      <w:pPr>
        <w:jc w:val="both"/>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6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table sets forth as of April 20, 2023 the number of shares of Class A common stock and Class B common stock beneficially owned by (i) each person who is known by us to be the beneficial owner of more than five percent of our issued and outstanding shares of Class A common stock and Class B common stock (ii) each of our officers and directors; and (iii) all of our officers and directors as a group. As of March 31, 2022, we had 898,250 shares of Class A common stock and 9,487,500 shares of Class B common stock, issued and outstanding. The Class B common stock are convertible into shares of Class A common stock on a one-for-one basis, subject to adjustment. As of April 20, 2023, the Company has 6,630,703 shares of Class A Common stock and 9,487,500 shares of Class B common stock, issued and outstanding.</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Unless otherwise indicated, we believe that all persons named in the table have sole voting and investment power with respect to all shares of common stock beneficially owned by them. The following table does not reflect record of beneficial ownership of any shares of common stock issuable upon exercise of the warrants, as the warrants are not exercisable within 60 days of March 31, 2022.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231F20"/>
                <w:w w:val="94"/>
              </w:rPr>
              <w:t>Number of</w:t>
            </w:r>
          </w:p>
        </w:tc>
        <w:tc>
          <w:tcPr>
            <w:tcW w:w="1080" w:type="dxa"/>
            <w:vAlign w:val="bottom"/>
            <w:gridSpan w:val="2"/>
            <w:vMerge w:val="restart"/>
          </w:tcPr>
          <w:p>
            <w:pPr>
              <w:jc w:val="center"/>
              <w:ind w:right="70"/>
              <w:spacing w:after="0"/>
              <w:rPr>
                <w:sz w:val="20"/>
                <w:szCs w:val="20"/>
                <w:color w:val="auto"/>
              </w:rPr>
            </w:pPr>
            <w:r>
              <w:rPr>
                <w:rFonts w:ascii="Arial" w:cs="Arial" w:eastAsia="Arial" w:hAnsi="Arial"/>
                <w:sz w:val="14"/>
                <w:szCs w:val="14"/>
                <w:b w:val="1"/>
                <w:bCs w:val="1"/>
                <w:color w:val="231F20"/>
                <w:w w:val="90"/>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231F20"/>
                <w:w w:val="89"/>
              </w:rPr>
              <w:t>Shares</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00" w:type="dxa"/>
            <w:vAlign w:val="bottom"/>
            <w:gridSpan w:val="3"/>
            <w:vMerge w:val="restart"/>
          </w:tcPr>
          <w:p>
            <w:pPr>
              <w:spacing w:after="0"/>
              <w:rPr>
                <w:sz w:val="20"/>
                <w:szCs w:val="20"/>
                <w:color w:val="auto"/>
              </w:rPr>
            </w:pPr>
            <w:r>
              <w:rPr>
                <w:rFonts w:ascii="Arial" w:cs="Arial" w:eastAsia="Arial" w:hAnsi="Arial"/>
                <w:sz w:val="14"/>
                <w:szCs w:val="14"/>
                <w:b w:val="1"/>
                <w:bCs w:val="1"/>
                <w:color w:val="231F20"/>
              </w:rPr>
              <w:t>Name and Address of Beneficial Owner</w:t>
            </w:r>
            <w:r>
              <w:rPr>
                <w:rFonts w:ascii="Arial" w:cs="Arial" w:eastAsia="Arial" w:hAnsi="Arial"/>
                <w:sz w:val="21"/>
                <w:szCs w:val="21"/>
                <w:b w:val="1"/>
                <w:bCs w:val="1"/>
                <w:color w:val="231F20"/>
                <w:vertAlign w:val="superscript"/>
              </w:rPr>
              <w:t>(1)</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231F20"/>
                <w:w w:val="92"/>
              </w:rPr>
              <w:t>Beneficially</w:t>
            </w:r>
          </w:p>
        </w:tc>
        <w:tc>
          <w:tcPr>
            <w:tcW w:w="10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231F20"/>
                <w:w w:val="92"/>
              </w:rPr>
              <w:t>Outstanding</w:t>
            </w:r>
          </w:p>
        </w:tc>
        <w:tc>
          <w:tcPr>
            <w:tcW w:w="0" w:type="dxa"/>
            <w:vAlign w:val="bottom"/>
          </w:tcPr>
          <w:p>
            <w:pPr>
              <w:spacing w:after="0"/>
              <w:rPr>
                <w:sz w:val="1"/>
                <w:szCs w:val="1"/>
                <w:color w:val="auto"/>
              </w:rPr>
            </w:pPr>
          </w:p>
        </w:tc>
      </w:tr>
      <w:tr>
        <w:trPr>
          <w:trHeight w:val="171"/>
        </w:trPr>
        <w:tc>
          <w:tcPr>
            <w:tcW w:w="7700" w:type="dxa"/>
            <w:vAlign w:val="bottom"/>
            <w:gridSpan w:val="3"/>
            <w:vMerge w:val="continue"/>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231F20"/>
                <w:w w:val="94"/>
              </w:rPr>
              <w:t>Owned</w:t>
            </w:r>
          </w:p>
        </w:tc>
        <w:tc>
          <w:tcPr>
            <w:tcW w:w="108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231F20"/>
                <w:w w:val="89"/>
              </w:rPr>
              <w:t>Shares</w:t>
            </w:r>
          </w:p>
        </w:tc>
        <w:tc>
          <w:tcPr>
            <w:tcW w:w="0" w:type="dxa"/>
            <w:vAlign w:val="bottom"/>
          </w:tcPr>
          <w:p>
            <w:pPr>
              <w:spacing w:after="0"/>
              <w:rPr>
                <w:sz w:val="1"/>
                <w:szCs w:val="1"/>
                <w:color w:val="auto"/>
              </w:rPr>
            </w:pPr>
          </w:p>
        </w:tc>
      </w:tr>
      <w:tr>
        <w:trPr>
          <w:trHeight w:val="210"/>
        </w:trPr>
        <w:tc>
          <w:tcPr>
            <w:tcW w:w="746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Shahal Khan </w:t>
            </w:r>
            <w:r>
              <w:rPr>
                <w:rFonts w:ascii="Arial" w:cs="Arial" w:eastAsia="Arial" w:hAnsi="Arial"/>
                <w:sz w:val="24"/>
                <w:szCs w:val="24"/>
                <w:color w:val="auto"/>
                <w:vertAlign w:val="superscript"/>
              </w:rPr>
              <w:t>(2)</w:t>
            </w:r>
          </w:p>
        </w:tc>
        <w:tc>
          <w:tcPr>
            <w:tcW w:w="2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231F20"/>
                <w:w w:val="90"/>
              </w:rPr>
              <w:t>10,385,750</w:t>
            </w: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231F20"/>
              </w:rPr>
              <w:t>51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231F20"/>
                <w:w w:val="74"/>
              </w:rPr>
              <w:t>%</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Arial" w:cs="Arial" w:eastAsia="Arial" w:hAnsi="Arial"/>
                <w:sz w:val="17"/>
                <w:szCs w:val="17"/>
                <w:color w:val="231F20"/>
              </w:rPr>
              <w:t xml:space="preserve">Roman Livson </w:t>
            </w:r>
            <w:r>
              <w:rPr>
                <w:rFonts w:ascii="Arial" w:cs="Arial" w:eastAsia="Arial" w:hAnsi="Arial"/>
                <w:sz w:val="25"/>
                <w:szCs w:val="25"/>
                <w:color w:val="231F20"/>
                <w:vertAlign w:val="superscript"/>
              </w:rPr>
              <w:t>(2)</w:t>
            </w:r>
          </w:p>
        </w:tc>
        <w:tc>
          <w:tcPr>
            <w:tcW w:w="900" w:type="dxa"/>
            <w:vAlign w:val="bottom"/>
          </w:tcPr>
          <w:p>
            <w:pPr>
              <w:jc w:val="center"/>
              <w:spacing w:after="0"/>
              <w:rPr>
                <w:sz w:val="20"/>
                <w:szCs w:val="20"/>
                <w:color w:val="auto"/>
              </w:rPr>
            </w:pPr>
            <w:r>
              <w:rPr>
                <w:rFonts w:ascii="Arial" w:cs="Arial" w:eastAsia="Arial" w:hAnsi="Arial"/>
                <w:sz w:val="18"/>
                <w:szCs w:val="18"/>
                <w:color w:val="231F20"/>
                <w:w w:val="90"/>
              </w:rPr>
              <w:t>10,385,750</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231F20"/>
              </w:rPr>
              <w:t>51 %</w:t>
            </w: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231F20"/>
              </w:rPr>
              <w:t>Patrick Orlando</w:t>
            </w:r>
            <w:r>
              <w:rPr>
                <w:rFonts w:ascii="Arial" w:cs="Arial" w:eastAsia="Arial" w:hAnsi="Arial"/>
                <w:sz w:val="25"/>
                <w:szCs w:val="25"/>
                <w:color w:val="231F20"/>
                <w:vertAlign w:val="superscript"/>
              </w:rPr>
              <w:t>(1)(2)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51 %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Arial" w:cs="Arial" w:eastAsia="Arial" w:hAnsi="Arial"/>
                <w:sz w:val="17"/>
                <w:szCs w:val="17"/>
                <w:color w:val="231F20"/>
              </w:rPr>
              <w:t xml:space="preserve">Isaac Chetrit </w:t>
            </w:r>
            <w:r>
              <w:rPr>
                <w:rFonts w:ascii="Arial" w:cs="Arial" w:eastAsia="Arial" w:hAnsi="Arial"/>
                <w:sz w:val="25"/>
                <w:szCs w:val="25"/>
                <w:color w:val="231F20"/>
                <w:vertAlign w:val="superscript"/>
              </w:rPr>
              <w:t>(4)</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231F20"/>
              </w:rPr>
              <w:t xml:space="preserve">Payel Farasat </w:t>
            </w:r>
            <w:r>
              <w:rPr>
                <w:rFonts w:ascii="Arial" w:cs="Arial" w:eastAsia="Arial" w:hAnsi="Arial"/>
                <w:sz w:val="25"/>
                <w:szCs w:val="25"/>
                <w:color w:val="231F20"/>
                <w:vertAlign w:val="superscript"/>
              </w:rPr>
              <w:t>(4)</w:t>
            </w: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line="216" w:lineRule="exact"/>
              <w:rPr>
                <w:sz w:val="20"/>
                <w:szCs w:val="20"/>
                <w:color w:val="auto"/>
              </w:rPr>
            </w:pPr>
            <w:r>
              <w:rPr>
                <w:rFonts w:ascii="Arial" w:cs="Arial" w:eastAsia="Arial" w:hAnsi="Arial"/>
                <w:sz w:val="17"/>
                <w:szCs w:val="17"/>
                <w:color w:val="231F20"/>
              </w:rPr>
              <w:t xml:space="preserve">Christopher Schroeder </w:t>
            </w:r>
            <w:r>
              <w:rPr>
                <w:rFonts w:ascii="Arial" w:cs="Arial" w:eastAsia="Arial" w:hAnsi="Arial"/>
                <w:sz w:val="25"/>
                <w:szCs w:val="25"/>
                <w:color w:val="231F20"/>
                <w:vertAlign w:val="superscript"/>
              </w:rPr>
              <w:t>(4)</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231F20"/>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231F20"/>
              </w:rPr>
              <w:t>All officers and directors as a group</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51 %</w:t>
            </w:r>
          </w:p>
        </w:tc>
        <w:tc>
          <w:tcPr>
            <w:tcW w:w="0" w:type="dxa"/>
            <w:vAlign w:val="bottom"/>
          </w:tcPr>
          <w:p>
            <w:pPr>
              <w:spacing w:after="0"/>
              <w:rPr>
                <w:sz w:val="1"/>
                <w:szCs w:val="1"/>
                <w:color w:val="auto"/>
              </w:rPr>
            </w:pPr>
          </w:p>
        </w:tc>
      </w:tr>
      <w:tr>
        <w:trPr>
          <w:trHeight w:val="216"/>
        </w:trPr>
        <w:tc>
          <w:tcPr>
            <w:tcW w:w="7700" w:type="dxa"/>
            <w:vAlign w:val="bottom"/>
            <w:gridSpan w:val="3"/>
          </w:tcPr>
          <w:p>
            <w:pPr>
              <w:spacing w:after="0"/>
              <w:rPr>
                <w:sz w:val="20"/>
                <w:szCs w:val="20"/>
                <w:color w:val="auto"/>
              </w:rPr>
            </w:pPr>
            <w:r>
              <w:rPr>
                <w:rFonts w:ascii="Arial" w:cs="Arial" w:eastAsia="Arial" w:hAnsi="Arial"/>
                <w:sz w:val="18"/>
                <w:szCs w:val="18"/>
                <w:i w:val="1"/>
                <w:iCs w:val="1"/>
                <w:color w:val="auto"/>
              </w:rPr>
              <w:t>(5 individuals)</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BurTech LP LLC</w:t>
            </w:r>
            <w:r>
              <w:rPr>
                <w:rFonts w:ascii="Arial" w:cs="Arial" w:eastAsia="Arial" w:hAnsi="Arial"/>
                <w:sz w:val="25"/>
                <w:szCs w:val="25"/>
                <w:color w:val="auto"/>
                <w:vertAlign w:val="superscript"/>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0"/>
              </w:rPr>
              <w:t>10,385,750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231F20"/>
              </w:rPr>
              <w:t>51 %</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4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one percent.</w:t>
      </w:r>
    </w:p>
    <w:p>
      <w:pPr>
        <w:spacing w:after="0" w:line="225"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these individuals is c/o BurTech Acquisition Corp., 1300 Pennsylvania Ave NW, Suite 700, Washington, DC 20004.</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8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such founder shares would represent 24.81% of the outstanding shares upon completion of this offering (excluding the shares of Class A common stock issued to the representative or its designees, the placement units and securities underlying the placement units and assuming the initial stockholders do not purchase units in this offering). As of December 31, 2021, the Sponsor owned 9,487,500 shares of Class B common stock and 898,250 shares of Class A Common Stock. As the underwriters’ over-allotment option has been exercised in full, none of the Class B shares of Common Stock held by the Sponsor are subject to forfeiture.</w:t>
      </w:r>
    </w:p>
    <w:p>
      <w:pPr>
        <w:spacing w:after="0" w:line="19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 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May 21, 2021, the Sponsor issued to us an unsecured promissory note, pursuant to which we may borrow up to an aggregate principal amount of $300,000, to be used for payment of costs related to the Initial Public Offering. The note is non-interest bearing and payable on the earlier of the consummation of the Initial Public Offering or the date on which we determine not to proceed with the Initial Public Offering. These amounts were paid out of the proceeds that had been allocated for the payment of offering expenses of the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our officers and directors may, but are not obligated to, loan us funds as may be required (“Working Capital Loans”). Such Working Capital Loans would be evidenced by promissory notes. The notes would either be repaid upon consummation of a Business Combination, without interest, or, at the lender’s discretion, up to $1,500,000 of notes may be converted upon consummation of a Business Combination into additional Placement Units at a price of $10.00 per Unit. In the event that a Business Combination does not close, we may use a portion of proceeds held outside the Trust Account to repay the Working Capital Loans, but no proceeds held in the Trust Account would be used to repay the Working Capital Loans. As of December 31, 2021, there was no amount outstanding under any Working Capital Loan.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Arrangement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financial advisor has agreed, commencing from the date that our securities are first listed on NASDAQ through the earlier of our consummation of a Business Combination and its liquidation, to make available to us certain general and administrative services, including office space, utilities and administrative services, as we may require from time to time. We have agreed to pay the financial advisor $10,000 per month for these services.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than the payment to our financial advisor of $10,000 per month, for up to 15 months, for office space, utilities and secretarial and administrative support,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Code of Ethics, which we adopted on December 15, 2021,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$120,000 in any calendar year, (2) we or any of our subsidiaries is a participant, and (3) any (a) executive officer, director or nominee for election as a director, (b) greater than 5% beneficial owner of our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our audit committee, pursuant to a written charter that we adopted on December 15, 2021, is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adopted on December 13, 2021, is filed as an exhibit to the registration statement of which this prospectus is a part. We also require each of our directors and executive officers to complete a directors’ and officers’ questionnaire that elicits information about related party transactions.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entity that commonly renders valuation opinions that our initial business combination is fair to our company from a financial point of view. Furthermore, no finder’s fees, reimbursements, consulting fee, monies in respect of any payment of a loan or other compensation will be paid by us to our Sponsor, officers or directors or any affiliate of our Sponsor, officers or directors prior to, for services rendered to us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none of which will be made from the proceeds of our public offering held in the trust account prior to the completion of our initial business combination:</w:t>
      </w:r>
    </w:p>
    <w:p>
      <w:pPr>
        <w:spacing w:after="0" w:line="166" w:lineRule="exact"/>
        <w:rPr>
          <w:sz w:val="20"/>
          <w:szCs w:val="20"/>
          <w:color w:val="auto"/>
        </w:rPr>
      </w:pPr>
    </w:p>
    <w:p>
      <w:pPr>
        <w:ind w:left="1000" w:right="2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Repayment of up to an aggregate of $300,000 in loans made to us by our Sponsor to cover offering-related and organizational expenses;</w:t>
      </w:r>
    </w:p>
    <w:p>
      <w:pPr>
        <w:spacing w:after="0" w:line="170"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Payment to our financial advisor of $10,000 per month, for up to 15 months, for office space, utilities and secretarial and administrative support;</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hanging="317"/>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Reimbursement for any out-of-pocket expenses related to identifying, investigating and completing an initial business combination; and</w:t>
      </w:r>
    </w:p>
    <w:p>
      <w:pPr>
        <w:spacing w:after="0" w:line="170" w:lineRule="exact"/>
        <w:rPr>
          <w:rFonts w:ascii="Arial" w:cs="Arial" w:eastAsia="Arial" w:hAnsi="Arial"/>
          <w:sz w:val="18"/>
          <w:szCs w:val="18"/>
          <w:color w:val="auto"/>
        </w:rPr>
      </w:pPr>
    </w:p>
    <w:p>
      <w:pPr>
        <w:jc w:val="both"/>
        <w:ind w:left="1000" w:hanging="317"/>
        <w:spacing w:after="0" w:line="296"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Repayment of non-interest bearing loans which may be made by our Sponsor or an affiliate of our Sponsor or certain of our officers and directors to finance transaction costs in connection with an intended initial business combination, the terms of which (other than as described above) have not been determined nor have any written agreements been executed with respect thereto. Up to $1,500,000 of such loans may be convertible into units, at a price of $10.00 per unit at the option of the lender, upon consummation of our initial business combination. The units would be identical to the placement units.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will review on a quarterly basis all payments that were made to our Sponsor, officers, directors or our or their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Nasdaq listing standards require that a majority of our board of directors be independent. For a description of the director independence, see “— </w:t>
      </w:r>
      <w:r>
        <w:rPr>
          <w:rFonts w:ascii="Arial" w:cs="Arial" w:eastAsia="Arial" w:hAnsi="Arial"/>
          <w:sz w:val="18"/>
          <w:szCs w:val="18"/>
          <w:i w:val="1"/>
          <w:iCs w:val="1"/>
          <w:color w:val="auto"/>
        </w:rPr>
        <w:t>Part III, Item 10 - Directors, Executive Officers and Corporate Governance”</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fees paid or to be paid to Marcum LLP, or Marcum, for services rendered.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Audit fees consist of fees for professional services rendered for the audit of our year-end financial statements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that are normally provided by Marcum in connection with regulatory filings. The aggregate fees of Marcum for professional services rendered for the audit of our annual financial statements, review of the financial information included in our Forms 8-K for the respective periods and other required filings with the SEC for the year ended December 31, 2022 and for the period from March 2, 2021 (inception) through December 31, 2021 totaled $88,045 and $66,015, respectively. The above amounts include interim procedures and audit fees, as well as attendance at audit committee meetings.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fees consist of fees billed for assurance and related services that are reasonably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the audit or review of our financial statements and are not reported under “Audit Fees.” These services include attest services that are not required by statute or regulation and consultations concerning financial accounting and reporting standards. For the year ended December 31, 2022 and for the period from March 2, 2021 (inception) through December 31, 2021, we did not pay Marcum any audit-related fees.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We did not pay Marcum for tax return services, planning and tax advice for the year ended December 31, 2022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period from March 2, 2021 (inception) through December 31, 2021.</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We did not pay Marcum for any other services for the year ended December 31, 2022 and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March 2, 2021 (inception) through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tcPr>
          <w:p>
            <w:pPr>
              <w:ind w:left="540"/>
              <w:spacing w:after="0"/>
              <w:rPr>
                <w:sz w:val="20"/>
                <w:szCs w:val="20"/>
                <w:color w:val="auto"/>
              </w:rPr>
            </w:pPr>
            <w:r>
              <w:rPr>
                <w:rFonts w:ascii="Arial" w:cs="Arial" w:eastAsia="Arial" w:hAnsi="Arial"/>
                <w:sz w:val="18"/>
                <w:szCs w:val="18"/>
                <w:b w:val="1"/>
                <w:bCs w:val="1"/>
                <w:color w:val="auto"/>
              </w:rPr>
              <w:t>PART IV</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15.</w:t>
            </w:r>
          </w:p>
        </w:tc>
        <w:tc>
          <w:tcPr>
            <w:tcW w:w="7900" w:type="dxa"/>
            <w:vAlign w:val="bottom"/>
            <w:gridSpan w:val="7"/>
          </w:tcPr>
          <w:p>
            <w:pPr>
              <w:ind w:left="60"/>
              <w:spacing w:after="0"/>
              <w:rPr>
                <w:sz w:val="20"/>
                <w:szCs w:val="20"/>
                <w:color w:val="auto"/>
              </w:rPr>
            </w:pPr>
            <w:r>
              <w:rPr>
                <w:rFonts w:ascii="Arial" w:cs="Arial" w:eastAsia="Arial" w:hAnsi="Arial"/>
                <w:sz w:val="18"/>
                <w:szCs w:val="18"/>
                <w:b w:val="1"/>
                <w:bCs w:val="1"/>
                <w:color w:val="auto"/>
              </w:rPr>
              <w:t>EXHIBITS AND CONSOLIDATED FINANCIAL STATEMENT SCHEDULES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0" w:type="dxa"/>
            <w:vAlign w:val="bottom"/>
            <w:gridSpan w:val="8"/>
          </w:tcPr>
          <w:p>
            <w:pPr>
              <w:ind w:left="320"/>
              <w:spacing w:after="0"/>
              <w:rPr>
                <w:sz w:val="20"/>
                <w:szCs w:val="20"/>
                <w:color w:val="auto"/>
              </w:rPr>
            </w:pPr>
            <w:r>
              <w:rPr>
                <w:rFonts w:ascii="Arial" w:cs="Arial" w:eastAsia="Arial" w:hAnsi="Arial"/>
                <w:sz w:val="18"/>
                <w:szCs w:val="18"/>
                <w:color w:val="auto"/>
              </w:rPr>
              <w:t>(a)  The following documents are filed as part of this Form 10-K:</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900" w:type="dxa"/>
            <w:vAlign w:val="bottom"/>
            <w:gridSpan w:val="7"/>
          </w:tcPr>
          <w:p>
            <w:pPr>
              <w:ind w:left="60"/>
              <w:spacing w:after="0"/>
              <w:rPr>
                <w:sz w:val="20"/>
                <w:szCs w:val="20"/>
                <w:color w:val="auto"/>
              </w:rPr>
            </w:pPr>
            <w:r>
              <w:rPr>
                <w:rFonts w:ascii="Arial" w:cs="Arial" w:eastAsia="Arial" w:hAnsi="Arial"/>
                <w:sz w:val="18"/>
                <w:szCs w:val="18"/>
                <w:color w:val="auto"/>
              </w:rPr>
              <w:t>Consolidated Financial Statements: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6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(688)</w:t>
            </w: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Balance Sheets</w:t>
            </w:r>
          </w:p>
        </w:tc>
        <w:tc>
          <w:tcPr>
            <w:tcW w:w="460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Statements of Operations</w:t>
            </w: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6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8"/>
          </w:tcPr>
          <w:p>
            <w:pPr>
              <w:spacing w:after="0" w:line="176" w:lineRule="exact"/>
              <w:rPr>
                <w:sz w:val="20"/>
                <w:szCs w:val="20"/>
                <w:color w:val="auto"/>
              </w:rPr>
            </w:pPr>
            <w:r>
              <w:rPr>
                <w:rFonts w:ascii="Arial" w:cs="Arial" w:eastAsia="Arial" w:hAnsi="Arial"/>
                <w:sz w:val="18"/>
                <w:szCs w:val="18"/>
                <w:color w:val="0000EE"/>
              </w:rPr>
              <w:t>Statements of Changes in Stockholders’ Deficit</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78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80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w:t>
            </w:r>
          </w:p>
        </w:tc>
        <w:tc>
          <w:tcPr>
            <w:tcW w:w="1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46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00" w:type="dxa"/>
            <w:vAlign w:val="bottom"/>
            <w:gridSpan w:val="8"/>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1100" w:type="dxa"/>
            <w:vAlign w:val="bottom"/>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7900" w:type="dxa"/>
            <w:vAlign w:val="bottom"/>
            <w:gridSpan w:val="7"/>
          </w:tcPr>
          <w:p>
            <w:pPr>
              <w:ind w:left="60"/>
              <w:spacing w:after="0"/>
              <w:rPr>
                <w:sz w:val="20"/>
                <w:szCs w:val="20"/>
                <w:color w:val="auto"/>
              </w:rPr>
            </w:pPr>
            <w:r>
              <w:rPr>
                <w:rFonts w:ascii="Arial" w:cs="Arial" w:eastAsia="Arial" w:hAnsi="Arial"/>
                <w:sz w:val="18"/>
                <w:szCs w:val="18"/>
                <w:color w:val="auto"/>
              </w:rPr>
              <w:t>Consolidated Financial Statement Schedules: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900" w:type="dxa"/>
            <w:vAlign w:val="bottom"/>
            <w:gridSpan w:val="7"/>
          </w:tcPr>
          <w:p>
            <w:pPr>
              <w:ind w:left="60"/>
              <w:spacing w:after="0"/>
              <w:rPr>
                <w:sz w:val="20"/>
                <w:szCs w:val="20"/>
                <w:color w:val="auto"/>
              </w:rPr>
            </w:pPr>
            <w:r>
              <w:rPr>
                <w:rFonts w:ascii="Arial" w:cs="Arial" w:eastAsia="Arial" w:hAnsi="Arial"/>
                <w:sz w:val="18"/>
                <w:szCs w:val="18"/>
                <w:color w:val="auto"/>
              </w:rPr>
              <w:t>None.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900" w:type="dxa"/>
            <w:vAlign w:val="bottom"/>
            <w:gridSpan w:val="7"/>
          </w:tcPr>
          <w:p>
            <w:pPr>
              <w:ind w:left="60"/>
              <w:spacing w:after="0"/>
              <w:rPr>
                <w:sz w:val="20"/>
                <w:szCs w:val="20"/>
                <w:color w:val="auto"/>
              </w:rPr>
            </w:pPr>
            <w:r>
              <w:rPr>
                <w:rFonts w:ascii="Arial" w:cs="Arial" w:eastAsia="Arial" w:hAnsi="Arial"/>
                <w:sz w:val="18"/>
                <w:szCs w:val="18"/>
                <w:color w:val="auto"/>
              </w:rPr>
              <w:t>Exhibits</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exhibits are filed with this report. Exhibits which are incorporated herein by reference can be obtained from the SEC’s website at sec.gov.</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500" w:type="dxa"/>
            <w:vAlign w:val="bottom"/>
            <w:gridSpan w:val="26"/>
          </w:tcPr>
          <w:p>
            <w:pPr>
              <w:spacing w:after="0"/>
              <w:rPr>
                <w:sz w:val="20"/>
                <w:szCs w:val="20"/>
                <w:color w:val="auto"/>
              </w:rPr>
            </w:pPr>
            <w:r>
              <w:rPr>
                <w:rFonts w:ascii="Arial" w:cs="Arial" w:eastAsia="Arial" w:hAnsi="Arial"/>
                <w:sz w:val="18"/>
                <w:szCs w:val="18"/>
                <w:color w:val="auto"/>
              </w:rPr>
              <w:t>Description</w:t>
            </w:r>
          </w:p>
        </w:tc>
      </w:tr>
      <w:tr>
        <w:trPr>
          <w:trHeight w:val="385"/>
        </w:trPr>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380" w:type="dxa"/>
            <w:vAlign w:val="bottom"/>
          </w:tcPr>
          <w:p>
            <w:pPr>
              <w:spacing w:after="0"/>
              <w:rPr>
                <w:sz w:val="24"/>
                <w:szCs w:val="24"/>
                <w:color w:val="auto"/>
              </w:rPr>
            </w:pPr>
          </w:p>
        </w:tc>
        <w:tc>
          <w:tcPr>
            <w:tcW w:w="8500" w:type="dxa"/>
            <w:vAlign w:val="bottom"/>
            <w:tcBorders>
              <w:top w:val="single" w:sz="8" w:color="auto"/>
            </w:tcBorders>
            <w:gridSpan w:val="26"/>
          </w:tcPr>
          <w:p>
            <w:pPr>
              <w:spacing w:after="0"/>
              <w:rPr>
                <w:rFonts w:ascii="Arial" w:cs="Arial" w:eastAsia="Arial" w:hAnsi="Arial"/>
                <w:sz w:val="18"/>
                <w:szCs w:val="18"/>
                <w:color w:val="0000EE"/>
                <w:w w:val="98"/>
              </w:rPr>
            </w:pPr>
            <w:hyperlink r:id="rId40">
              <w:r>
                <w:rPr>
                  <w:rFonts w:ascii="Arial" w:cs="Arial" w:eastAsia="Arial" w:hAnsi="Arial"/>
                  <w:sz w:val="18"/>
                  <w:szCs w:val="18"/>
                  <w:color w:val="0000EE"/>
                  <w:w w:val="98"/>
                </w:rPr>
                <w:t>Underwriting Agreement, dated December 10, 2021, by and among the Company and EF Hutton, division of</w:t>
              </w:r>
            </w:hyperlink>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Benchmark Investments, LLC, as representative of the several underwriters (incorporated by reference to Exhibit 1.1</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filed with the Form 8-K filed by the Registrant on December 16, 2021).</w:t>
              </w:r>
            </w:hyperlink>
          </w:p>
        </w:tc>
        <w:tc>
          <w:tcPr>
            <w:tcW w:w="8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Second Amended and Restated Certificate of Incorporation (incorporated by reference to Exhibit 3.1 filed with the</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Form 8-K filed by the Registrant on December 16, 2021).</w:t>
              </w:r>
            </w:hyperlink>
          </w:p>
        </w:tc>
        <w:tc>
          <w:tcPr>
            <w:tcW w:w="4100" w:type="dxa"/>
            <w:vAlign w:val="bottom"/>
            <w:tcBorders>
              <w:top w:val="single" w:sz="8" w:color="0000EE"/>
            </w:tcBorders>
            <w:gridSpan w:val="12"/>
          </w:tcPr>
          <w:p>
            <w:pPr>
              <w:spacing w:after="0"/>
              <w:rPr>
                <w:sz w:val="17"/>
                <w:szCs w:val="17"/>
                <w:color w:val="auto"/>
              </w:rPr>
            </w:pPr>
          </w:p>
        </w:tc>
        <w:tc>
          <w:tcPr>
            <w:tcW w:w="240" w:type="dxa"/>
            <w:vAlign w:val="bottom"/>
            <w:gridSpan w:val="5"/>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6"/>
              </w:rPr>
            </w:pPr>
            <w:hyperlink r:id="rId42">
              <w:r>
                <w:rPr>
                  <w:rFonts w:ascii="Arial" w:cs="Arial" w:eastAsia="Arial" w:hAnsi="Arial"/>
                  <w:sz w:val="18"/>
                  <w:szCs w:val="18"/>
                  <w:color w:val="0000EE"/>
                  <w:w w:val="96"/>
                </w:rPr>
                <w:t>Bylaws (incorporated by reference to Exhibit 3.3 filed with the Form S-1/A filed by the Registrant on August 19,</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2021).</w:t>
              </w:r>
            </w:hyperlink>
          </w:p>
        </w:tc>
        <w:tc>
          <w:tcPr>
            <w:tcW w:w="10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4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380" w:type="dxa"/>
            <w:vAlign w:val="bottom"/>
          </w:tcPr>
          <w:p>
            <w:pPr>
              <w:spacing w:after="0"/>
              <w:rPr>
                <w:sz w:val="17"/>
                <w:szCs w:val="17"/>
                <w:color w:val="auto"/>
              </w:rPr>
            </w:pPr>
          </w:p>
        </w:tc>
        <w:tc>
          <w:tcPr>
            <w:tcW w:w="844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43">
              <w:r>
                <w:rPr>
                  <w:rFonts w:ascii="Arial" w:cs="Arial" w:eastAsia="Arial" w:hAnsi="Arial"/>
                  <w:sz w:val="18"/>
                  <w:szCs w:val="18"/>
                  <w:color w:val="0000EE"/>
                  <w:w w:val="92"/>
                </w:rPr>
                <w:t>Specimen Unit Certificate (incorporated by reference to Exhibit 4.1 filed with the Form S-1/A filed by the Registrant</w:t>
              </w:r>
            </w:hyperlink>
          </w:p>
        </w:tc>
        <w:tc>
          <w:tcPr>
            <w:tcW w:w="6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on November 19, 2021).</w:t>
              </w:r>
            </w:hyperlink>
          </w:p>
        </w:tc>
        <w:tc>
          <w:tcPr>
            <w:tcW w:w="6720" w:type="dxa"/>
            <w:vAlign w:val="bottom"/>
            <w:gridSpan w:val="23"/>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380" w:type="dxa"/>
            <w:vAlign w:val="bottom"/>
          </w:tcPr>
          <w:p>
            <w:pPr>
              <w:spacing w:after="0"/>
              <w:rPr>
                <w:sz w:val="17"/>
                <w:szCs w:val="17"/>
                <w:color w:val="auto"/>
              </w:rPr>
            </w:pPr>
          </w:p>
        </w:tc>
        <w:tc>
          <w:tcPr>
            <w:tcW w:w="82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Specimen Class A Common Stock Certificate (incorporated by reference to Exhibit 4.2 filed with the Form S-1/A</w:t>
              </w:r>
            </w:hyperlink>
          </w:p>
        </w:tc>
        <w:tc>
          <w:tcPr>
            <w:tcW w:w="300" w:type="dxa"/>
            <w:vAlign w:val="bottom"/>
            <w:gridSpan w:val="7"/>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filed by the Registrant on November 19, 2021).</w:t>
              </w:r>
            </w:hyperlink>
          </w:p>
        </w:tc>
        <w:tc>
          <w:tcPr>
            <w:tcW w:w="5080" w:type="dxa"/>
            <w:vAlign w:val="bottom"/>
            <w:gridSpan w:val="18"/>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9"/>
              </w:rPr>
            </w:pPr>
            <w:hyperlink r:id="rId45">
              <w:r>
                <w:rPr>
                  <w:rFonts w:ascii="Arial" w:cs="Arial" w:eastAsia="Arial" w:hAnsi="Arial"/>
                  <w:sz w:val="18"/>
                  <w:szCs w:val="18"/>
                  <w:color w:val="0000EE"/>
                  <w:w w:val="99"/>
                </w:rPr>
                <w:t>Specimen Warrant Certificate (incorporated by reference to Exhibit 4.3 filed with the Form S-1/A filed by the</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45">
              <w:r>
                <w:rPr>
                  <w:rFonts w:ascii="Arial" w:cs="Arial" w:eastAsia="Arial" w:hAnsi="Arial"/>
                  <w:sz w:val="18"/>
                  <w:szCs w:val="18"/>
                  <w:color w:val="0000EE"/>
                  <w:w w:val="90"/>
                </w:rPr>
                <w:t>Registrant on November 19, 2021).</w:t>
              </w:r>
            </w:hyperlink>
          </w:p>
        </w:tc>
        <w:tc>
          <w:tcPr>
            <w:tcW w:w="5340" w:type="dxa"/>
            <w:vAlign w:val="bottom"/>
            <w:tcBorders>
              <w:top w:val="single" w:sz="8" w:color="0000EE"/>
            </w:tcBorders>
            <w:gridSpan w:val="9"/>
          </w:tcPr>
          <w:p>
            <w:pPr>
              <w:spacing w:after="0"/>
              <w:rPr>
                <w:sz w:val="17"/>
                <w:szCs w:val="17"/>
                <w:color w:val="auto"/>
              </w:rPr>
            </w:pPr>
          </w:p>
        </w:tc>
        <w:tc>
          <w:tcPr>
            <w:tcW w:w="600" w:type="dxa"/>
            <w:vAlign w:val="bottom"/>
            <w:gridSpan w:val="11"/>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Warrant Agreement, dated December 10, 2021, by and between the Company and Continental Stock Transfer &amp; Trust</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Company, LLC (incorporated by reference to Exhibit 4.1 filed with the Form 8-K filed by the Registrant on</w:t>
              </w:r>
            </w:hyperlink>
          </w:p>
        </w:tc>
        <w:tc>
          <w:tcPr>
            <w:tcW w:w="2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7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December 16, 2021).</w:t>
              </w:r>
            </w:hyperlink>
          </w:p>
        </w:tc>
        <w:tc>
          <w:tcPr>
            <w:tcW w:w="760" w:type="dxa"/>
            <w:vAlign w:val="bottom"/>
            <w:gridSpan w:val="1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93"/>
              </w:rPr>
              <w:t>4.5*</w:t>
            </w:r>
          </w:p>
        </w:tc>
        <w:tc>
          <w:tcPr>
            <w:tcW w:w="38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Description of Securities</w:t>
            </w:r>
          </w:p>
        </w:tc>
        <w:tc>
          <w:tcPr>
            <w:tcW w:w="6700" w:type="dxa"/>
            <w:vAlign w:val="bottom"/>
            <w:gridSpan w:val="22"/>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4"/>
              </w:rPr>
            </w:pPr>
            <w:hyperlink r:id="rId47">
              <w:r>
                <w:rPr>
                  <w:rFonts w:ascii="Arial" w:cs="Arial" w:eastAsia="Arial" w:hAnsi="Arial"/>
                  <w:sz w:val="18"/>
                  <w:szCs w:val="18"/>
                  <w:color w:val="0000EE"/>
                  <w:w w:val="94"/>
                </w:rPr>
                <w:t>Promissory Note, dated May 21, 2021, issued to BurTech LP LLC (incorporated by reference to Exhibit 10.2 filed</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with the Form S-1 filed by the Registrant on August 19, 2021).</w:t>
              </w:r>
            </w:hyperlink>
          </w:p>
        </w:tc>
        <w:tc>
          <w:tcPr>
            <w:tcW w:w="3680" w:type="dxa"/>
            <w:vAlign w:val="bottom"/>
            <w:tcBorders>
              <w:top w:val="single" w:sz="8" w:color="0000EE"/>
            </w:tcBorders>
            <w:gridSpan w:val="10"/>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Subscription Agreement, dated May 21, 2021, between the Registrant and BurTech Capital Holdings LLC</w:t>
              </w:r>
            </w:hyperlink>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40" w:type="dxa"/>
            <w:vAlign w:val="bottom"/>
            <w:gridSpan w:val="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7"/>
              </w:rPr>
            </w:pPr>
            <w:hyperlink r:id="rId48">
              <w:r>
                <w:rPr>
                  <w:rFonts w:ascii="Arial" w:cs="Arial" w:eastAsia="Arial" w:hAnsi="Arial"/>
                  <w:sz w:val="18"/>
                  <w:szCs w:val="18"/>
                  <w:color w:val="0000EE"/>
                  <w:w w:val="97"/>
                </w:rPr>
                <w:t>(incorporated by reference to Exhibit 10.5 filed with the Form S-1 filed by the Registrant on August 19, 2021).</w:t>
              </w:r>
            </w:hyperlink>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18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Letter Agreement, dated December 10, 2021, by and among the Company, its officers and directors, the Sponsor and</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0" w:type="dxa"/>
            <w:vAlign w:val="bottom"/>
            <w:tcBorders>
              <w:top w:val="single" w:sz="8" w:color="0000EE"/>
            </w:tcBorders>
            <w:gridSpan w:val="22"/>
          </w:tcPr>
          <w:p>
            <w:pPr>
              <w:spacing w:after="0" w:line="196" w:lineRule="exact"/>
              <w:rPr>
                <w:rFonts w:ascii="Arial" w:cs="Arial" w:eastAsia="Arial" w:hAnsi="Arial"/>
                <w:sz w:val="18"/>
                <w:szCs w:val="18"/>
                <w:color w:val="0000EE"/>
                <w:w w:val="93"/>
              </w:rPr>
            </w:pPr>
            <w:hyperlink r:id="rId49">
              <w:r>
                <w:rPr>
                  <w:rFonts w:ascii="Arial" w:cs="Arial" w:eastAsia="Arial" w:hAnsi="Arial"/>
                  <w:sz w:val="18"/>
                  <w:szCs w:val="18"/>
                  <w:color w:val="0000EE"/>
                  <w:w w:val="93"/>
                </w:rPr>
                <w:t>certain other stockholders party thereto (incorporated by reference to Exhibit 10.1 filed with the Form 8-K filed by</w:t>
              </w:r>
            </w:hyperlink>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the Registrant on December 16, 2021).</w:t>
              </w:r>
            </w:hyperlink>
          </w:p>
        </w:tc>
        <w:tc>
          <w:tcPr>
            <w:tcW w:w="240" w:type="dxa"/>
            <w:vAlign w:val="bottom"/>
            <w:gridSpan w:val="5"/>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320" w:type="dxa"/>
            <w:vAlign w:val="bottom"/>
            <w:gridSpan w:val="10"/>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196"/>
        </w:trPr>
        <w:tc>
          <w:tcPr>
            <w:tcW w:w="1040" w:type="dxa"/>
            <w:vAlign w:val="bottom"/>
          </w:tcPr>
          <w:p>
            <w:pPr>
              <w:jc w:val="center"/>
              <w:spacing w:after="0" w:line="196" w:lineRule="exact"/>
              <w:rPr>
                <w:sz w:val="20"/>
                <w:szCs w:val="20"/>
                <w:color w:val="auto"/>
              </w:rPr>
            </w:pPr>
            <w:r>
              <w:rPr>
                <w:rFonts w:ascii="Arial" w:cs="Arial" w:eastAsia="Arial" w:hAnsi="Arial"/>
                <w:sz w:val="18"/>
                <w:szCs w:val="18"/>
                <w:color w:val="auto"/>
                <w:w w:val="85"/>
              </w:rPr>
              <w:t>10.4</w:t>
            </w:r>
          </w:p>
        </w:tc>
        <w:tc>
          <w:tcPr>
            <w:tcW w:w="380" w:type="dxa"/>
            <w:vAlign w:val="bottom"/>
          </w:tcPr>
          <w:p>
            <w:pPr>
              <w:spacing w:after="0"/>
              <w:rPr>
                <w:sz w:val="17"/>
                <w:szCs w:val="17"/>
                <w:color w:val="auto"/>
              </w:rPr>
            </w:pPr>
          </w:p>
        </w:tc>
        <w:tc>
          <w:tcPr>
            <w:tcW w:w="8500" w:type="dxa"/>
            <w:vAlign w:val="bottom"/>
            <w:gridSpan w:val="26"/>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Investment Management Trust Agreement, dated December 10, 2021, by and between the Company and Continental</w:t>
              </w:r>
            </w:hyperlink>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50">
              <w:r>
                <w:rPr>
                  <w:rFonts w:ascii="Arial" w:cs="Arial" w:eastAsia="Arial" w:hAnsi="Arial"/>
                  <w:sz w:val="18"/>
                  <w:szCs w:val="18"/>
                  <w:color w:val="0000EE"/>
                  <w:w w:val="92"/>
                </w:rPr>
                <w:t>Stock Transfer &amp; Trust Company (incorporated by reference to Exhibit 10.2 filed with the Form 8-K filed by the</w:t>
              </w:r>
            </w:hyperlink>
          </w:p>
        </w:tc>
        <w:tc>
          <w:tcPr>
            <w:tcW w:w="280" w:type="dxa"/>
            <w:vAlign w:val="bottom"/>
            <w:tcBorders>
              <w:top w:val="single" w:sz="8" w:color="0000EE"/>
            </w:tcBorders>
            <w:gridSpan w:val="5"/>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50">
              <w:r>
                <w:rPr>
                  <w:rFonts w:ascii="Arial" w:cs="Arial" w:eastAsia="Arial" w:hAnsi="Arial"/>
                  <w:sz w:val="18"/>
                  <w:szCs w:val="18"/>
                  <w:color w:val="0000EE"/>
                  <w:w w:val="89"/>
                </w:rPr>
                <w:t>Registrant on December 10, 2021).</w:t>
              </w:r>
            </w:hyperlink>
          </w:p>
        </w:tc>
        <w:tc>
          <w:tcPr>
            <w:tcW w:w="5960" w:type="dxa"/>
            <w:vAlign w:val="bottom"/>
            <w:gridSpan w:val="21"/>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9920"/>
          </w:cols>
          <w:pgMar w:left="980" w:top="665"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8"/>
              </w:rPr>
              <w:t>Table of Contents</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36"/>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85"/>
              </w:rPr>
              <w:t>10.5</w:t>
            </w:r>
          </w:p>
        </w:tc>
        <w:tc>
          <w:tcPr>
            <w:tcW w:w="140" w:type="dxa"/>
            <w:vAlign w:val="bottom"/>
          </w:tcPr>
          <w:p>
            <w:pPr>
              <w:spacing w:after="0"/>
              <w:rPr>
                <w:sz w:val="24"/>
                <w:szCs w:val="24"/>
                <w:color w:val="auto"/>
              </w:rPr>
            </w:pPr>
          </w:p>
        </w:tc>
        <w:tc>
          <w:tcPr>
            <w:tcW w:w="8120" w:type="dxa"/>
            <w:vAlign w:val="bottom"/>
            <w:tcBorders>
              <w:bottom w:val="single" w:sz="8" w:color="0000EE"/>
            </w:tcBorders>
            <w:gridSpan w:val="7"/>
          </w:tcPr>
          <w:p>
            <w:pPr>
              <w:spacing w:after="0"/>
              <w:rPr>
                <w:rFonts w:ascii="Arial" w:cs="Arial" w:eastAsia="Arial" w:hAnsi="Arial"/>
                <w:sz w:val="18"/>
                <w:szCs w:val="18"/>
                <w:color w:val="0000EE"/>
                <w:w w:val="89"/>
              </w:rPr>
            </w:pPr>
            <w:hyperlink r:id="rId52">
              <w:r>
                <w:rPr>
                  <w:rFonts w:ascii="Arial" w:cs="Arial" w:eastAsia="Arial" w:hAnsi="Arial"/>
                  <w:sz w:val="18"/>
                  <w:szCs w:val="18"/>
                  <w:color w:val="0000EE"/>
                  <w:w w:val="89"/>
                </w:rPr>
                <w:t>Registration Rights Agreement, dated December 10, 2021, by and among the Company, the Sponsor, and certain</w:t>
              </w:r>
            </w:hyperlink>
          </w:p>
        </w:tc>
        <w:tc>
          <w:tcPr>
            <w:tcW w:w="360" w:type="dxa"/>
            <w:vAlign w:val="bottom"/>
            <w:gridSpan w:val="8"/>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other stockholders party thereto (incorporated by reference to Exhibit 10.3 filed with the Form 8-K filed by the</w:t>
              </w:r>
            </w:hyperlink>
          </w:p>
        </w:tc>
        <w:tc>
          <w:tcPr>
            <w:tcW w:w="480" w:type="dxa"/>
            <w:vAlign w:val="bottom"/>
            <w:gridSpan w:val="9"/>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4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r:id="rId52">
              <w:r>
                <w:rPr>
                  <w:rFonts w:ascii="Arial" w:cs="Arial" w:eastAsia="Arial" w:hAnsi="Arial"/>
                  <w:sz w:val="18"/>
                  <w:szCs w:val="18"/>
                  <w:color w:val="0000EE"/>
                  <w:w w:val="89"/>
                </w:rPr>
                <w:t>Registrant on December 10, 2021).</w:t>
              </w:r>
            </w:hyperlink>
          </w:p>
        </w:tc>
        <w:tc>
          <w:tcPr>
            <w:tcW w:w="5940" w:type="dxa"/>
            <w:vAlign w:val="bottom"/>
            <w:gridSpan w:val="13"/>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5"/>
              </w:rPr>
              <w:t>10.6</w:t>
            </w:r>
          </w:p>
        </w:tc>
        <w:tc>
          <w:tcPr>
            <w:tcW w:w="14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Administrative Support Agreement, dated December 10, 2021, by and between the Company and BurTech LP, LLC</w:t>
              </w:r>
            </w:hyperlink>
          </w:p>
        </w:tc>
      </w:tr>
      <w:tr>
        <w:trPr>
          <w:trHeight w:val="20"/>
        </w:trPr>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9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0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(incorporated by reference to Exhibit 10.4 filed with the Form 8-K filed by the Registrant on J December 10, 2021).</w:t>
              </w:r>
            </w:hyperlink>
          </w:p>
        </w:tc>
        <w:tc>
          <w:tcPr>
            <w:tcW w:w="120" w:type="dxa"/>
            <w:vAlign w:val="bottom"/>
            <w:gridSpan w:val="4"/>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5"/>
              </w:rPr>
              <w:t>10.7</w:t>
            </w:r>
          </w:p>
        </w:tc>
        <w:tc>
          <w:tcPr>
            <w:tcW w:w="140" w:type="dxa"/>
            <w:vAlign w:val="bottom"/>
          </w:tcPr>
          <w:p>
            <w:pPr>
              <w:spacing w:after="0"/>
              <w:rPr>
                <w:sz w:val="17"/>
                <w:szCs w:val="17"/>
                <w:color w:val="auto"/>
              </w:rPr>
            </w:pPr>
          </w:p>
        </w:tc>
        <w:tc>
          <w:tcPr>
            <w:tcW w:w="83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Form of Indemnity Agreement, dated December 10, 2021, by and between the Company and each of its officers and</w:t>
              </w:r>
            </w:hyperlink>
          </w:p>
        </w:tc>
        <w:tc>
          <w:tcPr>
            <w:tcW w:w="100" w:type="dxa"/>
            <w:vAlign w:val="bottom"/>
            <w:gridSpan w:val="3"/>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directors (incorporated by reference to Exhibit 10.5 filed with the Form 8-K filed by the Registrant on December 10,</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4">
              <w:r>
                <w:rPr>
                  <w:rFonts w:ascii="Arial" w:cs="Arial" w:eastAsia="Arial" w:hAnsi="Arial"/>
                  <w:sz w:val="18"/>
                  <w:szCs w:val="18"/>
                  <w:color w:val="0000EE"/>
                  <w:w w:val="90"/>
                </w:rPr>
                <w:t>2021).</w:t>
              </w:r>
            </w:hyperlink>
          </w:p>
        </w:tc>
        <w:tc>
          <w:tcPr>
            <w:tcW w:w="20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5"/>
              </w:rPr>
              <w:t>10.8</w:t>
            </w:r>
          </w:p>
        </w:tc>
        <w:tc>
          <w:tcPr>
            <w:tcW w:w="140" w:type="dxa"/>
            <w:vAlign w:val="bottom"/>
          </w:tcPr>
          <w:p>
            <w:pPr>
              <w:spacing w:after="0"/>
              <w:rPr>
                <w:sz w:val="17"/>
                <w:szCs w:val="17"/>
                <w:color w:val="auto"/>
              </w:rPr>
            </w:pPr>
          </w:p>
        </w:tc>
        <w:tc>
          <w:tcPr>
            <w:tcW w:w="82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Private Placement Unit Subscription Agreement, dated December 10, 2021, by and between the Company and the</w:t>
              </w:r>
            </w:hyperlink>
          </w:p>
        </w:tc>
        <w:tc>
          <w:tcPr>
            <w:tcW w:w="260" w:type="dxa"/>
            <w:vAlign w:val="bottom"/>
            <w:gridSpan w:val="7"/>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Sponsor (incorporated by reference to Exhibit 10.6 filed with the Form 8-K filed by the Registrant on December 10,</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55">
              <w:r>
                <w:rPr>
                  <w:rFonts w:ascii="Arial" w:cs="Arial" w:eastAsia="Arial" w:hAnsi="Arial"/>
                  <w:sz w:val="18"/>
                  <w:szCs w:val="18"/>
                  <w:color w:val="0000EE"/>
                  <w:w w:val="90"/>
                </w:rPr>
                <w:t>2021).</w:t>
              </w:r>
            </w:hyperlink>
          </w:p>
        </w:tc>
        <w:tc>
          <w:tcPr>
            <w:tcW w:w="206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18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85"/>
              </w:rPr>
              <w:t>14.1</w:t>
            </w:r>
          </w:p>
        </w:tc>
        <w:tc>
          <w:tcPr>
            <w:tcW w:w="140" w:type="dxa"/>
            <w:vAlign w:val="bottom"/>
          </w:tcPr>
          <w:p>
            <w:pPr>
              <w:spacing w:after="0"/>
              <w:rPr>
                <w:sz w:val="17"/>
                <w:szCs w:val="17"/>
                <w:color w:val="auto"/>
              </w:rPr>
            </w:pPr>
          </w:p>
        </w:tc>
        <w:tc>
          <w:tcPr>
            <w:tcW w:w="8480" w:type="dxa"/>
            <w:vAlign w:val="bottom"/>
            <w:gridSpan w:val="15"/>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Form of Code of Ethics (incorporated by reference to Exhibit 14.1 filed with the Registration Statement on Form S-1</w:t>
              </w:r>
            </w:hyperlink>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filed by the Registrant on November 19, 2021)</w:t>
              </w:r>
            </w:hyperlink>
          </w:p>
        </w:tc>
        <w:tc>
          <w:tcPr>
            <w:tcW w:w="5040" w:type="dxa"/>
            <w:vAlign w:val="bottom"/>
            <w:tcBorders>
              <w:top w:val="single" w:sz="8" w:color="0000EE"/>
            </w:tcBorders>
            <w:gridSpan w:val="11"/>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9"/>
              </w:rPr>
              <w:t>31.1*</w:t>
            </w:r>
          </w:p>
        </w:tc>
        <w:tc>
          <w:tcPr>
            <w:tcW w:w="140" w:type="dxa"/>
            <w:vAlign w:val="bottom"/>
          </w:tcPr>
          <w:p>
            <w:pPr>
              <w:spacing w:after="0"/>
              <w:rPr>
                <w:sz w:val="17"/>
                <w:szCs w:val="17"/>
                <w:color w:val="auto"/>
              </w:rPr>
            </w:pPr>
          </w:p>
        </w:tc>
        <w:tc>
          <w:tcPr>
            <w:tcW w:w="84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1"/>
              </w:rPr>
              <w:t>Certification of Principal Executive Officer Pursuant to Rules 13a-14(a) and 15d-14(a) under the Securities Exchange</w:t>
            </w: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Act of 1934, as Adopted Pursuant to Section 302 of the Sarbanes-Oxley Act of 2002.</w:t>
            </w:r>
          </w:p>
        </w:tc>
        <w:tc>
          <w:tcPr>
            <w:tcW w:w="2340" w:type="dxa"/>
            <w:vAlign w:val="bottom"/>
            <w:gridSpan w:val="10"/>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9"/>
              </w:rPr>
              <w:t>31.2*</w:t>
            </w:r>
          </w:p>
        </w:tc>
        <w:tc>
          <w:tcPr>
            <w:tcW w:w="140" w:type="dxa"/>
            <w:vAlign w:val="bottom"/>
          </w:tcPr>
          <w:p>
            <w:pPr>
              <w:spacing w:after="0"/>
              <w:rPr>
                <w:sz w:val="17"/>
                <w:szCs w:val="17"/>
                <w:color w:val="auto"/>
              </w:rPr>
            </w:pPr>
          </w:p>
        </w:tc>
        <w:tc>
          <w:tcPr>
            <w:tcW w:w="8480" w:type="dxa"/>
            <w:vAlign w:val="bottom"/>
            <w:gridSpan w:val="15"/>
          </w:tcPr>
          <w:p>
            <w:pPr>
              <w:spacing w:after="0" w:line="196" w:lineRule="exact"/>
              <w:rPr>
                <w:sz w:val="20"/>
                <w:szCs w:val="20"/>
                <w:color w:val="auto"/>
              </w:rPr>
            </w:pPr>
            <w:r>
              <w:rPr>
                <w:rFonts w:ascii="Arial" w:cs="Arial" w:eastAsia="Arial" w:hAnsi="Arial"/>
                <w:sz w:val="18"/>
                <w:szCs w:val="18"/>
                <w:color w:val="0000EE"/>
                <w:w w:val="91"/>
              </w:rPr>
              <w:t>Certification of Principal Financial Officer Pursuant to Rules 13a-14(a) and 15d-14(a) under the Securities Exchange</w:t>
            </w: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14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Act of 1934, as Adopted Pursuant to Section 302 of the Sarbanes-Oxley Act of 2002.</w:t>
            </w:r>
          </w:p>
        </w:tc>
        <w:tc>
          <w:tcPr>
            <w:tcW w:w="2280" w:type="dxa"/>
            <w:vAlign w:val="bottom"/>
            <w:tcBorders>
              <w:top w:val="single" w:sz="8" w:color="0000EE"/>
            </w:tcBorders>
            <w:gridSpan w:val="9"/>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280" w:type="dxa"/>
            <w:vAlign w:val="bottom"/>
          </w:tcPr>
          <w:p>
            <w:pPr>
              <w:jc w:val="center"/>
              <w:ind w:right="130"/>
              <w:spacing w:after="0" w:line="196" w:lineRule="exact"/>
              <w:rPr>
                <w:sz w:val="20"/>
                <w:szCs w:val="20"/>
                <w:color w:val="auto"/>
              </w:rPr>
            </w:pPr>
            <w:r>
              <w:rPr>
                <w:rFonts w:ascii="Arial" w:cs="Arial" w:eastAsia="Arial" w:hAnsi="Arial"/>
                <w:sz w:val="18"/>
                <w:szCs w:val="18"/>
                <w:color w:val="auto"/>
                <w:w w:val="96"/>
              </w:rPr>
              <w:t>32*</w:t>
            </w:r>
          </w:p>
        </w:tc>
        <w:tc>
          <w:tcPr>
            <w:tcW w:w="140" w:type="dxa"/>
            <w:vAlign w:val="bottom"/>
          </w:tcPr>
          <w:p>
            <w:pPr>
              <w:spacing w:after="0"/>
              <w:rPr>
                <w:sz w:val="17"/>
                <w:szCs w:val="17"/>
                <w:color w:val="auto"/>
              </w:rPr>
            </w:pPr>
          </w:p>
        </w:tc>
        <w:tc>
          <w:tcPr>
            <w:tcW w:w="826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Certification of Principal Executive Officer and Principal Financial Officer Pursuant to 18 U.S.C. Section 1350, as</w:t>
            </w:r>
          </w:p>
        </w:tc>
        <w:tc>
          <w:tcPr>
            <w:tcW w:w="220" w:type="dxa"/>
            <w:vAlign w:val="bottom"/>
            <w:gridSpan w:val="6"/>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80" w:type="dxa"/>
            <w:vAlign w:val="bottom"/>
            <w:gridSpan w:val="15"/>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r>
      <w:tr>
        <w:trPr>
          <w:trHeight w:val="236"/>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101.INS</w:t>
            </w:r>
          </w:p>
        </w:tc>
        <w:tc>
          <w:tcPr>
            <w:tcW w:w="140" w:type="dxa"/>
            <w:vAlign w:val="bottom"/>
          </w:tcPr>
          <w:p>
            <w:pPr>
              <w:spacing w:after="0"/>
              <w:rPr>
                <w:sz w:val="20"/>
                <w:szCs w:val="20"/>
                <w:color w:val="auto"/>
              </w:rPr>
            </w:pPr>
          </w:p>
        </w:tc>
        <w:tc>
          <w:tcPr>
            <w:tcW w:w="498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Inline XBRL Instance Document</w:t>
            </w:r>
          </w:p>
        </w:tc>
        <w:tc>
          <w:tcPr>
            <w:tcW w:w="3500" w:type="dxa"/>
            <w:vAlign w:val="bottom"/>
            <w:gridSpan w:val="11"/>
          </w:tcPr>
          <w:p>
            <w:pPr>
              <w:spacing w:after="0"/>
              <w:rPr>
                <w:sz w:val="20"/>
                <w:szCs w:val="20"/>
                <w:color w:val="auto"/>
              </w:rPr>
            </w:pPr>
          </w:p>
        </w:tc>
      </w:tr>
      <w:tr>
        <w:trPr>
          <w:trHeight w:val="22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4"/>
              </w:rPr>
              <w:t>101.CAL</w:t>
            </w:r>
          </w:p>
        </w:tc>
        <w:tc>
          <w:tcPr>
            <w:tcW w:w="14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0"/>
              </w:rPr>
              <w:t>101.SCH</w:t>
            </w:r>
          </w:p>
        </w:tc>
        <w:tc>
          <w:tcPr>
            <w:tcW w:w="14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2"/>
              </w:rPr>
              <w:t>101.DEF</w:t>
            </w:r>
          </w:p>
        </w:tc>
        <w:tc>
          <w:tcPr>
            <w:tcW w:w="14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5"/>
              </w:rPr>
              <w:t>101.LAB</w:t>
            </w:r>
          </w:p>
        </w:tc>
        <w:tc>
          <w:tcPr>
            <w:tcW w:w="140" w:type="dxa"/>
            <w:vAlign w:val="bottom"/>
          </w:tcPr>
          <w:p>
            <w:pPr>
              <w:spacing w:after="0"/>
              <w:rPr>
                <w:sz w:val="19"/>
                <w:szCs w:val="19"/>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30"/>
        </w:trPr>
        <w:tc>
          <w:tcPr>
            <w:tcW w:w="1280" w:type="dxa"/>
            <w:vAlign w:val="bottom"/>
          </w:tcPr>
          <w:p>
            <w:pPr>
              <w:jc w:val="center"/>
              <w:ind w:right="130"/>
              <w:spacing w:after="0"/>
              <w:rPr>
                <w:sz w:val="20"/>
                <w:szCs w:val="20"/>
                <w:color w:val="auto"/>
              </w:rPr>
            </w:pPr>
            <w:r>
              <w:rPr>
                <w:rFonts w:ascii="Arial" w:cs="Arial" w:eastAsia="Arial" w:hAnsi="Arial"/>
                <w:sz w:val="18"/>
                <w:szCs w:val="18"/>
                <w:color w:val="auto"/>
                <w:w w:val="91"/>
              </w:rPr>
              <w:t>101.PRE</w:t>
            </w:r>
          </w:p>
        </w:tc>
        <w:tc>
          <w:tcPr>
            <w:tcW w:w="140" w:type="dxa"/>
            <w:vAlign w:val="bottom"/>
          </w:tcPr>
          <w:p>
            <w:pPr>
              <w:spacing w:after="0"/>
              <w:rPr>
                <w:sz w:val="20"/>
                <w:szCs w:val="20"/>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420" w:hanging="1026"/>
        <w:spacing w:after="0"/>
        <w:tabs>
          <w:tab w:leader="none" w:pos="14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3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-190500</wp:posOffset>
            </wp:positionV>
            <wp:extent cx="1568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48" w:right="101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BURTECH ACQUISITION CORP.</w:t>
            </w:r>
          </w:p>
        </w:tc>
      </w:tr>
      <w:tr>
        <w:trPr>
          <w:trHeight w:val="466"/>
        </w:trPr>
        <w:tc>
          <w:tcPr>
            <w:tcW w:w="3280" w:type="dxa"/>
            <w:vAlign w:val="bottom"/>
          </w:tcPr>
          <w:p>
            <w:pPr>
              <w:spacing w:after="0"/>
              <w:rPr>
                <w:sz w:val="20"/>
                <w:szCs w:val="20"/>
                <w:color w:val="auto"/>
              </w:rPr>
            </w:pPr>
            <w:r>
              <w:rPr>
                <w:rFonts w:ascii="Arial" w:cs="Arial" w:eastAsia="Arial" w:hAnsi="Arial"/>
                <w:sz w:val="18"/>
                <w:szCs w:val="18"/>
                <w:color w:val="auto"/>
              </w:rPr>
              <w:t>Dated: April 20, 2023</w:t>
            </w:r>
          </w:p>
        </w:tc>
        <w:tc>
          <w:tcPr>
            <w:tcW w:w="2640" w:type="dxa"/>
            <w:vAlign w:val="bottom"/>
          </w:tcPr>
          <w:p>
            <w:pPr>
              <w:ind w:left="170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Shahal Khan</w:t>
            </w:r>
          </w:p>
        </w:tc>
      </w:tr>
      <w:tr>
        <w:trPr>
          <w:trHeight w:val="215"/>
        </w:trPr>
        <w:tc>
          <w:tcPr>
            <w:tcW w:w="3280" w:type="dxa"/>
            <w:vAlign w:val="bottom"/>
          </w:tcPr>
          <w:p>
            <w:pPr>
              <w:spacing w:after="0"/>
              <w:rPr>
                <w:sz w:val="18"/>
                <w:szCs w:val="18"/>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Name:</w:t>
            </w:r>
          </w:p>
        </w:tc>
        <w:tc>
          <w:tcPr>
            <w:tcW w:w="4000" w:type="dxa"/>
            <w:vAlign w:val="bottom"/>
          </w:tcPr>
          <w:p>
            <w:pPr>
              <w:spacing w:after="0"/>
              <w:rPr>
                <w:sz w:val="20"/>
                <w:szCs w:val="20"/>
                <w:color w:val="auto"/>
              </w:rPr>
            </w:pPr>
            <w:r>
              <w:rPr>
                <w:rFonts w:ascii="Arial" w:cs="Arial" w:eastAsia="Arial" w:hAnsi="Arial"/>
                <w:sz w:val="18"/>
                <w:szCs w:val="18"/>
                <w:color w:val="auto"/>
              </w:rPr>
              <w:t>Shahal Khan</w:t>
            </w:r>
          </w:p>
        </w:tc>
      </w:tr>
      <w:tr>
        <w:trPr>
          <w:trHeight w:val="230"/>
        </w:trPr>
        <w:tc>
          <w:tcPr>
            <w:tcW w:w="3280" w:type="dxa"/>
            <w:vAlign w:val="bottom"/>
          </w:tcPr>
          <w:p>
            <w:pPr>
              <w:spacing w:after="0"/>
              <w:rPr>
                <w:sz w:val="20"/>
                <w:szCs w:val="20"/>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Chief Executive Officer and Chairman</w:t>
            </w: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5000" w:type="dxa"/>
            <w:vAlign w:val="bottom"/>
          </w:tcPr>
          <w:p>
            <w:pPr>
              <w:jc w:val="center"/>
              <w:ind w:left="110"/>
              <w:spacing w:after="0"/>
              <w:rPr>
                <w:sz w:val="20"/>
                <w:szCs w:val="20"/>
                <w:color w:val="auto"/>
              </w:rPr>
            </w:pPr>
            <w:r>
              <w:rPr>
                <w:rFonts w:ascii="Arial" w:cs="Arial" w:eastAsia="Arial" w:hAnsi="Arial"/>
                <w:sz w:val="18"/>
                <w:szCs w:val="18"/>
                <w:b w:val="1"/>
                <w:bCs w:val="1"/>
                <w:color w:val="auto"/>
                <w:w w:val="97"/>
              </w:rPr>
              <w:t>Title</w:t>
            </w:r>
          </w:p>
        </w:tc>
        <w:tc>
          <w:tcPr>
            <w:tcW w:w="1840" w:type="dxa"/>
            <w:vAlign w:val="bottom"/>
          </w:tcPr>
          <w:p>
            <w:pPr>
              <w:jc w:val="center"/>
              <w:ind w:left="710"/>
              <w:spacing w:after="0"/>
              <w:rPr>
                <w:sz w:val="20"/>
                <w:szCs w:val="20"/>
                <w:color w:val="auto"/>
              </w:rPr>
            </w:pPr>
            <w:r>
              <w:rPr>
                <w:rFonts w:ascii="Arial" w:cs="Arial" w:eastAsia="Arial" w:hAnsi="Arial"/>
                <w:sz w:val="18"/>
                <w:szCs w:val="18"/>
                <w:b w:val="1"/>
                <w:bCs w:val="1"/>
                <w:color w:val="auto"/>
                <w:w w:val="92"/>
              </w:rPr>
              <w:t>Date</w:t>
            </w:r>
          </w:p>
        </w:tc>
      </w:tr>
      <w:tr>
        <w:trPr>
          <w:trHeight w:val="466"/>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Shahal Khan</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2"/>
              </w:rPr>
              <w:t>Chief Executive Officer and Chairman</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Shahal Khan</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3"/>
              </w:rPr>
              <w:t>(Principal Executive Officer)</w:t>
            </w:r>
          </w:p>
        </w:tc>
        <w:tc>
          <w:tcPr>
            <w:tcW w:w="184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Roman Livson</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4"/>
              </w:rPr>
              <w:t>Chief Financial Officer</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Roman Livson</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3"/>
              </w:rPr>
              <w:t>(Principal Accounting and Financial Officer)</w:t>
            </w:r>
          </w:p>
        </w:tc>
        <w:tc>
          <w:tcPr>
            <w:tcW w:w="184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Isaac Chetrit</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Isaac Chetrit</w:t>
            </w:r>
          </w:p>
        </w:tc>
        <w:tc>
          <w:tcPr>
            <w:tcW w:w="50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Leon Golden</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rPr>
              <w:t>Leon Golden</w:t>
            </w:r>
          </w:p>
        </w:tc>
        <w:tc>
          <w:tcPr>
            <w:tcW w:w="50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Scott Young</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Scott Young</w:t>
            </w:r>
          </w:p>
        </w:tc>
        <w:tc>
          <w:tcPr>
            <w:tcW w:w="50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2"/>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Porrello</w:t>
            </w:r>
          </w:p>
        </w:tc>
        <w:tc>
          <w:tcPr>
            <w:tcW w:w="5000" w:type="dxa"/>
            <w:vAlign w:val="bottom"/>
          </w:tcPr>
          <w:p>
            <w:pPr>
              <w:jc w:val="center"/>
              <w:ind w:left="110"/>
              <w:spacing w:after="0"/>
              <w:rPr>
                <w:sz w:val="20"/>
                <w:szCs w:val="20"/>
                <w:color w:val="auto"/>
              </w:rPr>
            </w:pPr>
            <w:r>
              <w:rPr>
                <w:rFonts w:ascii="Arial" w:cs="Arial" w:eastAsia="Arial" w:hAnsi="Arial"/>
                <w:sz w:val="18"/>
                <w:szCs w:val="18"/>
                <w:color w:val="auto"/>
                <w:w w:val="95"/>
              </w:rPr>
              <w:t>Director</w:t>
            </w:r>
          </w:p>
        </w:tc>
        <w:tc>
          <w:tcPr>
            <w:tcW w:w="1840" w:type="dxa"/>
            <w:vAlign w:val="bottom"/>
          </w:tcPr>
          <w:p>
            <w:pPr>
              <w:jc w:val="center"/>
              <w:ind w:left="690"/>
              <w:spacing w:after="0"/>
              <w:rPr>
                <w:sz w:val="20"/>
                <w:szCs w:val="20"/>
                <w:color w:val="auto"/>
              </w:rPr>
            </w:pPr>
            <w:r>
              <w:rPr>
                <w:rFonts w:ascii="Arial" w:cs="Arial" w:eastAsia="Arial" w:hAnsi="Arial"/>
                <w:sz w:val="18"/>
                <w:szCs w:val="18"/>
                <w:color w:val="auto"/>
                <w:w w:val="95"/>
              </w:rPr>
              <w:t>April 20, 2023</w:t>
            </w:r>
          </w:p>
        </w:tc>
      </w:tr>
      <w:tr>
        <w:trPr>
          <w:trHeight w:val="230"/>
        </w:trPr>
        <w:tc>
          <w:tcPr>
            <w:tcW w:w="2400" w:type="dxa"/>
            <w:vAlign w:val="bottom"/>
            <w:gridSpan w:val="2"/>
          </w:tcPr>
          <w:p>
            <w:pPr>
              <w:spacing w:after="0"/>
              <w:rPr>
                <w:sz w:val="20"/>
                <w:szCs w:val="20"/>
                <w:color w:val="auto"/>
              </w:rPr>
            </w:pPr>
            <w:r>
              <w:rPr>
                <w:rFonts w:ascii="Arial" w:cs="Arial" w:eastAsia="Arial" w:hAnsi="Arial"/>
                <w:sz w:val="18"/>
                <w:szCs w:val="18"/>
                <w:color w:val="auto"/>
              </w:rPr>
              <w:t>Joseph Porrello</w:t>
            </w:r>
          </w:p>
        </w:tc>
        <w:tc>
          <w:tcPr>
            <w:tcW w:w="5000" w:type="dxa"/>
            <w:vAlign w:val="bottom"/>
          </w:tcPr>
          <w:p>
            <w:pPr>
              <w:spacing w:after="0"/>
              <w:rPr>
                <w:sz w:val="20"/>
                <w:szCs w:val="20"/>
                <w:color w:val="auto"/>
              </w:rPr>
            </w:pPr>
          </w:p>
        </w:tc>
        <w:tc>
          <w:tcPr>
            <w:tcW w:w="18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7920" w:type="dxa"/>
            <w:vAlign w:val="bottom"/>
            <w:gridSpan w:val="10"/>
          </w:tcPr>
          <w:p>
            <w:pPr>
              <w:spacing w:after="0"/>
              <w:rPr>
                <w:sz w:val="20"/>
                <w:szCs w:val="20"/>
                <w:color w:val="auto"/>
              </w:rPr>
            </w:pPr>
            <w:r>
              <w:rPr>
                <w:rFonts w:ascii="Arial" w:cs="Arial" w:eastAsia="Arial" w:hAnsi="Arial"/>
                <w:sz w:val="18"/>
                <w:szCs w:val="18"/>
                <w:color w:val="0000EE"/>
              </w:rPr>
              <w:t>Table of Contents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rPr>
              <w:t>BURTECH ACQUISITION CORP.</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rPr>
              <w:t>INDEX TO FINANCIAL STATEMENTS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 w:type="dxa"/>
            <w:vAlign w:val="bottom"/>
          </w:tcPr>
          <w:p>
            <w:pPr>
              <w:spacing w:after="0"/>
              <w:rPr>
                <w:sz w:val="18"/>
                <w:szCs w:val="18"/>
                <w:color w:val="auto"/>
              </w:rPr>
            </w:pPr>
          </w:p>
        </w:tc>
        <w:tc>
          <w:tcPr>
            <w:tcW w:w="7820" w:type="dxa"/>
            <w:vAlign w:val="bottom"/>
            <w:gridSpan w:val="9"/>
            <w:shd w:val="clear" w:color="auto" w:fill="CCEEFF"/>
          </w:tcPr>
          <w:p>
            <w:pPr>
              <w:spacing w:after="0" w:line="176" w:lineRule="exact"/>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Firm ID: PCAOB ID 688)</w:t>
            </w:r>
          </w:p>
        </w:tc>
        <w:tc>
          <w:tcPr>
            <w:tcW w:w="19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88"/>
              </w:rPr>
              <w:t>F-2</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422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Financial Statements:</w:t>
            </w:r>
          </w:p>
        </w:tc>
        <w:tc>
          <w:tcPr>
            <w:tcW w:w="3600" w:type="dxa"/>
            <w:vAlign w:val="bottom"/>
            <w:tcBorders>
              <w:top w:val="single" w:sz="8" w:color="CCEEFF"/>
            </w:tcBorders>
          </w:tcPr>
          <w:p>
            <w:pPr>
              <w:spacing w:after="0"/>
              <w:rPr>
                <w:sz w:val="19"/>
                <w:szCs w:val="19"/>
                <w:color w:val="auto"/>
              </w:rPr>
            </w:pPr>
          </w:p>
        </w:tc>
        <w:tc>
          <w:tcPr>
            <w:tcW w:w="1900" w:type="dxa"/>
            <w:vAlign w:val="bottom"/>
            <w:tcBorders>
              <w:top w:val="single" w:sz="8" w:color="CCEEFF"/>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 w:type="dxa"/>
            <w:vAlign w:val="bottom"/>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85"/>
              </w:rPr>
              <w:t>Balance Sheets</w:t>
            </w:r>
          </w:p>
        </w:tc>
        <w:tc>
          <w:tcPr>
            <w:tcW w:w="6460" w:type="dxa"/>
            <w:vAlign w:val="bottom"/>
            <w:tcBorders>
              <w:bottom w:val="single" w:sz="8" w:color="CCEEFF"/>
            </w:tcBorders>
            <w:gridSpan w:val="6"/>
            <w:shd w:val="clear" w:color="auto" w:fill="CCEEFF"/>
          </w:tcPr>
          <w:p>
            <w:pPr>
              <w:spacing w:after="0"/>
              <w:rPr>
                <w:sz w:val="18"/>
                <w:szCs w:val="18"/>
                <w:color w:val="auto"/>
              </w:rPr>
            </w:pPr>
          </w:p>
        </w:tc>
        <w:tc>
          <w:tcPr>
            <w:tcW w:w="1900" w:type="dxa"/>
            <w:vAlign w:val="bottom"/>
            <w:tcBorders>
              <w:bottom w:val="single" w:sz="8" w:color="CCEEFF"/>
            </w:tcBorders>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88"/>
              </w:rPr>
              <w:t>F-3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7820" w:type="dxa"/>
            <w:vAlign w:val="bottom"/>
            <w:gridSpan w:val="9"/>
          </w:tcPr>
          <w:p>
            <w:pPr>
              <w:ind w:left="260"/>
              <w:spacing w:after="0" w:line="176" w:lineRule="exact"/>
              <w:rPr>
                <w:sz w:val="20"/>
                <w:szCs w:val="20"/>
                <w:color w:val="auto"/>
              </w:rPr>
            </w:pPr>
            <w:r>
              <w:rPr>
                <w:rFonts w:ascii="Arial" w:cs="Arial" w:eastAsia="Arial" w:hAnsi="Arial"/>
                <w:sz w:val="18"/>
                <w:szCs w:val="18"/>
                <w:color w:val="0000EE"/>
              </w:rPr>
              <w:t>Statements of Operations</w:t>
            </w:r>
          </w:p>
        </w:tc>
        <w:tc>
          <w:tcPr>
            <w:tcW w:w="190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88"/>
              </w:rPr>
              <w:t>F-4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6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Statements of Changes in Stockholders’ Deficit</w:t>
            </w:r>
          </w:p>
        </w:tc>
        <w:tc>
          <w:tcPr>
            <w:tcW w:w="190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88"/>
              </w:rPr>
              <w:t>F-5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42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Statements of Cash Flows</w:t>
            </w:r>
          </w:p>
        </w:tc>
        <w:tc>
          <w:tcPr>
            <w:tcW w:w="4140" w:type="dxa"/>
            <w:vAlign w:val="bottom"/>
            <w:tcBorders>
              <w:top w:val="single" w:sz="8" w:color="CCEEFF"/>
            </w:tcBorders>
            <w:gridSpan w:val="2"/>
          </w:tcPr>
          <w:p>
            <w:pPr>
              <w:spacing w:after="0"/>
              <w:rPr>
                <w:sz w:val="15"/>
                <w:szCs w:val="15"/>
                <w:color w:val="auto"/>
              </w:rPr>
            </w:pPr>
          </w:p>
        </w:tc>
        <w:tc>
          <w:tcPr>
            <w:tcW w:w="1900" w:type="dxa"/>
            <w:vAlign w:val="bottom"/>
            <w:tcBorders>
              <w:top w:val="single" w:sz="8" w:color="CCEEFF"/>
            </w:tcBorders>
          </w:tcPr>
          <w:p>
            <w:pPr>
              <w:jc w:val="center"/>
              <w:ind w:left="770"/>
              <w:spacing w:after="0" w:line="176" w:lineRule="exact"/>
              <w:rPr>
                <w:sz w:val="20"/>
                <w:szCs w:val="20"/>
                <w:color w:val="auto"/>
              </w:rPr>
            </w:pPr>
            <w:r>
              <w:rPr>
                <w:rFonts w:ascii="Arial" w:cs="Arial" w:eastAsia="Arial" w:hAnsi="Arial"/>
                <w:sz w:val="18"/>
                <w:szCs w:val="18"/>
                <w:color w:val="auto"/>
                <w:w w:val="88"/>
              </w:rPr>
              <w:t>F-6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7820" w:type="dxa"/>
            <w:vAlign w:val="bottom"/>
            <w:gridSpan w:val="9"/>
            <w:shd w:val="clear" w:color="auto" w:fill="CCEEFF"/>
          </w:tcPr>
          <w:p>
            <w:pPr>
              <w:ind w:left="260"/>
              <w:spacing w:after="0" w:line="176" w:lineRule="exact"/>
              <w:rPr>
                <w:sz w:val="20"/>
                <w:szCs w:val="20"/>
                <w:color w:val="auto"/>
              </w:rPr>
            </w:pPr>
            <w:r>
              <w:rPr>
                <w:rFonts w:ascii="Arial" w:cs="Arial" w:eastAsia="Arial" w:hAnsi="Arial"/>
                <w:sz w:val="18"/>
                <w:szCs w:val="18"/>
                <w:color w:val="0000EE"/>
              </w:rPr>
              <w:t>Notes to Financial Statements</w:t>
            </w:r>
          </w:p>
        </w:tc>
        <w:tc>
          <w:tcPr>
            <w:tcW w:w="1900" w:type="dxa"/>
            <w:vAlign w:val="bottom"/>
            <w:shd w:val="clear" w:color="auto" w:fill="CCEEFF"/>
          </w:tcPr>
          <w:p>
            <w:pPr>
              <w:jc w:val="center"/>
              <w:ind w:left="790"/>
              <w:spacing w:after="0" w:line="176" w:lineRule="exact"/>
              <w:rPr>
                <w:sz w:val="20"/>
                <w:szCs w:val="20"/>
                <w:color w:val="auto"/>
              </w:rPr>
            </w:pPr>
            <w:r>
              <w:rPr>
                <w:rFonts w:ascii="Arial" w:cs="Arial" w:eastAsia="Arial" w:hAnsi="Arial"/>
                <w:sz w:val="18"/>
                <w:szCs w:val="18"/>
                <w:color w:val="auto"/>
                <w:w w:val="92"/>
              </w:rPr>
              <w:t>F-7 to F-21</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78"/>
        </w:trPr>
        <w:tc>
          <w:tcPr>
            <w:tcW w:w="100" w:type="dxa"/>
            <w:vAlign w:val="bottom"/>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600" w:type="dxa"/>
            <w:vAlign w:val="bottom"/>
            <w:tcBorders>
              <w:top w:val="single" w:sz="8" w:color="CCEEFF"/>
            </w:tcBorders>
          </w:tcPr>
          <w:p>
            <w:pPr>
              <w:ind w:left="520"/>
              <w:spacing w:after="0"/>
              <w:rPr>
                <w:sz w:val="20"/>
                <w:szCs w:val="20"/>
                <w:color w:val="auto"/>
              </w:rPr>
            </w:pPr>
            <w:r>
              <w:rPr>
                <w:rFonts w:ascii="Arial" w:cs="Arial" w:eastAsia="Arial" w:hAnsi="Arial"/>
                <w:sz w:val="18"/>
                <w:szCs w:val="18"/>
                <w:color w:val="auto"/>
              </w:rPr>
              <w:t>F-1</w:t>
            </w:r>
          </w:p>
        </w:tc>
        <w:tc>
          <w:tcPr>
            <w:tcW w:w="19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00"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audited the accompanying balance sheets of BurTech Acquisition Corp. (the “Company”) as of December 31, 2022 and 2021, the related statements of operations, changes in stockholders’ deficit and cash flows for the period ended December 31, 2022 and for the period from March 2, 2021 (inception) through December 31, 2021, and the related notes (collectively referred to as the “financial statements”). In our opinion, the financial statements present fairly, in all material respects, the financial position of the Company as of December 31, 2022, and the results of its operations and its cash flows for each of the period ended December 31, 2022 and for the period from March 2, 2021 (inception) through December 31, 2021, in conformity with accounting principles generally accepted in the United States of America.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the Company’s business plan is dependent on the completion of a business combination and the Company’s cash and working capital as of December 31, 2022 are not sufficient to complete its planned activities for a reasonable period of time, which is considered to be one year from the issuance date of the financial statements. Additionally, the liquidation deadline is within 12 months of the filing date.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2023</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8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22,232</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186,532</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208,764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295,802,694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291,813,399</w:t>
            </w:r>
          </w:p>
        </w:tc>
        <w:tc>
          <w:tcPr>
            <w:tcW w:w="0" w:type="dxa"/>
            <w:vAlign w:val="bottom"/>
          </w:tcPr>
          <w:p>
            <w:pPr>
              <w:spacing w:after="0"/>
              <w:rPr>
                <w:sz w:val="1"/>
                <w:szCs w:val="1"/>
                <w:color w:val="auto"/>
              </w:rPr>
            </w:pPr>
          </w:p>
        </w:tc>
      </w:tr>
      <w:tr>
        <w:trPr>
          <w:trHeight w:val="24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293,741,143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Accrued offering costs and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304,952</w:t>
            </w:r>
          </w:p>
        </w:tc>
        <w:tc>
          <w:tcPr>
            <w:tcW w:w="22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537,073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Franchise tax payable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Promissory note - related party</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791,758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Due to related party</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1,296,710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Deferred underwriting commissions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10,062,500</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11,359,210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10,762,502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6)</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w w:val="94"/>
              </w:rPr>
              <w:t>Class A common stock subject to possible redemption, 28,750,000 shares at redemption value of</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$10.25 and $10.15 as of December 31, 2022 and 2021, respectively</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294,796,918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291,812,500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w w:val="96"/>
              </w:rPr>
              <w:t>Preferred stock, $0.0001 par value; 1,000,000 shares authorized; none issued and outstanding</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$0.0001 par value; 280,000,000 shares authorized; 1,329,500 shares</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(excluding 28,750,000 shares subject to possible redemption) as of</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2022 and 2021</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w w:val="92"/>
              </w:rPr>
              <w:t>Class B common stock, $0.0001 par value; 20,000,000 shares authorized; 9,487,500 shares issued</w:t>
            </w: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and outstanding as of December 31, 2022 and 2021</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(10,145,752)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(8,834,941)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(10,144,670)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(8,833,859)</w:t>
            </w:r>
          </w:p>
        </w:tc>
        <w:tc>
          <w:tcPr>
            <w:tcW w:w="0" w:type="dxa"/>
            <w:vAlign w:val="bottom"/>
          </w:tcPr>
          <w:p>
            <w:pPr>
              <w:spacing w:after="0"/>
              <w:rPr>
                <w:sz w:val="1"/>
                <w:szCs w:val="1"/>
                <w:color w:val="auto"/>
              </w:rPr>
            </w:pPr>
          </w:p>
        </w:tc>
      </w:tr>
      <w:tr>
        <w:trPr>
          <w:trHeight w:val="209"/>
        </w:trPr>
        <w:tc>
          <w:tcPr>
            <w:tcW w:w="7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296,011,458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293,741,143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For the Year</w:t>
            </w: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March 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1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6"/>
              </w:rPr>
              <w:t>2022</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Formation and operating costs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1,320,997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Franchise Tax</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202,932</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Loss from operations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(1,523,929)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(66,791)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Other income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Interest income earned on Trust</w:t>
            </w:r>
          </w:p>
        </w:tc>
        <w:tc>
          <w:tcPr>
            <w:tcW w:w="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3,989,294</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other income, net</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3,989,294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6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(Loss) before provision for income taxes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2,465,365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(65,892)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Provision for income taxes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(791,758)</w:t>
            </w:r>
          </w:p>
        </w:tc>
        <w:tc>
          <w:tcPr>
            <w:tcW w:w="1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5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1,673,607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(65,892)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54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Weighted average shares outstanding of Class A common stock subject to redemption, basic and diluted</w:t>
            </w:r>
          </w:p>
        </w:tc>
        <w:tc>
          <w:tcPr>
            <w:tcW w:w="5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28,750,000</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1,602,459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 net income (loss) per common stock, Class A subject to redemption</w:t>
            </w:r>
          </w:p>
        </w:tc>
        <w:tc>
          <w:tcPr>
            <w:tcW w:w="5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0.04</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Weighted average shares outstanding of non-redeemable Class A common stock, basic and diluted</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1,329,500</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24,037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 net income (loss) per common stock, non-redeemable Class A</w:t>
            </w:r>
          </w:p>
        </w:tc>
        <w:tc>
          <w:tcPr>
            <w:tcW w:w="5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6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0.04</w:t>
            </w:r>
          </w:p>
        </w:tc>
        <w:tc>
          <w:tcPr>
            <w:tcW w:w="240" w:type="dxa"/>
            <w:vAlign w:val="bottom"/>
          </w:tcPr>
          <w:p>
            <w:pPr>
              <w:spacing w:after="0"/>
              <w:rPr>
                <w:sz w:val="14"/>
                <w:szCs w:val="14"/>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54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Weighted average shares outstanding of Class B common stock, basic and diluted</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9,487,500</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8,318,975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 net income (loss) per Class B common stock</w:t>
            </w:r>
          </w:p>
        </w:tc>
        <w:tc>
          <w:tcPr>
            <w:tcW w:w="5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6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1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0.04</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(0.01)</w:t>
            </w:r>
          </w:p>
        </w:tc>
        <w:tc>
          <w:tcPr>
            <w:tcW w:w="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2022 AND FOR THE PERIOD FROM MARCH 2, 2021 (INCEPTION)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THROUGH DECEMBER 31,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060" w:type="dxa"/>
            <w:vAlign w:val="bottom"/>
            <w:gridSpan w:val="3"/>
          </w:tcPr>
          <w:p>
            <w:pPr>
              <w:jc w:val="center"/>
              <w:ind w:left="281"/>
              <w:spacing w:after="0"/>
              <w:rPr>
                <w:sz w:val="20"/>
                <w:szCs w:val="20"/>
                <w:color w:val="auto"/>
              </w:rPr>
            </w:pPr>
            <w:r>
              <w:rPr>
                <w:rFonts w:ascii="Arial" w:cs="Arial" w:eastAsia="Arial" w:hAnsi="Arial"/>
                <w:sz w:val="14"/>
                <w:szCs w:val="14"/>
                <w:b w:val="1"/>
                <w:bCs w:val="1"/>
                <w:color w:val="auto"/>
                <w:w w:val="89"/>
              </w:rPr>
              <w:t>Class A</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ind w:left="480"/>
              <w:spacing w:after="0"/>
              <w:rPr>
                <w:sz w:val="20"/>
                <w:szCs w:val="20"/>
                <w:color w:val="auto"/>
              </w:rPr>
            </w:pPr>
            <w:r>
              <w:rPr>
                <w:rFonts w:ascii="Arial" w:cs="Arial" w:eastAsia="Arial" w:hAnsi="Arial"/>
                <w:sz w:val="14"/>
                <w:szCs w:val="14"/>
                <w:b w:val="1"/>
                <w:bCs w:val="1"/>
                <w:color w:val="auto"/>
              </w:rPr>
              <w:t>Class B</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12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5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1"/>
              </w:rPr>
              <w:t>Common Stock</w:t>
            </w:r>
          </w:p>
        </w:tc>
        <w:tc>
          <w:tcPr>
            <w:tcW w:w="140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Paid-in</w:t>
            </w:r>
          </w:p>
        </w:tc>
        <w:tc>
          <w:tcPr>
            <w:tcW w:w="11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92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96"/>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 March 2, 2021 (Inception)</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6"/>
                <w:szCs w:val="16"/>
                <w:color w:val="auto"/>
              </w:rPr>
              <w:t>Class B common stock issued to the Sponsor</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5"/>
              </w:rPr>
              <w:t>9,487,500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24,051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w w:val="99"/>
              </w:rPr>
              <w:t>Allocated fair value of 28,750,000 Public Warrants</w:t>
            </w: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of allocated offering costs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17,683,807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17,683,807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w w:val="95"/>
              </w:rPr>
              <w:t>Proceeds of 898,250 Private Placement Units net of</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6"/>
                <w:szCs w:val="16"/>
                <w:color w:val="auto"/>
              </w:rPr>
              <w:t>allocated offering costs</w:t>
            </w:r>
          </w:p>
        </w:tc>
        <w:tc>
          <w:tcPr>
            <w:tcW w:w="760" w:type="dxa"/>
            <w:vAlign w:val="bottom"/>
          </w:tcPr>
          <w:p>
            <w:pPr>
              <w:jc w:val="right"/>
              <w:spacing w:after="0"/>
              <w:rPr>
                <w:sz w:val="20"/>
                <w:szCs w:val="20"/>
                <w:color w:val="auto"/>
              </w:rPr>
            </w:pPr>
            <w:r>
              <w:rPr>
                <w:rFonts w:ascii="Arial" w:cs="Arial" w:eastAsia="Arial" w:hAnsi="Arial"/>
                <w:sz w:val="16"/>
                <w:szCs w:val="16"/>
                <w:color w:val="auto"/>
              </w:rPr>
              <w:t>898,250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90</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8,861,764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8,861,854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Recorded the representative shares FV</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3,456,609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rPr>
              <w:t>Additional amount in deposited into trust ($10.15</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6"/>
                <w:szCs w:val="16"/>
                <w:color w:val="auto"/>
              </w:rPr>
              <w:t>per Unit-$10.00 per Unit)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(4,312,500)</w:t>
            </w: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(4,312,500)</w:t>
            </w: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(65,892)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w w:val="99"/>
              </w:rPr>
              <w:t>Accretion for common stock subject to redemption</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6"/>
                <w:szCs w:val="16"/>
                <w:color w:val="auto"/>
              </w:rPr>
              <w:t>amount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(25,713,731)</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(8,769,049)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(34,482,780)</w:t>
            </w:r>
          </w:p>
        </w:tc>
        <w:tc>
          <w:tcPr>
            <w:tcW w:w="0" w:type="dxa"/>
            <w:vAlign w:val="bottom"/>
          </w:tcPr>
          <w:p>
            <w:pPr>
              <w:spacing w:after="0"/>
              <w:rPr>
                <w:sz w:val="1"/>
                <w:szCs w:val="1"/>
                <w:color w:val="auto"/>
              </w:rPr>
            </w:pPr>
          </w:p>
        </w:tc>
      </w:tr>
      <w:tr>
        <w:trPr>
          <w:trHeight w:val="202"/>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as of December 31,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1,329,500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9,487,500</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(8,834,941)</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(8,833,859)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spacing w:after="0"/>
              <w:rPr>
                <w:sz w:val="20"/>
                <w:szCs w:val="20"/>
                <w:color w:val="auto"/>
              </w:rPr>
            </w:pPr>
            <w:r>
              <w:rPr>
                <w:rFonts w:ascii="Arial" w:cs="Arial" w:eastAsia="Arial" w:hAnsi="Arial"/>
                <w:sz w:val="16"/>
                <w:szCs w:val="16"/>
                <w:color w:val="auto"/>
                <w:w w:val="99"/>
              </w:rPr>
              <w:t>Accretion for common stock subject to redemption</w:t>
            </w: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540" w:type="dxa"/>
            <w:vAlign w:val="bottom"/>
          </w:tcPr>
          <w:p>
            <w:pPr>
              <w:spacing w:after="0"/>
              <w:rPr>
                <w:sz w:val="20"/>
                <w:szCs w:val="20"/>
                <w:color w:val="auto"/>
              </w:rPr>
            </w:pPr>
            <w:r>
              <w:rPr>
                <w:rFonts w:ascii="Arial" w:cs="Arial" w:eastAsia="Arial" w:hAnsi="Arial"/>
                <w:sz w:val="16"/>
                <w:szCs w:val="16"/>
                <w:color w:val="auto"/>
              </w:rPr>
              <w:t>amount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(2,984,418)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(2,984,418)</w:t>
            </w:r>
          </w:p>
        </w:tc>
        <w:tc>
          <w:tcPr>
            <w:tcW w:w="0" w:type="dxa"/>
            <w:vAlign w:val="bottom"/>
          </w:tcPr>
          <w:p>
            <w:pPr>
              <w:spacing w:after="0"/>
              <w:rPr>
                <w:sz w:val="1"/>
                <w:szCs w:val="1"/>
                <w:color w:val="auto"/>
              </w:rPr>
            </w:pPr>
          </w:p>
        </w:tc>
      </w:tr>
      <w:tr>
        <w:trPr>
          <w:trHeight w:val="208"/>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1,673,607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20"/>
                <w:szCs w:val="20"/>
                <w:color w:val="auto"/>
              </w:rPr>
            </w:pPr>
            <w:r>
              <w:rPr>
                <w:rFonts w:ascii="Arial" w:cs="Arial" w:eastAsia="Arial" w:hAnsi="Arial"/>
                <w:sz w:val="16"/>
                <w:szCs w:val="16"/>
                <w:b w:val="1"/>
                <w:bCs w:val="1"/>
                <w:color w:val="auto"/>
              </w:rPr>
              <w:t>Balance as of December 31, 2022</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1,329,500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6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9,487,500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949</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(10,145,752)</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(10,144,670)</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STATEMENT OF CASH FLOWS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6"/>
              </w:rPr>
              <w:t>For the</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95"/>
              </w:rPr>
              <w:t>March 2, 2021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160" w:type="dxa"/>
            <w:vAlign w:val="bottom"/>
          </w:tcPr>
          <w:p>
            <w:pPr>
              <w:jc w:val="center"/>
              <w:ind w:right="71"/>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5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December 31, 2022</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1,673,607</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(65,892)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(loss) to net cash (used in) provided by operating</w:t>
            </w: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Interest earned on cash and marketable securities held in Trust Account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(3,989,294)</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Changes in current assets and liabilities: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201,664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(388,196)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offering costs and expenses</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(232,122)</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Franchise tax payable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188,914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200"/>
              <w:spacing w:after="0"/>
              <w:rPr>
                <w:sz w:val="20"/>
                <w:szCs w:val="20"/>
                <w:color w:val="auto"/>
              </w:rPr>
            </w:pPr>
            <w:r>
              <w:rPr>
                <w:rFonts w:ascii="Arial" w:cs="Arial" w:eastAsia="Arial" w:hAnsi="Arial"/>
                <w:sz w:val="18"/>
                <w:szCs w:val="18"/>
                <w:color w:val="auto"/>
              </w:rPr>
              <w:t>Due to related party</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(7,097)</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(1,372,570)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100,269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Purchase of investment held in Trust Account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(291,812,500)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(291,812,500)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Proceeds from initial stockholder</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initial public offering</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Proceeds from private placement</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8,982,500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note payable-related party</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(144,746)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(380,721)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(144,746)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293,251,779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(1,517,316)</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1,539,548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beginning of the period</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1,539,548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end of the period</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22,232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1,539,548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Initial value of Class A common stock subject to possible redemption</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291,812,500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Accretion of Class A common stock subject to possible redemption</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2,984,418</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Offering costs paid by Sponsor under promissory note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144,746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Re-measurement of class A common stock to redemption value</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34,482,780</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commissions payable charged to additional paid in capital</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gridSpan w:val="2"/>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BurTech Acquisition Corp. (the “Company”) is a blank check company incorporated in Delaware on March 2, 2021,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2022, the Company had not commenced any operations. All activity for the period from March 2, 2021 (inception) through December 31, 2022 relates to the Company’s formation and the Initial Public Offering (the “IPO”). The Company will not generate any operating revenues until after the completion of its initial Business Combination, at the earliest. The Company will generate non-operating income in the form of interest income from the proceeds derived from the IPO. The Company has selected December 31 as its fiscal year 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sponsor is BurTech LP LLC, (the “Sponsor”).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registration statement for the Company’s IPO was declared effective on December 10, 2021 (the “Effective Date”). On December 15, 2021, the Company completed the IPO of 28,750,000 units, including 3,750,000 units from the full exercise of the overallotment option by the underwriters, at $10.00 per unit (the “Units”), which is discussed in Note 3 (the “Initial Public Offering”). Each Unit consists of one Class A common stock and one redeemable warrant (the “Public Warrants”). Each whole warrant entitles the holder to purchase one Class A common stock at a price of $11.50 per share.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consummation of the IPO, the Company consummated the private placement of 898,250 units (the “Private Placement Units”) to the Sponsor, including 93,750 units from the full exercise of the overallotment option by the underwriters, at a price of $10.00 per units, generate an aggregate of $8,982,500 proceeds.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Transaction costs amounted to $16,919,619 consisting of $2,875,000 of underwriting commissions, $10,062,500 of deferred underwriting commissions, $3,456,652 fair value of class A shares issued to the underwriters and $525,467 of other offering costs. In addition, $1,539,541 of cash was held outside of the Trust Account (as defined below) and is available for working capital purposes.</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IPO and the Private Placement Units, although substantially all of the net proceeds are intended to be generally applied toward consummating a Business Combination (less deferred underwriting commissions).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Nasdaq rules require that a company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the Company’s signing a definitive agreement in connection with the initial Business Combination. The board of directors will make the determination as to the fair market value of the initial Business Combination. If the board of directors is not able to independently determine the fair market value of the initial Business Combination, the Company will obtain an opinion from an independent investment banking firm or another independent entity that commonly renders valuation opinions with respect to the satisfaction of such criteria. While the Company considers it unlikely that the board of directors will not be able to make an independent determination of the fair market value of the initial Business Combination, it may be unable to do so if it is less familiar or experienced with the business of a particular target or if there is a significant amount of uncertainty as to the value of a target’s assets or prospects. Additionally, pursuant to Nasdaq rules, any initial Business Combination must be approved by a majority of the Company’s independent directors.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closing of the IPO on December 15, 2021, $291,812,500 ($10.15 per Unit) from the net proceeds of the sale of the Units in the IPO and the sale of the Private Placement Units was deposited into a trust account (the “Trust Account”) and will be invested only in U.S. government securities with a maturity of 185 days or less or in money market funds meeting certain conditions under Rule 2a-7 under the Investment Company Act which invest only in direct U.S. government treasury obligations. Except with respect to interest earned on the funds held in the Trust Account that may be released to the Company to pay its tax obligations and up to $100,000 of interest that may be used for the Company’s dissolution expenses, the proceeds from the IPO and the sale of the placement units held in the Trust Account will not be released from the Trust Account until the earliest to occur of: (a) the completion of the initial Business Combination, (b) the redemption of any public shares properly submitted in connection with a stockholder vote to amend the Company’s second amended and restated certificate of incorporation (i)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15 months from the closing of the IPO or (ii) with respect to any other provision relating to stockholders’ rights or pre-Business Combination activity, and (c) the redemption of the public shares if the Company is unable to complete the initial Business Combination within 15 months from the closing of the IPO, subject to applicable law. The proceeds deposited in the Trust Account could become subject to the claims of the Company’s creditors, if any, which could have priority over the claims of the Company’s public stockholders.</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either (i) in connection with a stockholder meeting called to approve the Business Combination or (ii) without a stockholder vote by means of a tender offer. The decision as to whether the Company will seek stockholder approval of a proposed Business Combination or conduct a tender offer will be made by the Company, solely in the Company’s discretion, and will be based on a variety of factors such as the timing of the transaction and whether the terms of the transaction would require the Company to seek stockholder approval under applicable law or stock exchange listing requirement.</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provide its public stockholders with the opportunity to redeem all or a portion of their public shares upon the completion of the initial Business Combination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the Company to pay its taxes, divided by the number of then outstanding public shares, subject to the limitations described herein. The amount in the Trust Account is initially anticipated to be $10.15 per public share, however, there is no guarantee that investors will receive $10.15 per share upon redemption.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shares of common stock subject to redemption will be recorded at a redemption value and classified as temporary equity upon the completion of the IPO, in accordance with Financial Accounting Standards Board’s (“FASB”) Accounting Standards Codification (“ASC”) Topic 480 “Distinguishing Liabilities from Equity.”</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will have only 15 months from the closing of the IPO (the “Combination Period”) to complete the initial Business Combination. If the Company is unable to complete the initial Business Combination within the Combination Period (and the stockholders have not approved an amendment to the Company’s charter extending this time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the Company’s remaining stockholders and the Company’s board of directors, dissolve and liquidate, subject in the case of clauses (ii) and</w:t>
      </w:r>
    </w:p>
    <w:p>
      <w:pPr>
        <w:spacing w:after="0" w:line="5" w:lineRule="exact"/>
        <w:rPr>
          <w:sz w:val="20"/>
          <w:szCs w:val="20"/>
          <w:color w:val="auto"/>
        </w:rPr>
      </w:pPr>
    </w:p>
    <w:p>
      <w:pPr>
        <w:jc w:val="both"/>
        <w:ind w:firstLine="8"/>
        <w:spacing w:after="0" w:line="255" w:lineRule="auto"/>
        <w:tabs>
          <w:tab w:leader="none" w:pos="3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above to the Company’s obligations under Delaware law to provide for claims of creditors and the requirements of other applicable law. There will be no redemption rights or liquidating distributions with respect to the warrants, which will expire worthless if the Company fails to complete the initial Business Combination within the Combination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Sponsor, officers and directors have entered into a letter agreement with the Company, pursuant to which they have agreed to (i) waive their redemption rights with respect to any founder shares, placement shares and public shares held by them in connection with the completion of the initial Business Combination, (ii) waive their redemption rights with respect to any founder shares, placement shares and public shares held by them in connection with a stockholder vote to approve an amendment to the Company’s second amended and restated certificate of incorporation (A) to modify the substance or timing of the Company’s obligation to allow redemption in connection with the initial Business Combination or certain amendments to the Company’s charter prior thereto or to redeem 100% of the public shares if the Company does not complete the initial Business Combination within the Combination Period or (B) with respect to any other provision relating to stockholders’ rights or pre-initial Business Combination activity and (iii) waive their rights to liquidating distributions from the Trust Account with respect to any founder shares and placement shares held by them if the Company fails to complete the initial Business Combination within the Combination Period, although they will be entitled to liquidating distributions from the Trust Account with respect to any public shares they hold if the Company fails to complete the initial Business Combination within the prescribed time frame; and (iv) vote any founder shares held by them and any public shares purchased during or after the IPO (including in open market and privately-negotiated transactions) in favor of the initial Business Combination.</w:t>
      </w:r>
    </w:p>
    <w:p>
      <w:pPr>
        <w:spacing w:after="0" w:line="17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Sponsor has agreed that it will be liable to the Company if and to the extent any claims by a third party for services rendered or products sold to the Company, or a prospective target business with which the Company has entered into a written letter of intent, confidentiality or similar agreement or Business Combination agreement, reduce the amount of funds in the Trust Account to below the lesser of (i) $10.15 per public share and (ii) the actual amount per public share held in the Trust Account as of the date of the liquidation of the Trust Account, if less than $10.15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the indemnity of the underwriters of the IPO against certain liabilities, including liabilities under the Securities Act. However, the Company has not asked the Sponsor to reserve for such indemnification obligations, nor has the Company independently verified whether the Sponsor has sufficient funds to satisfy its indemnity obligations and believe that the Sponsor’s only assets are securities of the Company. Therefore, the Company cannot assure you that the Sponsor would be able to satisfy those obligations.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As of December 31, 2022, the Company had $22,232 in its operating bank accounts, $295,802,694 in investments held in the Trust Account to be used for a Business Combination or to repurchase or redeem its Public Shares in connection therewith and working capital deficit of $96,188. As of December 31, 2022, $3,989,294 of the amount on deposit in the Trust Account represented interest income.</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needs up to December 31, 2022 had been satisfied through a payment from our sponsor of $25,000 for the Founder Shares to cover certain offering costs, the loan under an unsecured promissory note from the Sponsor of $144,746 and the net proceeds from the consummation of the Initial Public Offering held outside of the trust account. As of December 31, 2022, there were no amounts outstanding under any Working Capital Loans.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Until the consummation of a Business Combination, the Company will use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 The Company expects it will need to raise additional capital through loans or additional investments from its Sponsor, stockholders, officers, directors, or third parties. The Company’s officers, directors and the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less than 8 months from its mandatory liquidation as of the time of filing this Annual Report on Form 10-K. In connection with the Company’s assessment of going concern considerations in accordance with Accounting Standards Codification Subtopic 205-40, “Presentation of Financial Statements – Going Concern,” Management has determined that the liquidity condition due to insufficient working capital, described above, and mandatory liquidation raises substantial doubt about the Company’s ability to continue as a going concern for at least one year from the date the financial statements contained in this Annual Report on Form 10-K are issued.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379730</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conditions raise substantial doubt about the Company’s ability to continue as a going concern. These financial statements do not include any adjustments relating to the recovery of the recorded assets or the classification of the liabilities that might be necessary should the Company be unable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w:t>
      </w:r>
    </w:p>
    <w:p>
      <w:pPr>
        <w:spacing w:after="0" w:line="4" w:lineRule="exact"/>
        <w:rPr>
          <w:sz w:val="20"/>
          <w:szCs w:val="20"/>
          <w:color w:val="auto"/>
        </w:rPr>
      </w:pPr>
    </w:p>
    <w:p>
      <w:pPr>
        <w:jc w:val="both"/>
        <w:ind w:firstLine="8"/>
        <w:spacing w:after="0" w:line="253" w:lineRule="auto"/>
        <w:tabs>
          <w:tab w:leader="none" w:pos="3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is currently evaluating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results of operations and ability to complete an initial business combination may be adversely affected by various factors that could cause economic uncertainty and volatility in the financial markets, many of which are beyond the Company’s control. The Company’s business could be impacted by, among other things, downturns in the financial markets or in economic conditions, increases in oil prices, inflation, increases in interest rates, supply chain disruptions, declines in consumer confidence and spending, the ongoing effects of the COVID-19 pandemic, including reassurance and the emergence of new variants, and geopolitical instability, such as the military conflict in the Ukraine. The Company cannot at this time fully predict the likelihood of one or more of the above events, their duration or magnitude or the extent to which they may negatively impact our business and the Company’s ability to complete an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 is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fair value of the warrant liabilities. Such estimates may be subject to change as more current information becomes available and accordingly, the actual results could differ significantly from those estimates.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As of December 31, 2022 and 2021, the Company had $22,232 and $1,539,548 in cash, respectively, and no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2022 and 2021, the Company had $295,802,694 and $291,813,399 in investments held in the Trust Account, which primarily consist of investments in mutual funds that invest in U.S. government securities, cash,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gain on Investments Held in Trust Account in the accompanying statement of operations. The estimated fair values of investments held in the Trust Account are determined using available market information.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Redemption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accounts for its common stock subject to possible redemption in accordance with the guidance in ASC Topic 480 “Distinguishing Liabilities from Equity.” Common stock subject to mandatory redemption (if any) is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is classified as stockholders’ equity. The Company’s Class A common stock feature certain redemption rights that are considered to be outside of the Company’s control and subject to the occurrence of uncertain future events. Accordingly, as of December 31, 2022 and 2021, 28,750,000 Class A common stock subject to possible redemption are presented at redemption value as temporary equity, outside of the stockholders’ deficit section of the Company’s balance sheets.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complies with the requirements of ASC 340-10-S99-1, SEC Staff Accounting bulletin Topic 5A – “Expenses of Offering”, and SEC Staff Accounting bulletin Topic 5T – “Accounting for Expenses or Liabilities Paid by Principal Stockholder(s)”. Offering costs consist principally of professional and registration fees incurred through the balance sheet date that are related to the IPO. Offering costs directly attributable to the issuance of an equity contract to be classified in equity are recorded as a reduction of equity. Offering costs for equity contracts that are classified as assets and liabilities are expensed immediately. The Company incurred offering costs amounting to $16,919,619 as a result of the IPO (consisting of $2,875,000 of underwriting fees, $10,062,500 of deferred underwriting fees, $3,456,652 fair value of the Class A common stock issued to the underwriters and $525,467 of other offering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income taxes under FASB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identified the United States as its only “major” tax jurisdiction.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income tax examinations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two classes of shares, which are referred to as Class A common stock and Class B common stock. Earnings and losses are shared pro rata between the two classes of shares. The 29,648,250 potential common stocks for outstanding warrants to purchase the Company’s shares were excluded from diluted earnings per share for the year ended December 31, 2022 and 2021 because the warrants are contingently exercisable, and the contingencies have not yet been met and its inclusion would be anti- dilutive. As a result, diluted net loss per common stock is the same as basic net loss per common stock for the periods. The table below presents a reconciliation of the numerator and denominator used to compute basic and diluted net loss per share for each class of common stock:</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For the Year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5"/>
          </w:tcPr>
          <w:p>
            <w:pPr>
              <w:jc w:val="right"/>
              <w:ind w:right="105"/>
              <w:spacing w:after="0"/>
              <w:rPr>
                <w:sz w:val="20"/>
                <w:szCs w:val="20"/>
                <w:color w:val="auto"/>
              </w:rPr>
            </w:pPr>
            <w:r>
              <w:rPr>
                <w:rFonts w:ascii="Arial" w:cs="Arial" w:eastAsia="Arial" w:hAnsi="Arial"/>
                <w:sz w:val="14"/>
                <w:szCs w:val="14"/>
                <w:b w:val="1"/>
                <w:bCs w:val="1"/>
                <w:color w:val="auto"/>
                <w:w w:val="95"/>
              </w:rPr>
              <w:t>For The Period from</w:t>
            </w: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40" w:type="dxa"/>
            <w:vAlign w:val="bottom"/>
            <w:gridSpan w:val="9"/>
          </w:tcPr>
          <w:p>
            <w:pPr>
              <w:ind w:left="480"/>
              <w:spacing w:after="0" w:line="149" w:lineRule="exact"/>
              <w:rPr>
                <w:sz w:val="20"/>
                <w:szCs w:val="20"/>
                <w:color w:val="auto"/>
              </w:rPr>
            </w:pPr>
            <w:r>
              <w:rPr>
                <w:rFonts w:ascii="Arial" w:cs="Arial" w:eastAsia="Arial" w:hAnsi="Arial"/>
                <w:sz w:val="14"/>
                <w:szCs w:val="14"/>
                <w:b w:val="1"/>
                <w:bCs w:val="1"/>
                <w:color w:val="auto"/>
              </w:rPr>
              <w:t>March 2, 2021 (Inception) 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3"/>
              </w:rPr>
              <w:t>December 31, 2021</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Class A</w:t>
            </w:r>
          </w:p>
        </w:tc>
        <w:tc>
          <w:tcPr>
            <w:tcW w:w="8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Class B</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ind w:left="740"/>
              <w:spacing w:after="0" w:line="142" w:lineRule="exact"/>
              <w:rPr>
                <w:sz w:val="20"/>
                <w:szCs w:val="20"/>
                <w:color w:val="auto"/>
              </w:rPr>
            </w:pPr>
            <w:r>
              <w:rPr>
                <w:rFonts w:ascii="Arial" w:cs="Arial" w:eastAsia="Arial" w:hAnsi="Arial"/>
                <w:sz w:val="14"/>
                <w:szCs w:val="14"/>
                <w:b w:val="1"/>
                <w:bCs w:val="1"/>
                <w:color w:val="auto"/>
              </w:rPr>
              <w:t>Class A</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15"/>
              <w:spacing w:after="0" w:line="142" w:lineRule="exact"/>
              <w:rPr>
                <w:sz w:val="20"/>
                <w:szCs w:val="20"/>
                <w:color w:val="auto"/>
              </w:rPr>
            </w:pPr>
            <w:r>
              <w:rPr>
                <w:rFonts w:ascii="Arial" w:cs="Arial" w:eastAsia="Arial" w:hAnsi="Arial"/>
                <w:sz w:val="14"/>
                <w:szCs w:val="14"/>
                <w:b w:val="1"/>
                <w:bCs w:val="1"/>
                <w:color w:val="auto"/>
                <w:w w:val="89"/>
              </w:rPr>
              <w:t>Class B</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w w:val="96"/>
              </w:rPr>
              <w:t>Redeemable</w:t>
            </w:r>
          </w:p>
        </w:tc>
        <w:tc>
          <w:tcPr>
            <w:tcW w:w="14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Non-redeemable</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Non-redeemable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Redeemable</w:t>
            </w:r>
          </w:p>
        </w:tc>
        <w:tc>
          <w:tcPr>
            <w:tcW w:w="12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Non-redeemable</w:t>
            </w:r>
          </w:p>
        </w:tc>
        <w:tc>
          <w:tcPr>
            <w:tcW w:w="140" w:type="dxa"/>
            <w:vAlign w:val="bottom"/>
          </w:tcPr>
          <w:p>
            <w:pPr>
              <w:spacing w:after="0"/>
              <w:rPr>
                <w:sz w:val="10"/>
                <w:szCs w:val="10"/>
                <w:color w:val="auto"/>
              </w:rPr>
            </w:pPr>
          </w:p>
        </w:tc>
        <w:tc>
          <w:tcPr>
            <w:tcW w:w="10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Non-redeemable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common stock</w:t>
            </w:r>
          </w:p>
        </w:tc>
        <w:tc>
          <w:tcPr>
            <w:tcW w:w="14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common stock</w:t>
            </w:r>
          </w:p>
        </w:tc>
        <w:tc>
          <w:tcPr>
            <w:tcW w:w="4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common stock</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2"/>
              </w:rPr>
              <w:t>Common stock</w:t>
            </w:r>
          </w:p>
        </w:tc>
        <w:tc>
          <w:tcPr>
            <w:tcW w:w="12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9"/>
              </w:rPr>
              <w:t>common stock</w:t>
            </w: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Basic and diluted net income (loss)</w:t>
            </w: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per share:</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Allocation of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1,216,069</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56,235</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(10,617)</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Weighted-average shares outstanding</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including common stock subject to</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20"/>
              <w:spacing w:after="0"/>
              <w:rPr>
                <w:sz w:val="20"/>
                <w:szCs w:val="20"/>
                <w:color w:val="auto"/>
              </w:rPr>
            </w:pPr>
            <w:r>
              <w:rPr>
                <w:rFonts w:ascii="Arial" w:cs="Arial" w:eastAsia="Arial" w:hAnsi="Arial"/>
                <w:sz w:val="18"/>
                <w:szCs w:val="18"/>
                <w:color w:val="auto"/>
              </w:rPr>
              <w:t>redemption</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28,750,000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1,329,500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9,487,500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1,602,459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24,037</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8,318,975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Basic and diluted net income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(0.01)</w:t>
            </w: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(0.01)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a cash account in a financial institution which, at times may exceed the Federal Deposit Insurance Corporation coverage of $250,000. At December 31, 2022 and 2021, the Company had not experienced losses on this account and management believes the Company is not exposed to significant risks on such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its short-term nature.</w:t>
      </w:r>
    </w:p>
    <w:p>
      <w:pPr>
        <w:spacing w:after="0" w:line="18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1" w:lineRule="exact"/>
        <w:rPr>
          <w:sz w:val="20"/>
          <w:szCs w:val="20"/>
          <w:color w:val="auto"/>
        </w:rPr>
      </w:pPr>
    </w:p>
    <w:p>
      <w:pPr>
        <w:ind w:left="680" w:hanging="321"/>
        <w:spacing w:after="0" w:line="277"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1—Assets and liabilities with unadjusted, quoted prices listed on active market exchanges. Inputs to the fair value measurement are observable inputs, such as quoted prices in active markets for identical assets or liabilities.</w:t>
      </w:r>
    </w:p>
    <w:p>
      <w:pPr>
        <w:spacing w:after="0" w:line="170" w:lineRule="exact"/>
        <w:rPr>
          <w:rFonts w:ascii="Arial" w:cs="Arial" w:eastAsia="Arial" w:hAnsi="Arial"/>
          <w:sz w:val="18"/>
          <w:szCs w:val="18"/>
          <w:color w:val="auto"/>
        </w:rPr>
      </w:pPr>
    </w:p>
    <w:p>
      <w:pPr>
        <w:jc w:val="both"/>
        <w:ind w:left="680" w:hanging="321"/>
        <w:spacing w:after="0" w:line="26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77" w:lineRule="auto"/>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3—Inputs to the fair value measurement are unobservable inputs, such as estimates, assumptions, and valuation techniques when little or no market data exists for the assets or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Classification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The Company’s has analyzed the warrants issued in the Initial Public Offering (“Public Warrants”) and warrants included in the Private Placement Units (the “Private Warrants”) and determined they are considered to be freestanding instruments and do not exhibit any of the characteristics in ASC 480 and therefore are not classified as liabilities under ASC 480. The warrants meet all of the requirements for equity classification under ASC 815 and therefore are classified in equity.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August 2020, the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 a smaller reporting company, ASU 2020-06 is effective January 1, 2024 for fiscal years beginning after December 15, 2023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2022.</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if currently adopted would have a material effect on the accompanying financial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Units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15, 2021, the Company consummated its IPO of 28,750,000 Units, including the issuance of 3,750,000 Units as a result of the underwriters’ full exercise of the over-allotment, at a purchase price of $10.00 per Unit. Each Unit that the Company is offering has a price of $10.00 and consists of one share of Class A common stock and one redeemable warrant. Each whole warrant will entitle the holder to purchase one Class A common stock at a price of $11.50 per share, subject to adjustment.</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All of the 28,750,000 shares of common stock sold as part of the Units in the IPO contain a redemption feature which allows for the redemption of such public shares in connection with the Company’s liquidation, if there is a stockholder vote or tender offer in connection with the Business Combination and in connection with certain amendments to the Company’s certificate of incorporation. In accordance with SEC and its staff’s guidance on redeemable equity instruments, which has been codified in ASC 480-10-S99, redemption provisions not solely within the control of the Company require common stock subject to redemption to be classified outside of permanent equity. Given that common stock was issued with other freestanding instruments (i.e., public warrants), the initial carrying value of common stock classified as temporary equity is the allocated proceeds based on the guidance in ASC 470-20.</w:t>
      </w:r>
    </w:p>
    <w:p>
      <w:pPr>
        <w:sectPr>
          <w:pgSz w:w="11900" w:h="16838" w:orient="portrait"/>
          <w:cols w:equalWidth="0" w:num="1">
            <w:col w:w="9920"/>
          </w:cols>
          <w:pgMar w:left="980" w:top="517" w:right="99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common stock is subject to SEC and its staff’s guidance on redeemable equity instruments, which has been codified in ASC 480-10-S99. If it is probable that the equity instrument will become redeemable, the Company has the option to either accrete changes in the redemption value over the period from the date of issuance (or from the date that it becomes probable that the instrument will become redeemable, if later) to the earliest redemption date of the instrument or to recognize changes in the redemption value immediately as they occur and adjust the carrying amount of the instrument to equal the redemption value at the end of each reporting period. The Company recognizes changes in redemption value immediately as they occur and adjusts the carrying value of redeemable common stock to equal the redemption value at the end of each reporting period. Immediately upon the closing of the IPO, the Company recognized the accretion from initial book value to redemption amount value. The change in the carrying value of redeemable common stock resulted in charges against additional paid-in capital and accumulated deficit.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common stock subject to redemption reflected on the balance sheet are reconciled in the following table:</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$ 287,500,000</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Overfunding From Private Placements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4,312,500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Proceeds allocated to Public Warrants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(18,781,216)</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issuance costs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(15,701,564)</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Plus:</w:t>
            </w:r>
          </w:p>
        </w:tc>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Accretion of carrying value to redemption value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34,482,780</w:t>
            </w:r>
          </w:p>
        </w:tc>
      </w:tr>
      <w:tr>
        <w:trPr>
          <w:trHeight w:val="210"/>
        </w:trPr>
        <w:tc>
          <w:tcPr>
            <w:tcW w:w="6220" w:type="dxa"/>
            <w:vAlign w:val="bottom"/>
          </w:tcPr>
          <w:p>
            <w:pPr>
              <w:spacing w:after="0"/>
              <w:rPr>
                <w:sz w:val="20"/>
                <w:szCs w:val="20"/>
                <w:color w:val="auto"/>
              </w:rPr>
            </w:pPr>
            <w:r>
              <w:rPr>
                <w:rFonts w:ascii="Arial" w:cs="Arial" w:eastAsia="Arial" w:hAnsi="Arial"/>
                <w:sz w:val="18"/>
                <w:szCs w:val="18"/>
                <w:b w:val="1"/>
                <w:bCs w:val="1"/>
                <w:color w:val="auto"/>
                <w:w w:val="96"/>
              </w:rPr>
              <w:t>Class A common stock subject to possible redemption, December 31, 2021</w:t>
            </w:r>
          </w:p>
        </w:tc>
        <w:tc>
          <w:tcPr>
            <w:tcW w:w="5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291,812,500</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Accretion of carrying value to redemption value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2,984,418</w:t>
            </w: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6"/>
              </w:rPr>
              <w:t>Class A common stock subject to possible redemption, December 31, 2022</w:t>
            </w:r>
          </w:p>
        </w:tc>
        <w:tc>
          <w:tcPr>
            <w:tcW w:w="5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294,796,918</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Simultaneously with the closing of the IPO, the Company’s Sponsor purchased an aggregate of 898,250 Private Placement Units, at a price of $10.00 per unit, or $8,982,500 in the aggregate, in a private placement. A portion of the proceeds from the Private Placement Units was added to the proceeds from the IPO held in the Trust Account. If the Company does not complete a Business Combination within the Combination Period, the proceeds from the sale of the Private Placement Units held in the Trust Account will be used to fund the redemption of the Public Shares (subject to the requirements of applicable law) and the Private Placement Units will be worthless.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Private Placement Unit will consist of one share of Class A common stock and one redeemable warrant. Each private warrant entitles the holder to purchase one share of Common Stock at a purchase price of $11.50 per share.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Units until 30 days after the completion of the initial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21, 2021, the Sponsor purchased 8,625,000 shares of the Company’s Class B common stock, par value $0.0001 per share (the “Founder Shares”), for an aggregate price of $25,000. On September 24, 2021, the Company issued 862,500 shares of Class B common stock in connection with a 1.1 stock split, resulting in an aggregate of 9,487,500 shares of Class B common stock outstanding, of which 1,237,500 shares were subject to forfeiture to the extent that the underwriter’s over-allotment option is not exercised. On December 15, 2021, the underwriters fully exercised their over-allotment option, hence, 1,237,500 Founder Shares were no longer subject to forfeiture.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initial stockholders have agreed not to transfer, assign or sell any of their founder shares (or shares of common stock issuable upon conversion thereof) until the earlier to occur of: (A) six months after the completion of the initial Business Combination and (B)</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subsequent to the initial Business Combination, if the reported last sale price of the Class A common stock equals or exceeds $12.00 per share (as adjusted for stock splits, stock dividends, reorganizations, recapitalizations and the like) for any 20 trading days within any 30-trading day period commencing after the initial Business Combination. Any permitted transferees will be subject to the same restrictions and other agreements of the initial stockholders with respect to any founder shares (the “Lock-up”).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Commencing on the effective date of the IPO, the Company will pay an affiliate of the Sponsor $10,000 per month for office space, utilities and secretarial and administrative support. Upon completion of the Company’s initial Business Combination or its liquidation, the Company will cease paying these monthly fees. As of December 31, 2022 and 2021, the Company incurred and paid $112,903 and $7,097 for the administrative service fees.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Sponsors agreed to loan the Company up to $300,000 to be used for a portion of the expenses of the IPO. These loans are non-interest bearing, unsecured and due on demand. As of December 31, 2022 and 2021, the Company had total of borrowings of $0 and $144,746 under the promissory note, respectively. As of the Initial Public Offering date, December 15, 2021, the Company no longer has the ability to utilize the Promissory note.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Loans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Sponsor or an affiliate of the Sponsor or certain of the Company’s officers and directors may, but are not obligated to, loan the Company funds on a non-interest bearing basis as may be required (the “Working Capital Loans”). If the Company completes an initial Business Combination, the Company would repay the Working Capital Loans. In the event that the initial Business Combination does not close, the Company may use a portion of the working capital held outside the Trust Account to repay the Working Capital Loans but no proceeds from the Trust Account would be used for such repayment. Up to $1,500,000 of the Working Capital Loans made by the Sponsor, the Company’s officers and directors, or the Company’s or their affiliates to the Company prior to or in connection with the initial Business Combination may be convertible into units, at a price of $10.00 per unit at the option of the lender, upon consummation of the initial Business Combination. The units would be identical to the placement units. Other than as described above, the terms of the Working Capital Loans by the Sponsor, the Company’s officers and directors or their affiliates, if any, have not been determined and no written agreements exist with respect to the Working Capital Loans. The Company does not expect to seek loans from parties other than the Sponsor or an affiliate of the Sponsor as the Company does not believe third parties will be willing to loan such funds and provide a waiver against any and all rights to seek access to funds in the Trust Account. At December 31,2022 and 2021, no such Working Capital Loans were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holders of the founder shares, the representative shares, placement units (including component securities contained therein) and units (including securities contained therein) that may be issued upon conversion of Working Capital Loans, and any shares of Class A common stock issuable upon the exercise of the placement warrants and any shares of Class A common stock and warrants (and underlying Class A common stock) that may be issued upon conversion of the units issued as part of the Working Capital Loans and Class A common stock issuable upon conversion of the founder shares, will be entitled to registration rights pursuant to a registration rights agreement to be signed prior to or on the effective date of the IPO, requiring the Company to register such securities for resale (in the case of the founder shares, only after conversion to the Class A common stock). The holders of the majority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the initial Business Combination and rights to require the Company to register for resale such securities pursuant to</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Rule 415 under the Securities Act. The registration rights agreement does not contain liquidated damages or other cash settlement provisions resulting from delays in registering the Company’s securities.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December 15, 2021, the Company paid a cash underwriting discount of 1.0% per Unit, or $2,875,000, as part of the underwriting fee.</w:t>
      </w:r>
    </w:p>
    <w:p>
      <w:pPr>
        <w:spacing w:after="0" w:line="2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Additionally, the underwriter is entitled to a deferred underwriting discount of 3.5% of the IPO gross proceeds or $10,062,500, as a result of the underwriter’s over-allotment exercised in full upon the completion of the Company’s initial Business Combination.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Representative shares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15, 2021, the Company issued to the representative or its designees 431,250 of Class A common stock (“Representative Shares”). The aggregate fair value of the Representative shares was $3,456,652, or $8.02 per share and recorded as offering costs. The Company accounted for the Representative Shares as an offering cost of the Initial Public Offering, with a corresponding credit to stockholders’ equity.</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holders of the Representative Shares have agreed not to transfer, assign or sell any such shares without the Company’s prior consent until the completion of its initial Business Combination. In addition, the holders of the Representative Shares have agreed (i) to waive their redemption rights (or right to participate in any tender offer) with respect to such shares in connection with the completion of the Company’s initial Business Combination and (ii) to waive their rights to liquidating distributions from the Trust Account with respect to such shares if the Company fails to complete its initial Business Combination within 15 months from the closing of the IPO. The representative shares are deemed to be underwriters’ compensation by FINRA pursuant to FINRA Rule 5110. Please see Note 8 for valuation methodology and assumptions used to determine the fair value of the Representative Shares.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Subject to certain conditions, the Company granted the representative, for a period of 15 months after the date of the consummation of the Business Combination, an irrevocable right of first refusal to act as sole investment banker, sole book runner, and/or sole placement agent, at the representative’s sole discretion, for each and every future public and private equity and debt offering, including all equity linked financings for the Company or any of the Company’s successors or current or future subsidiaries. In accordance with FINRA Rule 5110(g)(6)(A), such right of first refusal shall not have a duration of more than three years from the effective date of the registration statement of which this prospectus forms a part.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2022 and 2021, there were no shares of preferred stock issued or outstanding.</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280,000,000 shares of Class A common stock with a par value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$0.0001 per share. Holders of Class A common stock are entitled to one vote for each share. At December 31, 2022 and 2021, there were 1,329,500 Class A common stock issued or outstanding, excluding 28,750,000 Class A common stock subject to possible redemption.</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 common stock with a par value of $0.0001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 share. Holders of the Class B common stock are entitled to one vote for each share. On September 24, 2021, the Company issued 862,500 shares of Class B common stock in connection with a 1.1 stock split. As of December 31, 2021, there were 9,487,500 shares of Class B common stock issued and outstanding.</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founder shares outstanding was determined so that the founder shares, will represent, on an as-converted basis, 24.81% of the outstanding shares after the IPO (excluding the shares of Class A common stock issued to the representative or its designees upon consummation of this offering, the placement units and securities underlying the placement units and assuming the initial stockholders do not purchase units in this offering).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shares of Class B common stock will automatically convert into shares of the Class A common stock at the time of the consummation of the initial Business Combination on a one-for-one basis, subject to adjustment for stock splits, stock dividends, reorganizations, recapitalizations etc. In the case that additional shares of Class A common stock, or equity-linked securities, are issued or deemed issued in excess of the amounts offered in this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based on the total number of all shares of common stock outstanding upon the completion of the IPO (excluding the shares of Class A common stock to be issued to the representative or its designees upon consummation of this offering, the placement units and securities underlying the placement units and assuming the initial stockholders do not purchase units in this offering) plus all shares of Class A common stock and equity-linked securities issued or deemed issued in connection with the initial Business Combination (excluding any shares or equity-linked securities issued, or to be issued, to any seller in the initial Business Combination or any private placement-equivalent units and their underlying securities issued to the Sponsor or its affiliates upon conversion of Working Capital Loans made to the Company). The term “equity-linked securities” refers to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Each warrant entitles the holder to purchase one share of the Company’s Class A common stock at a price of $11.50 per share, subject to adjustment as described herein. The warrants will become exercisable 30 days after the completion of the Company’s initial Business Combination or 12 months after the closing of the IPO.</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warrants will expire at 5:00 p.m., New York City time on the warrant expiration date, which is five years after the completion of the initial Business Combination or earlier upon redemption or liquidation. On the exercise of any warrant, the warrant exercise price will be paid directly to the Company and not placed in the Trust Account.</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the Company’s satisfying the Company’s obligations described below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agreed that as soon as practicable after the closing of the initial Business Combination to use its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w:t>
      </w:r>
    </w:p>
    <w:p>
      <w:pPr>
        <w:sectPr>
          <w:pgSz w:w="11900" w:h="16838" w:orient="portrait"/>
          <w:cols w:equalWidth="0" w:num="1">
            <w:col w:w="9920"/>
          </w:cols>
          <w:pgMar w:left="980" w:top="517" w:right="9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225" w:lineRule="exact"/>
        <w:rPr>
          <w:sz w:val="20"/>
          <w:szCs w:val="20"/>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right="2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rFonts w:ascii="Arial" w:cs="Arial" w:eastAsia="Arial" w:hAnsi="Arial"/>
          <w:sz w:val="18"/>
          <w:szCs w:val="18"/>
          <w:color w:val="auto"/>
        </w:rPr>
      </w:pPr>
    </w:p>
    <w:p>
      <w:pPr>
        <w:jc w:val="both"/>
        <w:ind w:left="680" w:hanging="321"/>
        <w:spacing w:after="0" w:line="259"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the Company sends the notice of redemption to the warrant holders; and</w:t>
      </w:r>
    </w:p>
    <w:p>
      <w:pPr>
        <w:spacing w:after="0" w:line="186" w:lineRule="exact"/>
        <w:rPr>
          <w:rFonts w:ascii="Arial" w:cs="Arial" w:eastAsia="Arial" w:hAnsi="Arial"/>
          <w:sz w:val="18"/>
          <w:szCs w:val="18"/>
          <w:color w:val="auto"/>
        </w:rPr>
      </w:pPr>
    </w:p>
    <w:p>
      <w:pPr>
        <w:ind w:left="680" w:hanging="321"/>
        <w:spacing w:after="0" w:line="277" w:lineRule="auto"/>
        <w:tabs>
          <w:tab w:leader="none" w:pos="6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Class A common stock underlying such warrants.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shall mean the average reported last sale price of the shares of Class A common stock for the five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then the exercise price of the warrants will be adjusted (to the nearest cent) to be equal to 115% of the greater of the Market Value and the Newly Issued Price, and the $18.00 per share redemption trigger price described below under “Redemption of warrants” will be adjusted (to the nearest cent) to be equal to 180% of the greater of the Market Value and the Newly Issued Price.</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Warrants, as well as any warrants underlying additional units the Company issues to the Sponsor, officers, directors, initial stockholders or their affiliates in payment of Working Capital Loans made to the Company, will be identical to the warrants underlying the Units being offered in the Initial Public Offering, except that they will not be transferable, assignable or saleable until 30 days after the consummation of the initial Business Combination.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net deferred tax assets (liability) at December 31, 2022 and 2021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520" w:type="dxa"/>
            <w:vAlign w:val="bottom"/>
            <w:vMerge w:val="restart"/>
          </w:tcPr>
          <w:p>
            <w:pPr>
              <w:spacing w:after="0"/>
              <w:rPr>
                <w:sz w:val="20"/>
                <w:szCs w:val="20"/>
                <w:color w:val="auto"/>
              </w:rPr>
            </w:pPr>
            <w:r>
              <w:rPr>
                <w:rFonts w:ascii="Arial" w:cs="Arial" w:eastAsia="Arial" w:hAnsi="Arial"/>
                <w:sz w:val="18"/>
                <w:szCs w:val="18"/>
                <w:color w:val="auto"/>
              </w:rPr>
              <w:t>Deferred tax assets (liability)</w:t>
            </w:r>
          </w:p>
        </w:tc>
        <w:tc>
          <w:tcPr>
            <w:tcW w:w="1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5520" w:type="dxa"/>
            <w:vAlign w:val="bottom"/>
            <w:vMerge w:val="continue"/>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Organizational costs/Startup expenses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Federal Net Operating loss</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 (liability)</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9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(287,868)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10"/>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Deferred tax assets (liability), net of allowance</w:t>
            </w: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year ended December 31, 2022 and 2021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Federal</w:t>
            </w: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3"/>
        </w:trPr>
        <w:tc>
          <w:tcPr>
            <w:tcW w:w="4860" w:type="dxa"/>
            <w:vAlign w:val="bottom"/>
            <w:gridSpan w:val="2"/>
            <w:vMerge w:val="continue"/>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2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791,758</w:t>
            </w:r>
          </w:p>
        </w:tc>
        <w:tc>
          <w:tcPr>
            <w:tcW w:w="2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Deferred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(274,031)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State</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Arial" w:cs="Arial" w:eastAsia="Arial" w:hAnsi="Arial"/>
                <w:sz w:val="18"/>
                <w:szCs w:val="18"/>
                <w:color w:val="auto"/>
              </w:rPr>
              <w:t>Deferred</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274,031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Income tax provision</w:t>
            </w:r>
          </w:p>
        </w:tc>
        <w:tc>
          <w:tcPr>
            <w:tcW w:w="2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791,758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Company had $0 and $10,178 per prior year financial, of U.S. federal operating loss carryovers available to offset future taxable income, which do not expire.</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assessing the realization of the deferred tax assets (liability), management considers whether it is more likely than not that some portion of all of the deferred tax assets will not be realized. The ultimate realization of deferred tax assets (liability) is dependent upon the generation of future taxable income during the periods in which temporary differences representing net future deductible amounts become deductible. Management considers the scheduled reversal of deferred tax assets (liability), projected future taxable income and tax planning strategies in making this assessment. After consideration of all of the information available, management believes that significant uncertainty exists with respect to future realization of the deferred tax assets (liability) and has therefore established a full valuation allowance. For the period from March 2, 2021 (inception) through December 31, 2021, the change in the valuation allowance was $13,837. For the year ended December 31, 2022, the change in the valuation allowance was $274,031.</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federal income tax rate to the Company’s effective tax rate at December 31, 2022 and 2021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3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Permanent Book/Tax Differences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11.1 %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(21.0)%</w:t>
            </w:r>
          </w:p>
        </w:tc>
      </w:tr>
      <w:tr>
        <w:trPr>
          <w:trHeight w:val="210"/>
        </w:trPr>
        <w:tc>
          <w:tcPr>
            <w:tcW w:w="7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74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files income tax returns in the U.S. federal jurisdiction and is subject to examination since inception.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December 31, 2022 and indicates the fair value hierarchy of the valuation techniques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Quoted Prices In</w:t>
            </w:r>
          </w:p>
        </w:tc>
        <w:tc>
          <w:tcPr>
            <w:tcW w:w="12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2022</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Observable Inputs</w:t>
            </w: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120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7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295,802,694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$ 295,802,694</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7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295,802,694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$ 295,802,694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F-20</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16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U.S. Money Market Funds held in Trust Account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291,813,399</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88"/>
              </w:rPr>
              <w:t>$ 291,813,399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291,813,399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$ 291,813,399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Representative Shares were valued with a Probability Weighted Expected Return Model (“PWERM”). The PWERM factors in the stock price, the timing of the business combination, and the timing of the lapse of the transfer restrictions. The fair value was the discounted cash flow from the sale of the securities at the time the restrictions terminated. The expected return was the probability weighted and discounted for lack of marketability.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key inputs used in the PWERM for the representative shares valuation as of December 31, 2021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vMerge w:val="restart"/>
          </w:tcPr>
          <w:p>
            <w:pPr>
              <w:spacing w:after="0"/>
              <w:rPr>
                <w:sz w:val="20"/>
                <w:szCs w:val="20"/>
                <w:color w:val="auto"/>
              </w:rPr>
            </w:pPr>
            <w:r>
              <w:rPr>
                <w:rFonts w:ascii="Arial" w:cs="Arial" w:eastAsia="Arial" w:hAnsi="Arial"/>
                <w:sz w:val="14"/>
                <w:szCs w:val="14"/>
                <w:b w:val="1"/>
                <w:bCs w:val="1"/>
                <w:color w:val="auto"/>
              </w:rPr>
              <w:t>Input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830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Likelihood of business combination</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8300" w:type="dxa"/>
            <w:vAlign w:val="bottom"/>
          </w:tcPr>
          <w:p>
            <w:pPr>
              <w:spacing w:after="0"/>
              <w:rPr>
                <w:sz w:val="20"/>
                <w:szCs w:val="20"/>
                <w:color w:val="auto"/>
              </w:rPr>
            </w:pPr>
            <w:r>
              <w:rPr>
                <w:rFonts w:ascii="Arial" w:cs="Arial" w:eastAsia="Arial" w:hAnsi="Arial"/>
                <w:sz w:val="18"/>
                <w:szCs w:val="18"/>
                <w:color w:val="auto"/>
              </w:rPr>
              <w:t>Expected term (years)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0.57 %</w:t>
            </w:r>
          </w:p>
        </w:tc>
        <w:tc>
          <w:tcPr>
            <w:tcW w:w="0" w:type="dxa"/>
            <w:vAlign w:val="bottom"/>
          </w:tcPr>
          <w:p>
            <w:pPr>
              <w:spacing w:after="0"/>
              <w:rPr>
                <w:sz w:val="1"/>
                <w:szCs w:val="1"/>
                <w:color w:val="auto"/>
              </w:rPr>
            </w:pP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Stock price</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9.35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financial statements were issued. Based upon this review, other than stated below, the Company did not identify any subsequent events that would have required adjustment or disclosure in the financial statements.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the Company issued a press release stating that it has entered into a non-binding letter of intent for a potential business combination with CleanBay Renewables Inc., a late-stage enviro-tech company focused on the production of sustainable renewable natural gas, green hydrogen and natural controlled-release fertilizer.</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10, 2023, the Company and Sponsor entered into a non-redemption agreements (“Non-Redemption Agreements”) with one or more unaffiliated third party or parties in exchange for such third party or third parties agreeing not to redeem up to an aggregate of 4,597,648 shares of the Company’s Class A common stock sold in its initial public offering (“Non-Redeemed Shares”) in connection with the special meeting of the stockholders called by the Company (the “Special Meeting”), In exchange for the foregoing commitments not to redeem such Non-Redeemed Shares, the Sponsor has agreed to transfer to such third party or third parties up to an aggregate of 1,274,412 shares of the Company’s Class B common stock held by the Sponsor immediately following the consummation of an initial business combination if they continue to hold such Non-Redeemed Shares through the Special Meeting. Also during the Special Meeting the Shareholders approved an extension of time for the Company to consummate an initial business combination from March 15, 2023 to December 15, 2023 (the “Extension”), and to amend the Trust Management Agreement with Continental Stock &amp; Transfer Company, dated as of December 10, 2021.</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stockholders redeemed 22,119,297 shares. As a result, approximately $227.8 million (approximately $10.30 per share) was removed from the Company’s trust account to pay such holders. Following redemptions, the Company will have 6,630,703 shares of Class A common stock outstanding, and approximately $68.0 million will remain in the Company’s trust account.</w:t>
      </w:r>
    </w:p>
    <w:p>
      <w:pPr>
        <w:spacing w:after="0" w:line="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the Company has agreed that funds held in the Company’s trust account, including any interest thereon, will not be used to pay for any excise tax liabilities with respect to any future redemptions prior to or in connection with the Extension, an initial business combination or the liquidation of the Company. The Sponsor of the Company will pay the excise tax when it becomes due.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4.5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20, 2023 BurTech Acquisition Corp. 6,630,703 shares of Class A common stock, par value $0.0001 per share, and 9,487,500 shares of Class B common stock, par value $0.0001 per share, issued and outstanding. We have three classes of securities registered under Section 12 of the Securities Exchange Act of 1934, as amended (the “Exchange Act”): (1) our units; (2) our common stock; and (3) our warrants.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10, 2023 in connection with a special meeting of stockholders of the Company (the “Special Meeting”) to amend the Company’s Amended and Restated Certificate of Incorporation in order to extend the time the Company has to consummate a business combination to December 12, 2023, 22,119,297 shares of Class A common stock were redeemed.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description of our units, common stock, and warrants is a summary and does not purport to be complete. It is subject to and qualified in its entirety by reference to our Second Amended and Restated Certificate of Incorporation, which is incorporated by reference as an exhibit to the Annual Report on Form 10-K of which this Exhibit 4.5 is a part.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Terms not otherwise defined herein shall have the meaning assigned to them in the Annual Report on Form 10-K of which this Exhibit 4.5 is a part.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unit has an offering price of $10.00 and consists of one share of Class A common stock and one redeemable warrant. Each warrant entitles the holder to purchase one share of common stock. Pursuant to the warrant agreement, a warrant holder may exercise his, her or its warrants only for a whole number of shares of common stock. No fractional warrants will be issued upon separation of the units and only whole warrants will trade.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A common stock and warrants comprising the units began separate trading on January 31, 2022.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shares of Class A common stock and warrants.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Units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placement units are identical to the units sold in the initial public offering except that the placement units and their component securities will not be transferable, assignable or salable until 30 days after the consummation of our initial business combination except to permitted transferees, and will be entitled to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17,447,703 shares of our common stock outstanding including:</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7,528,953 shares of our Class A common stock underlying the units sold in the initial public offering and the private placement;</w:t>
      </w:r>
    </w:p>
    <w:p>
      <w:pPr>
        <w:spacing w:after="0" w:line="34"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431,250 shares of our Class A common stock issued to the representative of the underwriters;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9,487,500 shares of our Class B common stock held by our initial stockholders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sponsor had purchased an aggregate of 898.250 placement units at a price of $10.00 per unit, for an aggregate purchase price of $8,982,500. The initial stockholders hold an aggregate of approximately 51% of the issued and outstanding common stock following the offering and the redemption of 22,119,297 shares of Class A common stock in connection with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3" w:name="page54"/>
    <w:bookmarkEnd w:id="53"/>
    <w:p>
      <w:pPr>
        <w:jc w:val="both"/>
        <w:spacing w:after="0" w:line="289"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Holders of the Class A common stock and holders of the Class B common stock will vote together as a single class on all matters submitted to a vote of our stockholders, except as required by law. Unless specified in our second amended and restated certificate of incorporation or bylaws, or as required by applicable provisions of the DGCL or applicable stock exchange rules, the affirmative vote of a majority of our shares of common stock that are voted is required to approve any such matter voted on by our stockholders.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second amended and restated certificate of incorporation authorizes the issuance of up to 280,000,000 shares of Class A common stock, if we were to enter into an initial business combination, we may (depending on the terms of such an initial business combination) be required to increase the number of shares of Class A common stock which we are authorized to issue at the same time as our stockholders vote on the initial business combination to the extent we seek stockholder approval in connection with our initial business combination.</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5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approximately $10.15 per public share. The per-share amount we will distribute to investors who properly redeem their shares will not be reduced by the deferred underwriting commissions we will pay to the underwriters. Our sponsor, officers and directors have entered into a letter agreement with us, pursuant to which they will agree to waive their redemption rights with respect to any founder shares and placement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applicable law or stock exchange requirements, if a stockholder vote is not required by law and we do not decide to hold a stockholder vote for business or other legal reasons, we will, pursuant to our second amended and restated certificate of incorporation, conduct the redemptions pursuant to the tender offer rules of the SEC, and file tender offer documents with the SEC prior to completing our initial business combination. Our second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applicable law or stock exchange requirements,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The underwriters will have the same redemption rights as a public stockholder with respect to any public shares it acquires. The representative has informed us that it has no current commitments, plans or intentions to acquire any public shares for its own account; however, if they do acquire public shares, it will do so in the ordinary course of business or in the types of transaction described in the first paragraph under “Proposed Business — Effecting our Initial Business Combination — Permitted purchases of our securities.” The underwriters will not make any such purchases when in possession of any material nonpublic information not disclosed to the seller, during a restricted period under Regulation M under the Exchange Act, in transactions that would violate Section 9(a)(2) or Rule 10(b)-5 under the Exchange Act, or if prohibited by applicable state securities laws or broker-dealer regulations. To the extent our initial stockholders or purchasers of placement units transfer any of these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4" w:name="page55"/>
    <w:bookmarkEnd w:id="54"/>
    <w:p>
      <w:pPr>
        <w:jc w:val="both"/>
        <w:spacing w:after="0" w:line="275" w:lineRule="auto"/>
        <w:rPr>
          <w:sz w:val="20"/>
          <w:szCs w:val="20"/>
          <w:color w:val="auto"/>
        </w:rPr>
      </w:pPr>
      <w:r>
        <w:rPr>
          <w:rFonts w:ascii="Arial" w:cs="Arial" w:eastAsia="Arial" w:hAnsi="Arial"/>
          <w:sz w:val="17"/>
          <w:szCs w:val="17"/>
          <w:color w:val="auto"/>
        </w:rPr>
        <w:t>securities to certain permitted transferees, such permitted transferees will agree, as a condition to such transfer, to waive these same redemption rights. Also, our sponsor purchased 898,250 placement units at the price of $10.00 per unit in a private placement that occurred simultaneously with the completion of the initial public offering. If we submit our initial business combination to our public stockholders for a vote, our sponsor, the other initial stockholders, our officers and our directors have agreed to vote their respective founder shares, placement shares and any public shares held by them in favor of our initial business combination.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participation of our sponsor, officers, directors or their affiliates in privately-negotiated transactions (as described in the public offering prospectus dated December 10, 2021),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second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the initial public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seek stockholder approval in connection with our initial business combination, pursuant to the letter agreement our sponsor, officers and directors have agreed to vote any founder shares and placement shares held by them and any public shares they may acquire during or after the initial public offering (including in open market and privately negotiated transactions) in favor of our initial business combination. As a result, in addition to our initial stockholders’ founder shares and placement shares, we would need no additional public shares sold in the initial public offering to be voted in favor of an initial business combination (assuming only the minimum number of shares representing a quorum are voted) in order to have our initial business combination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5" w:name="page56"/>
    <w:bookmarkEnd w:id="55"/>
    <w:p>
      <w:pPr>
        <w:jc w:val="both"/>
        <w:spacing w:after="0" w:line="284" w:lineRule="auto"/>
        <w:rPr>
          <w:sz w:val="20"/>
          <w:szCs w:val="20"/>
          <w:color w:val="auto"/>
        </w:rPr>
      </w:pPr>
      <w:r>
        <w:rPr>
          <w:rFonts w:ascii="Arial" w:cs="Arial" w:eastAsia="Arial" w:hAnsi="Arial"/>
          <w:sz w:val="16"/>
          <w:szCs w:val="16"/>
          <w:color w:val="auto"/>
        </w:rPr>
        <w:t>Pursuant to our second amended and restated certificate of incorporation, if we are unable to complete our initial business combination within 15 months from the closing of the initial public offering, we will (i) cease all operations except for the purpose of winding up, (ii) as promptly as reasonably possible but no more than ten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2" w:lineRule="exact"/>
        <w:rPr>
          <w:sz w:val="20"/>
          <w:szCs w:val="20"/>
          <w:color w:val="auto"/>
        </w:rPr>
      </w:pPr>
    </w:p>
    <w:p>
      <w:pPr>
        <w:jc w:val="both"/>
        <w:ind w:firstLine="8"/>
        <w:spacing w:after="0" w:line="268" w:lineRule="auto"/>
        <w:tabs>
          <w:tab w:leader="none" w:pos="321"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our remaining stockholders and our board of directors, dissolve and liquidate, subject in the case of clauses (ii) and (iii) above to our obligations under Delaware law to provide for claims of creditors and the requirements of other applicable law. Our sponsor, officers and directors have entered into a letter agreement with us, pursuant to which they will agree to waive their rights to liquidating distributions from the trust account with respect to any founder shares and placement shares held by them if we fail to complete our initial business combination within 15 months from the closing of the initial public offering. However, if our initial stockholders acquire public shares in or after the initial public offering, they will be entitled to liquidating distributions from the trust account with respect to such public shares if we fail to complete our initial business combination within the prescribed time period.</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 and Placement Shares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founder shares and placement shares are identical to the shares of Class A common stock included in the units being sold in the initial public offering, and holders of founder shares and placement shares have the same stockholder rights as public stockholders, except that (i) the founder shares and placement shares are subject to certain transfer restrictions, as described in more detail below, (ii) our sponsor, officers and directors have entered into a letter agreement with us, pursuant to which they have agreed (A) to waive their redemption rights with respect to any founder shares and placement shares and any public shares held by them in connection with the completion of our initial business combination, (B) to waive their redemption rights with respect to their founder shares and placement shares and any public shares in connection with a stockholder vote to approve an amendment to our second amended and restated certificate of incorporation (x) to modify the substance or timing of our obligation to allow redemption in connection with our initial business combination or certain amendments to our charter prior thereto or to redeem 100% of our public shares if we do not complete our initial business combination within 15 months from the closing of the initial public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15 months from the closing of the initial public offering, although they will be entitled to liquidating distributions from the trust account with respect to any public shares they hold if we fail to complete our initial business combination within such time period, (iii) the founder shares are shares of our Class B common stock that will automatically convert into shares of our Class A common stock at the time of the consummation of our initial business combination, on a one-for-one basis, subject to adjustment as described herein, and (iv) are entitled to registration rights. If we submit our initial business combination to our public stockholders for a vote, our sponsor, officers and directors have agreed pursuant to the letter agreement to vote any founder shares and placement shares held by them and any public shares purchased during or after the initial public offering (including in open market and privately negotiated transactions) in favor of our initial business combination. The placement shares will not be transferable, assignable or saleable until 30 days after the consummation of our initial business combination except to permitted transferees.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6" w:name="page57"/>
    <w:bookmarkEnd w:id="56"/>
    <w:p>
      <w:pPr>
        <w:jc w:val="both"/>
        <w:spacing w:after="0" w:line="284" w:lineRule="auto"/>
        <w:rPr>
          <w:sz w:val="20"/>
          <w:szCs w:val="20"/>
          <w:color w:val="auto"/>
        </w:rPr>
      </w:pPr>
      <w:r>
        <w:rPr>
          <w:rFonts w:ascii="Arial" w:cs="Arial" w:eastAsia="Arial" w:hAnsi="Arial"/>
          <w:sz w:val="16"/>
          <w:szCs w:val="16"/>
          <w:color w:val="auto"/>
        </w:rPr>
        <w:t>The shares of Class B common stock will automatically convert into shares of Class A common stock at the time of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excess of the amounts offered in the prospectus and related to the closing of the initial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24.81% of the sum of the total number of all shares of common stock outstanding upon completion of the initial public offering (excluding the shares of Class A common stock issued to the representative or its designees, the placement units and securities underlying the placement units and assuming the initial stockholders do not purchase units in the initial public offering)plus all shares of Class A common stock and equity-linked securities issued or deemed issued in connection with the initial business combination (excluding any shares or equity-linked securities issued, or to be issued, to any seller in the initial business combination, any private placement-equivalent units and their underlying securities issued to our sponsor or its affiliates upon conversion of loans made to us). We cannot determine at this time whether a majority of the holders of our Class B common stock at the time of any future issuance would agree to waive such adjustment to the conversion ratio. They may waive such adjustment due to (but not limited to) the following: (i) closing conditions which are part of the agreement for our initial business combination; (ii) negotiation with Class A stockholders on structuring an initial business combination; or (iii) negotiation with parties providing financing which would trigger the anti-dilution provisions of the Class B common stock. If such adjustment is not waived, the issuance would not reduce the percentage ownership of holders of our Class B common stock, but would reduce the percentage ownership of holders of our Class A common stock. If such adjustment is waived, the issuance would reduce the percentage ownership of holders of both classes of our common stock. The term “equity-linked securities” refers to any debt or equity securities that are convertible, exercisable or exchangeable for shares of Class A common stock issues in a financing transaction in connection with our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3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certain limited exceptions, the founder shares are not transferable, assignable or saleable (except to our officers and directors and other persons or entities affiliated with our sponsor, each of whom will be subject to the same transfer restrictions) until the earlier to occur of: (A) six months after the completion of our initial business combination and (B) subsequent to our initial business combination, if the reported last sale price of our Class A common stock equals or exceeds $12.00 per share (as adjusted for stock splits, stock dividends, reorganizations, recapitalizations and the like) for any 20 trading days within any 30-trading day period commencing after our initial business combination.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 2023, through March 10, 2023, BurTech LP LLC, the sponsor of the Company (the “Sponsor”), entered into agreements (“Non-Redemption Agreements”) with several unaffiliated third parties in exchange for them agreeing not to redeem an aggregate of 4,597,648 shares (“Non-Redeemed Shares”) of the Company’s shares of Class A common stock at the Special Meeting. In exchange for the foregoing commitments not to redeem such shares, the Sponsor has agreed to transfer to such investors and the Sponsor’s financial advisor in connection therewith, an aggregate of 1,274,412 of the Company’s shares of Class B common stock, par value $0.0001 per share (the “Class B Shares”), held by the Sponsor, immediately following consummation of an initial business combination if they continued to hold such Non-Redeemed Shares through the Special Meeting.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second amended and restated certificate of incorporation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preferred stock with voting and other rights that could adversely affect the voting power and other rights of the holders of the common stock and could have anti-takeover effects. The ability of our board of directors to issue preferred stock without stockholder approval could have the effect of delaying, deferring or preventing a change of control of us or the removal of existing management. We have no preferred stock outstanding at the date hereof. Although we do not currently intend to issue any shares of preferred stock, we cannot assure you that we will not do so in the future. No shares of preferred stock were issued or registered in the initial public offering.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Stockholders’ Warrants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warrant entitles the registered holder to purchase one share of our Class A common stock at a price of $11.50 per share, subject to adjustment as discussed below, at any time commencing on the later of 12 months from the closing of the initial public offering and 30</w:t>
      </w:r>
    </w:p>
    <w:p>
      <w:pPr>
        <w:sectPr>
          <w:pgSz w:w="11900" w:h="16838" w:orient="portrait"/>
          <w:cols w:equalWidth="0" w:num="1">
            <w:col w:w="9920"/>
          </w:cols>
          <w:pgMar w:left="980" w:top="125" w:right="99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type w:val="continuous"/>
        </w:sectPr>
      </w:pPr>
    </w:p>
    <w:bookmarkStart w:id="57" w:name="page58"/>
    <w:bookmarkEnd w:id="57"/>
    <w:p>
      <w:pPr>
        <w:jc w:val="both"/>
        <w:spacing w:after="0" w:line="311" w:lineRule="auto"/>
        <w:rPr>
          <w:sz w:val="20"/>
          <w:szCs w:val="20"/>
          <w:color w:val="auto"/>
        </w:rPr>
      </w:pPr>
      <w:r>
        <w:rPr>
          <w:rFonts w:ascii="Arial" w:cs="Arial" w:eastAsia="Arial" w:hAnsi="Arial"/>
          <w:sz w:val="16"/>
          <w:szCs w:val="16"/>
          <w:color w:val="auto"/>
        </w:rPr>
        <w:t>days after the completion of our initial business combination. Pursuant to the warrant agreement, a warrant holder may exercise its warrants only for a whole number of shares of Class A common stock. This means that only a whole warrant may be exercised at any given time by a warrant holder. No fractional warrants will be issued upon separation of the units and only whole warrants will trade.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8" w:name="page59"/>
    <w:bookmarkEnd w:id="58"/>
    <w:p>
      <w:pPr>
        <w:jc w:val="both"/>
        <w:ind w:right="20"/>
        <w:spacing w:after="0" w:line="277" w:lineRule="auto"/>
        <w:rPr>
          <w:sz w:val="20"/>
          <w:szCs w:val="20"/>
          <w:color w:val="auto"/>
        </w:rPr>
      </w:pPr>
      <w:r>
        <w:rPr>
          <w:rFonts w:ascii="Arial" w:cs="Arial" w:eastAsia="Arial" w:hAnsi="Arial"/>
          <w:sz w:val="18"/>
          <w:szCs w:val="18"/>
          <w:color w:val="auto"/>
        </w:rPr>
        <w:t>The warrants will expire five years after the completion of our initial business combination, at 5:00 p.m., New York City time, or earlier upon redemption or liquidation.</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will not be obligated to deliver any shares of Class A common stock pursuant to the exercise of a warrant and will have no obligation to settle such warrant exercise unless a registration statement under the Securities Act with respect to the shares of Class A common stock underlying the warrants is then effective and a prospectus relating thereto is current, subject to our satisfying our obligations described below with respect to registration. No warrant will be exercisable and we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not registered the shares of Class A common stock issuable upon exercise of the warrants at this time. However, we have agreed that as soon as practicable, after the closing of our initial business combination, we will use our best efforts to file with the SEC a registration statement covering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foregoing, if a registration statement covering the Class A common stock issuable upon exercise of the warrants is not effective within a specified period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of 1933, as amended, or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Class A common stock for the 5 trading days ending on the trading day prior to the date of exercise. The warrants will expire on the fifth anniversary of our completion of an initial business combination, at 5:00 p.m., New York City time, or earlier upon redemption or liquidation.</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placement warrants, as well as any warrants underlying additional units we issue to our sponsor, officers, directors, initial stockholders or their affiliates in payment of working capital loans made to us, will be identical to the warrants underlying the units being offered in the initial public offering, except that they will not be transferable, assignable or saleable until 30 days after the consummation of the initial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59" w:name="page60"/>
    <w:bookmarkEnd w:id="59"/>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given after the warrants become exercisable (the “30-day redemption period”) to each warrant holder;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common stock equals or exceeds $18.00 per share (as adjusted for stock splits, stock dividends, reorganizations, recapitalizations and the like) for any 20 trading days within a 30-trading day period commencing once the warrants become exercisable and ending three business days before we send the notice of redemption to the warrant holders; and’</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shares of Class A common stock underlying such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Class A common stock may fall below the $18.00 redemption trigger price (as adjusted for stock splits, stock dividends, reorganizations, recapitalizations and the like) as well as the $11.50 warrant exercise price after the redemption notice is issued.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any holder that wishes to exercise its warrant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Class A common stock for the 5 trading days ending on the third trading day prior to the date on which the notice of redemption is sent to the holders of warrants.</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w:t>
      </w:r>
    </w:p>
    <w:p>
      <w:pPr>
        <w:jc w:val="both"/>
        <w:ind w:firstLine="8"/>
        <w:spacing w:after="0" w:line="290" w:lineRule="auto"/>
        <w:tabs>
          <w:tab w:leader="none" w:pos="2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cure any ambiguity or correct any mistake, including to conform the provisions of the warrant agreement to the description of the terms of the warrants and the warrant agreement set forth in the public offering prospectus, or to cure, correct or supplement any defective provision, or (ii) to add or change any other provisions with respect to matters or questions arising under the warrant agreement as the parties to the warrant agreement may deem necessary or desirable and that the parties deem to not adversely affect the interests of the registered holders of the warrants. The warrant agreement requires the approval, by written consent or vote, of the holders of at least 50% of the then outstanding public warrants in order to make any change that adversely affects the interests of the registered holders.</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if (x) we issue additional shares of Class A common stock or equity-linked securities for capital raising purposes in connection with the closing of our initial business combination at a Newly Issued Price of less than $9.20 per share of Class A common stock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Market Value is below $9.20 per share, then the exercise price of the warrants will be adjusted (to the nearest cent) to be equal to 115% of the greater of (i) the Market Value or (ii) the Newly Issued Price, and the $18.00 per share redemption trigger price of the warrants will be adjusted (to the nearest cent) to be equal to 180% of the greater of (i) the Market Value or (ii) the Newly Issued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0" w:name="page61"/>
    <w:bookmarkEnd w:id="60"/>
    <w:p>
      <w:pPr>
        <w:jc w:val="both"/>
        <w:spacing w:after="0" w:line="293" w:lineRule="auto"/>
        <w:rPr>
          <w:sz w:val="20"/>
          <w:szCs w:val="20"/>
          <w:color w:val="auto"/>
        </w:rPr>
      </w:pPr>
      <w:r>
        <w:rPr>
          <w:rFonts w:ascii="Arial" w:cs="Arial" w:eastAsia="Arial" w:hAnsi="Arial"/>
          <w:sz w:val="16"/>
          <w:szCs w:val="16"/>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Placement 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placement warrants have terms and provisions that are identical to those of the warrants being sold as part of the units in the public offering, including as to exercise price, exercisability and exercise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holders of our placement warrants are entitled to certain registration rights.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sponsor has agreed not to transfer, assign or sell any of the placement warrants (including the Class A common stock issuable upon exercise of any of these warrants) until the date that is 30 days after the date we complete our initial business combination, except among other limited exceptions as described under the section of the public offering prospectus entitled “Principal Stockholders — Restrictions on Transfers of Founder Shares and Placement Warrants” made to our officers and directors and other persons or entities affiliated with our sponsor.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Further, if we incur any indebtedness, our ability to declare dividends may be limited by restrictive covenants we may agree to in connection therewith.</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61" w:name="page62"/>
    <w:bookmarkEnd w:id="61"/>
    <w:p>
      <w:pPr>
        <w:ind w:left="900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ind w:left="1360" w:right="1360" w:firstLine="15"/>
        <w:spacing w:after="0" w:line="290" w:lineRule="auto"/>
        <w:rPr>
          <w:sz w:val="20"/>
          <w:szCs w:val="20"/>
          <w:color w:val="auto"/>
        </w:rPr>
      </w:pPr>
      <w:r>
        <w:rPr>
          <w:rFonts w:ascii="Arial" w:cs="Arial" w:eastAsia="Arial" w:hAnsi="Arial"/>
          <w:sz w:val="17"/>
          <w:szCs w:val="17"/>
          <w:b w:val="1"/>
          <w:bCs w:val="1"/>
          <w:color w:val="auto"/>
        </w:rPr>
        <w:t>PURSUANT TO RULE 13A-14(A) UNDER THE SECURITIES EXCHANGE ACT OF 1934, AS ADOPTED PURSUANT TO SECTION 302 OF THE SARBANES-OXLEY ACT OF 2002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 Shahal Khan, certify that:</w:t>
      </w:r>
    </w:p>
    <w:p>
      <w:pPr>
        <w:spacing w:after="0" w:line="225"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BurTech Acquisition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1308"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1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hanging="4"/>
        <w:spacing w:after="0" w:line="277" w:lineRule="auto"/>
        <w:tabs>
          <w:tab w:leader="none" w:pos="130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Shahal Khan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Shahal Khan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356235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2" w:name="page63"/>
    <w:bookmarkEnd w:id="62"/>
    <w:p>
      <w:pPr>
        <w:ind w:left="900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Roman Livson, certify that:</w:t>
      </w:r>
    </w:p>
    <w:p>
      <w:pPr>
        <w:spacing w:after="0" w:line="225"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BurTech Acquisition Corp.;</w:t>
      </w:r>
    </w:p>
    <w:p>
      <w:pPr>
        <w:spacing w:after="0" w:line="225"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jc w:val="both"/>
        <w:ind w:left="660" w:hanging="4"/>
        <w:spacing w:after="0" w:line="286" w:lineRule="auto"/>
        <w:tabs>
          <w:tab w:leader="none" w:pos="1308"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 and</w:t>
      </w:r>
    </w:p>
    <w:p>
      <w:pPr>
        <w:spacing w:after="0" w:line="165" w:lineRule="exact"/>
        <w:rPr>
          <w:rFonts w:ascii="Arial" w:cs="Arial" w:eastAsia="Arial" w:hAnsi="Arial"/>
          <w:sz w:val="17"/>
          <w:szCs w:val="17"/>
          <w:color w:val="auto"/>
        </w:rPr>
      </w:pPr>
    </w:p>
    <w:p>
      <w:pPr>
        <w:jc w:val="both"/>
        <w:ind w:left="660" w:hanging="4"/>
        <w:spacing w:after="0" w:line="263" w:lineRule="auto"/>
        <w:tabs>
          <w:tab w:leader="none" w:pos="13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jc w:val="both"/>
        <w:ind w:firstLine="8"/>
        <w:spacing w:after="0" w:line="263"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13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hanging="4"/>
        <w:spacing w:after="0" w:line="277" w:lineRule="auto"/>
        <w:tabs>
          <w:tab w:leader="none" w:pos="1308"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Roman Livson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Roman Livson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363220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3" w:name="page64"/>
    <w:bookmarkEnd w:id="63"/>
    <w:p>
      <w:pPr>
        <w:ind w:left="912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BurTech Acquisition Corp. (the “Company”) on Form 10-K for the year ended December 31, 2022 as filed with the Securities and Exchange Commission (the “Report”), each of the undersigned, in the capacities and on the dates indicated below, hereby certifies pursuant to 18 U.S.C. Section 1350, as adopted pursuant to Section 906 of the Sarbanes-Oxley Act of 2002, that:</w:t>
      </w:r>
    </w:p>
    <w:p>
      <w:pPr>
        <w:spacing w:after="0" w:line="18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firstLine="8"/>
        <w:spacing w:after="0" w:line="277" w:lineRule="auto"/>
        <w:tabs>
          <w:tab w:leader="none" w:pos="6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Shahal Khan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Shahal Khan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6"/>
          <w:szCs w:val="16"/>
          <w:color w:val="auto"/>
        </w:rPr>
        <w:t>(Principal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Date: April 20, 2023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/s/ Roman Livson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Roman Livson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Financial Officer and Secretary</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lvl w:ilvl="1">
      <w:lvlJc w:val="left"/>
      <w:lvlText w:val="%2"/>
      <w:numFmt w:val="decimal"/>
      <w:start w:val="104"/>
    </w:lvl>
  </w:abstractNum>
  <w:abstractNum w:abstractNumId="12">
    <w:nsid w:val="7C83E458"/>
    <w:multiLevelType w:val="hybridMultilevel"/>
    <w:lvl w:ilvl="0">
      <w:lvlJc w:val="left"/>
      <w:lvlText w:val="(%1)"/>
      <w:numFmt w:val="lowerRoman"/>
      <w:start w:val="3"/>
    </w:lvl>
  </w:abstractNum>
  <w:abstractNum w:abstractNumId="13">
    <w:nsid w:val="257130A3"/>
    <w:multiLevelType w:val="hybridMultilevel"/>
    <w:lvl w:ilvl="0">
      <w:lvlJc w:val="left"/>
      <w:lvlText w:val="(%1)"/>
      <w:numFmt w:val="lowerRoman"/>
      <w:start w:val="4"/>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lowerRoman"/>
      <w:start w:val="3"/>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1" Type="http://schemas.openxmlformats.org/officeDocument/2006/relationships/image" Target="media/image33.png"/><Relationship Id="rId57" Type="http://schemas.openxmlformats.org/officeDocument/2006/relationships/image" Target="media/image34.png"/><Relationship Id="rId58" Type="http://schemas.openxmlformats.org/officeDocument/2006/relationships/image" Target="media/image35.png"/><Relationship Id="rId59" Type="http://schemas.openxmlformats.org/officeDocument/2006/relationships/image" Target="media/image36.png"/><Relationship Id="rId60" Type="http://schemas.openxmlformats.org/officeDocument/2006/relationships/image" Target="media/image37.png"/><Relationship Id="rId61" Type="http://schemas.openxmlformats.org/officeDocument/2006/relationships/image" Target="media/image38.png"/><Relationship Id="rId62"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40" Type="http://schemas.openxmlformats.org/officeDocument/2006/relationships/hyperlink" Target="https://www.sec.gov/Archives/edgar/data/1871638/000110465921150569/tm2135631d1_ex1-1.htm" TargetMode="External"/><Relationship Id="rId41" Type="http://schemas.openxmlformats.org/officeDocument/2006/relationships/hyperlink" Target="https://www.sec.gov/Archives/edgar/data/1871638/000110465921150569/tm2135631d1_ex3-1.htm" TargetMode="External"/><Relationship Id="rId42" Type="http://schemas.openxmlformats.org/officeDocument/2006/relationships/hyperlink" Target="https://www.sec.gov/Archives/edgar/data/1871638/000110465921107433/tm2124406d1_ex3-3.htm" TargetMode="External"/><Relationship Id="rId43" Type="http://schemas.openxmlformats.org/officeDocument/2006/relationships/hyperlink" Target="https://www.sec.gov/Archives/edgar/data/1871638/000110465921141949/tm2124406d5_ex4-1.htm" TargetMode="External"/><Relationship Id="rId44" Type="http://schemas.openxmlformats.org/officeDocument/2006/relationships/hyperlink" Target="https://www.sec.gov/Archives/edgar/data/1871638/000110465921141949/tm2124406d5_ex4-2.htm" TargetMode="External"/><Relationship Id="rId45" Type="http://schemas.openxmlformats.org/officeDocument/2006/relationships/hyperlink" Target="https://www.sec.gov/Archives/edgar/data/1871638/000110465921141949/tm2124406d5_ex4-3.htm" TargetMode="External"/><Relationship Id="rId46" Type="http://schemas.openxmlformats.org/officeDocument/2006/relationships/hyperlink" Target="https://www.sec.gov/Archives/edgar/data/1871638/000110465921150569/tm2135631d1_ex4-1.htm" TargetMode="External"/><Relationship Id="rId47" Type="http://schemas.openxmlformats.org/officeDocument/2006/relationships/hyperlink" Target="https://www.sec.gov/Archives/edgar/data/1871638/000110465921107433/tm2124406d1_ex10-2.htm" TargetMode="External"/><Relationship Id="rId48" Type="http://schemas.openxmlformats.org/officeDocument/2006/relationships/hyperlink" Target="https://www.sec.gov/Archives/edgar/data/1871638/000110465921107433/tm2124406d1_ex10-5.htm" TargetMode="External"/><Relationship Id="rId49" Type="http://schemas.openxmlformats.org/officeDocument/2006/relationships/hyperlink" Target="https://www.sec.gov/Archives/edgar/data/1871638/000110465921150569/tm2135631d1_ex10-2.htm" TargetMode="External"/><Relationship Id="rId50" Type="http://schemas.openxmlformats.org/officeDocument/2006/relationships/hyperlink" Target="https://www.sec.gov/Archives/edgar/data/1871638/000110465921150569/tm2135631d1_ex10-3.htm" TargetMode="External"/><Relationship Id="rId52" Type="http://schemas.openxmlformats.org/officeDocument/2006/relationships/hyperlink" Target="https://www.sec.gov/Archives/edgar/data/1871638/000110465921150569/tm2135631d1_ex10-1.htm" TargetMode="External"/><Relationship Id="rId53" Type="http://schemas.openxmlformats.org/officeDocument/2006/relationships/hyperlink" Target="https://www.sec.gov/Archives/edgar/data/1871638/000110465921150569/tm2135631d1_ex10-4.htm" TargetMode="External"/><Relationship Id="rId54" Type="http://schemas.openxmlformats.org/officeDocument/2006/relationships/hyperlink" Target="https://www.sec.gov/Archives/edgar/data/1866547/000149315222000323/ex10-5.htm" TargetMode="External"/><Relationship Id="rId55" Type="http://schemas.openxmlformats.org/officeDocument/2006/relationships/hyperlink" Target="https://www.sec.gov/Archives/edgar/data/1866547/000149315222000323/ex10-6.htm" TargetMode="External"/><Relationship Id="rId56" Type="http://schemas.openxmlformats.org/officeDocument/2006/relationships/hyperlink" Target="https://www.sec.gov/Archives/edgar/data/1871638/000110465921141949/tm2124406d5_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2023-04-21T05:14:40Z</dcterms:created>
  <dcterms:modified xsi:type="dcterms:W3CDTF">2023-04-21T05:14:40Z</dcterms:modified>
</cp:coreProperties>
</file>