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0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76"/>
        </w:trPr>
        <w:tc>
          <w:tcPr>
            <w:tcW w:w="3680" w:type="dxa"/>
            <w:vAlign w:val="bottom"/>
          </w:tcPr>
          <w:p>
            <w:pPr>
              <w:spacing w:after="0"/>
              <w:rPr>
                <w:sz w:val="24"/>
                <w:szCs w:val="24"/>
                <w:color w:val="auto"/>
              </w:rPr>
            </w:pPr>
          </w:p>
        </w:tc>
        <w:tc>
          <w:tcPr>
            <w:tcW w:w="7560" w:type="dxa"/>
            <w:vAlign w:val="bottom"/>
            <w:gridSpan w:val="7"/>
          </w:tcPr>
          <w:p>
            <w:pPr>
              <w:jc w:val="center"/>
              <w:ind w:right="3614"/>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tc>
        <w:tc>
          <w:tcPr>
            <w:tcW w:w="0" w:type="dxa"/>
            <w:vAlign w:val="bottom"/>
          </w:tcPr>
          <w:p>
            <w:pPr>
              <w:spacing w:after="0"/>
              <w:rPr>
                <w:sz w:val="1"/>
                <w:szCs w:val="1"/>
                <w:color w:val="auto"/>
              </w:rPr>
            </w:pPr>
          </w:p>
        </w:tc>
      </w:tr>
      <w:tr>
        <w:trPr>
          <w:trHeight w:val="94"/>
        </w:trPr>
        <w:tc>
          <w:tcPr>
            <w:tcW w:w="3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36"/>
                <w:szCs w:val="36"/>
                <w:b w:val="1"/>
                <w:bCs w:val="1"/>
                <w:color w:val="auto"/>
              </w:rPr>
              <w:t>Inc.</w:t>
            </w:r>
          </w:p>
        </w:tc>
        <w:tc>
          <w:tcPr>
            <w:tcW w:w="0" w:type="dxa"/>
            <w:vAlign w:val="bottom"/>
          </w:tcPr>
          <w:p>
            <w:pPr>
              <w:spacing w:after="0"/>
              <w:rPr>
                <w:sz w:val="1"/>
                <w:szCs w:val="1"/>
                <w:color w:val="auto"/>
              </w:rPr>
            </w:pPr>
          </w:p>
        </w:tc>
      </w:tr>
      <w:tr>
        <w:trPr>
          <w:trHeight w:val="396"/>
        </w:trPr>
        <w:tc>
          <w:tcPr>
            <w:tcW w:w="3680" w:type="dxa"/>
            <w:vAlign w:val="bottom"/>
          </w:tcPr>
          <w:p>
            <w:pPr>
              <w:spacing w:after="0"/>
              <w:rPr>
                <w:sz w:val="24"/>
                <w:szCs w:val="24"/>
                <w:color w:val="auto"/>
              </w:rPr>
            </w:pPr>
          </w:p>
        </w:tc>
        <w:tc>
          <w:tcPr>
            <w:tcW w:w="3060" w:type="dxa"/>
            <w:vAlign w:val="bottom"/>
            <w:gridSpan w:val="4"/>
          </w:tcPr>
          <w:p>
            <w:pPr>
              <w:ind w:left="360"/>
              <w:spacing w:after="0" w:line="395" w:lineRule="exact"/>
              <w:rPr>
                <w:sz w:val="20"/>
                <w:szCs w:val="20"/>
                <w:color w:val="auto"/>
              </w:rPr>
            </w:pPr>
            <w:r>
              <w:rPr>
                <w:rFonts w:ascii="Times New Roman" w:cs="Times New Roman" w:eastAsia="Times New Roman" w:hAnsi="Times New Roman"/>
                <w:sz w:val="36"/>
                <w:szCs w:val="36"/>
                <w:b w:val="1"/>
                <w:bCs w:val="1"/>
                <w:color w:val="auto"/>
              </w:rPr>
              <w:t>Blaize Holdings,</w:t>
            </w:r>
          </w:p>
        </w:tc>
        <w:tc>
          <w:tcPr>
            <w:tcW w:w="45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80" w:type="dxa"/>
            <w:vAlign w:val="bottom"/>
          </w:tcPr>
          <w:p>
            <w:pPr>
              <w:spacing w:after="0"/>
              <w:rPr>
                <w:sz w:val="18"/>
                <w:szCs w:val="18"/>
                <w:color w:val="auto"/>
              </w:rPr>
            </w:pPr>
          </w:p>
        </w:tc>
        <w:tc>
          <w:tcPr>
            <w:tcW w:w="7560" w:type="dxa"/>
            <w:vAlign w:val="bottom"/>
            <w:gridSpan w:val="7"/>
          </w:tcPr>
          <w:p>
            <w:pPr>
              <w:jc w:val="center"/>
              <w:ind w:right="361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87"/>
        </w:trPr>
        <w:tc>
          <w:tcPr>
            <w:tcW w:w="3680" w:type="dxa"/>
            <w:vAlign w:val="bottom"/>
            <w:vMerge w:val="restart"/>
          </w:tcPr>
          <w:p>
            <w:pPr>
              <w:jc w:val="center"/>
              <w:ind w:left="18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4500" w:type="dxa"/>
            <w:vAlign w:val="bottom"/>
            <w:gridSpan w:val="3"/>
            <w:vMerge w:val="restart"/>
          </w:tcPr>
          <w:p>
            <w:pPr>
              <w:jc w:val="right"/>
              <w:ind w:right="2314"/>
              <w:spacing w:after="0"/>
              <w:rPr>
                <w:sz w:val="20"/>
                <w:szCs w:val="20"/>
                <w:color w:val="auto"/>
              </w:rPr>
            </w:pPr>
            <w:r>
              <w:rPr>
                <w:rFonts w:ascii="Times New Roman" w:cs="Times New Roman" w:eastAsia="Times New Roman" w:hAnsi="Times New Roman"/>
                <w:sz w:val="18"/>
                <w:szCs w:val="18"/>
                <w:b w:val="1"/>
                <w:bCs w:val="1"/>
                <w:color w:val="auto"/>
              </w:rPr>
              <w:t>86-2708752</w:t>
            </w:r>
          </w:p>
        </w:tc>
        <w:tc>
          <w:tcPr>
            <w:tcW w:w="0" w:type="dxa"/>
            <w:vAlign w:val="bottom"/>
          </w:tcPr>
          <w:p>
            <w:pPr>
              <w:spacing w:after="0"/>
              <w:rPr>
                <w:sz w:val="1"/>
                <w:szCs w:val="1"/>
                <w:color w:val="auto"/>
              </w:rPr>
            </w:pPr>
          </w:p>
        </w:tc>
      </w:tr>
      <w:tr>
        <w:trPr>
          <w:trHeight w:val="259"/>
        </w:trPr>
        <w:tc>
          <w:tcPr>
            <w:tcW w:w="3680" w:type="dxa"/>
            <w:vAlign w:val="bottom"/>
            <w:vMerge w:val="continue"/>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5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6740" w:type="dxa"/>
            <w:vAlign w:val="bottom"/>
            <w:gridSpan w:val="5"/>
          </w:tcPr>
          <w:p>
            <w:pPr>
              <w:jc w:val="center"/>
              <w:ind w:right="1028"/>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jc w:val="center"/>
              <w:ind w:right="1754"/>
              <w:spacing w:after="0"/>
              <w:rPr>
                <w:sz w:val="20"/>
                <w:szCs w:val="20"/>
                <w:color w:val="auto"/>
              </w:rPr>
            </w:pPr>
            <w:r>
              <w:rPr>
                <w:rFonts w:ascii="Times New Roman" w:cs="Times New Roman" w:eastAsia="Times New Roman" w:hAnsi="Times New Roman"/>
                <w:sz w:val="13"/>
                <w:szCs w:val="13"/>
                <w:color w:val="auto"/>
                <w:w w:val="96"/>
              </w:rPr>
              <w:t>(I.R.S. Employer Identification No.)</w:t>
            </w:r>
          </w:p>
        </w:tc>
        <w:tc>
          <w:tcPr>
            <w:tcW w:w="0" w:type="dxa"/>
            <w:vAlign w:val="bottom"/>
          </w:tcPr>
          <w:p>
            <w:pPr>
              <w:spacing w:after="0"/>
              <w:rPr>
                <w:sz w:val="1"/>
                <w:szCs w:val="1"/>
                <w:color w:val="auto"/>
              </w:rPr>
            </w:pPr>
          </w:p>
        </w:tc>
      </w:tr>
      <w:tr>
        <w:trPr>
          <w:trHeight w:val="264"/>
        </w:trPr>
        <w:tc>
          <w:tcPr>
            <w:tcW w:w="6740" w:type="dxa"/>
            <w:vAlign w:val="bottom"/>
            <w:gridSpan w:val="5"/>
          </w:tcPr>
          <w:p>
            <w:pPr>
              <w:jc w:val="center"/>
              <w:ind w:right="1048"/>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680" w:type="dxa"/>
            <w:vAlign w:val="bottom"/>
          </w:tcPr>
          <w:p>
            <w:pPr>
              <w:jc w:val="center"/>
              <w:ind w:left="1881"/>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500" w:type="dxa"/>
            <w:vAlign w:val="bottom"/>
            <w:gridSpan w:val="3"/>
          </w:tcPr>
          <w:p>
            <w:pPr>
              <w:jc w:val="right"/>
              <w:ind w:right="2514"/>
              <w:spacing w:after="0"/>
              <w:rPr>
                <w:sz w:val="20"/>
                <w:szCs w:val="20"/>
                <w:color w:val="auto"/>
              </w:rPr>
            </w:pPr>
            <w:r>
              <w:rPr>
                <w:rFonts w:ascii="Times New Roman" w:cs="Times New Roman" w:eastAsia="Times New Roman" w:hAnsi="Times New Roman"/>
                <w:sz w:val="18"/>
                <w:szCs w:val="18"/>
                <w:b w:val="1"/>
                <w:bCs w:val="1"/>
                <w:color w:val="auto"/>
              </w:rPr>
              <w:t>95762</w:t>
            </w:r>
          </w:p>
        </w:tc>
        <w:tc>
          <w:tcPr>
            <w:tcW w:w="0" w:type="dxa"/>
            <w:vAlign w:val="bottom"/>
          </w:tcPr>
          <w:p>
            <w:pPr>
              <w:spacing w:after="0"/>
              <w:rPr>
                <w:sz w:val="1"/>
                <w:szCs w:val="1"/>
                <w:color w:val="auto"/>
              </w:rPr>
            </w:pPr>
          </w:p>
        </w:tc>
      </w:tr>
      <w:tr>
        <w:trPr>
          <w:trHeight w:val="164"/>
        </w:trPr>
        <w:tc>
          <w:tcPr>
            <w:tcW w:w="6740" w:type="dxa"/>
            <w:vAlign w:val="bottom"/>
            <w:gridSpan w:val="5"/>
          </w:tcPr>
          <w:p>
            <w:pPr>
              <w:jc w:val="center"/>
              <w:ind w:right="1028"/>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jc w:val="center"/>
              <w:ind w:right="1734"/>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259"/>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(916) 347-0050</w:t>
            </w:r>
          </w:p>
        </w:tc>
        <w:tc>
          <w:tcPr>
            <w:tcW w:w="0" w:type="dxa"/>
            <w:vAlign w:val="bottom"/>
          </w:tcPr>
          <w:p>
            <w:pPr>
              <w:spacing w:after="0"/>
              <w:rPr>
                <w:sz w:val="1"/>
                <w:szCs w:val="1"/>
                <w:color w:val="auto"/>
              </w:rPr>
            </w:pPr>
          </w:p>
        </w:tc>
      </w:tr>
      <w:tr>
        <w:trPr>
          <w:trHeight w:val="95"/>
        </w:trPr>
        <w:tc>
          <w:tcPr>
            <w:tcW w:w="3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8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6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4"/>
          <w:szCs w:val="24"/>
          <w:color w:val="auto"/>
        </w:rPr>
      </w:pPr>
    </w:p>
    <w:p>
      <w:pPr>
        <w:sectPr>
          <w:pgSz w:w="11900" w:h="16838" w:orient="portrait"/>
          <w:cols w:equalWidth="0" w:num="1">
            <w:col w:w="11240"/>
          </w:cols>
          <w:pgMar w:left="320" w:top="925" w:right="339" w:bottom="1440" w:gutter="0" w:footer="0" w:header="0"/>
        </w:sectPr>
      </w:pPr>
    </w:p>
    <w:tbl>
      <w:tblPr>
        <w:tblLayout w:type="fixed"/>
        <w:tblInd w:w="100" w:type="dxa"/>
        <w:tblCellMar>
          <w:top w:w="0" w:type="dxa"/>
          <w:left w:w="0" w:type="dxa"/>
          <w:bottom w:w="0" w:type="dxa"/>
          <w:right w:w="0" w:type="dxa"/>
        </w:tblCellMar>
      </w:tblPr>
      <w:tr>
        <w:trPr>
          <w:trHeight w:val="238"/>
        </w:trPr>
        <w:tc>
          <w:tcPr>
            <w:tcW w:w="528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7"/>
                <w:szCs w:val="17"/>
                <w:color w:val="auto"/>
              </w:rPr>
              <w:t>, par value $0.0001 per share</w:t>
            </w:r>
          </w:p>
        </w:tc>
        <w:tc>
          <w:tcPr>
            <w:tcW w:w="11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BZAI</w:t>
            </w:r>
          </w:p>
        </w:tc>
        <w:tc>
          <w:tcPr>
            <w:tcW w:w="0" w:type="dxa"/>
            <w:vAlign w:val="bottom"/>
          </w:tcPr>
          <w:p>
            <w:pPr>
              <w:spacing w:after="0"/>
              <w:rPr>
                <w:sz w:val="1"/>
                <w:szCs w:val="1"/>
                <w:color w:val="auto"/>
              </w:rPr>
            </w:pPr>
          </w:p>
        </w:tc>
      </w:tr>
      <w:tr>
        <w:trPr>
          <w:trHeight w:val="275"/>
        </w:trPr>
        <w:tc>
          <w:tcPr>
            <w:tcW w:w="528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7"/>
                <w:szCs w:val="17"/>
                <w:color w:val="auto"/>
              </w:rPr>
              <w:t>, each whole warrant exercisable for one share of common</w:t>
            </w:r>
          </w:p>
        </w:tc>
        <w:tc>
          <w:tcPr>
            <w:tcW w:w="112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rPr>
              <w:t>BZAIW</w:t>
            </w:r>
          </w:p>
        </w:tc>
        <w:tc>
          <w:tcPr>
            <w:tcW w:w="0" w:type="dxa"/>
            <w:vAlign w:val="bottom"/>
          </w:tcPr>
          <w:p>
            <w:pPr>
              <w:spacing w:after="0"/>
              <w:rPr>
                <w:sz w:val="1"/>
                <w:szCs w:val="1"/>
                <w:color w:val="auto"/>
              </w:rPr>
            </w:pPr>
          </w:p>
        </w:tc>
      </w:tr>
      <w:tr>
        <w:trPr>
          <w:trHeight w:val="116"/>
        </w:trPr>
        <w:tc>
          <w:tcPr>
            <w:tcW w:w="5280" w:type="dxa"/>
            <w:vAlign w:val="bottom"/>
            <w:vMerge w:val="restart"/>
          </w:tcPr>
          <w:p>
            <w:pPr>
              <w:jc w:val="center"/>
              <w:ind w:right="432"/>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2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3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jc w:val="right"/>
        <w:ind w:right="960"/>
        <w:spacing w:after="0"/>
        <w:rPr>
          <w:sz w:val="20"/>
          <w:szCs w:val="20"/>
          <w:color w:val="auto"/>
        </w:rPr>
      </w:pPr>
      <w:r>
        <w:rPr>
          <w:rFonts w:ascii="Times New Roman" w:cs="Times New Roman" w:eastAsia="Times New Roman" w:hAnsi="Times New Roman"/>
          <w:sz w:val="18"/>
          <w:szCs w:val="18"/>
          <w:color w:val="auto"/>
        </w:rPr>
        <w:t>The Nasdaq Stock Market</w:t>
      </w:r>
    </w:p>
    <w:p>
      <w:pPr>
        <w:spacing w:after="0" w:line="185" w:lineRule="exact"/>
        <w:rPr>
          <w:sz w:val="24"/>
          <w:szCs w:val="24"/>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The Nasdaq Stock Market</w:t>
      </w:r>
    </w:p>
    <w:p>
      <w:pPr>
        <w:spacing w:after="0" w:line="200" w:lineRule="exact"/>
        <w:rPr>
          <w:sz w:val="24"/>
          <w:szCs w:val="24"/>
          <w:color w:val="auto"/>
        </w:rPr>
      </w:pPr>
    </w:p>
    <w:p>
      <w:pPr>
        <w:spacing w:after="0" w:line="20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5" w:lineRule="exact"/>
        <w:rPr>
          <w:sz w:val="24"/>
          <w:szCs w:val="24"/>
          <w:color w:val="auto"/>
        </w:rPr>
      </w:pPr>
    </w:p>
    <w:p>
      <w:pPr>
        <w:sectPr>
          <w:pgSz w:w="11900" w:h="16838" w:orient="portrait"/>
          <w:cols w:equalWidth="0" w:num="2">
            <w:col w:w="7740" w:space="200"/>
            <w:col w:w="3300"/>
          </w:cols>
          <w:pgMar w:left="320" w:top="925" w:right="339" w:bottom="1440" w:gutter="0" w:footer="0" w:header="0"/>
          <w:type w:val="continuous"/>
        </w:sectPr>
      </w:pPr>
    </w:p>
    <w:p>
      <w:pPr>
        <w:spacing w:after="0" w:line="173" w:lineRule="exact"/>
        <w:tabs>
          <w:tab w:leader="none" w:pos="758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18" w:lineRule="exact"/>
        <w:rPr>
          <w:sz w:val="24"/>
          <w:szCs w:val="24"/>
          <w:color w:val="auto"/>
        </w:rPr>
      </w:pPr>
    </w:p>
    <w:p>
      <w:pPr>
        <w:ind w:right="2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60" w:type="dxa"/>
        <w:tblCellMar>
          <w:top w:w="0" w:type="dxa"/>
          <w:left w:w="0" w:type="dxa"/>
          <w:bottom w:w="0" w:type="dxa"/>
          <w:right w:w="0" w:type="dxa"/>
        </w:tblCellMar>
      </w:tblPr>
      <w:tr>
        <w:trPr>
          <w:trHeight w:val="152"/>
        </w:trPr>
        <w:tc>
          <w:tcPr>
            <w:tcW w:w="348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Large accelerated filer</w:t>
            </w:r>
          </w:p>
        </w:tc>
        <w:tc>
          <w:tcPr>
            <w:tcW w:w="204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4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040" w:type="dxa"/>
            <w:vAlign w:val="bottom"/>
          </w:tcPr>
          <w:p>
            <w:pPr>
              <w:ind w:left="18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spacing w:after="0"/>
              <w:rPr>
                <w:sz w:val="22"/>
                <w:szCs w:val="22"/>
                <w:color w:val="auto"/>
              </w:rPr>
            </w:pPr>
          </w:p>
        </w:tc>
        <w:tc>
          <w:tcPr>
            <w:tcW w:w="1940" w:type="dxa"/>
            <w:vAlign w:val="bottom"/>
          </w:tcPr>
          <w:p>
            <w:pPr>
              <w:spacing w:after="0"/>
              <w:rPr>
                <w:sz w:val="22"/>
                <w:szCs w:val="22"/>
                <w:color w:val="auto"/>
              </w:rPr>
            </w:pPr>
          </w:p>
        </w:tc>
      </w:tr>
    </w:tbl>
    <w:p>
      <w:pPr>
        <w:spacing w:after="0" w:line="34"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2"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2"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35"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72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As of June 28, 2024, the last business day of the registrant’s most recently completed second fiscal quarter, the aggregate market value of the Registrant’s common stock held by non-affiliates was approximately $52.9 million.</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March 31, 2025, the registrant had 101,683,916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740" w:type="dxa"/>
            <w:vAlign w:val="bottom"/>
            <w:gridSpan w:val="8"/>
          </w:tcPr>
          <w:p>
            <w:pPr>
              <w:ind w:left="1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880" w:type="dxa"/>
            <w:vAlign w:val="bottom"/>
          </w:tcPr>
          <w:p>
            <w:pPr>
              <w:spacing w:after="0"/>
              <w:rPr>
                <w:sz w:val="22"/>
                <w:szCs w:val="22"/>
                <w:color w:val="auto"/>
              </w:rPr>
            </w:pPr>
          </w:p>
        </w:tc>
      </w:tr>
      <w:tr>
        <w:trPr>
          <w:trHeight w:val="51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4"/>
        </w:trPr>
        <w:tc>
          <w:tcPr>
            <w:tcW w:w="12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880" w:type="dxa"/>
            <w:vAlign w:val="bottom"/>
          </w:tcPr>
          <w:p>
            <w:pPr>
              <w:jc w:val="center"/>
              <w:ind w:left="1350"/>
              <w:spacing w:after="0" w:line="194"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34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4"/>
        </w:trPr>
        <w:tc>
          <w:tcPr>
            <w:tcW w:w="12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80" w:type="dxa"/>
            <w:vAlign w:val="bottom"/>
          </w:tcPr>
          <w:p>
            <w:pPr>
              <w:jc w:val="center"/>
              <w:ind w:left="1330"/>
              <w:spacing w:after="0" w:line="194"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23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194"/>
        </w:trPr>
        <w:tc>
          <w:tcPr>
            <w:tcW w:w="12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0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80" w:type="dxa"/>
            <w:vAlign w:val="bottom"/>
          </w:tcPr>
          <w:p>
            <w:pPr>
              <w:jc w:val="center"/>
              <w:ind w:left="1330"/>
              <w:spacing w:after="0" w:line="194" w:lineRule="exact"/>
              <w:rPr>
                <w:sz w:val="20"/>
                <w:szCs w:val="20"/>
                <w:color w:val="auto"/>
              </w:rPr>
            </w:pPr>
            <w:r>
              <w:rPr>
                <w:rFonts w:ascii="Times New Roman" w:cs="Times New Roman" w:eastAsia="Times New Roman" w:hAnsi="Times New Roman"/>
                <w:sz w:val="18"/>
                <w:szCs w:val="18"/>
                <w:color w:val="auto"/>
                <w:w w:val="99"/>
              </w:rPr>
              <w:t>72</w:t>
            </w: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4000" w:type="dxa"/>
            <w:vAlign w:val="bottom"/>
            <w:gridSpan w:val="7"/>
          </w:tcPr>
          <w:p>
            <w:pPr>
              <w:spacing w:after="0"/>
              <w:rPr>
                <w:sz w:val="17"/>
                <w:szCs w:val="17"/>
                <w:color w:val="auto"/>
              </w:rPr>
            </w:pP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87</w:t>
            </w:r>
          </w:p>
        </w:tc>
      </w:tr>
      <w:tr>
        <w:trPr>
          <w:trHeight w:val="23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194"/>
        </w:trPr>
        <w:tc>
          <w:tcPr>
            <w:tcW w:w="12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0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1880" w:type="dxa"/>
            <w:vAlign w:val="bottom"/>
          </w:tcPr>
          <w:p>
            <w:pPr>
              <w:jc w:val="center"/>
              <w:ind w:left="1330"/>
              <w:spacing w:after="0" w:line="194"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2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880" w:type="dxa"/>
            <w:vAlign w:val="bottom"/>
          </w:tcPr>
          <w:p>
            <w:pPr>
              <w:jc w:val="center"/>
              <w:ind w:left="1330"/>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493"/>
        </w:trPr>
        <w:tc>
          <w:tcPr>
            <w:tcW w:w="128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4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06"/>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3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Prior to January 13, 2025, BurTech Acquisition Corporation (“BurTech”) was a special purpose acquisition company formed for the purpose of effecting a merger, stock purchase, reorganization, or similar acquisition or business combination with one or more businesses. On January 13, 2025, subsequent to the end of fiscal year ended December 31, 2024, the fiscal year to which this Annual Report on Form 10-K (“Annual Report”) relates,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In connection with the closing of the Business Combination (the “Closing”), we changed our name from “BurTech Acquisition Corporation” to “Blaize Holdings, Inc.”</w:t>
      </w:r>
    </w:p>
    <w:p>
      <w:pPr>
        <w:spacing w:after="0" w:line="8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the open of trading on January 14, 2025, our common stock and public warrants began trading on The Nasdaq Stock Market LLC (“Nasdaq”) as “BZAI” and “BZAIW,” respectively.</w:t>
      </w:r>
    </w:p>
    <w:p>
      <w:pPr>
        <w:spacing w:after="0" w:line="5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Substantially concurrently with the filing of this Annual Report, we will be filing an Amendment to our Current Report on Form 8-K originally filed on January 17, 2025, which will include the audited financial statements of Legacy Blaize for the year ended December 31, 2024, as well as related Management’s Discussion and Analysis of Financial Condition and Results of Operations and unaudited pro forma condensed combined financial information of BurTech and Legacy Blaize as of and for the year ended December 31, 2024. Interested parties should refer to our Current Reports on Forms 8-K and 8-K/A for more information.</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Unless otherwise noted or the context otherwise requires, references to: (i) the “Company,” “Blaize,” “we,” “us,” “our,” refer to Blaize Holdings, Inc. and its subsidiaries, following the Business Combination; (ii) “BurTech” refers to BurTech Acquisition Corporation, prior to the close of the Business Combination; (iii) “Legacy Blaize” refers to Blaize, Inc., prior to the close of the Business Combination; and (iv) the “Sponsor” refers to BurTech LC LLC.</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Unless otherwise indicated, the historical financial information in this Annual Report, including the information in “Item 7. Management’s Discussion and Analysis of Financial Condition and Results of Operations” (“Item 7.”), “Item 8. Financial Statements and Supplementary Data” (“Item 8.”), and “Item 9A. Controls and Procedures,” does not reflect the consummation of the Business Combination, which, as discussed above, occurred subsequent to the period covered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“Annual Report”) of Blaize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Annual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Annual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7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Many factors could cause actual future events to differ materially from the forward-looking statements in this document, including but not limited to: changes in domestic and foreign business, market, financial, political and legal conditions; the expected benefits of the Business Combination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Blaize’s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Annual Report should be read in conjunction with the consolidated financial statements and notes thereto included in Item 8. of this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This Annual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Annual Report, except as may be required by law.</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120" w:right="140" w:firstLine="449"/>
        <w:spacing w:after="0" w:line="255" w:lineRule="auto"/>
        <w:rPr>
          <w:sz w:val="20"/>
          <w:szCs w:val="20"/>
          <w:color w:val="auto"/>
        </w:rPr>
      </w:pPr>
      <w:r>
        <w:rPr>
          <w:rFonts w:ascii="Times New Roman" w:cs="Times New Roman" w:eastAsia="Times New Roman" w:hAnsi="Times New Roman"/>
          <w:sz w:val="18"/>
          <w:szCs w:val="18"/>
          <w:color w:val="auto"/>
        </w:rPr>
        <w:t>We are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8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provide AI accelerated computing solutions, optimized for vision analytics applications at the edge. This is particularly relevant in the mobility and automotive sectors, where we provide solutions for Level 2 (“L2”) and Level 2+ (“L2+”) applications and collaborate with Original Equipment Manufacturer (“OEMs”) to develop advanced Level 4+ (“L4+”) capabilities, as per the Society of Automotive Engineers’ “Levels of Driving Automation.” Our fully automotive-grade compliant chip roadmap supports our customers' continued evolution and reinforces our commitment to advancing AI-powered autonomy.</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With over a decade of investment in research and development, we have developed groundbreaking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delivering significant value to our customers.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actively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With a strong focus on innovation, performance, and strategic partnerships, we believe we are well positioned to enable organizations to process and analyze their data in real time from core to edge, unlocking new business opportunities and gaining a competitive advantage in the evolving AI landscape. Our integrated approach to AI accelerated computing ensures that enterprises can harness the full potential of AI.</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January 13, 2025, subsequent to the end of fiscal year ended December 31, 2024, the fiscal year to which this Annual Report relates,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Historically, most processing solutions designed for the edge (“edge applications”) were built around cloud and data center-centric infrastructure. In such solutions, data is collected at the edge and is sent back to a centralized location where the real AI processing happens. This approach is power-demanding,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 the burden of cloud and centralized infrastructure.</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recent years we have witnessed AI moving from exploration and innovation to deployment phase across most industries. Business leaders and organizations have started to understand the value, benefits and the return on investment of AI, leading to a significant growth in adoption of AI and demand for AI accelerator technologies.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already engaged in various industries with great potential for the widespread adoption of AI such as automotive, defense, enterprise and more. The adoption of AI in these industries is growing at a healthy rate and is poised to continue to do so in the long term, supported by strong fundamentals such as the adoption of autonomous solutions and generative AI, decentralization of data and AI for data privacy and data ownership and the drive for sustainability. We are well positioned to immediately access the burgeoning AI accelerator market today with our software and solutions, in addition to our rich roadmap, which we believe will allow us to continue to increase our Serviceable Addressable Market (“SAM”).</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language models (“LLMs”), small language models (“SLMs”), vision transformers and multi-modality. The industry will continue to seek alternatives to incumbent architectures such as the graphic processing unit (“GPU”) and the central processing unit (“CPU”), prioritizing performance, total cost of ownership and ease of use. These characteristics are just as relevant and necessary for data center inference applications as they are for edge AI vision analytics. As the Blaize chip roadmap is enhanced, the inherent advantages of the Graph Streaming Processor (“GSP”) architecture and ease of programmability enable Blaize to remain relevant to market and customer evolution.</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believe that we help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target markets are large, growing and sustained by strong fundamentals. The drivers for this growth are mainly attributed to an adoption drive across industries for autonomous solutions, traditional and generative AI applications, with the trend moving towards decentralization of data, data privacy and ownership, and the global appetite for sustainability.</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target two of the AI market’s highest-impact verticals that require AI accelerated computing at the edge: short cycle industrial and long cycle automotive.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Cycle Industrial</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accelerator cards can be embedded in a variety of host platforms, such as AI boxes, industrial PCs, rugged computer systems, and AI server blades for deployment in racks and data centers. This versatility enables systems based on our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are uniquely positioned to provide value to the market due to the following:</w:t>
      </w:r>
    </w:p>
    <w:p>
      <w:pPr>
        <w:spacing w:after="0" w:line="117" w:lineRule="exact"/>
        <w:rPr>
          <w:sz w:val="20"/>
          <w:szCs w:val="20"/>
          <w:color w:val="auto"/>
        </w:rPr>
      </w:pPr>
    </w:p>
    <w:p>
      <w:pPr>
        <w:ind w:left="460" w:hanging="452"/>
        <w:spacing w:after="0" w:line="28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programmable hardware and AI Studio software platform enables customers to fully and easily integrate their solutions and deploy to market faster and more efficiently.</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w:t>
      </w:r>
    </w:p>
    <w:p>
      <w:pPr>
        <w:spacing w:after="0" w:line="13"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 Cycle Automotive</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GSP provides an efficient way to run standard and customized neural networks in automobiles and other transportation vehicles. We expect to use our GSP-based platforms to replace power-consuming GPU and Field 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Our technology can bring considerable advantages in these applications due to the programmability of the hardware, the support for industry standards and the overall advantage in total cost of ownership.</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technology roadmap is robust and expected to meet the ever-growing complexity and size of models for current and future demands of autonomous driving.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product portfolio includes highly efficient, programmable AI processors designed for deployment across multiple verticals, including enterprise, industrial, commercial, defense, and automotive markets. Our AI computing platforms power applications such as computer vision, advanced video analytics, and AI inference, all while ensuring compatibility with industry standards for rapid integration into our customers' existing systems and workflows. Additionally, our software tools empower non-expert practitioners to deploy AI models quickly and effectively without the need for extensive coding expertise.</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have created an innovative type of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As the demands of edge AI inference continue to increase at a rapid pace, and customer data is evolving and changing frequently, our GSP has key advantages in enabling customer confidence.</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current hardware products place us in a strong position into the rapidly expanding AI accelerator market today. We have worked with many customers in testing and technical evaluations across industries, such as enterprise, defense and automotive. In addition to hardware sales, we believe we are well positioned for growth in our software sales and services through our comprehensive, pre-integrated software stack, vertically integrated solutions, AI Studio development platform, and analytics framework and toolkit.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Roadmap</w:t>
      </w:r>
    </w:p>
    <w:p>
      <w:pPr>
        <w:spacing w:after="0" w:line="12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and exceed those requirements.</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us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1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 key solutions to market.</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System-on-a-Chip (“SoC”) to further expand our total addressable market.</w:t>
      </w:r>
    </w:p>
    <w:p>
      <w:pPr>
        <w:spacing w:after="0" w:line="5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elevating brand, product and value proposition awareness across the broader industry, with prospects in selected target verticals. This includes participation at trade events, demonstrations of Blaize technology, collaborations and co-promotions with ecosystem partners, social campaigns, competitive positioning and other marketing activities.</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focus our marketing and sales efforts on the following areas:</w:t>
      </w:r>
    </w:p>
    <w:p>
      <w:pPr>
        <w:spacing w:after="0" w:line="117"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powered by Blaize — we build, qualify, and quantify market-ready hardware solutions with a large number of OEMs;</w:t>
      </w:r>
    </w:p>
    <w:p>
      <w:pPr>
        <w:spacing w:after="0" w:line="63"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unique full stack approach — we are well positioned to deliver fully integrated software and hardware solutions which include 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17"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powered by Blaize — our team concentrates on qualifying with application partners that deliver customer-facing software and services in our focused verticals;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Ecosystem channel delivery — we contract with cloud, distribution, integration, and value-add resellers already supporting our target markets; and</w:t>
      </w:r>
    </w:p>
    <w:p>
      <w:pPr>
        <w:spacing w:after="0" w:line="63"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adoption — we promote market ready solutions powered by Blaize and present use cases that meet our customers’ varying budget and deployment requirements.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certain security breaches involving their personal information. In the event of a security breach, these laws may subject us to incident response, notice and 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w:t>
      </w:r>
    </w:p>
    <w:p>
      <w:pPr>
        <w:spacing w:after="0" w:line="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7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w:t>
      </w:r>
    </w:p>
    <w:p>
      <w:pPr>
        <w:spacing w:after="0" w:line="8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Anti-Corruption, Sanctions and CFIUS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8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of December 31, 2024, we employed a total of approximately 232 people globally, including 56 people on a full-time basis in the U.S. and 164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teams.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Blaize Holdings, Inc. was incorporated in the State of Delaware on March 2, 2021, under the name of BurTech Acquisition Corp. In connection with the consummation of the Merger, we changed our name to Blaize Holdings, Inc. and amended and restated our certificate of incorporation (as amended, the “A&amp;R Charter”), and amended and restated our bylaws (as amended, the “A&amp;R Bylaws”), both effective as of January 13, 2025.</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4659 Golden Foothill Parkway in El Dorado Hills, California, 95762, which is where our records are kept and the principal business address for our executive officers. Our corporate telephone number is (916) 347-0050.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use our website, press releases, public conference calls and public webcasts as means of disclosing material non-public information and for complying with our disclosure obligations under Regulation FD. The information disclosed by the foregoing channels could be deemed to be material information. As such, we encourage investors, the media, and others to follow the channels listed above and to review the information disclosed through such channels. The contents of the websites referred to above are not incorporated into this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should be considered in addition to the other information, including Item 7. and Item 8., of this Annual Report.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principal risks and uncertainties described in more detail in this annual report:</w:t>
      </w:r>
    </w:p>
    <w:p>
      <w:pPr>
        <w:spacing w:after="0" w:line="11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63" w:lineRule="exact"/>
        <w:rPr>
          <w:rFonts w:ascii="Times New Roman" w:cs="Times New Roman" w:eastAsia="Times New Roman" w:hAnsi="Times New Roman"/>
          <w:sz w:val="18"/>
          <w:szCs w:val="18"/>
          <w:color w:val="auto"/>
        </w:rPr>
      </w:pPr>
    </w:p>
    <w:p>
      <w:pPr>
        <w:ind w:left="460" w:right="20" w:hanging="452"/>
        <w:spacing w:after="0" w:line="28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report contains an explanatory paragraph that expresses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460" w:right="20" w:hanging="452"/>
        <w:spacing w:after="0" w:line="28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with certain automotive OEMs and Tier-1 suppliers are long-term in nature and we will not receive firm purchase order commitments until we deliver our auto-grade chip.</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terminate existing customer or partnership contracts or expand sales to our existing customers.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with large enterprise customers can be long and unpredictable, and our sales efforts require considerable time and expense.</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or grow our brand recognition, our ability to expand our customer base will be impaired and our financial condition may suffer.</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 quality support, our business and reputation could suffer.</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70" w:lineRule="exact"/>
        <w:rPr>
          <w:sz w:val="20"/>
          <w:szCs w:val="20"/>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Annual Report may prove to be inaccurate. Even if the market in which we compete achieves the forecasted growth, our business could fail to grow at similar rates, if at all.</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17"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1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1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or datasets could subject us to possible litigation or cause us to subject our platform or products to unwanted open source license conditions that could negatively impact our sales.</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and Legacy Blaize conducted, a portion of its business with third-party ecosystem partners to provide defensive solutions that incorporate our products to various foreign and domestic government agencies, which are subject to unique risks.</w:t>
      </w:r>
    </w:p>
    <w:p>
      <w:pPr>
        <w:spacing w:after="0" w:line="1" w:lineRule="exact"/>
        <w:rPr>
          <w:rFonts w:ascii="Times New Roman" w:cs="Times New Roman" w:eastAsia="Times New Roman" w:hAnsi="Times New Roman"/>
          <w:sz w:val="18"/>
          <w:szCs w:val="18"/>
          <w:color w:val="auto"/>
        </w:rPr>
      </w:pPr>
    </w:p>
    <w:p>
      <w:pPr>
        <w:ind w:left="460" w:right="2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additional obligations to collect and remit sales tax and other taxes. We may be subject to tax liability for past sales, which could harm our business.</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common stock may be volatile or may decline regardless of our operating performance. You may lose some or all of your investment.</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and could remain highly volatile, and has declined and may continue to decline regardless of our operating performance. You may lose some or all of your investment.</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70" w:lineRule="exact"/>
        <w:rPr>
          <w:sz w:val="20"/>
          <w:szCs w:val="20"/>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including compliance with the reporting requirements of the Exchange Act, the requirements of the Sarbanes-Oxley Act of 2002 (the “Sarbanes-Oxley Act”) and the requirements of the Nasdaq, may strain our resources, increase our costs and require additional attention of management, and we may be unable to comply with these requirements in a timely or cost-effective manner.</w:t>
      </w:r>
    </w:p>
    <w:p>
      <w:pPr>
        <w:spacing w:after="0" w:line="1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 and may not be able to adequately develop and implement the governance, compliance, risk management and control infrastructure and culture required for a public company, including compliance with the Sarbanes Oxley Act.</w:t>
      </w:r>
    </w:p>
    <w:p>
      <w:pPr>
        <w:spacing w:after="0" w:line="13"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provisions of Delaware law and our certificate of incorporation and bylaws may deter third parties from acquiring us and diminish the value of our Common Stock.</w:t>
      </w:r>
    </w:p>
    <w:p>
      <w:pPr>
        <w:ind w:left="460" w:hanging="452"/>
        <w:spacing w:after="0" w:line="243" w:lineRule="exact"/>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could negatively impact our business.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2024 and 2023, we incurred operating losses of $47.6 million and $38.5 million, respectively, and used cash in operating activities of $53.5 million and $28.0 million, respectively. As of December 31, 2024, we had an accumulated deficit of $429.3 million. In recent periods, our revenue growth has been attributed to non-recurring engineering (“NRE”)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prior years revenue has largely consisted of NRE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2024/2025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w:t>
      </w:r>
    </w:p>
    <w:p>
      <w:pPr>
        <w:spacing w:after="0" w:line="79"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an explanatory paragraph expressing substantial doubt about our ability to continue as a going concern in its report for the year ended December 31, 2024, included in the Company’s Current Report on Form 8-K/A, filed on April 14, 2025. Our consolidated financial statements have been prepared on a going concern basis, which contemplates the realization of assets and the discharge of liabilities in the normal course of business.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Although the Company intends to raise additional capital through issuances of additional debt and equity, as well as through the consummation of the Business Combination, and is currently taking actions to both source and preserve cash through a combination of the issuance of convertible notes and a possible capital market transaction and has received additional funding in 2024, there is no assurance that additional financing will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Mercedes-Benz North America Corporation (“Mercedes-Benz”), and their partner vendors to evaluate their requirements for an advanced L4 platform. This is intended to be in production by the end of this decade and a phase 1 evaluation recently concluded in the second quarter of 2024. To date, we have recognized approximately $25.0 million and $7.0 million in non-recurring engineering fees from DENSO and Mercedes-Benz, respectively.</w:t>
      </w:r>
    </w:p>
    <w:p>
      <w:pPr>
        <w:spacing w:after="0" w:line="8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2028 or later. Our partnership with our main Tier-1 supplier, DENSO Corporation (“DENSO”) continues with projects centered around Blaize’s software and hardware offerings, including a Proof of Concept Agreement (as defined herein) with aggregate proceeds of approximately $3.0 million upon its completion, as described further in the section entitled “Information About Blaize — Material Contracts.”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beginning in 2028 and we anticipate recognizing revenues from these potential future partnerships with automotive OEMs and Tier-1 and Tier-2 partners.</w:t>
      </w:r>
    </w:p>
    <w:p>
      <w:pPr>
        <w:spacing w:after="0" w:line="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 automotive markets, based on our current set of products. A shortfall in those revenues will significantly impact our automotive roadmap and automotive OEMs and Tier-1 and Tier-2 partners, including Mercedes-Benz and DENSO, may choose to adopt competing technologies. If this occurs, it will be extremely difficult to retain our specialist automotive skills and there is a high risk of losing that expertise altogether.</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terminate existing customer or partnership contracts or expand sales to our existing customers.</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5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7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U.S.;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U.S. that impose supply chain and manufacturing location restrictions.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5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a fabless company, Blaize does not manufacture its own semiconductor or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 Our reliance on these third-party manufacturers subjects us to a number of risks that include, among other things:</w:t>
      </w:r>
    </w:p>
    <w:p>
      <w:pPr>
        <w:spacing w:after="0" w:line="79"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Blaize’s;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70" w:lineRule="exact"/>
        <w:rPr>
          <w:sz w:val="20"/>
          <w:szCs w:val="20"/>
          <w:color w:val="auto"/>
        </w:rPr>
      </w:pPr>
    </w:p>
    <w:p>
      <w:pPr>
        <w:ind w:left="460" w:hanging="452"/>
        <w:spacing w:after="0" w:line="28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recurrence of pandemics such as COVID-19, or other reasons outside Blaize’s control;</w:t>
      </w:r>
    </w:p>
    <w:p>
      <w:pPr>
        <w:spacing w:after="0" w:line="1" w:lineRule="exact"/>
        <w:rPr>
          <w:rFonts w:ascii="Times New Roman" w:cs="Times New Roman" w:eastAsia="Times New Roman" w:hAnsi="Times New Roman"/>
          <w:sz w:val="18"/>
          <w:szCs w:val="18"/>
          <w:color w:val="auto"/>
        </w:rPr>
      </w:pPr>
    </w:p>
    <w:p>
      <w:pPr>
        <w:ind w:left="460" w:right="20" w:hanging="452"/>
        <w:spacing w:after="0" w:line="28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Blaize’s manufacturers’ plants are located, such as changes in China-Taiwan relations that may adversely affect Blaize’s manufacturers’ and suppliers’ operations;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In addition, Blaize may experience supply shortages from some of its suppliers such as what it experienced as a result of the COVID-19 lockdown in China.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8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8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70" w:lineRule="exact"/>
        <w:rPr>
          <w:sz w:val="20"/>
          <w:szCs w:val="20"/>
          <w:color w:val="auto"/>
        </w:rPr>
      </w:pPr>
    </w:p>
    <w:p>
      <w:pPr>
        <w:ind w:left="460" w:hanging="452"/>
        <w:spacing w:after="0" w:line="28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1" w:lineRule="exact"/>
        <w:rPr>
          <w:rFonts w:ascii="Times New Roman" w:cs="Times New Roman" w:eastAsia="Times New Roman" w:hAnsi="Times New Roman"/>
          <w:sz w:val="18"/>
          <w:szCs w:val="18"/>
          <w:color w:val="auto"/>
        </w:rPr>
      </w:pPr>
    </w:p>
    <w:p>
      <w:pPr>
        <w:ind w:left="460" w:right="20" w:hanging="452"/>
        <w:spacing w:after="0" w:line="28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8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68"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spacing w:after="0" w:line="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84"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8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7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w:t>
      </w:r>
    </w:p>
    <w:p>
      <w:pPr>
        <w:spacing w:after="0" w:line="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w:t>
      </w:r>
    </w:p>
    <w:p>
      <w:pPr>
        <w:spacing w:after="0" w:line="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spacing w:after="0" w:line="8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While we have implemented certain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6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 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spacing w:after="0" w:line="8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For example, we use AI Technologies internally to prepare data provided by customers for assisting such customers with AI development when using AI Studio.</w:t>
      </w:r>
    </w:p>
    <w:p>
      <w:pPr>
        <w:spacing w:after="0" w:line="5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8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7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For example, in the U.S.,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The Order also requires the development of a new AI action plan within 180 days that must be “free from ideological bias or engineered social agendas.” While this action could indicate a less interventionist approach to AI then the prior administration, it is not clear how this new Executive Order will be implemented or whether it will affect rules issued by other agencies following the principles set forth in the 2023 AI Order.</w:t>
      </w:r>
    </w:p>
    <w:p>
      <w:pPr>
        <w:spacing w:after="0" w:line="8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6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or datasets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8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7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rights. Enforcement of our intellectual property rights may be met with defenses, counterclaims and countersuits attacking the validity and enforceability of our intellectual property. An adverse determination of any litigation proceedings could put our intellectual property rights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rights if we are unable to enforce these rights or if we do not detect unauthorized use of our intellectual property rights. Policing unauthorized use of our technologies, trade secrets, and intellectual property rights may be difficult, expensive and time-consuming, particularly in foreign countries where the laws may not be as protective of intellectual property rights as those in the U.S. and where mechanisms for enforcement of intellectual property rights may be weak. If we fail to meaningfully protect our intellectual property rights, our business, operating results and financial condition could be adversely affected.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84"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general, we are subject to various laws and regulations in the U.S. and internationally, which may expose us to liability, increased costs or have other adverse effects that could harm our business.</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7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and Legacy Blaize conducted, a portion of its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Blaize’s or its third-party ecosystem partners’ compliance costs, including in the form of withheld payments and/or reduced future business if Blaize or its third-party ecosystem partners fail to comply with these requirements in the future, or otherwise have a material impact on Blaize’s or its third-party ecosystem partners’ business, which could negatively impact Blaize’s financial condition and operating results.</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8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7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(“USD”), and therefore substantially all of our revenue is not subject to foreign currency risk. However, a strengthening of the USD could increase the real cost of our platform and products to our customers outside of the U.S., which could adversely affect our operating results. In addition, an increasing portion of our operating expenses is incurred and an increasing portion of our assets is held outside the U.S.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$215.5 million and $149.9 million of federal and state net operating loss carryforwards, respectively. Certain of our U.S. federal and state net operating loss carryforwards may be carried forward indefinitely, while other of these loss carryforwards are subject to expiration (beginning in 2030). As of December 31, 2024, we had approximately $5.7 million and $4.3 million available to offset future U.S. federal and state income taxes payable, respectively. Certain of our U.S. federal tax credit carryforwards may be carried forward indefinitely, while other of these tax credit carryforwards are subject to expiration (beginning in 2035). As of December 31, 2024, we had approximately $1.1 million of foreign tax credits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will be subject to U.S. corporate income tax on its worldwide income. Further, since our operations and customers are located throughout the U.S., we will be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and could remain highly volatile, and has declined and may continue to decline regardless of our operating performance. You may lose some or all of your investment.</w:t>
      </w:r>
    </w:p>
    <w:p>
      <w:pPr>
        <w:spacing w:after="0" w:line="5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and could remain volatile and subject to significant fluctuations. The trading price of our common stock depends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We do not intend to pay cash dividends on our common stock for the foreseeable future.</w:t>
      </w:r>
    </w:p>
    <w:p>
      <w:pPr>
        <w:spacing w:after="0" w:line="6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Furthermore, the stock markets in general have experienced extreme volatility, which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could decline.</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the continued financial support from our shareholders and other related parties. We cannot be certain when or if our operations will generate sufficient cash to fund our ongoing operations or the growth of our business.</w:t>
      </w:r>
    </w:p>
    <w:p>
      <w:pPr>
        <w:spacing w:after="0" w:line="5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the Nasdaq, may strain our resources, increase our costs and require additional attention of management, and we may be unable to comply with these requirements in a timely or cost-effective manner.</w:t>
      </w:r>
    </w:p>
    <w:p>
      <w:pPr>
        <w:spacing w:after="0" w:line="6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will occupy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 and may not be able to adequately develop and implement the governance, compliance, risk management and control infrastructure and culture required for a public company, including compliance with the Sarbanes Oxley Act..</w:t>
      </w:r>
    </w:p>
    <w:p>
      <w:pPr>
        <w:spacing w:after="0" w:line="6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It is possible that we will be required to expand its employee base and hire additional employees to support its operations as a public company which will increase its operating costs in future periods.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 and diminish the value of our Common Stock.</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117" w:lineRule="exact"/>
        <w:rPr>
          <w:sz w:val="20"/>
          <w:szCs w:val="20"/>
          <w:color w:val="auto"/>
        </w:rPr>
      </w:pPr>
    </w:p>
    <w:p>
      <w:pPr>
        <w:ind w:left="460" w:hanging="452"/>
        <w:spacing w:after="0" w:line="281"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to issue one or more series of preferred stock with voting or other rights or preferences that could have the effect of impeding the success of an attempt to acquire us or otherwise effect a change in control;</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limits the ability of minority stockholders to elect director candidates;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71" w:lineRule="exact"/>
        <w:rPr>
          <w:sz w:val="20"/>
          <w:szCs w:val="20"/>
          <w:color w:val="auto"/>
        </w:rPr>
      </w:pPr>
    </w:p>
    <w:p>
      <w:pPr>
        <w:jc w:val="both"/>
        <w:ind w:firstLine="449"/>
        <w:spacing w:after="0" w:line="222" w:lineRule="exact"/>
        <w:rPr>
          <w:sz w:val="20"/>
          <w:szCs w:val="20"/>
          <w:color w:val="auto"/>
        </w:rPr>
      </w:pPr>
      <w:r>
        <w:rPr>
          <w:rFonts w:ascii="Times New Roman" w:cs="Times New Roman" w:eastAsia="Times New Roman" w:hAnsi="Times New Roman"/>
          <w:sz w:val="18"/>
          <w:szCs w:val="18"/>
          <w:color w:val="auto"/>
        </w:rPr>
        <w:t>In addition, in our certificate of incorporation, we have not opted out of Section 203 of the Delaware General Corporation Law, which prohibits a Delaware corporation from engaging in certain “business combinations” with any “interested stockholder”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time that the stockholder became an interested stockholder, unless:</w:t>
      </w:r>
    </w:p>
    <w:p>
      <w:pPr>
        <w:spacing w:after="0" w:line="91" w:lineRule="exact"/>
        <w:rPr>
          <w:sz w:val="20"/>
          <w:szCs w:val="20"/>
          <w:color w:val="auto"/>
        </w:rPr>
      </w:pPr>
    </w:p>
    <w:p>
      <w:pPr>
        <w:ind w:left="460" w:hanging="452"/>
        <w:spacing w:after="0" w:line="28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spacing w:after="0" w:line="1"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ind w:left="460" w:hanging="452"/>
        <w:spacing w:after="0" w:line="243" w:lineRule="exact"/>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votes of our outstanding voting stock that is not owned by the interested stockholder.</w:t>
      </w:r>
    </w:p>
    <w:p>
      <w:pPr>
        <w:spacing w:after="0" w:line="3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72" w:lineRule="exact"/>
        <w:rPr>
          <w:sz w:val="20"/>
          <w:szCs w:val="20"/>
          <w:color w:val="auto"/>
        </w:rPr>
      </w:pPr>
    </w:p>
    <w:p>
      <w:pPr>
        <w:jc w:val="both"/>
        <w:ind w:firstLine="449"/>
        <w:spacing w:after="0" w:line="220" w:lineRule="exact"/>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9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2" w:lineRule="exact"/>
        <w:rPr>
          <w:sz w:val="20"/>
          <w:szCs w:val="20"/>
          <w:color w:val="auto"/>
        </w:rPr>
      </w:pPr>
    </w:p>
    <w:p>
      <w:pPr>
        <w:jc w:val="both"/>
        <w:ind w:firstLine="449"/>
        <w:spacing w:after="0" w:line="218" w:lineRule="exact"/>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take advantage of certain exemptions from various reporting requirements that are applicable to other public companies that are not emerging growth companies including, but are not limited to, not being required to comply with the auditor attestation requirements of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reduced disclosure obligations regarding executive compensation in our periodic reports and proxy statements, and exemptions from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frequency and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golden parachute voting requirements. As a result, our stockholders may not have access to certain information they may deem important. We will remain an emerging growth company until the earliest of (i) the last day of the fiscal year: (a) following January 13, 2030, the fifth anniversary of the Closing; (b) in which we have total annual gross revenue of at least $1,235,000,000; or (c) in which we are deemed to be a large accelerated filer, which means the market value of the shares of our Common Stock that are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exceeds $700,000,000 as of the last business day of our prior second fiscal quarter, and (ii) the date on which we have issued more than $1,000,000,000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convertible debt securities during the prior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20" w:lineRule="exact"/>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emerging growth companies but any such election to opt out is irrevocable. We intend to take advantage of the benefits of this extended transition period.</w:t>
      </w:r>
    </w:p>
    <w:p>
      <w:pPr>
        <w:spacing w:after="0" w:line="9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7"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Oxley Act could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-223520</wp:posOffset>
            </wp:positionV>
            <wp:extent cx="6413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0" w:lineRule="exact"/>
        <w:rPr>
          <w:sz w:val="20"/>
          <w:szCs w:val="20"/>
          <w:color w:val="auto"/>
        </w:rPr>
      </w:pPr>
    </w:p>
    <w:p>
      <w:pPr>
        <w:jc w:val="both"/>
        <w:ind w:firstLine="449"/>
        <w:spacing w:after="0" w:line="220" w:lineRule="exact"/>
        <w:rPr>
          <w:sz w:val="20"/>
          <w:szCs w:val="20"/>
          <w:color w:val="auto"/>
        </w:rPr>
      </w:pPr>
      <w:r>
        <w:rPr>
          <w:rFonts w:ascii="Times New Roman" w:cs="Times New Roman" w:eastAsia="Times New Roman" w:hAnsi="Times New Roman"/>
          <w:sz w:val="18"/>
          <w:szCs w:val="18"/>
          <w:color w:val="auto"/>
        </w:rPr>
        <w:t>As a public company, we are subject to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are required to provide management’s attestation on internal controls. The standards required for a public company under Section 404(a)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are significantly more stringent than those required of us as a privately held company. Management may not be able to effectively and timely implement controls and procedures that adequately respond to the increased regulatory compliance and reporting requirements.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prevent us from obtaining capital on favorable terms or at all,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stock price and adversely affect our business, financial condition, and results of operations. Failure to comply with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could potentially subject us to sanctions or investigations by the SEC, Nasdaq or other regulatory authorities, which would require additional financial and management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We have in place certain infrastructure, systems, policies, and procedures that are designed to proactively and reactively address circumstances that arise when unexpected events such as a cybersecurity incident occur. These include processes for assessing, identifying, and managing material risks from cybersecurity threats. Our information security management program generally follows processes outlined in frameworks such as the International Organization for Standardization's (“ISO”) international standard for Information Security (“ISO 27001”) and the National Institute of Standards and Technology's Cybersecurity Framework 2.0 (“NCSF”) and we evaluate and evolve our security measures as appropriate. As of December 31, 2024, we have not completed all of the requirements to be ISO 27001 or NCSF certified. We consult with external parties, such as cybersecurity firms and risk management and governance experts, on risk management and strategy.</w:t>
      </w:r>
    </w:p>
    <w:p>
      <w:pPr>
        <w:spacing w:after="0" w:line="81"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Identifying, assessing, and managing cybersecurity risk is integrated into our overall risk management systems and processes, and we have in place cybersecurity and data privacy training and policies designed to (a) respond to new requirements in global privacy laws and (b) prevent, detect, respond to, mitigate and recover from identified and significant cybersecurity threats.</w:t>
      </w:r>
    </w:p>
    <w:p>
      <w:pPr>
        <w:spacing w:after="0" w:line="68"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We also have a vendor risk assessment process consisting of the distribution and review of supplier questionnaires designed to help us evaluate cybersecurity risks that we may encounter when working with third parties that have access to confidential and other sensitive company information. We take steps designed to ensure that such vendors have implemented data privacy and security controls that help mitigate the cybersecurity risks associated with these vendors. We routinely assess our high-risk suppliers’ conformance to industry standards (e.g., ISO 27001, ISO's international standard for Supply Chain Security Management (“ISO 28001”), the NCSF, and the Customs-Trade Partnership Against Terrorism), and evaluate them for additional information, product, and physical security requirements.</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“Item 1A. Risk Factors” in this Annual Report for additional information about risks related to cybersecurity.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Information security matters, including managing and assessing risks from cybersecurity threats, remain under the oversight of the Company’s Board of Directors, or the Board. The Audit Committee of the Board, or the Audit Committee, also reviews the adequacy and effectiveness of the Company’s information security policies and practices and the internal controls regarding information security risks. The Audit Committee receives regular information security updates from management. The Board also receives annual reports on information security matters from members of our security team.</w:t>
      </w:r>
    </w:p>
    <w:p>
      <w:pPr>
        <w:spacing w:after="0" w:line="72"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Our security efforts are managed by a team of IT, engineering, operations, and legal professionals. We have established a cross-functional leadership team, consisting of executive-level leaders, that meets regularly to review cybersecurity matters and evaluate emerging threats. With oversight and guidance provided by the cross-functional leadership team, our information security teams refine our practices to address emerging security risks and changes in regulations. Our leadership team also participates in cybersecurity incident response efforts by engaging with the incident response team and helping direct the company’s response to and assessment of certain cybersecurity incidents.</w:t>
      </w:r>
    </w:p>
    <w:p>
      <w:pPr>
        <w:spacing w:after="0" w:line="75"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We have designated a Network and Security Engineer, who reports to the Director of IT &amp; Security, to assess and manage our material cybersecurity risks and threats. In this role, the Network and Security Engineer installs and manages our corporate firewalls, Enterprise Infrastructure engineering, and network analysis, but also supports our incident response and vulnerability management efforts. With over 10 years of experience in cybersecurity, the Engineer ensures our controls remain effective and that any emerging threats are promptly addressed.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El Dorado Hills, California where we lease approximately 1,753 square feet of office space pursuant to a lease that expires on June 15,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lease approximately 35,000 square feet of office space in Hyderabad, India pursuant to leases that expire on September 30, 2028. Our India premises contains engineering, research and development, and administrative functions of the company.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expires on July 15, 2025, which contains engineering and R&amp;D functions for Blaize.</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believe that our office and other space is adequate for our current needs and, should we need additional space, we believe we will be able to obtain additional space on commercially reasonable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w:t>
      </w:r>
    </w:p>
    <w:p>
      <w:pPr>
        <w:spacing w:after="0" w:line="5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common stock and warrants are traded on the Nasdaq under the ticker symbols “BZAI” and “BZAIW,” respectively (formerly BRKH and BRKHW, respectively, as well as common stock units under BRKHU).</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31, 2025, there were 319 holders of record of our common stock and 2 holders of record of our Public Warrants.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We have historically not declared or paid cash dividends on our capital stock.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and do not expect to pay any cash dividends for the foreseeable future. Any determination to pay dividends in the future will be at the discretion of our board of directors and will be dependent on a number of factors, including our earnings, capital requirements and overall financial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Information regarding securities authorized for issuance under equity compensation plans required by this item will be contained in our definitive proxy statement pursuant to Regulation 14A (our “2025 Proxy Statement,”) which we will file no later than 120 days after December 31, 2024, and is hereby incorporated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January 13, 2025, immediate following Closing and pursuant to the PIPE Subscription Agreements, the Company issued 1,540,300 shares of Common Stock, at a price of $10.00 per share for an aggregate PIPE Investment of $15,403,000 in accordance with the terms of the PIPE Subscription Agreements. The shares of Common Stock issued in the PIPE Investments were offered in a private placement under the Securities Act of 1933, as amended (the “Securities Act”), pursuant to the PIPE Subscription Agreements.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10, 2025, in connection with that certain Letter Agreement, dated December 23, 2024, by and between the Company and Roth Capital Partners, LLC (“Roth”), we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we issued (i) 31,792 shares of common stock to Craig-Hallum and (ii) warrants exercisable for up to 50,000 shares of common stock at a price of $11.50 per share (the “CMA Warrants”), in each case, in a private placement under the Securities Act.</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issuance of these securities was made pursuant to 4(a)(2) of the Securities Act and Rule 506(b) of Regulation D, and the rules promulgated thereunder, to accredited investors. None of the foregoing transactions involved any underwriters, underwriting discounts or commissions or any public offering.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Offerings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“BurTech” or the “Company” in this Item 7. are to BurTech Acquisition Corp. before the consummation of the Business Combination, references to “Blaize” are to Blaize Holdings, Inc. after the consummation of the Business Combination and references to "Legacy Blaize" are to Blaize, Inc. before the consummation of the Business Combination. The following discussion and analysis of our financial condition and results of operations should be read in conjunction with our audited consolidated financial statements and related notes thereto included in Item 8. of this Annual Report. The financial information included in this Item 7. is that of BurTech prior to the Business Combination, as the Business Combination was consummated subsequent to the period covered by the audited consolidated financial statements in Item 8. of this Annual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were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remained in the Company’s trust account.</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stockholders’ vote at the Second Special Meeting of stockholders held by the Company on December 11, 2023, The Company’s stockholders redeemed 2,285,040 shares during the Second Special Meeting. As a result, approximately $24.5 million (approximately $10.74 per share) was removed from the Company’s trust account to pay such holders. The amount was removed from the Trust Account on January 5, 2024.</w:t>
      </w:r>
    </w:p>
    <w:p>
      <w:pPr>
        <w:spacing w:after="0" w:line="6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On December 11, 2023 (the “Second Special Meeting”), the Company entered into an amendment to the investment management trust agreement dated as of December 10, 2021, with Continental Stock Transfer &amp; Trust Company (the “Second Trust Amendment”).</w:t>
      </w:r>
    </w:p>
    <w:p>
      <w:pPr>
        <w:spacing w:after="0" w:line="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Pursuant to the Second Trust Amendment, the Company had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On January 16, 2024, February 9, 2024, and March 12, 2024, the Sponsor deposited $130,370 on each date into the Trust Account to extend the life of the Company from January 15, 2024 to April 15, 2024. On April 10, 2024, May 10, 2024 and June 12, 2024 the Sponsor deposited $130,370 on each date into the Trust Account to extend the life of the Company from April 15, 2024 to July 15, 2024. On July 12, 2024, August 14, 2024, September 21, 2024,October 15, 2024 and November 13, 2024 the Sponsor deposited $130,370 on each date into the Trust Account to extend the life of the Company from April 15, 2024 to December 15, 2024.</w:t>
      </w:r>
    </w:p>
    <w:p>
      <w:pPr>
        <w:spacing w:after="0" w:line="8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stockholders’ vote at the Third Special Meeting of stockholders held by the Company on December 9, 2024, the Company’s stockholders redeemed 241,120 shares during the Third Special Meeting. As a result, approximately $2.7 million (approximately $11.51 per share) was removed from the Company’s trust account to pay such holders. The amount was removed from the Trust Account on December 12, 2024. In conjunction with these redemptions, the stockholders also voted on extending the extended liquidation from December 15, 2024 to May 15, 2025, (the “extended liquidation date”) extending the life of the Company to complete an initial business combination. The Company had the right to extend the time to complete a business combination until May 15, 2025, by depositing into the Trust Account the lesser of $0.05 per unredeemed share of Class A common stock or $205,227 (the “New Extension Payment”) for each one-month Extension. On December 15, 2024 the Sponsor deposited $205,227 into the Trust Account to extend the life of the Company to January 15, 2025.</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As previously announced, on December 22, 2023, the Company entered into an Agreement and Plan of Merger (the “Merger Agreement”) by and among the Company, Merger Sub a Delaware corporation and a direct, wholly owned subsidiary of the Company, Legacy Blaize, and, solely for the limited purposes set forth therein, Burkhan Capital LLC, a Delaware limited liability company (“Burkhan”), pursuant to which Merger Sub merged with and into Legacy Blaize, whereupon the separate corporate existence of Merger Sub ceased and Legacy Blaize survived such merger and continued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BurTech was renamed “Blaize Holdings,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and Closing of the Transactions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December 23, 2024, we held a special meeting of stockholders (the “Special Meeting”), at which the BurTech stockholders considered and adopted, among other matters, a proposal to approve the Business Combination, including (a) adopting the Merger Agreement and (b) approving the other transactions contemplated by the Merger Agreement.</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following the Special Meeting, on January 13, 2025 (the “Closing Date”), the Business Combination was consummated (the “Closing”).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and as contemplated by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8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and as contemplated by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foregoing description of each of the Registration Rights Agreement and Ava Registration Rights Agreement does not purport to be complete and is qualified in its entirety by reference to the full text of the Registration Rights Agreement and Ava Registration Rights Agreement filed as exhibits to Blaize’s Current Report on Form 8-K, filed with the SEC on January 17,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and as contemplated by the Merger Agreement, we entered into lock-up agreements (the “Lock-up Agreements”) with (i) certain of Blaize’s directors and officers, (ii) certain stockholders of Blaize and (iii) Burkhan, in each case, restricting the transfer of Blaize common stock and any shares of Blaize common stock issuable upon the exercise or settlement, as applicable, of Blaize Options or Blaize RSUs (each as defined in the Merger Agreement) held by it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Underwriting Agreement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which was paid in full to EF Hutton on the Closing Date and the Company’s obligation to deliver the Deferred Underwriting Commission has been fulfilled.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April 22, 2024, the Sponsor entered into a backstop subscription agreement (the “Backstop Subscription Agreement”) with the Company and Legacy Blaize. Pursuant to the Backstop Subscription Agreement, in the event that the amount of cash in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9 to the consolidated financial statements in Item 8. of this Annual Report).</w:t>
      </w:r>
    </w:p>
    <w:p>
      <w:pPr>
        <w:spacing w:after="0" w:line="75" w:lineRule="exact"/>
        <w:rPr>
          <w:sz w:val="20"/>
          <w:szCs w:val="20"/>
          <w:color w:val="auto"/>
        </w:rPr>
      </w:pPr>
    </w:p>
    <w:p>
      <w:pPr>
        <w:ind w:right="1060" w:firstLine="449"/>
        <w:spacing w:after="0" w:line="375" w:lineRule="auto"/>
        <w:rPr>
          <w:sz w:val="20"/>
          <w:szCs w:val="20"/>
          <w:color w:val="auto"/>
        </w:rPr>
      </w:pPr>
      <w:r>
        <w:rPr>
          <w:rFonts w:ascii="Times New Roman" w:cs="Times New Roman" w:eastAsia="Times New Roman" w:hAnsi="Times New Roman"/>
          <w:sz w:val="18"/>
          <w:szCs w:val="18"/>
          <w:color w:val="auto"/>
        </w:rPr>
        <w:t xml:space="preserve">The Backstop Subscription Agreement was waived at the time of the execution of the Non-Redemption Agreement (as defined below). </w:t>
      </w:r>
      <w:r>
        <w:rPr>
          <w:rFonts w:ascii="Times New Roman" w:cs="Times New Roman" w:eastAsia="Times New Roman" w:hAnsi="Times New Roman"/>
          <w:sz w:val="18"/>
          <w:szCs w:val="18"/>
          <w:b w:val="1"/>
          <w:bCs w:val="1"/>
          <w:i w:val="1"/>
          <w:iCs w:val="1"/>
          <w:color w:val="auto"/>
        </w:rPr>
        <w:t>Non-Redemption Agreement</w:t>
      </w:r>
    </w:p>
    <w:p>
      <w:pPr>
        <w:spacing w:after="0" w:line="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or around December 31, 2024, the Company entered into agreements (each, a “Non-Redemption Agreement” and collectively, the “Non-Redemption Agreements”)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Business Combination.</w:t>
      </w:r>
    </w:p>
    <w:p>
      <w:pPr>
        <w:spacing w:after="0" w:line="8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accounts for its Non-Redemption Agreement in accordance with the guidance contained in ASC 815-40, “Derivatives and Hedging”, under which the Non-Redemption Agreement does not meet the criteria for equity treatment and must be recorded as a liability. Accordingly, the Company classified the Backstop Subscription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(see Note 9 to the consolidated financial statements in Item 8. of this Annual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Subscription Agreements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between December 31, 2024 and January 13, 2025 the Company and Legacy Blaize entered into subscription agreements (the “PIPE Subscription Agreements”) with certain unaffiliated third-party investors and Burkhan Capital LLC (each, a “PIPE Investor” and collectively, the “PIPE Investors”), pursuant to which, among other things, the Company agreed to issue and sell to the PIPE Investors, and the PIPE Investors agreed to subscribe for and purchase 1,540,300 shares of the Company’s common stock, par value $0.0001 per share (“PIPE Shares”) at a purchase price of $10.00 per share for an aggregate purchase price of $15,403,000, in a private placement. The transactions contemplated by the PIPE Subscription Agreement (the “PIPE Investment”) are expected to consummate substantially concurrently with the Closing.</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January 13, 2025, immediately following the Closing, the Company issued 1,540,300 shares of Common Stock, at a price of $10.00 per share for an aggregate PIPE Investment of $15,403,000 in accordance with the terms of the PIPE Subscription Agreements. The shares of Common Stock issued in the PIPE Investments were offered in a private placement under the Securities Act of 1933, as amended (the “Securities Act”), pursuant to the PIPE Subscription Agreements</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terms of the PIPE Subscription Agreements, the Company was obligated to file a registration statement to register for the resale of all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through the date of our Business Combination. Our only activities through December 31, 2024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had a net loss of $4,113,532, which consisted of change in fair value of derivative liability – Non-Redemption Agreement of $1,084,963, operating costs, penalties and interest related to excise taxes, and franchise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of $4,976,528, and provision for income taxes of $517,179, partially offset by interest from investments held in our Trust Account of $2,465,138.</w:t>
      </w:r>
    </w:p>
    <w:p>
      <w:pPr>
        <w:spacing w:after="0" w:line="11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had a net income of $1,339,142, which consisted of interest from investments held in our Trust Account of $5,751,596, offset by $3,384,810 in operating costs and franchise taxes and provision for income taxes of $1,027,644.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$1,506 in cash, $757,336 in restricted cash and $47,558,112 in investments held in trust. Restricted cash is held exclusively for payment of current tax liabilities. As of December 31, 2024, $4,214,138 of the amount on deposit in the Trust Account represents interest income.</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liquidity needs up to December 31, 2024 had been satisfied through a payment from the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December 31, 2024, the Company had $1,500,000 outstanding under a Convertible Promissory Note and $2,971,258 outstanding as advances from the Sponsor.</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completed its Business Combination on January 13, 2025.</w:t>
      </w:r>
    </w:p>
    <w:p>
      <w:pPr>
        <w:spacing w:after="0" w:line="11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w:t>
      </w:r>
    </w:p>
    <w:p>
      <w:pPr>
        <w:spacing w:after="0" w:line="7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Such contingent obligation could require the use of cash or impact the collection of cash in future periods; however, we are unable to accurately predict the timing and estimate the amount of such contingent obligation as of December 31, 2024.</w:t>
      </w:r>
    </w:p>
    <w:p>
      <w:pPr>
        <w:spacing w:after="0" w:line="8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Accounting Standards Codification Subtopic 205-40, “Presentation of Consolidated Financial Statements – Going Concern,” Management has determined that the liquidity condition raises substantial doubt about the Company’s ability to continue as a going concern for at least one year from the date the consolidated financial statements contained in Annual Report are issued.</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December 31,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we will cease paying these monthly fees.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Actual results could differ from those estimates. We have identified the following as our critical accounting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of December 31, 2024, we accounted for our shares of BurTech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December 31, 2024 and 2023, 4,104,543 and 4,345,663 Class A common stock subject to possible redemption, respectively, are presented at redemption value as temporary equity, outside of the stockholders’ deficit section of our balance sheets.</w:t>
      </w:r>
    </w:p>
    <w:p>
      <w:pPr>
        <w:spacing w:after="0" w:line="8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6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 - Backstop Subscription Agreement</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(see Note 6 to the consolidated financial statements in Item 8. of this Annual Report)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Model (“PWERM”). The Backstop Subscription Agreement was waived at the execution of the Non-Redemption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 – Non-Redemption Agreement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its Non-Redemption Agreement (see Note 6 to the consolidated financial statements in Item 8. of this Annual Report) in accordance with the guidance contained in ASC 815-40, “Derivatives and Hedging”, under which the Non-Redemption Agreement does not meet the criteria for equity treatment and must be recorded as a liability. Accordingly, the Company classified the Non-Redemption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The Non-Redemption Agreement is valued using a Monte Carlo model.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Stock</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(losses) earnings per share for the year ended December 31, 2024 and 2023 because the warrants are contingently exercisable, and the contingencies have not yet been met and its inclusion would be anti-dilutive. As a result, diluted net (loss) income per common stock is the same as basic net (loss) income per common stock for the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Our management does not believe the adoption of ASU 2023-09 will have a material impact on our consolidated financial statements.</w:t>
      </w:r>
    </w:p>
    <w:p>
      <w:pPr>
        <w:spacing w:after="0" w:line="7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We adopted ASU 2023-07 as required for the year ended December 31, 2024. The adoption requires us to provide additional disclosures, but otherwise it does not materially impact our consolidated financial statements.</w:t>
      </w:r>
    </w:p>
    <w:p>
      <w:pPr>
        <w:spacing w:after="0" w:line="8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financial information included in this Item 8. is that of BurTech Acquisition Corp. prior to the Business Combination, as the Business Combination was consummated subsequent to the period covered by these audited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1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Firm ID: 688)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4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4400" w:type="dxa"/>
            <w:vAlign w:val="bottom"/>
            <w:gridSpan w:val="4"/>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912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3440" w:type="dxa"/>
            <w:vAlign w:val="bottom"/>
            <w:tcBorders>
              <w:left w:val="single" w:sz="8" w:color="0000EE"/>
            </w:tcBorders>
            <w:shd w:val="clear" w:color="auto" w:fill="0000FF"/>
          </w:tcPr>
          <w:p>
            <w:pPr>
              <w:spacing w:after="0" w:line="20" w:lineRule="exact"/>
              <w:rPr>
                <w:sz w:val="1"/>
                <w:szCs w:val="1"/>
                <w:color w:val="auto"/>
              </w:rPr>
            </w:pPr>
          </w:p>
        </w:tc>
        <w:tc>
          <w:tcPr>
            <w:tcW w:w="30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718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Deficit for the years ended December 31, 2024 and 2023</w:t>
            </w:r>
          </w:p>
        </w:tc>
        <w:tc>
          <w:tcPr>
            <w:tcW w:w="194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648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and 2023</w:t>
            </w:r>
          </w:p>
        </w:tc>
        <w:tc>
          <w:tcPr>
            <w:tcW w:w="2640" w:type="dxa"/>
            <w:vAlign w:val="bottom"/>
            <w:gridSpan w:val="2"/>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344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5680" w:type="dxa"/>
            <w:vAlign w:val="bottom"/>
            <w:gridSpan w:val="6"/>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493"/>
        </w:trPr>
        <w:tc>
          <w:tcPr>
            <w:tcW w:w="6440" w:type="dxa"/>
            <w:vAlign w:val="bottom"/>
            <w:gridSpan w:val="4"/>
          </w:tcPr>
          <w:p>
            <w:pPr>
              <w:ind w:left="554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6"/>
        </w:trPr>
        <w:tc>
          <w:tcPr>
            <w:tcW w:w="3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2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Holdings, Inc. (the “Company”) as of December 31, 2024 and 2023, the related consolidated statements of operations,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Marcum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2021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757,336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from sponsor</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36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12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758,842</w:t>
            </w:r>
          </w:p>
        </w:tc>
        <w:tc>
          <w:tcPr>
            <w:tcW w:w="28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47,558,112</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46,893,175</w:t>
            </w:r>
          </w:p>
        </w:tc>
        <w:tc>
          <w:tcPr>
            <w:tcW w:w="12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48,316,954</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4,882,163</w:t>
            </w:r>
          </w:p>
        </w:tc>
        <w:tc>
          <w:tcPr>
            <w:tcW w:w="2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2,123,846</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Trust Account</w:t>
            </w:r>
          </w:p>
        </w:tc>
        <w:tc>
          <w:tcPr>
            <w:tcW w:w="36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810,345</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Advances from sponsor</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2,971,258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517,179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Derivative liability - Non-Redemption Agreement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1,084,963</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Excise tax payable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2,861,625</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12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14,017,188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underwriting commission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12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24,079,688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41,441,175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4,104,543 and 4,345,663 shares at redemption</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value of approximately $11.60 and $10.81 as of December 31, 2024 and 2023, respectively</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47,598,269</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46,991,932</w:t>
            </w:r>
          </w:p>
        </w:tc>
        <w:tc>
          <w:tcPr>
            <w:tcW w:w="120" w:type="dxa"/>
            <w:vAlign w:val="bottom"/>
            <w:shd w:val="clear" w:color="auto" w:fill="CFF0FC"/>
          </w:tcPr>
          <w:p>
            <w:pPr>
              <w:spacing w:after="0"/>
              <w:rPr>
                <w:sz w:val="20"/>
                <w:szCs w:val="20"/>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10,816,995 shares issued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outstanding (excluding 4,104,543 and 4,345,663 shares subject to possible redemption) as of</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20"/>
                <w:szCs w:val="20"/>
                <w:color w:val="auto"/>
              </w:rPr>
            </w:pPr>
          </w:p>
        </w:tc>
      </w:tr>
      <w:tr>
        <w:trPr>
          <w:trHeight w:val="198"/>
        </w:trPr>
        <w:tc>
          <w:tcPr>
            <w:tcW w:w="7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5 shares issued and</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as of December 31, 2024 and 2023</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(23,362,085 )</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(15,839,811 )</w:t>
            </w: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(23,361,003 )</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(15,838,729 )</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48,316,954</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-3925570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-3908425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-3925570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-3908425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4,459,541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3,040,539</w:t>
            </w:r>
          </w:p>
        </w:tc>
        <w:tc>
          <w:tcPr>
            <w:tcW w:w="12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Penalties and interest on excise tax</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expense</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206,259</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(4,976,528 )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(3,384,810 )</w:t>
            </w:r>
          </w:p>
        </w:tc>
      </w:tr>
      <w:tr>
        <w:trPr>
          <w:trHeight w:val="216"/>
        </w:trPr>
        <w:tc>
          <w:tcPr>
            <w:tcW w:w="8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2,465,138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12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 – Non-Redemption Agreement</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(1,084,963 )</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1,380,175</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12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(3,596,353 )</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2,366,786</w:t>
            </w:r>
          </w:p>
        </w:tc>
        <w:tc>
          <w:tcPr>
            <w:tcW w:w="12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(517,179 )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(1,027,644 )</w:t>
            </w:r>
          </w:p>
        </w:tc>
      </w:tr>
      <w:tr>
        <w:trPr>
          <w:trHeight w:val="20"/>
        </w:trPr>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(4,113,532 )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1,339,142</w:t>
            </w:r>
          </w:p>
        </w:tc>
        <w:tc>
          <w:tcPr>
            <w:tcW w:w="120" w:type="dxa"/>
            <w:vAlign w:val="bottom"/>
            <w:shd w:val="clear" w:color="auto" w:fill="CFF0FC"/>
          </w:tcPr>
          <w:p>
            <w:pPr>
              <w:spacing w:after="0"/>
              <w:rPr>
                <w:sz w:val="21"/>
                <w:szCs w:val="21"/>
                <w:color w:val="auto"/>
              </w:rPr>
            </w:pPr>
          </w:p>
        </w:tc>
      </w:tr>
      <w:tr>
        <w:trPr>
          <w:trHeight w:val="197"/>
        </w:trPr>
        <w:tc>
          <w:tcPr>
            <w:tcW w:w="8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subject to redemption:</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4,333,146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10,578,271</w:t>
            </w:r>
          </w:p>
        </w:tc>
        <w:tc>
          <w:tcPr>
            <w:tcW w:w="120" w:type="dxa"/>
            <w:vAlign w:val="bottom"/>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34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(0.27 )</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20"/>
                <w:szCs w:val="20"/>
                <w:color w:val="auto"/>
              </w:rPr>
            </w:pPr>
          </w:p>
        </w:tc>
      </w:tr>
      <w:tr>
        <w:trPr>
          <w:trHeight w:val="197"/>
        </w:trPr>
        <w:tc>
          <w:tcPr>
            <w:tcW w:w="81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Non-redeemable Class A common stock:</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10,816,995</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1,803,670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8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34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(0.27 )</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Class B common stock:</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9,071,610</w:t>
            </w:r>
          </w:p>
        </w:tc>
        <w:tc>
          <w:tcPr>
            <w:tcW w:w="120" w:type="dxa"/>
            <w:vAlign w:val="bottom"/>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basic and diluted</w:t>
            </w:r>
          </w:p>
        </w:tc>
        <w:tc>
          <w:tcPr>
            <w:tcW w:w="34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(0.27 )</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18"/>
                <w:szCs w:val="18"/>
                <w:color w:val="auto"/>
              </w:rPr>
            </w:pPr>
          </w:p>
        </w:tc>
      </w:tr>
      <w:tr>
        <w:trPr>
          <w:trHeight w:val="20"/>
        </w:trPr>
        <w:tc>
          <w:tcPr>
            <w:tcW w:w="8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-2948305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-1551305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-1533525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-1551305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-951230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-951230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-650875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-633730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-650875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72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3"/>
                <w:szCs w:val="13"/>
                <w:color w:val="auto"/>
              </w:rPr>
            </w:pPr>
          </w:p>
        </w:tc>
        <w:tc>
          <w:tcPr>
            <w:tcW w:w="20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172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1"/>
        </w:trPr>
        <w:tc>
          <w:tcPr>
            <w:tcW w:w="34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10,816,9</w:t>
            </w: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(15,839,811 )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(15,838,729 )</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Accretion for common stock subject to</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amount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(3,380,995 )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(3,380,995 )</w:t>
            </w: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Excise tax liability arising from redemption</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Class A shares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(27,747 )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(27,747 )</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(4,113,532 )</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(4,113,532 )</w:t>
            </w:r>
          </w:p>
        </w:tc>
        <w:tc>
          <w:tcPr>
            <w:tcW w:w="0" w:type="dxa"/>
            <w:vAlign w:val="bottom"/>
          </w:tcPr>
          <w:p>
            <w:pPr>
              <w:spacing w:after="0"/>
              <w:rPr>
                <w:sz w:val="1"/>
                <w:szCs w:val="1"/>
                <w:color w:val="auto"/>
              </w:rPr>
            </w:pPr>
          </w:p>
        </w:tc>
      </w:tr>
      <w:tr>
        <w:trPr>
          <w:trHeight w:val="187"/>
        </w:trPr>
        <w:tc>
          <w:tcPr>
            <w:tcW w:w="346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00" w:type="dxa"/>
            <w:vAlign w:val="bottom"/>
            <w:tcBorders>
              <w:top w:val="single" w:sz="8" w:color="auto"/>
            </w:tcBorders>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10,816,9</w:t>
            </w: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4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(23,362,085 )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(23,361,003 )</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460" w:type="dxa"/>
            <w:vAlign w:val="bottom"/>
          </w:tcPr>
          <w:p>
            <w:pPr>
              <w:spacing w:after="0"/>
              <w:rPr>
                <w:sz w:val="24"/>
                <w:szCs w:val="24"/>
                <w:color w:val="auto"/>
              </w:rPr>
            </w:pPr>
          </w:p>
        </w:tc>
        <w:tc>
          <w:tcPr>
            <w:tcW w:w="172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24"/>
                <w:szCs w:val="24"/>
                <w:color w:val="auto"/>
              </w:rPr>
            </w:pPr>
          </w:p>
        </w:tc>
        <w:tc>
          <w:tcPr>
            <w:tcW w:w="20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172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1,329,50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9,487,50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(10,145,752 )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(10,144,670 )</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 Class B to Class A Shares</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9,487,49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(9,487,4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(949 )</w:t>
            </w:r>
          </w:p>
        </w:tc>
        <w:tc>
          <w:tcPr>
            <w:tcW w:w="22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 Non-Redemption Agreement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8,758,683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8,758,683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Non-Redemption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(8,758,683 )</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(8,758,683 )</w:t>
            </w: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Excise tax liability arising from redemption</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Class A shares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(2,523,150 )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(2,523,150 )</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Accretion for common stock subject to</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amount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(4,510,051 )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(4,510,051 )</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1,339,142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1,339,142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6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10,816,9</w:t>
            </w: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(15,839,811 )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(15,838,729 )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-2382520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-2365375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-2382520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-2365375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-2382520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-2365375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-2382520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-2365375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-2382520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-2365375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-2382520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-2365375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-2382520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-307975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-307975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-307975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-307975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-307975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-307975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5540" w:right="1980" w:hanging="317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The accompanying notes are an integral part of these audited consolidated financial statements </w:t>
      </w: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(4,113,532 )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1,339,142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4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(2,465,138 )</w:t>
            </w: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(5,751,596 )</w:t>
            </w: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Penalties and interest on excise taxes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310,728</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liability – Non-Redemption Agreement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1,084,963</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2,722,517</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1,618,895</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tax payable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(510,465 )</w:t>
            </w: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235,886</w:t>
            </w:r>
          </w:p>
        </w:tc>
        <w:tc>
          <w:tcPr>
            <w:tcW w:w="100" w:type="dxa"/>
            <w:vAlign w:val="bottom"/>
            <w:shd w:val="clear" w:color="auto" w:fill="CFF0FC"/>
          </w:tcPr>
          <w:p>
            <w:pPr>
              <w:spacing w:after="0"/>
              <w:rPr>
                <w:sz w:val="18"/>
                <w:szCs w:val="18"/>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(2,770,927 )</w:t>
            </w: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(2,335,341 )</w:t>
            </w:r>
          </w:p>
        </w:tc>
      </w:tr>
      <w:tr>
        <w:trPr>
          <w:trHeight w:val="209"/>
        </w:trPr>
        <w:tc>
          <w:tcPr>
            <w:tcW w:w="75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withdrawn from Trust Account used to pay franchise and income taxes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664,839</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1,314,246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deposits into Trust Account for Extension</w:t>
            </w:r>
          </w:p>
        </w:tc>
        <w:tc>
          <w:tcPr>
            <w:tcW w:w="4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(1,639,296 )</w:t>
            </w: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(130,370 )</w:t>
            </w: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Sponsor</w:t>
            </w:r>
          </w:p>
        </w:tc>
        <w:tc>
          <w:tcPr>
            <w:tcW w:w="4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2,774,658</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227,776,035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1,800,201</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230,122,112</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advances from Sponsor</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2,971,258</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689,655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(2,774,658 )</w:t>
            </w:r>
          </w:p>
        </w:tc>
        <w:tc>
          <w:tcPr>
            <w:tcW w:w="6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5"/>
              </w:rPr>
              <w:t>(227,776,035 )</w:t>
            </w:r>
          </w:p>
        </w:tc>
      </w:tr>
      <w:tr>
        <w:trPr>
          <w:trHeight w:val="20"/>
        </w:trPr>
        <w:tc>
          <w:tcPr>
            <w:tcW w:w="75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886,255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(226,965,690 )</w:t>
            </w:r>
          </w:p>
        </w:tc>
      </w:tr>
      <w:tr>
        <w:trPr>
          <w:trHeight w:val="210"/>
        </w:trPr>
        <w:tc>
          <w:tcPr>
            <w:tcW w:w="75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4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(84,471 )</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821,081</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restricted cash – beginning of period</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758,842</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843,313</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791,758</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3,380,995</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 beginning of period</w:t>
            </w:r>
          </w:p>
        </w:tc>
        <w:tc>
          <w:tcPr>
            <w:tcW w:w="4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 beginning of period</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restricted cash – beginning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30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00" w:type="dxa"/>
            <w:vAlign w:val="bottom"/>
            <w:tcBorders>
              <w:top w:val="single" w:sz="8" w:color="CFF0FC"/>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 end of period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3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 end of period</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757,336</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758,842</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-4954270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-3839845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-2999740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-2433955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-753745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BurTech Acquisition Corp. ("BurTech" or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72"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 The Company’s sponsor is BurTech LP LLC, (the “Sponsor”).</w:t>
      </w:r>
    </w:p>
    <w:p>
      <w:pPr>
        <w:spacing w:after="0" w:line="54"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not commenced any operations. All activity for the period from March 2, 2021 (inception) through December 31, 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 Merger Sub”), Blaize, Inc., a Delaware corporation (“Legacy Blaize”), and, solely for the limited purposes set forth therein, Burkhan Capital LLC, a Delaware limited liability company (“Burkhan”), pursuant to which Merger Sub will merge with and into Legacy Blaize, whereupon the separate corporate existence of Merger Sub will cease and Legacy Blaize will be the surviving company and continue in existence as a direct, wholly owned subsidiary of BurTech, on the terms and subject to the conditions set forth therein (the “Merger” and, collectively with the other transactions described in the Merger Agreement, the “Business Combination”). In connection with the consummation of the Business Combination, BurTech will be renamed “Blaize Holdings, Inc.” (“Blaize”).</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22, 2024, the Company entered into an amendment of its Merger Agreement which modified certain terms and conditions as follows:</w:t>
      </w:r>
    </w:p>
    <w:p>
      <w:pPr>
        <w:spacing w:after="0" w:line="63" w:lineRule="exact"/>
        <w:rPr>
          <w:sz w:val="20"/>
          <w:szCs w:val="20"/>
          <w:color w:val="auto"/>
        </w:rPr>
      </w:pPr>
    </w:p>
    <w:p>
      <w:pPr>
        <w:ind w:left="52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1"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1"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1"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2025 Plan and 2025 ESPP (each as defined below) to 20% of the aggregate number of shares of the Company’s common stock issued and outstanding immediately after the closing of the Business Combination and the evergreen percentage for the 2025 Plan to 7% of the aggregate number of shares of the Company’s common stock issued and outstanding on the last day of the calendar year immediately preceding the year of the applicable evergreen increase.</w:t>
      </w:r>
    </w:p>
    <w:p>
      <w:pPr>
        <w:spacing w:after="0" w:line="17" w:lineRule="exact"/>
        <w:rPr>
          <w:rFonts w:ascii="Times New Roman" w:cs="Times New Roman" w:eastAsia="Times New Roman" w:hAnsi="Times New Roman"/>
          <w:sz w:val="18"/>
          <w:szCs w:val="18"/>
          <w:color w:val="auto"/>
        </w:rPr>
      </w:pPr>
    </w:p>
    <w:p>
      <w:pPr>
        <w:ind w:left="520" w:right="2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Merger Sub, Legacy Blaize and Burkhan amended the Agreement and Plan of Merger, amending the original Merger Agreement to make the following adjustments:</w:t>
      </w:r>
    </w:p>
    <w:p>
      <w:pPr>
        <w:spacing w:after="0" w:line="1" w:lineRule="exact"/>
        <w:rPr>
          <w:sz w:val="20"/>
          <w:szCs w:val="20"/>
          <w:color w:val="auto"/>
        </w:rPr>
      </w:pPr>
    </w:p>
    <w:p>
      <w:pPr>
        <w:ind w:left="840" w:hanging="44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Base Purchase Price from $700 million to $767 million.</w:t>
      </w:r>
    </w:p>
    <w:p>
      <w:pPr>
        <w:spacing w:after="0" w:line="63" w:lineRule="exact"/>
        <w:rPr>
          <w:rFonts w:ascii="Times New Roman" w:cs="Times New Roman" w:eastAsia="Times New Roman" w:hAnsi="Times New Roman"/>
          <w:sz w:val="18"/>
          <w:szCs w:val="18"/>
          <w:color w:val="auto"/>
        </w:rPr>
      </w:pPr>
    </w:p>
    <w:p>
      <w:pPr>
        <w:ind w:left="840" w:right="20" w:hanging="44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Legacy Blaize Note Financing and the Legacy Blaize Warrant Financing constitute a Company Financing for all purposes of the Merger Agreement.</w:t>
      </w:r>
    </w:p>
    <w:p>
      <w:pPr>
        <w:spacing w:after="0" w:line="1" w:lineRule="exact"/>
        <w:rPr>
          <w:rFonts w:ascii="Times New Roman" w:cs="Times New Roman" w:eastAsia="Times New Roman" w:hAnsi="Times New Roman"/>
          <w:sz w:val="18"/>
          <w:szCs w:val="18"/>
          <w:color w:val="auto"/>
        </w:rPr>
      </w:pPr>
    </w:p>
    <w:p>
      <w:pPr>
        <w:ind w:left="840" w:hanging="44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(a) the number of shares of the Excluded Company Stock multiplied by (b) the Per Company Share Merger Consideration.</w:t>
      </w:r>
    </w:p>
    <w:p>
      <w:pPr>
        <w:spacing w:after="0" w:line="1" w:lineRule="exact"/>
        <w:rPr>
          <w:rFonts w:ascii="Times New Roman" w:cs="Times New Roman" w:eastAsia="Times New Roman" w:hAnsi="Times New Roman"/>
          <w:sz w:val="18"/>
          <w:szCs w:val="18"/>
          <w:color w:val="auto"/>
        </w:rPr>
      </w:pPr>
    </w:p>
    <w:p>
      <w:pPr>
        <w:jc w:val="both"/>
        <w:ind w:left="840" w:hanging="443"/>
        <w:spacing w:after="0" w:line="266"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p>
      <w:pPr>
        <w:spacing w:after="0" w:line="13" w:lineRule="exact"/>
        <w:rPr>
          <w:rFonts w:ascii="Times New Roman" w:cs="Times New Roman" w:eastAsia="Times New Roman" w:hAnsi="Times New Roman"/>
          <w:sz w:val="18"/>
          <w:szCs w:val="18"/>
          <w:color w:val="auto"/>
        </w:rPr>
      </w:pPr>
    </w:p>
    <w:p>
      <w:pPr>
        <w:jc w:val="both"/>
        <w:ind w:left="840" w:hanging="443"/>
        <w:spacing w:after="0" w:line="266"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(a) 325,000 Company Shares multiplied by (b.) the Cash Ratio; (viii) Added a closing condition for the benefit of Legacy Blaize requiring that the sum of the Trust Amount plus the amount of funds received pursuant to the Backstop Subscription Agreement shall be no less than the Backstop Amount.</w:t>
      </w:r>
    </w:p>
    <w:p>
      <w:pPr>
        <w:spacing w:after="0" w:line="13" w:lineRule="exact"/>
        <w:rPr>
          <w:rFonts w:ascii="Times New Roman" w:cs="Times New Roman" w:eastAsia="Times New Roman" w:hAnsi="Times New Roman"/>
          <w:sz w:val="18"/>
          <w:szCs w:val="18"/>
          <w:color w:val="auto"/>
        </w:rPr>
      </w:pPr>
    </w:p>
    <w:p>
      <w:pPr>
        <w:jc w:val="both"/>
        <w:ind w:left="840" w:hanging="443"/>
        <w:spacing w:after="0" w:line="266"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On October 24, 2024, the Company, Legacy Blaize and Burkhan entered into an Amendment No. 2 to Agreement and Plan of Merger (the “Second Amendment to Merger Agreement”). The Second Amendment to Merger Agreement amended the original merger agreement to revise the Blaize Board designees to be comprised of nine members, including four individuals to be designated by Legacy Blaize (rather than two individuals to be designated by the Sponsor and two individuals to be designated by Legacy Blaize in the previous merger agreement) and five independent directors, designated by Legacy Blaize after consultation, in good faith, with the Company regarding the determination of the independent directors, with Lane M. Bess to be designated as the Chairman until a new chairperson is appointed by the Blaize Board.</w:t>
      </w:r>
    </w:p>
    <w:p>
      <w:pPr>
        <w:spacing w:after="0" w:line="79"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November 21, 2024, the Company, Legacy Blaize and Burkhan entered into an Amendment No. 3 to Agreement and Plan of Merger (the “Third Amendment to Merger Agreement”). The Third Amendment to Merger Agreement amended the original merger agreement to (i) revise the Blaize Board designees to be comprised of seven members, including two individuals to be designated by Legacy Blaize and five independent directors, designated by Legacy Blaize after consultation, in good faith, with the Company regarding the determination of the independent directors, with Lane M. Bess to be designated as the Chairman until a new chairperson is appointed by the Blaize Board, (ii) remove the agreement between the Company,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Blaize Board will not be a classified board.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and Closing of the Transactions</w:t>
      </w:r>
    </w:p>
    <w:p>
      <w:pPr>
        <w:spacing w:after="0" w:line="11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December 23, 2024, the Company held a special meeting in lieu of the 2024 annual meeting of stockholders (the “Special Meeting”), at which the Company’s stockholders considered and adopted, among other matters, a proposal to approve the Business Combination, including (a) adopting the Merger Agreement and (b) approving the other transactions contemplated by the Merger Agreement and related agreements described in the Proxy Statement/Prospectus.</w:t>
      </w:r>
    </w:p>
    <w:p>
      <w:pPr>
        <w:spacing w:after="0" w:line="72" w:lineRule="exact"/>
        <w:rPr>
          <w:sz w:val="20"/>
          <w:szCs w:val="20"/>
          <w:color w:val="auto"/>
        </w:rPr>
      </w:pPr>
    </w:p>
    <w:p>
      <w:pPr>
        <w:ind w:right="40" w:firstLine="389"/>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following the Special Meeting, on January 13, 2025 (the “Closing Date”), the Business Combination was consummated (the “Closing”).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the Business Combination</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7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68"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68" w:lineRule="exact"/>
        <w:rPr>
          <w:sz w:val="20"/>
          <w:szCs w:val="20"/>
          <w:color w:val="auto"/>
        </w:rPr>
      </w:pPr>
    </w:p>
    <w:p>
      <w:pPr>
        <w:jc w:val="both"/>
        <w:ind w:firstLine="444"/>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68"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8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7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79"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80"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68"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March 10, 2023, the Company and Sponsor entered into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80"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68"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w:t>
      </w:r>
    </w:p>
    <w:p>
      <w:pPr>
        <w:spacing w:after="0" w:line="1" w:lineRule="exact"/>
        <w:rPr>
          <w:sz w:val="20"/>
          <w:szCs w:val="20"/>
          <w:color w:val="auto"/>
        </w:rPr>
      </w:pPr>
    </w:p>
    <w:p>
      <w:pPr>
        <w:jc w:val="both"/>
        <w:ind w:firstLine="8"/>
        <w:spacing w:after="0" w:line="25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From January through November, the Sponsor deposited $130,370 approximately the 15th of each month into the Trust Account to extend the life of the Company from January 15, 2024 to December 15, 2024.</w:t>
      </w:r>
    </w:p>
    <w:p>
      <w:pPr>
        <w:spacing w:after="0" w:line="82"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In connection with the stockholders’ vote at the Third Special Meeting of stockholders held by the Company on December 9, 2024, The Company’s stockholders redeemed 241,120 shares during the Third Special Meeting. As a result, approximately $2.7 million (approximately $11.51 per share) was removed from the Company’s trust account to pay such holders. The amount was removed from the Trust Account on December 12, 2024. In conjunction with these redemptions, the stockholders also voted on extending the extended liquidation from December 15, 2024 to May 15, 2025, (the “extended liquidation date”) extending the life of the Company to complete an initial business combination. The Company has the right to extend the time to complete a business combination until May 15, 2025, by depositing into the Trust Account the lesser of $0.05 per unredeemed share of Class A common stock or $205,227 (the “New Extension Payment”) for each one-month Extension. On December 15, 2024 the Sponsor deposited $205,227 on into the Trust Account to extend the life of the Company to January 15, 2025.</w:t>
      </w:r>
    </w:p>
    <w:p>
      <w:pPr>
        <w:spacing w:after="0" w:line="84"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68"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86"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84"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On December 11, 2024, the Company received a notice (the “Notice”) from the Nasdaq Stock Market LLC (“Nasdaq”), stating that the Company did not comply with Nasdaq Interpretive Material IM-5101-2 (“IM-5101-2”), and that its securities are now subject to delisting. Pursuant to IM-5101-2, the Company, a special purpose acquisition company, must complete one or more business combinations within 36 months of the effectiveness of its IPO registration statement. Since the Company did not complete its initial business combination by December 10, 2024, the Company did not comply with IM-5101-2, and its securities are now subject to delisting. Unless the Company requests a timely appeal of this determination by Nasdaq, trading of the Company’s securities on Nasdaq will be suspended at the opening of business on December 18, 2024, and a Form 25-NSE will be filed with the Securities and Exchange Commission (the “SEC”), which will remove the Company’s securities from listing on Nasdaq. The Company will not appeal Nasdaq’s determination to delist the Company securities and accordingly, the Company’s securities will be suspended from trading on Nasdaq at the opening of business on December 18, 2024. The Company plans to transfer its securities to OTC for quotation under the same ticker symbols following the delisting of the Company’s securities on Nasdaq.</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18, 2024, the Company and Legacy Blaize filed the registration statement Form S-4 related the Business Combination detailed below.</w:t>
      </w:r>
    </w:p>
    <w:p>
      <w:pPr>
        <w:spacing w:after="0" w:line="117"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held a special meeting in lieu of the 2024 annual meeting of the stockholders of the Company (the “Special Meeting”) in connection with the Business Combination and other related matters, as described in the definitive proxy statement filed by the Company with the Securities and Exchange Commission on December 2, 2024 (the “Proxy Statement”).</w:t>
      </w:r>
    </w:p>
    <w:p>
      <w:pPr>
        <w:spacing w:after="0" w:line="6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In connection with the stockholders’ vote on December 23, 2024 (discussed above) and after certain Investors entered into the Non-Redemption Agreements, 937,844 shares were tendered for redemption on January 12, 2025. As a result, approximately $10.9 million (approximately $11.58 per share) will be removed from the Company’s trust account to pay such holders, after taking into account additional allocation of payments to cover any tax obligation of the Company, such as franchise taxes, but not including any excise tax, since that date. Following redemptions and execution of the Non-Redemption Agreements, the Company will have approximately $36.6 million in the Company’s trust account. In connection with the Non-Redemption Agreements, approximately $33.1 million will be transferred into a separate escrow account with Continental Stock Transfer &amp; Trust Company at the closing of the Business Combination and held until such Non-Redeemed Shares are either sold in the market and/or put to the Company in accordance with the procedures described above and such funds are then distributed to the Investors and Company accordingly.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right="20" w:firstLine="38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$1,506 in cash, $757,336 in restricted cash, and $47,558,112 in investments held in trust. Restricted cash is held exclusively for payment of current tax liabilities and $40,157 of over withdrawn interest from the Trust Account. As of December 31, 2024, $4,214,138 of the amount on deposit in the Trust Account represents interest income.</w:t>
      </w:r>
    </w:p>
    <w:p>
      <w:pPr>
        <w:spacing w:after="0" w:line="68"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Our liquidity needs up to December 31,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December 31, 2024, the Company had $1,500,000 outstanding under a Convertible Promissory Note and $2,971,258 outstanding as advances from sponsor.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Until the consummation of the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68"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As discussed above, the Company consummated the Closing on January 13, 2025. As such, management of Legacy Blaize has determined that due to the incurred recurring losses and negative cash flows incurred and projected, there is a liquidity condition due to working capital restrictions.</w:t>
      </w:r>
    </w:p>
    <w:p>
      <w:pPr>
        <w:spacing w:after="0" w:line="54"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w:t>
      </w:r>
    </w:p>
    <w:p>
      <w:pPr>
        <w:spacing w:after="0" w:line="72"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Such contingent obligation could require the use of cash or impact the collection of cash in future periods; however, we are unable to accurately predict the timing and estimate the amount of such contingent obligation as of December 31, 2024.</w:t>
      </w:r>
    </w:p>
    <w:p>
      <w:pPr>
        <w:spacing w:after="0" w:line="84"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raises substantial doubt about the Company’s ability to continue as a going concern for at least one year from the date the consolidated financial statements are issued.</w:t>
      </w:r>
    </w:p>
    <w:p>
      <w:pPr>
        <w:spacing w:after="0" w:line="7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72"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121" w:lineRule="exact"/>
        <w:rPr>
          <w:sz w:val="20"/>
          <w:szCs w:val="20"/>
          <w:color w:val="auto"/>
        </w:rPr>
      </w:pPr>
    </w:p>
    <w:p>
      <w:pPr>
        <w:jc w:val="both"/>
        <w:ind w:right="20" w:firstLine="389"/>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year ended December 31, 2024, the Company withdrew $664,838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as of December 31, 2024 and 2023 amounted to nil and $318,888, respectively. As of December 31, 2024 and 2023, the balance in restricted cash in the amount of $757,336 and $843,313, respectively, on the accompanying consolidated balance sheets, represents amounts withheld from the trust account available exclusively for payment of current tax liabilities, except for 2024 which includes $40,157 over withdrawn from the Trust Account for taxes.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conformity with accounting principles generally accepted in the U.S. (“GAAP”) and pursuant to the rules and regulations of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to Prior Financial Statements</w:t>
      </w:r>
    </w:p>
    <w:p>
      <w:pPr>
        <w:spacing w:after="0" w:line="121"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On December 11, 2023, the Company converted 9,487,495 Class B Shares to Class A Shares. In prior financial statements it was reflected that 9,487,500 were transferred from Class B shares to Class A shares. This revision only impacts the consolidated statements of equity whereas 5 shares are shown as Class B Shares and Class A shares are shown as 9,487,495. There are no other impacts to the Company’s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68"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December 31, 2024 and 2023, the Company had $1,506 and $0 in cash, respectively, and no cash equivalents. As of December 31, 2024 and 2023, the Company also had $757,336 and $843,313 of restricted cash, respectively, related to funds withdrawn from the Trust Account reserved to the payment of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As of December 31, 2024 and 2023, the Company had $47,558,112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31, 2024 and 2023, 4,104,543 and 4,345,663 Class A common stock subject to possible redemption, respectively, are presented at redemption value as temporary equity, outside of the stockholders’ deficit section of the Company’s balance sheets.</w:t>
      </w:r>
    </w:p>
    <w:p>
      <w:pPr>
        <w:spacing w:after="0" w:line="84"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21"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2024 and 2023, the Company’s deferred tax asset had a full valuation allowance recorded against it.</w:t>
      </w:r>
    </w:p>
    <w:p>
      <w:pPr>
        <w:spacing w:after="0" w:line="75"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7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income taxes and unrecognized tax benefits as income tax expense. There were no unrecognized tax benefits as of December 31, 2024 and 2023. During the year ended December 31, 2024, the Company’s provision for income taxes included $41,498 for interest and penalties. The $41,498 is included in income taxes payable on the Company’s balance sheets as of December 31, 2024. The Company is currently not aware of any issues under review that could result in significant payments, accruals or material deviation from its position.</w:t>
      </w:r>
    </w:p>
    <w:p>
      <w:pPr>
        <w:spacing w:after="0" w:line="7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7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(14.4)% and 43.4% for the year ended December 31, 2024 and 2023, respectively. The effective tax rate differs from the statutory tax rate of 21% due to the valuation allowance on the deferred tax assets and the deductibility of penalties on tax obligations and merger and acquisition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Stock</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(losses) earnings per share for the year ended December 31, 2024 and 2023 because the warrants are contingently exercisable, and the contingencies have not yet been met and its inclusion would be anti- dilutive. As a result, diluted net (loss) income per common stock is the same as basic net (loss) income per common stock for the periods.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(loss) income per share for each class of common stock:</w:t>
      </w:r>
    </w:p>
    <w:tbl>
      <w:tblPr>
        <w:tblLayout w:type="fixed"/>
        <w:tblInd w:w="0" w:type="dxa"/>
        <w:tblCellMar>
          <w:top w:w="0" w:type="dxa"/>
          <w:left w:w="0" w:type="dxa"/>
          <w:bottom w:w="0" w:type="dxa"/>
          <w:right w:w="0" w:type="dxa"/>
        </w:tblCellMar>
      </w:tblPr>
      <w:tr>
        <w:trPr>
          <w:trHeight w:val="140"/>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424"/>
              <w:spacing w:after="0" w:line="141"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5"/>
          </w:tcPr>
          <w:p>
            <w:pPr>
              <w:jc w:val="right"/>
              <w:ind w:right="1259"/>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1000" w:type="dxa"/>
            <w:vAlign w:val="bottom"/>
          </w:tcPr>
          <w:p>
            <w:pPr>
              <w:jc w:val="center"/>
              <w:ind w:right="26"/>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4"/>
          </w:tcPr>
          <w:p>
            <w:pPr>
              <w:jc w:val="right"/>
              <w:ind w:right="844"/>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r>
      <w:tr>
        <w:trPr>
          <w:trHeight w:val="125"/>
        </w:trPr>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379"/>
              <w:spacing w:after="0" w:line="126"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25"/>
              <w:spacing w:after="0" w:line="126"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60" w:type="dxa"/>
            <w:vAlign w:val="bottom"/>
          </w:tcPr>
          <w:p>
            <w:pPr>
              <w:spacing w:after="0"/>
              <w:rPr>
                <w:sz w:val="10"/>
                <w:szCs w:val="10"/>
                <w:color w:val="auto"/>
              </w:rPr>
            </w:pPr>
          </w:p>
        </w:tc>
        <w:tc>
          <w:tcPr>
            <w:tcW w:w="110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64"/>
              <w:spacing w:after="0" w:line="126"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2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100" w:type="dxa"/>
            <w:vAlign w:val="bottom"/>
          </w:tcPr>
          <w:p>
            <w:pPr>
              <w:spacing w:after="0"/>
              <w:rPr>
                <w:sz w:val="10"/>
                <w:szCs w:val="10"/>
                <w:color w:val="auto"/>
              </w:rPr>
            </w:pPr>
          </w:p>
        </w:tc>
      </w:tr>
      <w:tr>
        <w:trPr>
          <w:trHeight w:val="165"/>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400" w:type="dxa"/>
            <w:vAlign w:val="bottom"/>
            <w:gridSpan w:val="2"/>
          </w:tcPr>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00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r>
      <w:tr>
        <w:trPr>
          <w:trHeight w:val="19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Allocation of 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(1,176,526 )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(2,937,005 )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566,255</w:t>
            </w:r>
          </w:p>
        </w:tc>
        <w:tc>
          <w:tcPr>
            <w:tcW w:w="100" w:type="dxa"/>
            <w:vAlign w:val="bottom"/>
          </w:tcPr>
          <w:p>
            <w:pPr>
              <w:spacing w:after="0"/>
              <w:rPr>
                <w:sz w:val="17"/>
                <w:szCs w:val="17"/>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Weighted-average shares outstanding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4,333,146</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10,816,995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10,578,271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1,803,670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9,071,610</w:t>
            </w:r>
          </w:p>
        </w:tc>
        <w:tc>
          <w:tcPr>
            <w:tcW w:w="100" w:type="dxa"/>
            <w:vAlign w:val="bottom"/>
          </w:tcPr>
          <w:p>
            <w:pPr>
              <w:spacing w:after="0"/>
              <w:rPr>
                <w:sz w:val="17"/>
                <w:szCs w:val="17"/>
                <w:color w:val="auto"/>
              </w:rPr>
            </w:pPr>
          </w:p>
        </w:tc>
      </w:tr>
      <w:tr>
        <w:trPr>
          <w:trHeight w:val="20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net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(0.27</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(0.27</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0.06</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460" w:hanging="452"/>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shares outstanding includes common stock subject to redemption.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As of December 31, 2024 and 2023, the Company had not experienced losses on this account and management believes the Company is not exposed to significant risks on such account.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consolidated balance sheets, primarily due to its short-term nature.</w:t>
      </w:r>
    </w:p>
    <w:p>
      <w:pPr>
        <w:spacing w:after="0" w:line="5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84" w:lineRule="exact"/>
        <w:rPr>
          <w:sz w:val="20"/>
          <w:szCs w:val="20"/>
          <w:color w:val="auto"/>
        </w:rPr>
      </w:pPr>
    </w:p>
    <w:p>
      <w:pPr>
        <w:ind w:left="5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 w:lineRule="exact"/>
        <w:rPr>
          <w:rFonts w:ascii="Times New Roman" w:cs="Times New Roman" w:eastAsia="Times New Roman" w:hAnsi="Times New Roman"/>
          <w:sz w:val="18"/>
          <w:szCs w:val="18"/>
          <w:color w:val="auto"/>
        </w:rPr>
      </w:pPr>
    </w:p>
    <w:p>
      <w:pPr>
        <w:ind w:left="520" w:hanging="512"/>
        <w:spacing w:after="0" w:line="279"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Liabilities – Backstop Subscription Agreement</w:t>
      </w:r>
    </w:p>
    <w:p>
      <w:pPr>
        <w:spacing w:after="0" w:line="121"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Method (“PWERM”).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Liability – Non-Redemption Agreement</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accounts for its Non-Redemption Agreement (see Note 6) in accordance with the guidance contained in ASC 815-40, “Derivatives and Hedging”, under which the Non-Redemption Agreement does not meet the criteria for equity treatment and must be recorded as a liability. Accordingly, the Company classified the Non-Redemption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The Non-Redemption Agreement is valued using a Monte Carlo model.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121"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81"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72"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2023-07 as required for the year ended December 31, 2024. The adoption requires the Company to provide additional disclosures, but otherwise it does not materially impact its consolidated financial statements.</w:t>
      </w:r>
    </w:p>
    <w:p>
      <w:pPr>
        <w:spacing w:after="0" w:line="86"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its consolidated financial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Units</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72"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480- 10-S99.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2024 and 2023, the common stock subject to redemption reflected on the balance sheet are reconciled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2022</w:t>
      </w:r>
      <w:r>
        <w:rPr>
          <w:sz w:val="20"/>
          <w:szCs w:val="20"/>
          <w:color w:val="auto"/>
        </w:rPr>
        <w:tab/>
      </w:r>
      <w:r>
        <w:rPr>
          <w:rFonts w:ascii="Times New Roman" w:cs="Times New Roman" w:eastAsia="Times New Roman" w:hAnsi="Times New Roman"/>
          <w:sz w:val="18"/>
          <w:szCs w:val="18"/>
          <w:b w:val="1"/>
          <w:bCs w:val="1"/>
          <w:color w:val="auto"/>
        </w:rPr>
        <w:t>294,796,918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Redemptions</w:t>
            </w:r>
          </w:p>
        </w:tc>
        <w:tc>
          <w:tcPr>
            <w:tcW w:w="2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(252,315,037 )</w:t>
            </w:r>
          </w:p>
        </w:tc>
      </w:tr>
      <w:tr>
        <w:trPr>
          <w:trHeight w:val="216"/>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Plus: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4,510,051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46,991,932</w:t>
            </w:r>
          </w:p>
        </w:tc>
        <w:tc>
          <w:tcPr>
            <w:tcW w:w="100" w:type="dxa"/>
            <w:vAlign w:val="bottom"/>
          </w:tcPr>
          <w:p>
            <w:pPr>
              <w:spacing w:after="0"/>
              <w:rPr>
                <w:sz w:val="18"/>
                <w:szCs w:val="18"/>
                <w:color w:val="auto"/>
              </w:rPr>
            </w:pPr>
          </w:p>
        </w:tc>
      </w:tr>
      <w:tr>
        <w:trPr>
          <w:trHeight w:val="216"/>
        </w:trPr>
        <w:tc>
          <w:tcPr>
            <w:tcW w:w="8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Redemptions</w:t>
            </w:r>
          </w:p>
        </w:tc>
        <w:tc>
          <w:tcPr>
            <w:tcW w:w="2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(2,774,658 )</w:t>
            </w:r>
          </w:p>
        </w:tc>
      </w:tr>
      <w:tr>
        <w:trPr>
          <w:trHeight w:val="216"/>
        </w:trPr>
        <w:tc>
          <w:tcPr>
            <w:tcW w:w="8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Plus:</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3,380,995</w:t>
            </w:r>
          </w:p>
        </w:tc>
        <w:tc>
          <w:tcPr>
            <w:tcW w:w="100" w:type="dxa"/>
            <w:vAlign w:val="bottom"/>
          </w:tcPr>
          <w:p>
            <w:pPr>
              <w:spacing w:after="0"/>
              <w:rPr>
                <w:sz w:val="18"/>
                <w:szCs w:val="18"/>
                <w:color w:val="auto"/>
              </w:rPr>
            </w:pPr>
          </w:p>
        </w:tc>
      </w:tr>
      <w:tr>
        <w:trPr>
          <w:trHeight w:val="249"/>
        </w:trPr>
        <w:tc>
          <w:tcPr>
            <w:tcW w:w="8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2024</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47,598,269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75"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54"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7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68"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year ended December 31, 2024, the Company incurred $120,000 for the administrative service fees, of which $120,000 are recorded as accrued expenses in the balance sheets. For the year ended December 31, 2023, the Company incurred $120,000 for the administrative service fees, of which $60,000 are recorded as accrued expenses in the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21"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8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2024 and 2023, $1,500,000 and $810,345 in working capital loans were outstanding,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Sponsor</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As of December 31, 2024, the Sponsor provided working capital and extension deposits on behalf of the Company. These amounts are reflected on the consolidated balance sheets as advances from Sponsor. The advances are non-interest bearing and are payable on demand. As of December 31, 2024, the Company had advances owed to the Sponsor in the amount of $2,971,258. As of December 31, 2023, the Company had no such advances owed to the Sponsor.</w:t>
      </w:r>
    </w:p>
    <w:p>
      <w:pPr>
        <w:spacing w:after="0" w:line="72"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$1,304,630 from its Sponsor for payment of operating expenses and ongoing business operations. Additionally, during the year ended December 31, 2024, the Sponsor paid $1,666,628 to the trust for extension payments.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Re</w:t>
      </w:r>
      <w:r>
        <w:rPr>
          <w:rFonts w:ascii="Times New Roman" w:cs="Times New Roman" w:eastAsia="Times New Roman" w:hAnsi="Times New Roman"/>
          <w:sz w:val="18"/>
          <w:szCs w:val="18"/>
          <w:b w:val="1"/>
          <w:bCs w:val="1"/>
          <w:i w:val="1"/>
          <w:iCs w:val="1"/>
          <w:color w:val="000000"/>
        </w:rPr>
        <w:t>gistration Rights</w:t>
      </w:r>
    </w:p>
    <w:p>
      <w:pPr>
        <w:spacing w:after="0" w:line="121"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117"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54"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April 26, 2024, the Company and EF Hutton amended the Underwriting Agreement signed on December 10, 2021. EF Hutton shall acknowledge the satisfaction and discharge of the deferred underwriting discount and shall acknowledge that the Company’s obligations to pay the deferred underwriting discount in its entirety under the Underwriting Agreement have automatically been satisfied and discharged, if on the Closing of the Merger Agreement the Company pays in cash $1,500,000 to EF Hutton.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121"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68" w:lineRule="exact"/>
        <w:rPr>
          <w:sz w:val="20"/>
          <w:szCs w:val="20"/>
          <w:color w:val="auto"/>
        </w:rPr>
      </w:pPr>
    </w:p>
    <w:p>
      <w:pPr>
        <w:jc w:val="both"/>
        <w:ind w:firstLine="389"/>
        <w:spacing w:after="0" w:line="257"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1" w:lineRule="exact"/>
        <w:rPr>
          <w:sz w:val="20"/>
          <w:szCs w:val="20"/>
          <w:color w:val="auto"/>
        </w:rPr>
      </w:pPr>
    </w:p>
    <w:p>
      <w:pPr>
        <w:jc w:val="both"/>
        <w:ind w:firstLine="8"/>
        <w:spacing w:after="0" w:line="255" w:lineRule="auto"/>
        <w:tabs>
          <w:tab w:leader="none" w:pos="2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9 for valuation methodology and assumptions used to determine the fair value of the Representative Shares.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Non-Redemption Agreements</w:t>
      </w:r>
    </w:p>
    <w:p>
      <w:pPr>
        <w:spacing w:after="0" w:line="121"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Sponsor entered into non-redemption agreements (“2023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2023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121"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86"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 On December 9, 2024, in connection with the Company’s Special Annual Meeting, the Company’s stockholders redeemed 241,120 Class A shares of Common Stock for a total of $2,774,658, the amounts redeemed were paid out to stockholders on December 12, 2024.</w:t>
      </w:r>
    </w:p>
    <w:p>
      <w:pPr>
        <w:spacing w:after="0" w:line="7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December 31, 2024 and concluded that it is probable that a contingent liability should be recorded. As of December 31, 2024 and 2023, the Company recorded $2,550,897 and $2,523,150, respectively, of excise tax liability calculated as 1% of shares redeemed on March 10, 2023, December 15, 2023 and December 9, 2024.</w:t>
      </w:r>
    </w:p>
    <w:p>
      <w:pPr>
        <w:spacing w:after="0" w:line="68"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68"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 As a result, as of December 31, 2024, the Company accrued $310,728 for penalties and interest related to the redemptions that occurred in year ended December 31, 2023 that have not been paid or filed by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Advisor Fees</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 The Business Combination was completed in January 2025, and as of December 31, 2024, no liability has been recognized for the contingent fee as the contingency (completion of the Business Combination) did not occur until after the balance sheet date.</w:t>
      </w:r>
    </w:p>
    <w:p>
      <w:pPr>
        <w:spacing w:after="0" w:line="75"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but there can be no assurances that the litigation will not have a material adverse effect on the Company's financial condition, results of operations,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121"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Legacy Blaize entered into a Company Support Agreement (the “Company Support Agreement”) with the Company and Legacy Blaize, pursuant to which such stockholders have agreed to, among other things, (i) support and vote in favor of (a) the approval and adoption of the Merger Agreement and the Business Combination, (b) the conversion of each issued and outstanding share of preferred stock of Legacy Blaize into one share of Blaize common stock as of immediately prior to the Effective Time, and (c) any other circumstances upon which a consent or other approval with respect to the Merger Agreement and the Business Combination.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Legacy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Blaize, the Sponsor, certain significant securityholders of Legacy Blaize and certain of their respective affiliates will enter into an Amended and Restated Registration Rights Agreement (the “Registration Rights Agreement”), pursuant to which Blaize will agree to register for resale, pursuant to Rule 415 under the Securities Act of 1933, as amended (the “Securities Act”), certain shares of Blaize common stock and other equity securities of Blaize that are held by the parties thereto from time to time on the terms and subject to the conditions set forth therein.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Merger Agreement contemplates that, at the Closing, Blaize will enter into lock-up agreements (the “Lock-up Agreements”) with (i) certain of Blaize’s directors and officers, (ii) certain stockholders of Blaize and (iii) Burkhan, in each case, restricting the transfer of Blaize common stock and any shares of Blaize common stock issuable upon the exercise or settlement, as applicable, of Blaize Options or Blaize RSUs held by it immediately after the Effective Time from and after the Closing. The restrictions under the Lock-up Agreements begin at the Closing and end on the earlier of (x) the date that is 180 days after the Closing, (y) the last reported sale price of Blaize common stock reaching $12.00 per share (as adjusted for stock splits, stock dividends, reorganizations, recapitalizations and the like) for any 20 trading days within any 30-trading day period commencing at least 150 days after the Closing and</w:t>
      </w:r>
    </w:p>
    <w:p>
      <w:pPr>
        <w:spacing w:after="0" w:line="5" w:lineRule="exact"/>
        <w:rPr>
          <w:sz w:val="20"/>
          <w:szCs w:val="20"/>
          <w:color w:val="auto"/>
        </w:rPr>
      </w:pPr>
    </w:p>
    <w:p>
      <w:pPr>
        <w:spacing w:after="0" w:line="365" w:lineRule="auto"/>
        <w:rPr>
          <w:sz w:val="20"/>
          <w:szCs w:val="20"/>
          <w:color w:val="auto"/>
        </w:rPr>
      </w:pPr>
      <w:r>
        <w:rPr>
          <w:rFonts w:ascii="Times New Roman" w:cs="Times New Roman" w:eastAsia="Times New Roman" w:hAnsi="Times New Roman"/>
          <w:sz w:val="18"/>
          <w:szCs w:val="18"/>
          <w:color w:val="auto"/>
        </w:rPr>
        <w:t xml:space="preserve">(z) the liquidation of Blaize. On January 13, 2025, immediately following the Closing, the Company entered into the Lock-up Agreements discussed above. </w:t>
      </w:r>
      <w:r>
        <w:rPr>
          <w:rFonts w:ascii="Times New Roman" w:cs="Times New Roman" w:eastAsia="Times New Roman" w:hAnsi="Times New Roman"/>
          <w:sz w:val="18"/>
          <w:szCs w:val="18"/>
          <w:b w:val="1"/>
          <w:bCs w:val="1"/>
          <w:i w:val="1"/>
          <w:iCs w:val="1"/>
          <w:color w:val="auto"/>
        </w:rPr>
        <w:t>Backstop Subscription Agreement</w:t>
      </w: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On April 22, 2024, the Sponsor entered into a backstop subscription agreement (the “Backstop Subscription Agreement”) with the Company and Legacy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75"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9). The Backstop Subscription Agreement was waived at the execution of the Non-Redemption Agreements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121"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On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in connection with the Special Meeting held on December 23, 2024. In exchange for the foregoing commitments not to redeem the Non-Redeemed Shares,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Business Combination.</w:t>
      </w:r>
    </w:p>
    <w:p>
      <w:pPr>
        <w:spacing w:after="0" w:line="8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accounts for its Non-Redemption Agreement in accordance with the guidance contained in ASC 815-40, “Derivatives and Hedging”, under which the Non-Redemption Agreement does not meet the criteria for equity treatment and must be recorded as a liability. Accordingly, the Company classified the Non-Redemption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(see Note 9).</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per share. As of December 31, 2024 and 2023, there were no shares of preferred stock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280,000,000 shares of Class A common stock with a par value of $0.0001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December 31, 2024 and 2023, there were 10,816,995 shares issued and outstanding (excluding 4,104,543 and 4,345,663 shares subject to possible redemption as of December 31, 2024 and 2023, respectively and excluding 2,285,040 shares to be redeemed as of December 31, 2023).</w:t>
      </w:r>
    </w:p>
    <w:p>
      <w:pPr>
        <w:spacing w:after="0" w:line="7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2024 and 2023, there were 5 shares of Class B common stock issued and outstanding.</w:t>
      </w:r>
    </w:p>
    <w:p>
      <w:pPr>
        <w:spacing w:after="0" w:line="7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68"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68"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63"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79"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w:t>
      </w:r>
    </w:p>
    <w:p>
      <w:pPr>
        <w:spacing w:after="0" w:line="5" w:lineRule="exact"/>
        <w:rPr>
          <w:sz w:val="20"/>
          <w:szCs w:val="20"/>
          <w:color w:val="auto"/>
        </w:rPr>
      </w:pPr>
    </w:p>
    <w:p>
      <w:pPr>
        <w:jc w:val="both"/>
        <w:ind w:firstLine="8"/>
        <w:spacing w:after="0" w:line="253" w:lineRule="auto"/>
        <w:tabs>
          <w:tab w:leader="none" w:pos="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7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net deferred tax assets (liability) as of December 31, 2024 and 2023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Organizational costs &amp; start-up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690,713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 (liabilities), net</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690,713</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(690,713 )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(475,133 )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(liability), net of allowance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2024 and 2023 consists of the following:</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Current</w:t>
            </w:r>
            <w:r>
              <w:rPr>
                <w:rFonts w:ascii="Times New Roman" w:cs="Times New Roman" w:eastAsia="Times New Roman" w:hAnsi="Times New Roman"/>
                <w:sz w:val="24"/>
                <w:szCs w:val="24"/>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517,179</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(215,580 )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(187,264 )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215,580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517,179</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-1985010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-1985010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-1702435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-1702435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-13335</wp:posOffset>
            </wp:positionV>
            <wp:extent cx="2168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460" w:hanging="452"/>
        <w:spacing w:after="0"/>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current federal income taxes includes penalties and interest charges of $41,497.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-98425</wp:posOffset>
            </wp:positionV>
            <wp:extent cx="21685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5"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no U.S. federal operating loss carryovers available to offset future taxable income, which do not expire.</w:t>
      </w:r>
    </w:p>
    <w:p>
      <w:pPr>
        <w:spacing w:after="0" w:line="54"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2024, the change in the valuation allowance was $215,580. For the year ended December 31, 2023, the change in the valuation allowance was $187,264.</w:t>
      </w:r>
    </w:p>
    <w:p>
      <w:pPr>
        <w:spacing w:after="0" w:line="81"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(14.4%) and 43.4% for the year ended December 31, 2024 and 2023, respectively. The effective tax rate differs from the statutory tax rate of 21% due to the valuation allowance on the deferred tax assets and deductibility of penalties on tax obligations.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as of December 31, 2024 and 2023 is as follows:</w:t>
      </w:r>
    </w:p>
    <w:p>
      <w:pPr>
        <w:spacing w:after="0" w:line="5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09"/>
        </w:trPr>
        <w:tc>
          <w:tcPr>
            <w:tcW w:w="8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r>
      <w:tr>
        <w:trPr>
          <w:trHeight w:val="21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8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Non-Redemption Agreement liability</w:t>
            </w:r>
          </w:p>
        </w:tc>
        <w:tc>
          <w:tcPr>
            <w:tcW w:w="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(6.4 ) %</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r>
      <w:tr>
        <w:trPr>
          <w:trHeight w:val="21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(20.0 )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8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Fines and penalties</w:t>
            </w:r>
          </w:p>
        </w:tc>
        <w:tc>
          <w:tcPr>
            <w:tcW w:w="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(3.0 )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r>
      <w:tr>
        <w:trPr>
          <w:trHeight w:val="21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(6.0 )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r>
      <w:tr>
        <w:trPr>
          <w:trHeight w:val="20"/>
        </w:trPr>
        <w:tc>
          <w:tcPr>
            <w:tcW w:w="68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240" w:type="dxa"/>
            <w:vAlign w:val="bottom"/>
          </w:tcPr>
          <w:p>
            <w:pPr>
              <w:spacing w:after="0"/>
              <w:rPr>
                <w:sz w:val="18"/>
                <w:szCs w:val="18"/>
                <w:color w:val="auto"/>
              </w:rPr>
            </w:pPr>
          </w:p>
        </w:tc>
        <w:tc>
          <w:tcPr>
            <w:tcW w:w="84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4"/>
                <w:szCs w:val="14"/>
                <w:b w:val="1"/>
                <w:bCs w:val="1"/>
                <w:color w:val="auto"/>
              </w:rPr>
              <w:t xml:space="preserve">(14.4 ) </w:t>
            </w:r>
            <w:r>
              <w:rPr>
                <w:rFonts w:ascii="Times New Roman" w:cs="Times New Roman" w:eastAsia="Times New Roman" w:hAnsi="Times New Roman"/>
                <w:sz w:val="24"/>
                <w:szCs w:val="24"/>
                <w:b w:val="1"/>
                <w:bCs w:val="1"/>
                <w:color w:val="auto"/>
                <w:vertAlign w:val="subscript"/>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is subject to examination since inception.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b w:val="1"/>
          <w:bCs w:val="1"/>
          <w:color w:val="212529"/>
        </w:rPr>
        <w:t>FAIR VALUE MEASUREMENTS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and indicates the fair value hierarchy of the valuation techniques the Company utilized to determine such fair value:</w:t>
      </w:r>
    </w:p>
    <w:tbl>
      <w:tblPr>
        <w:tblLayout w:type="fixed"/>
        <w:tblInd w:w="0" w:type="dxa"/>
        <w:tblCellMar>
          <w:top w:w="0" w:type="dxa"/>
          <w:left w:w="0" w:type="dxa"/>
          <w:bottom w:w="0" w:type="dxa"/>
          <w:right w:w="0" w:type="dxa"/>
        </w:tblCellMar>
      </w:tblPr>
      <w:tr>
        <w:trPr>
          <w:trHeight w:val="133"/>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20" w:type="dxa"/>
            <w:vAlign w:val="bottom"/>
          </w:tcPr>
          <w:p>
            <w:pPr>
              <w:spacing w:after="0"/>
              <w:rPr>
                <w:sz w:val="11"/>
                <w:szCs w:val="11"/>
                <w:color w:val="auto"/>
              </w:rPr>
            </w:pPr>
          </w:p>
        </w:tc>
        <w:tc>
          <w:tcPr>
            <w:tcW w:w="126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Money Market Funds held in Trust Accounts</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47,558,112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47,558,112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liability - Non-Redemption Agreement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1,084,963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Money Market Funds held in Trust Accounts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71,432,177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The Backstop Subscription Agreement was valued using a Probability Weighted Expected Return Model (“PWERM”). The PWERM is a multi-step process in which value is estimated based on the probability-weighted present value of various future outcomes. The estimated fair value of the Backstop Subscription Agreement liability was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Backstop Subscription Agreement was waived at the execution of the Non-Redemption Agreements on December 31, 2024, as such the fair value of the Backstop Subscription Agreement as of December 31, 2024 was nil. The two transactions netted together to result in a net change in fair value of the Backstop Subscription Agreement of nil for the year ended December 31, 2024.</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key inputs of the models used to value the Company’s Backstop Subscription Agreement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40" w:type="dxa"/>
            <w:vAlign w:val="bottom"/>
          </w:tcPr>
          <w:p>
            <w:pPr>
              <w:spacing w:after="0"/>
              <w:rPr>
                <w:sz w:val="14"/>
                <w:szCs w:val="14"/>
                <w:color w:val="auto"/>
              </w:rPr>
            </w:pPr>
          </w:p>
        </w:tc>
      </w:tr>
      <w:tr>
        <w:trPr>
          <w:trHeight w:val="192"/>
        </w:trPr>
        <w:tc>
          <w:tcPr>
            <w:tcW w:w="8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56"/>
              <w:spacing w:after="0" w:line="193" w:lineRule="exact"/>
              <w:rPr>
                <w:sz w:val="20"/>
                <w:szCs w:val="20"/>
                <w:color w:val="auto"/>
              </w:rPr>
            </w:pPr>
            <w:r>
              <w:rPr>
                <w:rFonts w:ascii="Times New Roman" w:cs="Times New Roman" w:eastAsia="Times New Roman" w:hAnsi="Times New Roman"/>
                <w:sz w:val="14"/>
                <w:szCs w:val="14"/>
                <w:b w:val="1"/>
                <w:bCs w:val="1"/>
                <w:color w:val="auto"/>
              </w:rPr>
              <w:t>Measurement</w:t>
            </w:r>
            <w:r>
              <w:rPr>
                <w:rFonts w:ascii="Times New Roman" w:cs="Times New Roman" w:eastAsia="Times New Roman" w:hAnsi="Times New Roman"/>
                <w:sz w:val="19"/>
                <w:szCs w:val="19"/>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r>
      <w:tr>
        <w:trPr>
          <w:trHeight w:val="210"/>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shd w:val="clear" w:color="auto" w:fill="CFF0FC"/>
          </w:tcPr>
          <w:p>
            <w:pPr>
              <w:spacing w:after="0"/>
              <w:rPr>
                <w:sz w:val="18"/>
                <w:szCs w:val="18"/>
                <w:color w:val="auto"/>
              </w:rPr>
            </w:pPr>
          </w:p>
        </w:tc>
      </w:tr>
      <w:tr>
        <w:trPr>
          <w:trHeight w:val="216"/>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48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18"/>
                <w:szCs w:val="18"/>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implied likelihood of Initial Business Combination</w:t>
            </w:r>
          </w:p>
        </w:tc>
        <w:tc>
          <w:tcPr>
            <w:tcW w:w="4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460" w:right="240" w:hanging="452"/>
        <w:spacing w:after="0" w:line="239" w:lineRule="auto"/>
        <w:tabs>
          <w:tab w:leader="none" w:pos="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measurement date of the Back-Stop Agreement was April 22, 2024. As the Back-Stop Agreement was waived on December 31, 2024, no remeasurement was required as of December 31, 2024.</w:t>
      </w:r>
    </w:p>
    <w:p>
      <w:pPr>
        <w:spacing w:after="0" w:line="73"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Non-Redemption Agreement is valued using a Monte Carlo model, which is considered to be a Level 3 fair value measurement. The primary unobservable input utilized in determining the fair value of the Non-Redemption Agreement is equity volatility, and debt rate. The initial fair value of the Non-Redemption Agreement as of December 31, 2024, was $1,084,963.</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key inputs of the models used to value the Company’s Non-Redemption Agreement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60" w:type="dxa"/>
            <w:vAlign w:val="bottom"/>
          </w:tcPr>
          <w:p>
            <w:pPr>
              <w:spacing w:after="0"/>
              <w:rPr>
                <w:sz w:val="14"/>
                <w:szCs w:val="14"/>
                <w:color w:val="auto"/>
              </w:rPr>
            </w:pPr>
          </w:p>
        </w:tc>
      </w:tr>
      <w:tr>
        <w:trPr>
          <w:trHeight w:val="192"/>
        </w:trPr>
        <w:tc>
          <w:tcPr>
            <w:tcW w:w="85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15"/>
              <w:spacing w:after="0" w:line="193" w:lineRule="exact"/>
              <w:rPr>
                <w:sz w:val="20"/>
                <w:szCs w:val="20"/>
                <w:color w:val="auto"/>
              </w:rPr>
            </w:pPr>
            <w:r>
              <w:rPr>
                <w:rFonts w:ascii="Times New Roman" w:cs="Times New Roman" w:eastAsia="Times New Roman" w:hAnsi="Times New Roman"/>
                <w:sz w:val="14"/>
                <w:szCs w:val="14"/>
                <w:b w:val="1"/>
                <w:bCs w:val="1"/>
                <w:color w:val="auto"/>
              </w:rPr>
              <w:t>Measurement</w:t>
            </w:r>
            <w:r>
              <w:rPr>
                <w:rFonts w:ascii="Times New Roman" w:cs="Times New Roman" w:eastAsia="Times New Roman" w:hAnsi="Times New Roman"/>
                <w:sz w:val="19"/>
                <w:szCs w:val="19"/>
                <w:b w:val="1"/>
                <w:bCs w:val="1"/>
                <w:color w:val="auto"/>
                <w:vertAlign w:val="superscript"/>
              </w:rPr>
              <w:t>(1)</w:t>
            </w:r>
          </w:p>
        </w:tc>
        <w:tc>
          <w:tcPr>
            <w:tcW w:w="260" w:type="dxa"/>
            <w:vAlign w:val="bottom"/>
            <w:tcBorders>
              <w:bottom w:val="single" w:sz="8" w:color="auto"/>
            </w:tcBorders>
          </w:tcPr>
          <w:p>
            <w:pPr>
              <w:spacing w:after="0"/>
              <w:rPr>
                <w:sz w:val="16"/>
                <w:szCs w:val="16"/>
                <w:color w:val="auto"/>
              </w:rPr>
            </w:pPr>
          </w:p>
        </w:tc>
      </w:tr>
      <w:tr>
        <w:trPr>
          <w:trHeight w:val="210"/>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FF0FC"/>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Debt rate</w:t>
            </w:r>
          </w:p>
        </w:tc>
        <w:tc>
          <w:tcPr>
            <w:tcW w:w="480" w:type="dxa"/>
            <w:vAlign w:val="bottom"/>
          </w:tcPr>
          <w:p>
            <w:pPr>
              <w:spacing w:after="0"/>
              <w:rPr>
                <w:sz w:val="17"/>
                <w:szCs w:val="17"/>
                <w:color w:val="auto"/>
              </w:rPr>
            </w:pPr>
          </w:p>
        </w:tc>
        <w:tc>
          <w:tcPr>
            <w:tcW w:w="1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4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60" w:hanging="452"/>
        <w:spacing w:after="0"/>
        <w:tabs>
          <w:tab w:leader="none" w:pos="4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measurement date of the Non-Redemption Agreement was December 31, 2024, as such, no remeasurement was required as of December 31, 2024.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right="20" w:firstLine="389"/>
        <w:spacing w:after="0" w:line="257"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 for the year ended December 31, 2024:</w:t>
      </w:r>
    </w:p>
    <w:tbl>
      <w:tblPr>
        <w:tblLayout w:type="fixed"/>
        <w:tblInd w:w="0" w:type="dxa"/>
        <w:tblCellMar>
          <w:top w:w="0" w:type="dxa"/>
          <w:left w:w="0" w:type="dxa"/>
          <w:bottom w:w="0" w:type="dxa"/>
          <w:right w:w="0" w:type="dxa"/>
        </w:tblCellMar>
      </w:tblPr>
      <w:tr>
        <w:trPr>
          <w:trHeight w:val="131"/>
        </w:trPr>
        <w:tc>
          <w:tcPr>
            <w:tcW w:w="7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Subscription Purchase</w:t>
            </w:r>
          </w:p>
        </w:tc>
        <w:tc>
          <w:tcPr>
            <w:tcW w:w="220" w:type="dxa"/>
            <w:vAlign w:val="bottom"/>
          </w:tcPr>
          <w:p>
            <w:pPr>
              <w:spacing w:after="0"/>
              <w:rPr>
                <w:sz w:val="11"/>
                <w:szCs w:val="11"/>
                <w:color w:val="auto"/>
              </w:rPr>
            </w:pPr>
          </w:p>
        </w:tc>
        <w:tc>
          <w:tcPr>
            <w:tcW w:w="15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Non-Redemption</w:t>
            </w:r>
          </w:p>
        </w:tc>
      </w:tr>
      <w:tr>
        <w:trPr>
          <w:trHeight w:val="173"/>
        </w:trPr>
        <w:tc>
          <w:tcPr>
            <w:tcW w:w="7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00" w:type="dxa"/>
            <w:vAlign w:val="bottom"/>
          </w:tcPr>
          <w:p>
            <w:pPr>
              <w:spacing w:after="0"/>
              <w:rPr>
                <w:sz w:val="15"/>
                <w:szCs w:val="15"/>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Measurement on April 22, 2024</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Initial Measurement on December 31, 2024</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1,084,963</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8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(361,124 )</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1,084,963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2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-307975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-290830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72"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68"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included in net income or loss and total assets, which include the following:</w:t>
      </w: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center"/>
              <w:ind w:left="559"/>
              <w:spacing w:after="0" w:line="158"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758,842</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shd w:val="clear" w:color="auto" w:fill="CFF0FC"/>
          </w:tcPr>
          <w:p>
            <w:pPr>
              <w:spacing w:after="0"/>
              <w:rPr>
                <w:sz w:val="18"/>
                <w:szCs w:val="18"/>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47,558,112</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46,893,175</w:t>
            </w:r>
          </w:p>
        </w:tc>
        <w:tc>
          <w:tcPr>
            <w:tcW w:w="100" w:type="dxa"/>
            <w:vAlign w:val="bottom"/>
          </w:tcPr>
          <w:p>
            <w:pPr>
              <w:spacing w:after="0"/>
              <w:rPr>
                <w:sz w:val="20"/>
                <w:szCs w:val="20"/>
                <w:color w:val="auto"/>
              </w:rPr>
            </w:pPr>
          </w:p>
        </w:tc>
      </w:tr>
      <w:tr>
        <w:trPr>
          <w:trHeight w:val="265"/>
        </w:trPr>
        <w:tc>
          <w:tcPr>
            <w:tcW w:w="7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4,459,541</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3,040,539</w:t>
            </w:r>
          </w:p>
        </w:tc>
        <w:tc>
          <w:tcPr>
            <w:tcW w:w="100" w:type="dxa"/>
            <w:vAlign w:val="bottom"/>
            <w:shd w:val="clear" w:color="auto" w:fill="CFF0FC"/>
          </w:tcPr>
          <w:p>
            <w:pPr>
              <w:spacing w:after="0"/>
              <w:rPr>
                <w:sz w:val="18"/>
                <w:szCs w:val="18"/>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2,465,138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100" w:type="dxa"/>
            <w:vAlign w:val="bottom"/>
          </w:tcPr>
          <w:p>
            <w:pPr>
              <w:spacing w:after="0"/>
              <w:rPr>
                <w:sz w:val="20"/>
                <w:szCs w:val="20"/>
                <w:color w:val="auto"/>
              </w:rPr>
            </w:pPr>
          </w:p>
        </w:tc>
      </w:tr>
    </w:tbl>
    <w:p>
      <w:pPr>
        <w:spacing w:after="0" w:line="71"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CODM reviews interest earned on the Trust Account to measure and monitor stockholder value and determine the most effective strategy of investment with the Trust Account funds while maintaining compliance with the Trust Agreement.</w:t>
      </w:r>
    </w:p>
    <w:p>
      <w:pPr>
        <w:spacing w:after="0" w:line="54"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Operating expenses are reviewed and monitored by the CODM to manage and forecast cash to ensure enough capital is available to complete a business combination or similar transaction within the business combination period. The CODM also reviews operating expenses to manage, maintain and enforce all contractual agreements to ensure costs are aligned with all agreements and budget. Operating costs, as reported on the statement of operations, are the significant segment expenses provided to the CODM on a regular basis.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other segment items included in net income or loss are reported on the statement of operations and described within their respective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consolidated financial statements were issued. Based upon this review, the Company did not identify any other subsequent events that would have required adjustment or disclosure in the consolidated financial statements other than: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right="40" w:firstLine="389"/>
        <w:spacing w:after="0" w:line="282" w:lineRule="auto"/>
        <w:rPr>
          <w:sz w:val="20"/>
          <w:szCs w:val="20"/>
          <w:color w:val="auto"/>
        </w:rPr>
      </w:pPr>
      <w:r>
        <w:rPr>
          <w:rFonts w:ascii="Times New Roman" w:cs="Times New Roman" w:eastAsia="Times New Roman" w:hAnsi="Times New Roman"/>
          <w:sz w:val="18"/>
          <w:szCs w:val="18"/>
          <w:color w:val="auto"/>
        </w:rPr>
        <w:t>On January 13, 2025, pursuant to the terms and subject to the conditions set forth in the Merger Agreement, following the Special Meeting the Business Combination was consummated (see Note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to List Common Stock</w:t>
      </w:r>
    </w:p>
    <w:p>
      <w:pPr>
        <w:spacing w:after="0" w:line="121" w:lineRule="exact"/>
        <w:rPr>
          <w:sz w:val="20"/>
          <w:szCs w:val="20"/>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On January 13, 2025, following the Closing, the Company issued a press release announcing that the Company had been approved to list its common stock and warrants on The Nasdaq Stock Market under the symbols “BZAI” and “BZAIW”.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BLAIZE HOLDINGS, INC. (F/K/A BURTECH ACQUISITION CORP.)</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CONTINUED</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Subscription Agreements</w:t>
      </w:r>
    </w:p>
    <w:p>
      <w:pPr>
        <w:spacing w:after="0" w:line="121"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Between December 31, 2024 and January 13, 2025, in connection with the Business Combination, the Company and Legacy Blaize entered into subscription agreements (the “PIPE Subscription Agreements”) with certain unaffiliated third-party investors and Burkhan (each, a “PIPE Investor” and collectively, the “PIPE Investors”), pursuant to which, among other things, the Company agreed to issue and sell to the PIPE Investors, and the PIPE Investors agreed to subscribe for and purchase 1,540,300 shares of the Company’s common stock, par value $0.0001 per share (“PIPE Shares”) at a purchase price of $10.00 per share for an aggregate purchase price of $15,403,000, in a private placement (each, a “PIPE Investment” and collectively, the “PIPE Investments”).</w:t>
      </w:r>
    </w:p>
    <w:p>
      <w:pPr>
        <w:spacing w:after="0" w:line="7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January 13, 2025, immediately following the Closing, the Company issued 1,540,300 shares of Common Stock, at a price of $10.00 per share for aggregate PIPE Investments of $15,403,000 in accordance with the terms of the PIPE Subscription Agreements. The shares of common stock issued in the PIPE Investments were offered in a private placement under the Securities Act of 1933, as amended (the “Securities Act”), pursuant to the PIPE Subscription Agreements</w:t>
      </w:r>
    </w:p>
    <w:p>
      <w:pPr>
        <w:spacing w:after="0" w:line="7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Under the terms of the PIPE Subscription Agreements, the Company was obligated to file a registration statement to register for the resale of all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January 13, 2025, immediately following the Closing, the Company and certain stockholders of Legacy Blaize, the Sponsor and BurTech, entered into an amended and restated registration rights agreement (the “Registration Rights Agreement”), pursuant to which the Company agreed to file shelf registration statements with respect to the registrable securities under the Registration Rights Agreements within thirty (30) calendar days of the Closing. These certain stockholders of Legacy Blaize, the Sponsor and BurTech may each request to sell all or any portion of their registrable securities in an underwritten offering up to two times total and up to twice in any 12-month period, so long as the total offering price is reasonably expected to exceed $50,000,000. The Registration Rights Agreement also provides that the Company will pay certain expenses relating to such registrations and indemnify the stockholders against certain liabilities. The foregoing description does not purport to be complete and is qualified in its entirety by reference to the full text, filed as exhibit 10.1 to the Company’s Current Reports on Form 8-K, filed with the SEC on January 17, 2025.</w:t>
      </w:r>
    </w:p>
    <w:p>
      <w:pPr>
        <w:spacing w:after="0" w:line="84"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On January 13, 2025, immediately following the Closing, the Company and certain stockholders of Legacy Blaize, entered into a registration rights agreement (the “Ava Registration Rights Agreement”), pursuant to which the Company agreed to file a shelf registration statement with respect to the registrable securities under the Registration Rights Agreement within four (4) business days of the Closing. These certain Legacy Blaize stockholders may each request to sell all or any portion of their registrable securities in an underwritten offering up to two times total and up to twice in any 12-month period, so long as the total offering price is reasonably expected to exceed $25,000,000. The Ava Registration Rights Agreement also provides that the Company will pay certain expenses relating to such registrations and indemnify the stockholders against certain liabilities. The foregoing description does not purport to be complete and is qualified in its entirety by reference to the full text, filed as exhibit 10.11 to the Company’s Current Reports on Form 8-K, filed with the SEC on January 17,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121"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 receives an advisory fee of $500,000 for capital market advisory services, of which $300,000 was due upon the Closing, with fifty percent paid in cash and fifty percent paid in common stock of the Company, and $200,000 is due to be paid in two equal installments due at the end of each calendar quarter following the Closing, with each payment being paid fifty percent in cash and fifty percent paid in common stock of the Company.</w:t>
      </w:r>
    </w:p>
    <w:p>
      <w:pPr>
        <w:spacing w:after="0" w:line="7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In addition, the Company entered into a warrant agreement with the same party, for a nominal upfront value. The agreement allowed for the advisor to purchase 50,000 shares of common stock at $11.50 per share for a term of five years. On February 10, 2025, Blaize issued the 50,000 common stock warrants.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which is further discussed in Note 6, “Commitments and Contingencies”.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December 31, 2024,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During the year ended December 31, 2024, we identified a material weakness in our internal control over financial reporting related to accrual for penalties and interest on the excise tax. Previously, during the year ended December 31, 2023, we identified material weaknesses in our internal control over financial reporting relating to our inadequate control for the withdrawal of funds from the Trust Account and inadequate control for the accounting for Class A common stock subject to possible redemption.</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72" w:lineRule="exact"/>
        <w:rPr>
          <w:sz w:val="20"/>
          <w:szCs w:val="20"/>
          <w:color w:val="auto"/>
        </w:rPr>
      </w:pPr>
    </w:p>
    <w:p>
      <w:pPr>
        <w:ind w:left="460" w:right="20" w:hanging="452"/>
        <w:spacing w:after="0" w:line="281" w:lineRule="auto"/>
        <w:tabs>
          <w:tab w:leader="none" w:pos="4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 w:lineRule="exact"/>
        <w:rPr>
          <w:rFonts w:ascii="Times New Roman" w:cs="Times New Roman" w:eastAsia="Times New Roman" w:hAnsi="Times New Roman"/>
          <w:sz w:val="18"/>
          <w:szCs w:val="18"/>
          <w:color w:val="auto"/>
        </w:rPr>
      </w:pPr>
    </w:p>
    <w:p>
      <w:pPr>
        <w:ind w:left="460" w:hanging="452"/>
        <w:spacing w:after="0" w:line="281"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provide reasonable assurance that transactions are recorded as necessary to permit preparation of financial statements in accordance with GAAP, and</w:t>
      </w:r>
      <w:r>
        <w:rPr>
          <w:rFonts w:ascii="Times New Roman" w:cs="Times New Roman" w:eastAsia="Times New Roman" w:hAnsi="Times New Roman"/>
          <w:sz w:val="18"/>
          <w:szCs w:val="18"/>
          <w:color w:val="FFFFFF"/>
        </w:rPr>
        <w:t xml:space="preserve"> </w:t>
      </w:r>
      <w:r>
        <w:rPr>
          <w:rFonts w:ascii="Times New Roman" w:cs="Times New Roman" w:eastAsia="Times New Roman" w:hAnsi="Times New Roman"/>
          <w:sz w:val="18"/>
          <w:szCs w:val="18"/>
          <w:color w:val="000000"/>
        </w:rPr>
        <w:t>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460" w:right="20" w:hanging="452"/>
        <w:spacing w:after="0" w:line="281" w:lineRule="auto"/>
        <w:tabs>
          <w:tab w:leader="none" w:pos="3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2024. In making these assessments, management used the criteria set forth by the Committee of Sponsoring Organizations of the Treadway Commission in Internal Control - Integrated Framework (2013). Based on our assessments and those criteria, management determined that we did not maintain effective internal controls for (i) the accrual of penalties and interest on excise tax payable and (ii) the withdrawal of funds from the Trust Account as of December 31, 2024.</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Management has implemented remediation steps to improve our internal control over financial reporting. Specifically, we expanded and improved our review process for complex securities, new tax regulations and related accounting standards. We plan to further improve this process by enhancing access to accounting literature, identification of third-party professionals with whom to consult regarding complex accounting and tax applications and consideration of additional staff with the requisite experience and training to supplement existing accounting professionals.</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status as an emerging growth company under the JOBS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2024,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current directors and executive officers and their respective ages as of March 31, 2025,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Age </w:t>
            </w:r>
          </w:p>
        </w:tc>
        <w:tc>
          <w:tcPr>
            <w:tcW w:w="220" w:type="dxa"/>
            <w:vAlign w:val="bottom"/>
          </w:tcPr>
          <w:p>
            <w:pPr>
              <w:spacing w:after="0"/>
              <w:rPr>
                <w:sz w:val="13"/>
                <w:szCs w:val="13"/>
                <w:color w:val="auto"/>
              </w:rPr>
            </w:pPr>
          </w:p>
        </w:tc>
        <w:tc>
          <w:tcPr>
            <w:tcW w:w="646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6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60" w:type="dxa"/>
            <w:vAlign w:val="bottom"/>
            <w:shd w:val="clear" w:color="auto" w:fill="CCEEFF"/>
          </w:tcPr>
          <w:p>
            <w:pPr>
              <w:spacing w:after="0"/>
              <w:rPr>
                <w:sz w:val="22"/>
                <w:szCs w:val="22"/>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Harminder Sehmi</w:t>
            </w:r>
          </w:p>
        </w:tc>
        <w:tc>
          <w:tcPr>
            <w:tcW w:w="11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60" w:type="dxa"/>
            <w:vAlign w:val="bottom"/>
          </w:tcPr>
          <w:p>
            <w:pPr>
              <w:spacing w:after="0"/>
              <w:rPr>
                <w:sz w:val="23"/>
                <w:szCs w:val="23"/>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Frank</w:t>
            </w:r>
          </w:p>
        </w:tc>
        <w:tc>
          <w:tcPr>
            <w:tcW w:w="11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Lane M. Bess</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Juergen Hambrecht</w:t>
            </w:r>
          </w:p>
        </w:tc>
        <w:tc>
          <w:tcPr>
            <w:tcW w:w="11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78</w:t>
            </w:r>
          </w:p>
        </w:tc>
        <w:tc>
          <w:tcPr>
            <w:tcW w:w="22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Tony Cannestra</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de Urioste</w:t>
            </w:r>
          </w:p>
        </w:tc>
        <w:tc>
          <w:tcPr>
            <w:tcW w:w="11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Yoshiaki Fujimori</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-1462405</wp:posOffset>
            </wp:positionV>
            <wp:extent cx="145415"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-1462405</wp:posOffset>
            </wp:positionV>
            <wp:extent cx="14605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6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6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6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6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Tony Cannestra, 60,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ectPr>
          <w:pgSz w:w="11900" w:h="16838" w:orient="portrait"/>
          <w:cols w:equalWidth="0" w:num="1">
            <w:col w:w="11240"/>
          </w:cols>
          <w:pgMar w:left="320" w:top="450" w:right="339" w:bottom="1440"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5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4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5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our directors, when elected, hold office until the next annual meeting of our stockholders or until their successors are elected and 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officers are appointed by our Board of Directors and hold office until their successors are appointed and qualified.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family relationship between any of our executive officers or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There are currently no legal proceedings to which any of our directors or officers is a party adverse to us or in which any of our directors or officers has a material interest adverse to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54" w:lineRule="exact"/>
        <w:rPr>
          <w:sz w:val="20"/>
          <w:szCs w:val="20"/>
          <w:color w:val="auto"/>
        </w:rPr>
      </w:pPr>
    </w:p>
    <w:p>
      <w:pPr>
        <w:ind w:left="520" w:hanging="512"/>
        <w:spacing w:after="0" w:line="28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63" w:lineRule="exact"/>
        <w:rPr>
          <w:rFonts w:ascii="Times New Roman" w:cs="Times New Roman" w:eastAsia="Times New Roman" w:hAnsi="Times New Roman"/>
          <w:sz w:val="18"/>
          <w:szCs w:val="18"/>
          <w:color w:val="auto"/>
        </w:rPr>
      </w:pPr>
    </w:p>
    <w:p>
      <w:pPr>
        <w:ind w:left="520" w:hanging="512"/>
        <w:spacing w:after="0" w:line="279"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w:t>
      </w:r>
    </w:p>
    <w:p>
      <w:pPr>
        <w:spacing w:after="0" w:line="7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https://ir.blaize.com/corporate-governance/documents-charters. The reference to our website address does not constitute incorporation by reference of the information contained at or available through our website. We have included our website address as an inactive textual reference only.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w:t>
      </w:r>
    </w:p>
    <w:p>
      <w:pPr>
        <w:sectPr>
          <w:pgSz w:w="11900" w:h="16838" w:orient="portrait"/>
          <w:cols w:equalWidth="0" w:num="1">
            <w:col w:w="11240"/>
          </w:cols>
          <w:pgMar w:left="320" w:top="450" w:right="339" w:bottom="1440"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 performance; approves fees paid to independent auditors and receives and considers the independent auditors’ comments as to controls, adequacy of staff and management performance and procedures in connection with audit and financial controls. The Audit Committee did not meet during fiscal year 2024 as it was formed upon the closing of the Business Combination on January 13, 2025.</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Audit Committee is primarily concerned with the effectiveness of our audits by our internal audit staff and by our independent auditors and is responsible for, among other things:</w:t>
      </w:r>
    </w:p>
    <w:p>
      <w:pPr>
        <w:spacing w:after="0" w:line="54" w:lineRule="exact"/>
        <w:rPr>
          <w:sz w:val="20"/>
          <w:szCs w:val="20"/>
          <w:color w:val="auto"/>
        </w:rPr>
      </w:pPr>
    </w:p>
    <w:p>
      <w:pPr>
        <w:ind w:left="600" w:right="2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6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63"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13" w:lineRule="exact"/>
        <w:rPr>
          <w:rFonts w:ascii="Times New Roman" w:cs="Times New Roman" w:eastAsia="Times New Roman" w:hAnsi="Times New Roman"/>
          <w:sz w:val="18"/>
          <w:szCs w:val="18"/>
          <w:color w:val="auto"/>
        </w:rPr>
      </w:pPr>
    </w:p>
    <w:p>
      <w:pPr>
        <w:ind w:left="60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1"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1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6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63" w:lineRule="exact"/>
        <w:rPr>
          <w:rFonts w:ascii="Times New Roman" w:cs="Times New Roman" w:eastAsia="Times New Roman" w:hAnsi="Times New Roman"/>
          <w:sz w:val="18"/>
          <w:szCs w:val="18"/>
          <w:color w:val="auto"/>
        </w:rPr>
      </w:pPr>
    </w:p>
    <w:p>
      <w:pPr>
        <w:jc w:val="both"/>
        <w:ind w:left="600" w:right="20" w:hanging="592"/>
        <w:spacing w:after="0" w:line="266"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13" w:lineRule="exact"/>
        <w:rPr>
          <w:rFonts w:ascii="Times New Roman" w:cs="Times New Roman" w:eastAsia="Times New Roman" w:hAnsi="Times New Roman"/>
          <w:sz w:val="18"/>
          <w:szCs w:val="18"/>
          <w:color w:val="auto"/>
        </w:rPr>
      </w:pPr>
    </w:p>
    <w:p>
      <w:pPr>
        <w:ind w:left="600" w:right="2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1" w:lineRule="exact"/>
        <w:rPr>
          <w:rFonts w:ascii="Times New Roman" w:cs="Times New Roman" w:eastAsia="Times New Roman" w:hAnsi="Times New Roman"/>
          <w:sz w:val="18"/>
          <w:szCs w:val="18"/>
          <w:color w:val="auto"/>
        </w:rPr>
      </w:pPr>
    </w:p>
    <w:p>
      <w:pPr>
        <w:ind w:left="600" w:right="2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63" w:lineRule="exact"/>
        <w:rPr>
          <w:rFonts w:ascii="Times New Roman" w:cs="Times New Roman" w:eastAsia="Times New Roman" w:hAnsi="Times New Roman"/>
          <w:sz w:val="18"/>
          <w:szCs w:val="18"/>
          <w:color w:val="auto"/>
        </w:rPr>
      </w:pPr>
    </w:p>
    <w:p>
      <w:pPr>
        <w:ind w:left="60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63" w:lineRule="exact"/>
        <w:rPr>
          <w:rFonts w:ascii="Times New Roman" w:cs="Times New Roman" w:eastAsia="Times New Roman" w:hAnsi="Times New Roman"/>
          <w:sz w:val="18"/>
          <w:szCs w:val="18"/>
          <w:color w:val="auto"/>
        </w:rPr>
      </w:pPr>
    </w:p>
    <w:p>
      <w:pPr>
        <w:ind w:left="600" w:right="2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1" w:lineRule="exact"/>
        <w:rPr>
          <w:rFonts w:ascii="Times New Roman" w:cs="Times New Roman" w:eastAsia="Times New Roman" w:hAnsi="Times New Roman"/>
          <w:sz w:val="18"/>
          <w:szCs w:val="18"/>
          <w:color w:val="auto"/>
        </w:rPr>
      </w:pPr>
    </w:p>
    <w:p>
      <w:pPr>
        <w:ind w:left="60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1" w:lineRule="exact"/>
        <w:rPr>
          <w:rFonts w:ascii="Times New Roman" w:cs="Times New Roman" w:eastAsia="Times New Roman" w:hAnsi="Times New Roman"/>
          <w:sz w:val="18"/>
          <w:szCs w:val="18"/>
          <w:color w:val="auto"/>
        </w:rPr>
      </w:pPr>
    </w:p>
    <w:p>
      <w:pPr>
        <w:ind w:left="600" w:hanging="592"/>
        <w:spacing w:after="0" w:line="281"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1"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13"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our financial</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6" w:lineRule="exact"/>
        <w:rPr>
          <w:sz w:val="20"/>
          <w:szCs w:val="20"/>
          <w:color w:val="auto"/>
        </w:rPr>
      </w:pPr>
    </w:p>
    <w:p>
      <w:pPr>
        <w:ind w:left="600"/>
        <w:spacing w:after="0" w:line="281" w:lineRule="auto"/>
        <w:rPr>
          <w:sz w:val="20"/>
          <w:szCs w:val="20"/>
          <w:color w:val="auto"/>
        </w:rPr>
      </w:pPr>
      <w:r>
        <w:rPr>
          <w:rFonts w:ascii="Times New Roman" w:cs="Times New Roman" w:eastAsia="Times New Roman" w:hAnsi="Times New Roman"/>
          <w:sz w:val="18"/>
          <w:szCs w:val="18"/>
          <w:color w:val="auto"/>
        </w:rPr>
        <w:t>statements or the independent auditor’s report, reviewing management’s response, and resolving any other conflicts or disagreements regarding financial reporting;</w:t>
      </w:r>
    </w:p>
    <w:p>
      <w:pPr>
        <w:spacing w:after="0" w:line="1" w:lineRule="exact"/>
        <w:rPr>
          <w:sz w:val="20"/>
          <w:szCs w:val="20"/>
          <w:color w:val="auto"/>
        </w:rPr>
      </w:pPr>
    </w:p>
    <w:p>
      <w:pPr>
        <w:ind w:left="600" w:hanging="592"/>
        <w:spacing w:after="0" w:line="281" w:lineRule="auto"/>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6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6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Edward Frank, George de Urioste and Tony Cannestra, with Edward Frank serving as chair. Our Board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is primarily concerned with overall compensation strategy and policies and is responsible for, among other things:</w:t>
      </w:r>
    </w:p>
    <w:p>
      <w:pPr>
        <w:spacing w:after="0" w:line="63" w:lineRule="exact"/>
        <w:rPr>
          <w:sz w:val="20"/>
          <w:szCs w:val="20"/>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49" w:lineRule="exact"/>
        <w:rPr>
          <w:rFonts w:ascii="Times New Roman" w:cs="Times New Roman" w:eastAsia="Times New Roman" w:hAnsi="Times New Roman"/>
          <w:sz w:val="18"/>
          <w:szCs w:val="18"/>
          <w:color w:val="auto"/>
        </w:rPr>
      </w:pPr>
    </w:p>
    <w:p>
      <w:pPr>
        <w:ind w:left="600" w:right="20" w:hanging="592"/>
        <w:spacing w:after="0" w:line="266"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4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49" w:lineRule="exact"/>
        <w:rPr>
          <w:rFonts w:ascii="Times New Roman" w:cs="Times New Roman" w:eastAsia="Times New Roman" w:hAnsi="Times New Roman"/>
          <w:sz w:val="18"/>
          <w:szCs w:val="18"/>
          <w:color w:val="auto"/>
        </w:rPr>
      </w:pPr>
    </w:p>
    <w:p>
      <w:pPr>
        <w:jc w:val="both"/>
        <w:ind w:left="600" w:hanging="592"/>
        <w:spacing w:after="0" w:line="260"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49" w:lineRule="exact"/>
        <w:rPr>
          <w:rFonts w:ascii="Times New Roman" w:cs="Times New Roman" w:eastAsia="Times New Roman" w:hAnsi="Times New Roman"/>
          <w:sz w:val="18"/>
          <w:szCs w:val="18"/>
          <w:color w:val="auto"/>
        </w:rPr>
      </w:pPr>
    </w:p>
    <w:p>
      <w:pPr>
        <w:ind w:left="600" w:right="20" w:hanging="592"/>
        <w:spacing w:after="0" w:line="273"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36" w:lineRule="exact"/>
        <w:rPr>
          <w:rFonts w:ascii="Times New Roman" w:cs="Times New Roman" w:eastAsia="Times New Roman" w:hAnsi="Times New Roman"/>
          <w:sz w:val="18"/>
          <w:szCs w:val="18"/>
          <w:color w:val="auto"/>
        </w:rPr>
      </w:pPr>
    </w:p>
    <w:p>
      <w:pPr>
        <w:ind w:left="600" w:right="20" w:hanging="592"/>
        <w:spacing w:after="0" w:line="273"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1" w:lineRule="exact"/>
        <w:rPr>
          <w:rFonts w:ascii="Times New Roman" w:cs="Times New Roman" w:eastAsia="Times New Roman" w:hAnsi="Times New Roman"/>
          <w:sz w:val="18"/>
          <w:szCs w:val="18"/>
          <w:color w:val="auto"/>
        </w:rPr>
      </w:pPr>
    </w:p>
    <w:p>
      <w:pPr>
        <w:ind w:left="600" w:hanging="592"/>
        <w:spacing w:after="0" w:line="273"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36"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ind w:left="600" w:hanging="592"/>
        <w:spacing w:after="0" w:line="273"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36"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6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8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8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w:t>
      </w:r>
    </w:p>
    <w:p>
      <w:pPr>
        <w:spacing w:after="0" w:line="7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Blaize’s directors, officers, or employees for which indemnification is sought.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directors, and persons who beneficially own more than 10% of a registered class of our equity securities to file with the Securities and Exchange Commission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Based solely on our review of such forms furnished to us and written representations from certain reporting persons, we believe that, during the fiscal year ended December 31, 2024, our directors, executive officers, and ten percent stockholders complied with all Section 16(a) filing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including those officers responsible for financial reporting. Our code of business conduct and ethics is available on the investor relations section of our website. We intend to disclose any amendments to the code, or any waivers of its requirements, on our website or in public filings.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and/or other dispositions of our securities by directors, officers, employees and other covered persons that we believe are reasonably designed to promote compliance with insider trading laws, rules and regulations, and the listing requirements of the Nasdaq Global Market. This policy imposes regular blackout periods during which certain individuals may not transact in our securities and pre-clearance procedures for transactions by certain specified individuals, including, among others, the members of our board of directors and our executive officers. In addition, this policy prohibits certain transactions that we have determined are higher risk or for which there is a heightened appearance of potential improper or inappropriate conduct, including short sales of our securities, options trading in puts, calls or other derivative securities involving our equity securities, hedging transactions, and margin accounts and pledging of our securities. We regularly review our insider trading policy with our board of directors and management. A copy of our insider trading policy and procedures is filed as Exhibit 19.1 to this Annual Report on Form 10-K. Further, the Company will not transact in any of its own securities unless in compliance with U.S. securities laws.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Except as otherwise specified in this Item 11, the information set forth herein relates to the executive compensation paid by Legacy Blaize prior to the Business Combination, and agreements with the Company, effective as of the Business Combination. This section discusses the material components of the executive compensation program for our named executive officers. For the year ended December 31, 2024, our “named executive officers” (“NEOs”) and their positions were as follows:</w:t>
      </w:r>
    </w:p>
    <w:p>
      <w:pPr>
        <w:spacing w:after="0" w:line="72"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5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of Legacy Blaize for the fiscal years ended December 31, 2024 and 2023.</w:t>
      </w: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1"/>
                <w:szCs w:val="11"/>
                <w:color w:val="auto"/>
              </w:rPr>
            </w:pPr>
          </w:p>
        </w:tc>
        <w:tc>
          <w:tcPr>
            <w:tcW w:w="112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ind w:right="233"/>
              <w:spacing w:after="0" w:line="12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1"/>
                <w:szCs w:val="11"/>
                <w:color w:val="auto"/>
              </w:rPr>
            </w:pPr>
          </w:p>
        </w:tc>
        <w:tc>
          <w:tcPr>
            <w:tcW w:w="12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82"/>
              <w:spacing w:after="0" w:line="17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33"/>
              <w:spacing w:after="0" w:line="175"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9"/>
                <w:szCs w:val="19"/>
                <w:b w:val="1"/>
                <w:bCs w:val="1"/>
                <w:color w:val="auto"/>
                <w:vertAlign w:val="superscript"/>
              </w:rPr>
              <w:t>(2)</w:t>
            </w:r>
          </w:p>
        </w:tc>
        <w:tc>
          <w:tcPr>
            <w:tcW w:w="1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595,833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3,798,428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4,394,285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1,337,142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 Cook</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476,724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Santiago Fernandez-Gomez</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12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-846455</wp:posOffset>
            </wp:positionV>
            <wp:extent cx="7747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-846455</wp:posOffset>
            </wp:positionV>
            <wp:extent cx="7747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-846455</wp:posOffset>
            </wp:positionV>
            <wp:extent cx="68580"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-846455</wp:posOffset>
            </wp:positionV>
            <wp:extent cx="68580"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-846455</wp:posOffset>
            </wp:positionV>
            <wp:extent cx="68580"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ind w:left="460" w:right="40" w:hanging="452"/>
        <w:spacing w:after="0" w:line="241" w:lineRule="auto"/>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fair value of stock options granted during 2024 as of the date on which the options were approved by the Board computed in accordance with ASC Topic 718, rather than the amounts paid to or realized by the named individual. Assumptions used to calculate the fair value of stock options granted to the named executive officers are included in Notes 2 and 11 to Legacy Blaize’s consolidated financial statements included in the Company’s Current Report on Form 8-K/A, filed on April 14, 2025.</w:t>
      </w:r>
    </w:p>
    <w:p>
      <w:pPr>
        <w:spacing w:after="0" w:line="14"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dollar value of life insurance premiums paid by Legacy Blaize with respect to each named executive officer during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Legacy Blaize. The base salary payable to each named executive officer is intended to provide a fixed component of compensation reflecting the executive’s skill set, experience, role and responsibilities. During 2024, Legacy Blaize’s named executive officers’ annual base salaries were as follows: Mr. Munagala: $600,000; Mr. Cook: $400,000; and Mr. Fernandez-Gomez: $450,000. The Summary Compensation Table above shows the actual base salaries paid to each named executive officer in fiscal year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Legacy Blaize’s named executive officers hold options to purchase shares of our common stock which were granted under the Blaize, Inc. Amended and Restated 2011 Stock Plan (the “2011 Stock Plan”). On October 24, 2024, we granted each of Messrs. Munagala, Cook, and Fernandez-Gomez stock options covering 7,379,065, 1,517,044, and 1,418,448 shares of our common stock, respectively.</w:t>
      </w:r>
    </w:p>
    <w:p>
      <w:pPr>
        <w:spacing w:after="0" w:line="75"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of the shares subject to the option on the first anniversary of the vesting commencement date and with respect to one-thirty-sixth (1/36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us pursuant to their offer letters as described in the section titled “Offer Letters” below.</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(the “2025 Plan”) and an Employee Stock Purchase Plan (the “2025 ESPP”), each of which became effective upon the closing of the Business Combination. No further awards have been or will be granted under the 2011 Stock Plan following the closing of the Business Combination.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17"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6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Awards: Number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of Securities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0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w:t>
            </w:r>
          </w:p>
        </w:tc>
      </w:tr>
      <w:tr>
        <w:trPr>
          <w:trHeight w:val="165"/>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Expiration Date</w:t>
            </w:r>
          </w:p>
        </w:tc>
      </w:tr>
      <w:tr>
        <w:trPr>
          <w:trHeight w:val="20"/>
        </w:trPr>
        <w:tc>
          <w:tcPr>
            <w:tcW w:w="1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Dinakar Munagala</w:t>
            </w: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3/15/2017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1/1/2017</w:t>
            </w:r>
          </w:p>
        </w:tc>
        <w:tc>
          <w:tcPr>
            <w:tcW w:w="1240" w:type="dxa"/>
            <w:vAlign w:val="bottom"/>
            <w:gridSpan w:val="2"/>
            <w:shd w:val="clear" w:color="auto" w:fill="CFF0FC"/>
          </w:tcPr>
          <w:p>
            <w:pPr>
              <w:jc w:val="right"/>
              <w:ind w:right="200"/>
              <w:spacing w:after="0" w:line="210" w:lineRule="exact"/>
              <w:rPr>
                <w:sz w:val="20"/>
                <w:szCs w:val="20"/>
                <w:color w:val="auto"/>
              </w:rPr>
            </w:pPr>
            <w:r>
              <w:rPr>
                <w:rFonts w:ascii="Times New Roman" w:cs="Times New Roman" w:eastAsia="Times New Roman" w:hAnsi="Times New Roman"/>
                <w:sz w:val="18"/>
                <w:szCs w:val="18"/>
                <w:color w:val="auto"/>
              </w:rPr>
              <w:t>147,000</w:t>
            </w:r>
            <w:r>
              <w:rPr>
                <w:rFonts w:ascii="Times New Roman" w:cs="Times New Roman" w:eastAsia="Times New Roman" w:hAnsi="Times New Roman"/>
                <w:sz w:val="24"/>
                <w:szCs w:val="24"/>
                <w:color w:val="auto"/>
                <w:vertAlign w:val="superscript"/>
              </w:rPr>
              <w:t>(1)</w:t>
            </w:r>
          </w:p>
        </w:tc>
        <w:tc>
          <w:tcPr>
            <w:tcW w:w="114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   1.00</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3/14/2027</w:t>
            </w:r>
          </w:p>
        </w:tc>
      </w:t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11/12/2018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9/1/2018</w:t>
            </w:r>
          </w:p>
        </w:tc>
        <w:tc>
          <w:tcPr>
            <w:tcW w:w="124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226,305</w:t>
            </w:r>
            <w:r>
              <w:rPr>
                <w:rFonts w:ascii="Times New Roman" w:cs="Times New Roman" w:eastAsia="Times New Roman" w:hAnsi="Times New Roman"/>
                <w:sz w:val="24"/>
                <w:szCs w:val="24"/>
                <w:color w:val="auto"/>
                <w:vertAlign w:val="superscript"/>
              </w:rPr>
              <w:t>(1)</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11/11/2028</w:t>
            </w:r>
          </w:p>
        </w:tc>
      </w:tr>
      <w:tr>
        <w:trPr>
          <w:trHeight w:val="216"/>
        </w:trPr>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9/19/2023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shd w:val="clear" w:color="auto" w:fill="CFF0FC"/>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2,197,372</w:t>
            </w:r>
            <w:r>
              <w:rPr>
                <w:rFonts w:ascii="Times New Roman" w:cs="Times New Roman" w:eastAsia="Times New Roman" w:hAnsi="Times New Roman"/>
                <w:sz w:val="24"/>
                <w:szCs w:val="24"/>
                <w:color w:val="auto"/>
                <w:vertAlign w:val="superscript"/>
              </w:rPr>
              <w:t>(2)</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3,124,027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9/18/2033</w:t>
            </w:r>
          </w:p>
        </w:tc>
      </w:t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10/24/2024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8"/>
                <w:szCs w:val="18"/>
                <w:color w:val="auto"/>
              </w:rPr>
              <w:t>7,379,065</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10/23/2034</w:t>
            </w:r>
          </w:p>
        </w:tc>
      </w:tr>
      <w:tr>
        <w:trPr>
          <w:trHeight w:val="216"/>
        </w:trPr>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 Cook</w:t>
            </w: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3/15/2017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1/1/2017</w:t>
            </w:r>
          </w:p>
        </w:tc>
        <w:tc>
          <w:tcPr>
            <w:tcW w:w="1240" w:type="dxa"/>
            <w:vAlign w:val="bottom"/>
            <w:gridSpan w:val="2"/>
            <w:shd w:val="clear" w:color="auto" w:fill="CFF0FC"/>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40,038</w:t>
            </w:r>
            <w:r>
              <w:rPr>
                <w:rFonts w:ascii="Times New Roman" w:cs="Times New Roman" w:eastAsia="Times New Roman" w:hAnsi="Times New Roman"/>
                <w:sz w:val="24"/>
                <w:szCs w:val="24"/>
                <w:color w:val="auto"/>
                <w:vertAlign w:val="superscript"/>
              </w:rPr>
              <w:t>(1)</w:t>
            </w:r>
          </w:p>
        </w:tc>
        <w:tc>
          <w:tcPr>
            <w:tcW w:w="114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3/14/2027</w:t>
            </w:r>
          </w:p>
        </w:tc>
      </w:t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11/12/2018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9/1/2018</w:t>
            </w:r>
          </w:p>
        </w:tc>
        <w:tc>
          <w:tcPr>
            <w:tcW w:w="124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113,152</w:t>
            </w:r>
            <w:r>
              <w:rPr>
                <w:rFonts w:ascii="Times New Roman" w:cs="Times New Roman" w:eastAsia="Times New Roman" w:hAnsi="Times New Roman"/>
                <w:sz w:val="24"/>
                <w:szCs w:val="24"/>
                <w:color w:val="auto"/>
                <w:vertAlign w:val="superscript"/>
              </w:rPr>
              <w:t>(1)</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11/11/2028</w:t>
            </w:r>
          </w:p>
        </w:tc>
      </w:tr>
      <w:tr>
        <w:trPr>
          <w:trHeight w:val="216"/>
        </w:trPr>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9/19/2023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shd w:val="clear" w:color="auto" w:fill="CFF0FC"/>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794,866</w:t>
            </w:r>
            <w:r>
              <w:rPr>
                <w:rFonts w:ascii="Times New Roman" w:cs="Times New Roman" w:eastAsia="Times New Roman" w:hAnsi="Times New Roman"/>
                <w:sz w:val="24"/>
                <w:szCs w:val="24"/>
                <w:color w:val="auto"/>
                <w:vertAlign w:val="superscript"/>
              </w:rPr>
              <w:t>(2)</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1,112,814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9/18/2033</w:t>
            </w:r>
          </w:p>
        </w:tc>
      </w:t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10/24/2024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8"/>
                <w:szCs w:val="18"/>
                <w:color w:val="auto"/>
              </w:rPr>
              <w:t>1,517,044</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10/23/2034</w:t>
            </w:r>
          </w:p>
        </w:tc>
      </w:tr>
      <w:tr>
        <w:trPr>
          <w:trHeight w:val="216"/>
        </w:trPr>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Santiago Fernandez-Gomez</w:t>
            </w: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1/2/2017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7/8/2015</w:t>
            </w:r>
          </w:p>
        </w:tc>
        <w:tc>
          <w:tcPr>
            <w:tcW w:w="1240" w:type="dxa"/>
            <w:vAlign w:val="bottom"/>
            <w:gridSpan w:val="2"/>
            <w:shd w:val="clear" w:color="auto" w:fill="CFF0FC"/>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4"/>
                <w:szCs w:val="24"/>
                <w:color w:val="auto"/>
                <w:vertAlign w:val="superscript"/>
              </w:rPr>
              <w:t>(2)</w:t>
            </w:r>
          </w:p>
        </w:tc>
        <w:tc>
          <w:tcPr>
            <w:tcW w:w="114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1/1/2027</w:t>
            </w:r>
          </w:p>
        </w:tc>
      </w:t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8/27/2018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7/9/2018</w:t>
            </w:r>
          </w:p>
        </w:tc>
        <w:tc>
          <w:tcPr>
            <w:tcW w:w="124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67,935</w:t>
            </w:r>
            <w:r>
              <w:rPr>
                <w:rFonts w:ascii="Times New Roman" w:cs="Times New Roman" w:eastAsia="Times New Roman" w:hAnsi="Times New Roman"/>
                <w:sz w:val="24"/>
                <w:szCs w:val="24"/>
                <w:color w:val="auto"/>
                <w:vertAlign w:val="superscript"/>
              </w:rPr>
              <w:t>(4)</w:t>
            </w: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8/26/2028</w:t>
            </w:r>
          </w:p>
        </w:tc>
      </w:tr>
      <w:tr>
        <w:trPr>
          <w:trHeight w:val="216"/>
        </w:trPr>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11/17/2021</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1/1/2021</w:t>
            </w:r>
          </w:p>
        </w:tc>
        <w:tc>
          <w:tcPr>
            <w:tcW w:w="1240" w:type="dxa"/>
            <w:vAlign w:val="bottom"/>
            <w:gridSpan w:val="2"/>
            <w:shd w:val="clear" w:color="auto" w:fill="CFF0FC"/>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4,896</w:t>
            </w:r>
            <w:r>
              <w:rPr>
                <w:rFonts w:ascii="Times New Roman" w:cs="Times New Roman" w:eastAsia="Times New Roman" w:hAnsi="Times New Roman"/>
                <w:sz w:val="24"/>
                <w:szCs w:val="24"/>
                <w:color w:val="auto"/>
                <w:vertAlign w:val="superscript"/>
              </w:rPr>
              <w:t>(1)</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20.70</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11/16/2031</w:t>
            </w:r>
          </w:p>
        </w:tc>
      </w:tr>
      <w:tr>
        <w:trPr>
          <w:trHeight w:val="216"/>
        </w:trPr>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9/19/2023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tcPr>
          <w:p>
            <w:pPr>
              <w:jc w:val="right"/>
              <w:ind w:right="200"/>
              <w:spacing w:after="0" w:line="216" w:lineRule="exact"/>
              <w:rPr>
                <w:sz w:val="20"/>
                <w:szCs w:val="20"/>
                <w:color w:val="auto"/>
              </w:rPr>
            </w:pPr>
            <w:r>
              <w:rPr>
                <w:rFonts w:ascii="Times New Roman" w:cs="Times New Roman" w:eastAsia="Times New Roman" w:hAnsi="Times New Roman"/>
                <w:sz w:val="18"/>
                <w:szCs w:val="18"/>
                <w:color w:val="auto"/>
              </w:rPr>
              <w:t>654,484</w:t>
            </w:r>
            <w:r>
              <w:rPr>
                <w:rFonts w:ascii="Times New Roman" w:cs="Times New Roman" w:eastAsia="Times New Roman" w:hAnsi="Times New Roman"/>
                <w:sz w:val="24"/>
                <w:szCs w:val="24"/>
                <w:color w:val="auto"/>
                <w:vertAlign w:val="superscript"/>
              </w:rPr>
              <w:t>(2)</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916,278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9/18/2033</w:t>
            </w:r>
          </w:p>
        </w:tc>
      </w:tr>
      <w:tr>
        <w:trPr>
          <w:trHeight w:val="216"/>
        </w:trPr>
        <w:tc>
          <w:tcPr>
            <w:tcW w:w="1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10/24/2024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1,418,448</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0.92</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10/23/2034</w:t>
            </w:r>
          </w:p>
        </w:tc>
      </w:tr>
    </w:tbl>
    <w:p>
      <w:pPr>
        <w:spacing w:after="0" w:line="31" w:lineRule="exact"/>
        <w:rPr>
          <w:sz w:val="20"/>
          <w:szCs w:val="20"/>
          <w:color w:val="auto"/>
        </w:rPr>
      </w:pPr>
    </w:p>
    <w:p>
      <w:pPr>
        <w:ind w:left="460" w:right="20" w:hanging="452"/>
        <w:spacing w:after="0" w:line="261" w:lineRule="auto"/>
        <w:tabs>
          <w:tab w:leader="none" w:pos="29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w:t>
      </w:r>
    </w:p>
    <w:p>
      <w:pPr>
        <w:ind w:left="460" w:right="20" w:hanging="452"/>
        <w:spacing w:after="0" w:line="261" w:lineRule="auto"/>
        <w:tabs>
          <w:tab w:leader="none" w:pos="29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ind w:left="460" w:hanging="452"/>
        <w:spacing w:after="0" w:line="241" w:lineRule="auto"/>
        <w:tabs>
          <w:tab w:leader="none" w:pos="29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14" w:lineRule="exact"/>
        <w:rPr>
          <w:rFonts w:ascii="Times New Roman" w:cs="Times New Roman" w:eastAsia="Times New Roman" w:hAnsi="Times New Roman"/>
          <w:sz w:val="14"/>
          <w:szCs w:val="14"/>
          <w:color w:val="auto"/>
        </w:rPr>
      </w:pPr>
    </w:p>
    <w:p>
      <w:pPr>
        <w:ind w:left="460" w:hanging="452"/>
        <w:spacing w:after="0" w:line="241" w:lineRule="auto"/>
        <w:tabs>
          <w:tab w:leader="none" w:pos="29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72" w:lineRule="exact"/>
        <w:rPr>
          <w:sz w:val="20"/>
          <w:szCs w:val="20"/>
          <w:color w:val="auto"/>
        </w:rPr>
      </w:pPr>
    </w:p>
    <w:p>
      <w:pPr>
        <w:ind w:right="40" w:firstLine="449"/>
        <w:spacing w:after="0" w:line="375" w:lineRule="auto"/>
        <w:rPr>
          <w:sz w:val="20"/>
          <w:szCs w:val="20"/>
          <w:color w:val="auto"/>
        </w:rPr>
      </w:pPr>
      <w:r>
        <w:rPr>
          <w:rFonts w:ascii="Times New Roman" w:cs="Times New Roman" w:eastAsia="Times New Roman" w:hAnsi="Times New Roman"/>
          <w:sz w:val="18"/>
          <w:szCs w:val="18"/>
          <w:color w:val="auto"/>
        </w:rPr>
        <w:t xml:space="preserve">Mr. Munagala’s receipt of any severance payments and benefits is subject to his execution and non-revocation of a general release in favor of Blaize. </w:t>
      </w:r>
      <w:r>
        <w:rPr>
          <w:rFonts w:ascii="Times New Roman" w:cs="Times New Roman" w:eastAsia="Times New Roman" w:hAnsi="Times New Roman"/>
          <w:sz w:val="18"/>
          <w:szCs w:val="18"/>
          <w:i w:val="1"/>
          <w:iCs w:val="1"/>
          <w:color w:val="auto"/>
        </w:rPr>
        <w:t>Offer Letter for Mr. Cook</w:t>
      </w:r>
    </w:p>
    <w:p>
      <w:pPr>
        <w:spacing w:after="0" w:line="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72" w:lineRule="exact"/>
        <w:rPr>
          <w:sz w:val="20"/>
          <w:szCs w:val="20"/>
          <w:color w:val="auto"/>
        </w:rPr>
      </w:pPr>
    </w:p>
    <w:p>
      <w:pPr>
        <w:ind w:right="380" w:firstLine="449"/>
        <w:spacing w:after="0" w:line="375" w:lineRule="auto"/>
        <w:rPr>
          <w:sz w:val="20"/>
          <w:szCs w:val="20"/>
          <w:color w:val="auto"/>
        </w:rPr>
      </w:pPr>
      <w:r>
        <w:rPr>
          <w:rFonts w:ascii="Times New Roman" w:cs="Times New Roman" w:eastAsia="Times New Roman" w:hAnsi="Times New Roman"/>
          <w:sz w:val="18"/>
          <w:szCs w:val="18"/>
          <w:color w:val="auto"/>
        </w:rPr>
        <w:t xml:space="preserve">Mr. Cook’s receipt of any severance payments and benefits is subject to his execution and non-revocation of a general release in favor of Blaize. </w:t>
      </w:r>
      <w:r>
        <w:rPr>
          <w:rFonts w:ascii="Times New Roman" w:cs="Times New Roman" w:eastAsia="Times New Roman" w:hAnsi="Times New Roman"/>
          <w:sz w:val="18"/>
          <w:szCs w:val="18"/>
          <w:i w:val="1"/>
          <w:iCs w:val="1"/>
          <w:color w:val="auto"/>
        </w:rPr>
        <w:t>Offer Letter for Mr. Fernandez-Gomez</w:t>
      </w:r>
    </w:p>
    <w:p>
      <w:pPr>
        <w:spacing w:after="0" w:line="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 xml:space="preserve">Prior to the Business Combination, Legacy Blaize did not maintain a formal non-employee director compensation program, but previously made cash payments and granted equity awards to certain of its non-employee directors as it deemed appropriate. During 2024, each of Messrs. Frank, </w:t>
      </w:r>
      <w:r>
        <w:rPr>
          <w:rFonts w:ascii="Times New Roman" w:cs="Times New Roman" w:eastAsia="Times New Roman" w:hAnsi="Times New Roman"/>
          <w:sz w:val="18"/>
          <w:szCs w:val="18"/>
          <w:color w:val="000000"/>
        </w:rPr>
        <w:t>Cannestra</w:t>
      </w:r>
      <w:r>
        <w:rPr>
          <w:rFonts w:ascii="Times New Roman" w:cs="Times New Roman" w:eastAsia="Times New Roman" w:hAnsi="Times New Roman"/>
          <w:sz w:val="18"/>
          <w:szCs w:val="18"/>
          <w:color w:val="231F20"/>
        </w:rPr>
        <w:t>, Hambrecht and Bess were granted equity awards for their services on Legacy Blaize’s board of directors. None of Legacy Blaize’s other non-employee directors received compensation from Legacy Blaize for their service on the board of directors in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Director Compensation Table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following table sets forth information concerning the compensation of </w:t>
      </w:r>
      <w:r>
        <w:rPr>
          <w:rFonts w:ascii="Times New Roman" w:cs="Times New Roman" w:eastAsia="Times New Roman" w:hAnsi="Times New Roman"/>
          <w:sz w:val="18"/>
          <w:szCs w:val="18"/>
          <w:color w:val="231F20"/>
        </w:rPr>
        <w:t>Legacy Blaize’s</w:t>
      </w:r>
      <w:r>
        <w:rPr>
          <w:rFonts w:ascii="Times New Roman" w:cs="Times New Roman" w:eastAsia="Times New Roman" w:hAnsi="Times New Roman"/>
          <w:sz w:val="18"/>
          <w:szCs w:val="18"/>
          <w:color w:val="auto"/>
        </w:rPr>
        <w:t xml:space="preserve"> non-employee directors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 w:lineRule="exact"/>
        <w:rPr>
          <w:sz w:val="20"/>
          <w:szCs w:val="20"/>
          <w:color w:val="auto"/>
        </w:rPr>
      </w:pPr>
    </w:p>
    <w:p>
      <w:pPr>
        <w:ind w:left="420"/>
        <w:spacing w:after="0"/>
        <w:tabs>
          <w:tab w:leader="none" w:pos="7300" w:val="left"/>
          <w:tab w:leader="none" w:pos="96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7"/>
          <w:szCs w:val="7"/>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-3175</wp:posOffset>
            </wp:positionV>
            <wp:extent cx="66179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69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42"/>
        </w:trPr>
        <w:tc>
          <w:tcPr>
            <w:tcW w:w="420" w:type="dxa"/>
            <w:vAlign w:val="bottom"/>
            <w:tcBorders>
              <w:top w:val="single" w:sz="8" w:color="0000FF"/>
            </w:tcBorders>
          </w:tcPr>
          <w:p>
            <w:pPr>
              <w:spacing w:after="0"/>
              <w:rPr>
                <w:sz w:val="12"/>
                <w:szCs w:val="12"/>
                <w:color w:val="auto"/>
              </w:rPr>
            </w:pPr>
          </w:p>
        </w:tc>
        <w:tc>
          <w:tcPr>
            <w:tcW w:w="740" w:type="dxa"/>
            <w:vAlign w:val="bottom"/>
            <w:tcBorders>
              <w:top w:val="single" w:sz="8" w:color="0000FF"/>
              <w:bottom w:val="single" w:sz="8" w:color="CCEEFF"/>
            </w:tcBorders>
          </w:tcPr>
          <w:p>
            <w:pPr>
              <w:spacing w:after="0"/>
              <w:rPr>
                <w:sz w:val="12"/>
                <w:szCs w:val="12"/>
                <w:color w:val="auto"/>
              </w:rPr>
            </w:pPr>
          </w:p>
        </w:tc>
        <w:tc>
          <w:tcPr>
            <w:tcW w:w="20" w:type="dxa"/>
            <w:vAlign w:val="bottom"/>
            <w:tcBorders>
              <w:top w:val="single" w:sz="8" w:color="0000EE"/>
              <w:bottom w:val="single" w:sz="8" w:color="CCEEFF"/>
            </w:tcBorders>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r>
      <w:tr>
        <w:trPr>
          <w:trHeight w:val="209"/>
        </w:trPr>
        <w:tc>
          <w:tcPr>
            <w:tcW w:w="4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318,472</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318,472</w:t>
            </w:r>
          </w:p>
        </w:tc>
      </w:tr>
      <w:tr>
        <w:trPr>
          <w:trHeight w:val="216"/>
        </w:trPr>
        <w:tc>
          <w:tcPr>
            <w:tcW w:w="4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318,472</w:t>
            </w: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318,472</w:t>
            </w:r>
          </w:p>
        </w:tc>
      </w:tr>
      <w:tr>
        <w:trPr>
          <w:trHeight w:val="216"/>
        </w:trPr>
        <w:tc>
          <w:tcPr>
            <w:tcW w:w="4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318,472</w:t>
            </w: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318,472</w:t>
            </w:r>
          </w:p>
        </w:tc>
      </w:tr>
      <w:tr>
        <w:trPr>
          <w:trHeight w:val="234"/>
        </w:trPr>
        <w:tc>
          <w:tcPr>
            <w:tcW w:w="42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Lane Bess</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242,571</w:t>
            </w: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-568325</wp:posOffset>
            </wp:positionV>
            <wp:extent cx="1062990"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62990" cy="11430"/>
                    </a:xfrm>
                    <a:prstGeom prst="rect">
                      <a:avLst/>
                    </a:prstGeom>
                    <a:noFill/>
                  </pic:spPr>
                </pic:pic>
              </a:graphicData>
            </a:graphic>
          </wp:anchor>
        </w:drawing>
      </w:r>
    </w:p>
    <w:p>
      <w:pPr>
        <w:jc w:val="both"/>
        <w:ind w:left="460" w:hanging="452"/>
        <w:spacing w:after="0" w:line="241" w:lineRule="auto"/>
        <w:tabs>
          <w:tab w:leader="none" w:pos="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fair value of stock options granted during 2024 as of the date on which the options were approved by the Legacy Blaize’s board of directors computed in accordance with ASC Topic 718, rather than the amounts paid to or realized by the named individual. Assumptions used to calculate the value of option awards made to the named executive officers are included in Notes 2 and 11 to Legacy Blaize’s consolidated financial statements included in the Company’s Current Report on Form 8-K/A, filed on April 14, 2025.</w:t>
      </w:r>
    </w:p>
    <w:p>
      <w:pPr>
        <w:spacing w:after="0" w:line="73"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shows the aggregate numbers of option awards (exercisable and unexercisable) held as of December 31, 2024 by each non-employee director who served during 2024:</w:t>
      </w:r>
    </w:p>
    <w:tbl>
      <w:tblPr>
        <w:tblLayout w:type="fixed"/>
        <w:tblInd w:w="3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 Fiscal Year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Lane Bess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xml:space="preserve">Cash </w:t>
      </w:r>
      <w:r>
        <w:rPr>
          <w:rFonts w:ascii="Times New Roman" w:cs="Times New Roman" w:eastAsia="Times New Roman" w:hAnsi="Times New Roman"/>
          <w:sz w:val="18"/>
          <w:szCs w:val="18"/>
          <w:i w:val="1"/>
          <w:iCs w:val="1"/>
          <w:color w:val="000000"/>
        </w:rPr>
        <w:t>Compensation</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231F20"/>
        </w:rPr>
        <w:t xml:space="preserve">Under the </w:t>
      </w:r>
      <w:r>
        <w:rPr>
          <w:rFonts w:ascii="Times New Roman" w:cs="Times New Roman" w:eastAsia="Times New Roman" w:hAnsi="Times New Roman"/>
          <w:sz w:val="18"/>
          <w:szCs w:val="18"/>
          <w:color w:val="000000"/>
        </w:rPr>
        <w:t>Director</w:t>
      </w:r>
      <w:r>
        <w:rPr>
          <w:rFonts w:ascii="Times New Roman" w:cs="Times New Roman" w:eastAsia="Times New Roman" w:hAnsi="Times New Roman"/>
          <w:sz w:val="18"/>
          <w:szCs w:val="18"/>
          <w:color w:val="231F20"/>
        </w:rPr>
        <w:t xml:space="preserve"> Compensation Program, non-employee directors serving on the Board are entitled to cash compensation in the follo</w:t>
      </w:r>
      <w:r>
        <w:rPr>
          <w:rFonts w:ascii="Times New Roman" w:cs="Times New Roman" w:eastAsia="Times New Roman" w:hAnsi="Times New Roman"/>
          <w:sz w:val="18"/>
          <w:szCs w:val="18"/>
          <w:color w:val="000000"/>
        </w:rPr>
        <w:t>w</w:t>
      </w:r>
      <w:r>
        <w:rPr>
          <w:rFonts w:ascii="Times New Roman" w:cs="Times New Roman" w:eastAsia="Times New Roman" w:hAnsi="Times New Roman"/>
          <w:sz w:val="18"/>
          <w:szCs w:val="18"/>
          <w:color w:val="231F20"/>
        </w:rPr>
        <w:t>ing amounts:</w:t>
      </w:r>
    </w:p>
    <w:p>
      <w:pPr>
        <w:spacing w:after="0" w:line="5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Retainer: $80,000</w:t>
      </w:r>
    </w:p>
    <w:p>
      <w:pPr>
        <w:spacing w:after="0" w:line="63" w:lineRule="exact"/>
        <w:rPr>
          <w:rFonts w:ascii="Times New Roman" w:cs="Times New Roman" w:eastAsia="Times New Roman" w:hAnsi="Times New Roman"/>
          <w:sz w:val="18"/>
          <w:szCs w:val="18"/>
          <w:color w:val="231F20"/>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Annual Retainer for Non-Executive Chair: $40,000</w:t>
      </w:r>
    </w:p>
    <w:p>
      <w:pPr>
        <w:spacing w:after="0" w:line="63" w:lineRule="exact"/>
        <w:rPr>
          <w:rFonts w:ascii="Times New Roman" w:cs="Times New Roman" w:eastAsia="Times New Roman" w:hAnsi="Times New Roman"/>
          <w:sz w:val="18"/>
          <w:szCs w:val="18"/>
          <w:color w:val="231F20"/>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Committee Chair Retainers:</w:t>
      </w:r>
    </w:p>
    <w:p>
      <w:pPr>
        <w:spacing w:after="0" w:line="63" w:lineRule="exact"/>
        <w:rPr>
          <w:sz w:val="20"/>
          <w:szCs w:val="20"/>
          <w:color w:val="auto"/>
        </w:rPr>
      </w:pPr>
    </w:p>
    <w:p>
      <w:pPr>
        <w:ind w:left="960" w:hanging="512"/>
        <w:spacing w:after="0"/>
        <w:tabs>
          <w:tab w:leader="none" w:pos="960" w:val="left"/>
        </w:tabs>
        <w:numPr>
          <w:ilvl w:val="1"/>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Committee: $24,000</w:t>
      </w:r>
    </w:p>
    <w:p>
      <w:pPr>
        <w:spacing w:after="0" w:line="63" w:lineRule="exact"/>
        <w:rPr>
          <w:rFonts w:ascii="Times New Roman" w:cs="Times New Roman" w:eastAsia="Times New Roman" w:hAnsi="Times New Roman"/>
          <w:sz w:val="18"/>
          <w:szCs w:val="18"/>
          <w:color w:val="231F20"/>
        </w:rPr>
      </w:pPr>
    </w:p>
    <w:p>
      <w:pPr>
        <w:ind w:left="960" w:hanging="512"/>
        <w:spacing w:after="0"/>
        <w:tabs>
          <w:tab w:leader="none" w:pos="960" w:val="left"/>
        </w:tabs>
        <w:numPr>
          <w:ilvl w:val="1"/>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Compensation Committee: $20,000</w:t>
      </w:r>
    </w:p>
    <w:p>
      <w:pPr>
        <w:spacing w:after="0" w:line="63" w:lineRule="exact"/>
        <w:rPr>
          <w:rFonts w:ascii="Times New Roman" w:cs="Times New Roman" w:eastAsia="Times New Roman" w:hAnsi="Times New Roman"/>
          <w:sz w:val="18"/>
          <w:szCs w:val="18"/>
          <w:color w:val="231F20"/>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Non-Chair Committee Member Retainers:</w:t>
      </w:r>
    </w:p>
    <w:p>
      <w:pPr>
        <w:spacing w:after="0" w:line="63" w:lineRule="exact"/>
        <w:rPr>
          <w:rFonts w:ascii="Times New Roman" w:cs="Times New Roman" w:eastAsia="Times New Roman" w:hAnsi="Times New Roman"/>
          <w:sz w:val="18"/>
          <w:szCs w:val="18"/>
          <w:color w:val="231F20"/>
        </w:rPr>
      </w:pPr>
    </w:p>
    <w:p>
      <w:pPr>
        <w:ind w:left="960" w:hanging="512"/>
        <w:spacing w:after="0"/>
        <w:tabs>
          <w:tab w:leader="none" w:pos="960" w:val="left"/>
        </w:tabs>
        <w:numPr>
          <w:ilvl w:val="1"/>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Committee: $16,000</w:t>
      </w:r>
    </w:p>
    <w:p>
      <w:pPr>
        <w:spacing w:after="0" w:line="63" w:lineRule="exact"/>
        <w:rPr>
          <w:rFonts w:ascii="Times New Roman" w:cs="Times New Roman" w:eastAsia="Times New Roman" w:hAnsi="Times New Roman"/>
          <w:sz w:val="18"/>
          <w:szCs w:val="18"/>
          <w:color w:val="231F20"/>
        </w:rPr>
      </w:pPr>
    </w:p>
    <w:p>
      <w:pPr>
        <w:ind w:left="960" w:hanging="512"/>
        <w:spacing w:after="0"/>
        <w:tabs>
          <w:tab w:leader="none" w:pos="960" w:val="left"/>
        </w:tabs>
        <w:numPr>
          <w:ilvl w:val="1"/>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Compensation Committee: $14,000</w:t>
      </w:r>
    </w:p>
    <w:p>
      <w:pPr>
        <w:spacing w:after="0" w:line="63" w:lineRule="exact"/>
        <w:rPr>
          <w:sz w:val="20"/>
          <w:szCs w:val="20"/>
          <w:color w:val="auto"/>
        </w:rPr>
      </w:pPr>
    </w:p>
    <w:p>
      <w:pPr>
        <w:ind w:right="1200" w:firstLine="449"/>
        <w:spacing w:after="0" w:line="374" w:lineRule="auto"/>
        <w:rPr>
          <w:sz w:val="20"/>
          <w:szCs w:val="20"/>
          <w:color w:val="auto"/>
        </w:rPr>
      </w:pPr>
      <w:r>
        <w:rPr>
          <w:rFonts w:ascii="Times New Roman" w:cs="Times New Roman" w:eastAsia="Times New Roman" w:hAnsi="Times New Roman"/>
          <w:sz w:val="18"/>
          <w:szCs w:val="18"/>
          <w:color w:val="231F20"/>
        </w:rPr>
        <w:t xml:space="preserve">Annual </w:t>
      </w:r>
      <w:r>
        <w:rPr>
          <w:rFonts w:ascii="Times New Roman" w:cs="Times New Roman" w:eastAsia="Times New Roman" w:hAnsi="Times New Roman"/>
          <w:sz w:val="18"/>
          <w:szCs w:val="18"/>
          <w:color w:val="000000"/>
        </w:rPr>
        <w:t>cash</w:t>
      </w:r>
      <w:r>
        <w:rPr>
          <w:rFonts w:ascii="Times New Roman" w:cs="Times New Roman" w:eastAsia="Times New Roman" w:hAnsi="Times New Roman"/>
          <w:sz w:val="18"/>
          <w:szCs w:val="18"/>
          <w:color w:val="231F20"/>
        </w:rPr>
        <w:t xml:space="preserve"> retainers will be paid in quarterly installments in arrears and will be pro-rated for any partial calendar quarter of service. </w:t>
      </w:r>
      <w:r>
        <w:rPr>
          <w:rFonts w:ascii="Times New Roman" w:cs="Times New Roman" w:eastAsia="Times New Roman" w:hAnsi="Times New Roman"/>
          <w:sz w:val="18"/>
          <w:szCs w:val="18"/>
          <w:i w:val="1"/>
          <w:iCs w:val="1"/>
          <w:color w:val="231F20"/>
        </w:rPr>
        <w:t xml:space="preserve">Equity </w:t>
      </w:r>
      <w:r>
        <w:rPr>
          <w:rFonts w:ascii="Times New Roman" w:cs="Times New Roman" w:eastAsia="Times New Roman" w:hAnsi="Times New Roman"/>
          <w:sz w:val="18"/>
          <w:szCs w:val="18"/>
          <w:i w:val="1"/>
          <w:iCs w:val="1"/>
          <w:color w:val="000000"/>
        </w:rPr>
        <w:t>Compensation</w:t>
      </w:r>
    </w:p>
    <w:p>
      <w:pPr>
        <w:spacing w:after="0" w:line="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Initial Awards. </w:t>
      </w:r>
      <w:r>
        <w:rPr>
          <w:rFonts w:ascii="Times New Roman" w:cs="Times New Roman" w:eastAsia="Times New Roman" w:hAnsi="Times New Roman"/>
          <w:sz w:val="18"/>
          <w:szCs w:val="18"/>
          <w:color w:val="231F20"/>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following the closing of the Business Combination will be granted an award of restricted stock units at the time of the electio</w:t>
      </w:r>
      <w:r>
        <w:rPr>
          <w:rFonts w:ascii="Times New Roman" w:cs="Times New Roman" w:eastAsia="Times New Roman" w:hAnsi="Times New Roman"/>
          <w:sz w:val="18"/>
          <w:szCs w:val="18"/>
          <w:color w:val="000000"/>
        </w:rPr>
        <w:t xml:space="preserve">n or appointment with a grant-date value of approximately $600,000, which will vest with respect to one-third (1/3rd) of the restricted stock </w:t>
      </w:r>
      <w:r>
        <w:rPr>
          <w:rFonts w:ascii="Times New Roman" w:cs="Times New Roman" w:eastAsia="Times New Roman" w:hAnsi="Times New Roman"/>
          <w:sz w:val="18"/>
          <w:szCs w:val="18"/>
          <w:color w:val="231F20"/>
        </w:rPr>
        <w:t>units subject thereto on each of the first three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anniversaries of the applicable grant date, subject to the director’s continued </w:t>
      </w:r>
      <w:r>
        <w:rPr>
          <w:rFonts w:ascii="Times New Roman" w:cs="Times New Roman" w:eastAsia="Times New Roman" w:hAnsi="Times New Roman"/>
          <w:sz w:val="18"/>
          <w:szCs w:val="18"/>
          <w:color w:val="000000"/>
        </w:rPr>
        <w:t>service</w:t>
      </w:r>
      <w:r>
        <w:rPr>
          <w:rFonts w:ascii="Times New Roman" w:cs="Times New Roman" w:eastAsia="Times New Roman" w:hAnsi="Times New Roman"/>
          <w:sz w:val="18"/>
          <w:szCs w:val="18"/>
          <w:color w:val="231F20"/>
        </w:rPr>
        <w:t xml:space="preserv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7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Annual Awards. </w:t>
      </w:r>
      <w:r>
        <w:rPr>
          <w:rFonts w:ascii="Times New Roman" w:cs="Times New Roman" w:eastAsia="Times New Roman" w:hAnsi="Times New Roman"/>
          <w:sz w:val="18"/>
          <w:szCs w:val="18"/>
          <w:color w:val="231F20"/>
        </w:rPr>
        <w:t>Under the Director Compensation Program, each non-employee director who is serving on the Board as of the date of each annual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w:t>
      </w:r>
      <w:r>
        <w:rPr>
          <w:rFonts w:ascii="Times New Roman" w:cs="Times New Roman" w:eastAsia="Times New Roman" w:hAnsi="Times New Roman"/>
          <w:sz w:val="18"/>
          <w:szCs w:val="18"/>
          <w:color w:val="000000"/>
        </w:rPr>
        <w:t>(i)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one-year anniversary of the applicable grant date and (ii) the date of the next annual meeting following the grant date, subject to the director’s continued service on the Board through the applicable vesting date.</w:t>
      </w:r>
    </w:p>
    <w:p>
      <w:pPr>
        <w:spacing w:after="0" w:line="7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2025 Plan, or any similar term as defined in the then-applicable plan) if the non-employee director will not become a member of the Board or the board of directors of the Company’s successor (or any parent thereof) following such change in control.</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Compensati</w:t>
      </w:r>
      <w:r>
        <w:rPr>
          <w:rFonts w:ascii="Times New Roman" w:cs="Times New Roman" w:eastAsia="Times New Roman" w:hAnsi="Times New Roman"/>
          <w:sz w:val="18"/>
          <w:szCs w:val="18"/>
          <w:color w:val="231F20"/>
        </w:rPr>
        <w:t>on under the Director Compensation Program is subject to the annual limits on non-employee director compensation set forth in the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Plan (or any success</w:t>
      </w:r>
      <w:r>
        <w:rPr>
          <w:rFonts w:ascii="Times New Roman" w:cs="Times New Roman" w:eastAsia="Times New Roman" w:hAnsi="Times New Roman"/>
          <w:sz w:val="18"/>
          <w:szCs w:val="18"/>
          <w:color w:val="000000"/>
        </w:rPr>
        <w:t>o</w:t>
      </w:r>
      <w:r>
        <w:rPr>
          <w:rFonts w:ascii="Times New Roman" w:cs="Times New Roman" w:eastAsia="Times New Roman" w:hAnsi="Times New Roman"/>
          <w:sz w:val="18"/>
          <w:szCs w:val="18"/>
          <w:color w:val="231F20"/>
        </w:rPr>
        <w:t>r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a Compensation Recovery Policy (the “Compensation Recovery Policy”), in compliance with final clawback rules and regulations adopted by the SEC under the Dodd-Frank Wall Street Reform and Consumer Protection Act and the Nasdaq listing rules, which requires recovery from current and former executive officers of incentive-based compensation that is earned, granted or vested based on the achievement of a financial reporting measure in the event that we are required to prepare an accounting restatement of previously issued financial statements unless the Compensation Committee determines that recovery would be impracticable. The recoverable compensation includes any compensation received after the effective date of the Compensation Recovery Policy and during the three-year fiscal period preceding the date we were required to prepare the accounting restatement that is in excess of the amount that would have been earned, paid or vested had it been calculated based on the restated financial statements. Recovery is required regardless of fault or a covered officer’s role in the financial reporting process.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the insider trading policy.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beneficial ownership table below sets forth information known to us regarding the beneficial ownership of our common stock as of March 31, 2025, by:</w:t>
      </w:r>
    </w:p>
    <w:p>
      <w:pPr>
        <w:spacing w:after="0" w:line="54"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or shares of common stock underlying time-based restricted stock units that vest within 60 days are considered outstanding and beneficially owned by the person holding the options, warrants, or restricted stock units, as applicable, for the purpose of calculating the percentage ownership of that person but not for the purpose of calculating the percentage ownership of any other person.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beneficial ownership table is based on 101,683,916 shares of common stock issued and outstanding as of March 31,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10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line="216" w:lineRule="exact"/>
              <w:rPr>
                <w:sz w:val="20"/>
                <w:szCs w:val="20"/>
                <w:color w:val="auto"/>
              </w:rPr>
            </w:pPr>
            <w:r>
              <w:rPr>
                <w:rFonts w:ascii="Times New Roman" w:cs="Times New Roman" w:eastAsia="Times New Roman" w:hAnsi="Times New Roman"/>
                <w:sz w:val="18"/>
                <w:szCs w:val="18"/>
                <w:color w:val="auto"/>
              </w:rPr>
              <w:t>Bess Ventures and Advisory, LLC</w:t>
            </w:r>
            <w:r>
              <w:rPr>
                <w:rFonts w:ascii="Times New Roman" w:cs="Times New Roman" w:eastAsia="Times New Roman" w:hAnsi="Times New Roman"/>
                <w:sz w:val="24"/>
                <w:szCs w:val="24"/>
                <w:color w:val="auto"/>
                <w:vertAlign w:val="superscript"/>
              </w:rPr>
              <w:t>(1)</w:t>
            </w:r>
          </w:p>
        </w:tc>
        <w:tc>
          <w:tcPr>
            <w:tcW w:w="408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9,521,985</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Funds affiliated with Rizvi Traverse CI Manager, LLC</w:t>
            </w:r>
            <w:r>
              <w:rPr>
                <w:rFonts w:ascii="Times New Roman" w:cs="Times New Roman" w:eastAsia="Times New Roman" w:hAnsi="Times New Roman"/>
                <w:sz w:val="24"/>
                <w:szCs w:val="24"/>
                <w:color w:val="auto"/>
                <w:vertAlign w:val="superscript"/>
              </w:rPr>
              <w:t>(2)</w:t>
            </w:r>
          </w:p>
        </w:tc>
        <w:tc>
          <w:tcPr>
            <w:tcW w:w="4080" w:type="dxa"/>
            <w:vAlign w:val="bottom"/>
            <w:gridSpan w:val="3"/>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9"/>
              </w:rPr>
              <w:t>7,439,433</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8"/>
        </w:trPr>
        <w:tc>
          <w:tcPr>
            <w:tcW w:w="5040" w:type="dxa"/>
            <w:vAlign w:val="bottom"/>
          </w:tcPr>
          <w:p>
            <w:pPr>
              <w:ind w:left="440"/>
              <w:spacing w:after="0" w:line="239" w:lineRule="exact"/>
              <w:rPr>
                <w:sz w:val="20"/>
                <w:szCs w:val="20"/>
                <w:color w:val="auto"/>
              </w:rPr>
            </w:pPr>
            <w:r>
              <w:rPr>
                <w:rFonts w:ascii="Times New Roman" w:cs="Times New Roman" w:eastAsia="Times New Roman" w:hAnsi="Times New Roman"/>
                <w:sz w:val="18"/>
                <w:szCs w:val="18"/>
                <w:color w:val="auto"/>
              </w:rPr>
              <w:t>Ava Investors SA</w:t>
            </w:r>
            <w:r>
              <w:rPr>
                <w:rFonts w:ascii="Times New Roman" w:cs="Times New Roman" w:eastAsia="Times New Roman" w:hAnsi="Times New Roman"/>
                <w:sz w:val="24"/>
                <w:szCs w:val="24"/>
                <w:color w:val="auto"/>
                <w:vertAlign w:val="superscript"/>
              </w:rPr>
              <w:t>(3)</w:t>
            </w:r>
          </w:p>
        </w:tc>
        <w:tc>
          <w:tcPr>
            <w:tcW w:w="408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8"/>
              </w:rPr>
              <w:t>17,716,892</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17.4%</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6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50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4"/>
        </w:trPr>
        <w:tc>
          <w:tcPr>
            <w:tcW w:w="67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42"/>
        </w:trPr>
        <w:tc>
          <w:tcPr>
            <w:tcW w:w="1160" w:type="dxa"/>
            <w:vAlign w:val="bottom"/>
            <w:tcBorders>
              <w:top w:val="single" w:sz="8" w:color="0000FF"/>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16"/>
        </w:trPr>
        <w:tc>
          <w:tcPr>
            <w:tcW w:w="6760" w:type="dxa"/>
            <w:vAlign w:val="bottom"/>
            <w:gridSpan w:val="3"/>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Sponsor and related parties</w:t>
            </w:r>
            <w:r>
              <w:rPr>
                <w:rFonts w:ascii="Times New Roman" w:cs="Times New Roman" w:eastAsia="Times New Roman" w:hAnsi="Times New Roman"/>
                <w:sz w:val="24"/>
                <w:szCs w:val="24"/>
                <w:color w:val="auto"/>
                <w:vertAlign w:val="superscript"/>
              </w:rPr>
              <w:t>(4)</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12,345,767</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12.1%</w:t>
            </w:r>
          </w:p>
        </w:tc>
      </w:tr>
      <w:tr>
        <w:trPr>
          <w:trHeight w:val="216"/>
        </w:trPr>
        <w:tc>
          <w:tcPr>
            <w:tcW w:w="676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8"/>
                <w:szCs w:val="18"/>
                <w:color w:val="auto"/>
              </w:rPr>
              <w:t>Funds affiliated with DENSO</w:t>
            </w:r>
            <w:r>
              <w:rPr>
                <w:rFonts w:ascii="Times New Roman" w:cs="Times New Roman" w:eastAsia="Times New Roman" w:hAnsi="Times New Roman"/>
                <w:sz w:val="24"/>
                <w:szCs w:val="24"/>
                <w:color w:val="auto"/>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9,195,111</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760" w:type="dxa"/>
            <w:vAlign w:val="bottom"/>
            <w:gridSpan w:val="3"/>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Anderson Investments Pte. Ltd.</w:t>
            </w:r>
            <w:r>
              <w:rPr>
                <w:rFonts w:ascii="Times New Roman" w:cs="Times New Roman" w:eastAsia="Times New Roman" w:hAnsi="Times New Roman"/>
                <w:sz w:val="24"/>
                <w:szCs w:val="24"/>
                <w:color w:val="auto"/>
                <w:vertAlign w:val="superscript"/>
              </w:rPr>
              <w:t>(6)</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6,353,023</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760" w:type="dxa"/>
            <w:vAlign w:val="bottom"/>
            <w:gridSpan w:val="3"/>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Lane M. Bess</w:t>
            </w:r>
            <w:r>
              <w:rPr>
                <w:rFonts w:ascii="Times New Roman" w:cs="Times New Roman" w:eastAsia="Times New Roman" w:hAnsi="Times New Roman"/>
                <w:sz w:val="24"/>
                <w:szCs w:val="24"/>
                <w:color w:val="auto"/>
                <w:vertAlign w:val="superscript"/>
              </w:rPr>
              <w:t>(1)</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9,521,985</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76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8"/>
                <w:szCs w:val="18"/>
                <w:color w:val="auto"/>
              </w:rPr>
              <w:t>Tony Cannestra</w:t>
            </w:r>
            <w:r>
              <w:rPr>
                <w:rFonts w:ascii="Times New Roman" w:cs="Times New Roman" w:eastAsia="Times New Roman" w:hAnsi="Times New Roman"/>
                <w:sz w:val="24"/>
                <w:szCs w:val="24"/>
                <w:color w:val="auto"/>
                <w:vertAlign w:val="superscript"/>
              </w:rPr>
              <w:t>(7)</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571,963</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gridSpan w:val="3"/>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Edward Frank</w:t>
            </w:r>
            <w:r>
              <w:rPr>
                <w:rFonts w:ascii="Times New Roman" w:cs="Times New Roman" w:eastAsia="Times New Roman" w:hAnsi="Times New Roman"/>
                <w:sz w:val="24"/>
                <w:szCs w:val="24"/>
                <w:color w:val="auto"/>
                <w:vertAlign w:val="superscript"/>
              </w:rPr>
              <w:t>(8)</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563,139</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8"/>
                <w:szCs w:val="18"/>
                <w:color w:val="auto"/>
              </w:rPr>
              <w:t>Juergen Hambrecht</w:t>
            </w:r>
            <w:r>
              <w:rPr>
                <w:rFonts w:ascii="Times New Roman" w:cs="Times New Roman" w:eastAsia="Times New Roman" w:hAnsi="Times New Roman"/>
                <w:sz w:val="24"/>
                <w:szCs w:val="24"/>
                <w:color w:val="auto"/>
                <w:vertAlign w:val="superscript"/>
              </w:rPr>
              <w:t>(9)</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563,139</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gridSpan w:val="3"/>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Dinakar Munagala</w:t>
            </w:r>
            <w:r>
              <w:rPr>
                <w:rFonts w:ascii="Times New Roman" w:cs="Times New Roman" w:eastAsia="Times New Roman" w:hAnsi="Times New Roman"/>
                <w:sz w:val="24"/>
                <w:szCs w:val="24"/>
                <w:color w:val="auto"/>
                <w:vertAlign w:val="superscript"/>
              </w:rPr>
              <w:t>(10)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3,138,518</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76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8"/>
                <w:szCs w:val="18"/>
                <w:color w:val="auto"/>
              </w:rPr>
              <w:t>Harminder Sehmi</w:t>
            </w:r>
            <w:r>
              <w:rPr>
                <w:rFonts w:ascii="Times New Roman" w:cs="Times New Roman" w:eastAsia="Times New Roman" w:hAnsi="Times New Roman"/>
                <w:sz w:val="24"/>
                <w:szCs w:val="24"/>
                <w:color w:val="auto"/>
                <w:vertAlign w:val="superscript"/>
              </w:rPr>
              <w:t>(11)</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459,572</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George de Urioste</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Yoshiaki Fujimori</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 (10 individuals)</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14,818,316</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14.6%</w:t>
            </w:r>
          </w:p>
        </w:tc>
      </w:tr>
    </w:tbl>
    <w:p>
      <w:pPr>
        <w:spacing w:after="0" w:line="72"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68" w:lineRule="exact"/>
        <w:rPr>
          <w:rFonts w:ascii="Times New Roman" w:cs="Times New Roman" w:eastAsia="Times New Roman" w:hAnsi="Times New Roman"/>
          <w:sz w:val="14"/>
          <w:szCs w:val="14"/>
          <w:color w:val="auto"/>
        </w:rPr>
      </w:pPr>
    </w:p>
    <w:p>
      <w:pPr>
        <w:jc w:val="both"/>
        <w:ind w:left="460" w:hanging="452"/>
        <w:spacing w:after="0" w:line="233"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8,946,783 shares of Common Stock held by Bess Ventures, (b) 389,968 shares of Common Stock held by the Coral Gables Trust Company, Trustee of the Destin Huang Irrevocable Trust Dated October 19, 2021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 Lane M. Bess, 1928 Sunset Harbor Drive, Miami Beach, FL 33139. The address of the Trust is 255 Alhambra Circle, Ste 333, Coral Gables, FL 33134.</w:t>
      </w:r>
    </w:p>
    <w:p>
      <w:pPr>
        <w:spacing w:after="0" w:line="15" w:lineRule="exact"/>
        <w:rPr>
          <w:rFonts w:ascii="Times New Roman" w:cs="Times New Roman" w:eastAsia="Times New Roman" w:hAnsi="Times New Roman"/>
          <w:sz w:val="14"/>
          <w:szCs w:val="14"/>
          <w:color w:val="auto"/>
        </w:rPr>
      </w:pPr>
    </w:p>
    <w:p>
      <w:pPr>
        <w:jc w:val="both"/>
        <w:ind w:left="460" w:hanging="452"/>
        <w:spacing w:after="0" w:line="233"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15" w:lineRule="exact"/>
        <w:rPr>
          <w:rFonts w:ascii="Times New Roman" w:cs="Times New Roman" w:eastAsia="Times New Roman" w:hAnsi="Times New Roman"/>
          <w:sz w:val="14"/>
          <w:szCs w:val="14"/>
          <w:color w:val="auto"/>
        </w:rPr>
      </w:pPr>
    </w:p>
    <w:p>
      <w:pPr>
        <w:jc w:val="both"/>
        <w:ind w:left="460" w:hanging="452"/>
        <w:spacing w:after="0" w:line="236"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4" w:lineRule="exact"/>
        <w:rPr>
          <w:rFonts w:ascii="Times New Roman" w:cs="Times New Roman" w:eastAsia="Times New Roman" w:hAnsi="Times New Roman"/>
          <w:sz w:val="14"/>
          <w:szCs w:val="14"/>
          <w:color w:val="auto"/>
        </w:rPr>
      </w:pPr>
    </w:p>
    <w:p>
      <w:pPr>
        <w:jc w:val="both"/>
        <w:ind w:left="460" w:hanging="452"/>
        <w:spacing w:after="0" w:line="236"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10,345,767 shares of Common Stock held by the Sponsor and related parties. BurTech LP LLC, the Sponsor, is the record holder of the securities reported herein. Shahal Khan, Patrick Orlando and Roman Livson are the managing members of the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LP LLC, 5601 Arbor Lane, Coral Gables, FL 33156.</w:t>
      </w:r>
    </w:p>
    <w:p>
      <w:pPr>
        <w:spacing w:after="0" w:line="14" w:lineRule="exact"/>
        <w:rPr>
          <w:rFonts w:ascii="Times New Roman" w:cs="Times New Roman" w:eastAsia="Times New Roman" w:hAnsi="Times New Roman"/>
          <w:sz w:val="14"/>
          <w:szCs w:val="14"/>
          <w:color w:val="auto"/>
        </w:rPr>
      </w:pPr>
    </w:p>
    <w:p>
      <w:pPr>
        <w:jc w:val="both"/>
        <w:ind w:left="460" w:hanging="452"/>
        <w:spacing w:after="0" w:line="227"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20" w:lineRule="exact"/>
        <w:rPr>
          <w:rFonts w:ascii="Times New Roman" w:cs="Times New Roman" w:eastAsia="Times New Roman" w:hAnsi="Times New Roman"/>
          <w:sz w:val="14"/>
          <w:szCs w:val="14"/>
          <w:color w:val="auto"/>
        </w:rPr>
      </w:pPr>
    </w:p>
    <w:p>
      <w:pPr>
        <w:jc w:val="both"/>
        <w:ind w:left="460" w:hanging="452"/>
        <w:spacing w:after="0" w:line="228"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18"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571,963 shares of Common Stock underlying options exercisable within 60 days of March 31, 2025.</w:t>
      </w:r>
    </w:p>
    <w:p>
      <w:pPr>
        <w:spacing w:after="0" w:line="41"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563,139 shares of Common Stock underlying options exercisable within 60 days of March 31, 2025.</w:t>
      </w:r>
    </w:p>
    <w:p>
      <w:pPr>
        <w:spacing w:after="0" w:line="41"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563,139 shares of Common Stock underlying options exercisable within 60 days of March 31, 2025.</w:t>
      </w:r>
    </w:p>
    <w:p>
      <w:pPr>
        <w:spacing w:after="0" w:line="41" w:lineRule="exact"/>
        <w:rPr>
          <w:rFonts w:ascii="Times New Roman" w:cs="Times New Roman" w:eastAsia="Times New Roman" w:hAnsi="Times New Roman"/>
          <w:sz w:val="14"/>
          <w:szCs w:val="14"/>
          <w:color w:val="auto"/>
        </w:rPr>
      </w:pPr>
    </w:p>
    <w:p>
      <w:pPr>
        <w:ind w:left="460" w:right="20" w:hanging="452"/>
        <w:spacing w:after="0" w:line="261" w:lineRule="auto"/>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553,422 shares of Common Stock held directly by Dinakar Munagala and (b) 2,585,096 shares of Common Stock underlying options exercisable within 60 days of March 31, 2025.</w:t>
      </w:r>
    </w:p>
    <w:p>
      <w:pPr>
        <w:ind w:left="460" w:hanging="452"/>
        <w:spacing w:after="0"/>
        <w:tabs>
          <w:tab w:leader="none" w:pos="4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459,572 shares of Common Stock underlying options exercisable within 60 days of March 31, 2025.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shares of common stock that may be issued under our equity compensation plans. Such information includes equity compensation plans of Legacy Blaize as of December 31, 2024 that were assumed by the Company in the Business Combination:</w:t>
      </w:r>
    </w:p>
    <w:tbl>
      <w:tblPr>
        <w:tblLayout w:type="fixed"/>
        <w:tblInd w:w="0" w:type="dxa"/>
        <w:tblCellMar>
          <w:top w:w="0" w:type="dxa"/>
          <w:left w:w="0" w:type="dxa"/>
          <w:bottom w:w="0" w:type="dxa"/>
          <w:right w:w="0" w:type="dxa"/>
        </w:tblCellMar>
      </w:tblPr>
      <w:tr>
        <w:trPr>
          <w:trHeight w:val="133"/>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20" w:type="dxa"/>
            <w:vAlign w:val="bottom"/>
          </w:tcPr>
          <w:p>
            <w:pPr>
              <w:spacing w:after="0"/>
              <w:rPr>
                <w:sz w:val="11"/>
                <w:szCs w:val="11"/>
                <w:color w:val="auto"/>
              </w:rPr>
            </w:pPr>
          </w:p>
        </w:tc>
        <w:tc>
          <w:tcPr>
            <w:tcW w:w="2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20" w:type="dxa"/>
            <w:vAlign w:val="bottom"/>
          </w:tcPr>
          <w:p>
            <w:pPr>
              <w:spacing w:after="0"/>
              <w:rPr>
                <w:sz w:val="11"/>
                <w:szCs w:val="11"/>
                <w:color w:val="auto"/>
              </w:rPr>
            </w:pPr>
          </w:p>
        </w:tc>
        <w:tc>
          <w:tcPr>
            <w:tcW w:w="26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3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 Compensation Plan Category</w:t>
            </w:r>
          </w:p>
        </w:tc>
        <w:tc>
          <w:tcPr>
            <w:tcW w:w="12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5"/>
                <w:szCs w:val="15"/>
                <w:color w:val="auto"/>
              </w:rPr>
            </w:pPr>
          </w:p>
        </w:tc>
        <w:tc>
          <w:tcPr>
            <w:tcW w:w="2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Warrants, Rights</w:t>
            </w:r>
          </w:p>
        </w:tc>
        <w:tc>
          <w:tcPr>
            <w:tcW w:w="12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24"/>
                <w:szCs w:val="24"/>
                <w:color w:val="auto"/>
                <w:vertAlign w:val="superscript"/>
              </w:rPr>
              <w:t>(2)</w:t>
            </w:r>
          </w:p>
        </w:tc>
        <w:tc>
          <w:tcPr>
            <w:tcW w:w="2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1,737,444</w:t>
            </w:r>
            <w:r>
              <w:rPr>
                <w:rFonts w:ascii="Times New Roman" w:cs="Times New Roman" w:eastAsia="Times New Roman" w:hAnsi="Times New Roman"/>
                <w:sz w:val="24"/>
                <w:szCs w:val="24"/>
                <w:color w:val="auto"/>
                <w:vertAlign w:val="superscript"/>
              </w:rPr>
              <w:t>(3)</w:t>
            </w:r>
          </w:p>
        </w:tc>
        <w:tc>
          <w:tcPr>
            <w:tcW w:w="0" w:type="dxa"/>
            <w:vAlign w:val="bottom"/>
          </w:tcPr>
          <w:p>
            <w:pPr>
              <w:spacing w:after="0" w:line="20" w:lineRule="exact"/>
              <w:rPr>
                <w:sz w:val="1"/>
                <w:szCs w:val="1"/>
                <w:color w:val="auto"/>
              </w:rPr>
            </w:pPr>
          </w:p>
        </w:tc>
      </w:tr>
      <w:tr>
        <w:trPr>
          <w:trHeight w:val="142"/>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Approved by stockholders</w:t>
            </w:r>
          </w:p>
        </w:tc>
        <w:tc>
          <w:tcPr>
            <w:tcW w:w="2440" w:type="dxa"/>
            <w:vAlign w:val="bottom"/>
            <w:tcBorders>
              <w:bottom w:val="single" w:sz="8" w:color="auto"/>
            </w:tcBorders>
          </w:tcPr>
          <w:p>
            <w:pPr>
              <w:spacing w:after="0"/>
              <w:rPr>
                <w:sz w:val="12"/>
                <w:szCs w:val="12"/>
                <w:color w:val="auto"/>
              </w:rPr>
            </w:pPr>
          </w:p>
        </w:tc>
        <w:tc>
          <w:tcPr>
            <w:tcW w:w="102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continue"/>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2440" w:type="dxa"/>
            <w:vAlign w:val="bottom"/>
          </w:tcPr>
          <w:p>
            <w:pPr>
              <w:jc w:val="right"/>
              <w:spacing w:after="0" w:line="210" w:lineRule="exact"/>
              <w:rPr>
                <w:sz w:val="20"/>
                <w:szCs w:val="20"/>
                <w:color w:val="auto"/>
              </w:rPr>
            </w:pPr>
            <w:r>
              <w:rPr>
                <w:rFonts w:ascii="Times New Roman" w:cs="Times New Roman" w:eastAsia="Times New Roman" w:hAnsi="Times New Roman"/>
                <w:sz w:val="18"/>
                <w:szCs w:val="18"/>
                <w:color w:val="auto"/>
              </w:rPr>
              <w:t>31,991,082</w:t>
            </w:r>
            <w:r>
              <w:rPr>
                <w:rFonts w:ascii="Times New Roman" w:cs="Times New Roman" w:eastAsia="Times New Roman" w:hAnsi="Times New Roman"/>
                <w:sz w:val="24"/>
                <w:szCs w:val="24"/>
                <w:color w:val="auto"/>
                <w:vertAlign w:val="superscript"/>
              </w:rPr>
              <w:t>(1)</w:t>
            </w:r>
          </w:p>
        </w:tc>
        <w:tc>
          <w:tcPr>
            <w:tcW w:w="10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 approved by stockholders</w:t>
            </w:r>
          </w:p>
        </w:tc>
        <w:tc>
          <w:tcPr>
            <w:tcW w:w="2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31,991,082</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8"/>
                <w:szCs w:val="18"/>
                <w:color w:val="auto"/>
              </w:rPr>
            </w:pPr>
          </w:p>
        </w:tc>
        <w:tc>
          <w:tcPr>
            <w:tcW w:w="2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1,737,444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-162560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1714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5" w:lineRule="exact"/>
        <w:rPr>
          <w:sz w:val="20"/>
          <w:szCs w:val="20"/>
          <w:color w:val="auto"/>
        </w:rPr>
      </w:pPr>
    </w:p>
    <w:p>
      <w:pPr>
        <w:jc w:val="both"/>
        <w:ind w:left="460" w:hanging="452"/>
        <w:spacing w:after="0" w:line="241" w:lineRule="auto"/>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28,360,635 shares subject to stock options under the 2011 Stock Plan and 3,630,447 shares subject to outstanding restricted stock units under the 2011 Stock Plan, in each case, that were outstanding on December 31, 2024 (presented on an as-converted basis). No new awards have been or may be granted under the 2011 Stock Plan following the closing of the Business Combination, but all outstanding awards under the 2011 Stock Plan continue to be governed by their existing terms.</w:t>
      </w:r>
    </w:p>
    <w:p>
      <w:pPr>
        <w:spacing w:after="0" w:line="14" w:lineRule="exact"/>
        <w:rPr>
          <w:rFonts w:ascii="Times New Roman" w:cs="Times New Roman" w:eastAsia="Times New Roman" w:hAnsi="Times New Roman"/>
          <w:sz w:val="14"/>
          <w:szCs w:val="14"/>
          <w:color w:val="auto"/>
        </w:rPr>
      </w:pPr>
    </w:p>
    <w:p>
      <w:pPr>
        <w:ind w:left="460" w:right="20" w:hanging="452"/>
        <w:spacing w:after="0" w:line="261" w:lineRule="auto"/>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weighted-average exercise price of outstanding stock options under the 2011 Stock Plan, presented on an as-converted basis. RSUs do not have an exercise price and are not included in the weighted-average exercise price.</w:t>
      </w:r>
    </w:p>
    <w:p>
      <w:pPr>
        <w:ind w:left="460" w:hanging="452"/>
        <w:spacing w:after="0" w:line="261" w:lineRule="auto"/>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reflect shares reserved and available for issuance under the 2025 Plan or 2025 ESPP, as such plans were not in effect as of December 31, 2024 and became effective on January 13, 2025 in connection with the closing of the Business Combination.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BurTech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21"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the Business Combination, on February 1, 2023, BurTech issued an unsecured convertible promissory note to the Sponsor, pursuant to which BurTech borrowed $1,500,000 from the Sponsor for general corporate purposes. Such loan was, at the Sponsor’s discretion, convertible into units of BurTech at a price of $10.00 per unit, with the conversion amount determined by dividing (x) the sum of the outstanding principal amount payable to such Payee by (y) $10.00. The Working Capital Loan did not bear any interest and was repayable by BurTech to the Sponsor, if not converted or repaid on the effective date of a Business Combination involving BurTech and one or more businesses. The maturity date of the Working Capital Loan may be accelerated upon the occurrence of an Event of Default (as defined under the Working Capital Loan). As of December 31, 2024, $1,500,000 in working capital loans were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Sponsor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2024, the Sponsor provided working capital and extension deposits on behalf of BurTech. These amounts are reflected on the condensed consolidated balance sheets as advances from Sponsor. The advances are non-interest bearing and are payable on demand. As of December 31, 2024, BurTech had advances owed to the Sponsor in the amount of $2,971,258. During the year ended December 31, 2024, BurTech received $1,304,630 from its Sponsor for payment of operating expenses and ongoing business operations. Additionally, during the year ended December 31, 2024, the Sponsor paid $1,666,628 to the trust for extension payments.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22, 2024, the Sponsor entered into a backstop subscription agreement (the “Backstop Subscription Agreement”) with BurTech and Legacy Blaize. Pursuant to the Backstop Subscription Agreement, in the event that the amount of cash in BurTech’s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closing condition in the Merger Agreement related to the Backstop Subscription Agreement was waived at the time of the execution of the Non-Redemption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Subscription Agreements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December 31, 2024, in connection with the Business Combination, BurTech and Legacy Blaize entered into a subscription agreement (the “Burkhan PIPE Subscription Agreement”) with Burkhan Capital LLC (“Burkhan”), pursuant to which, among other things, BurTech agreed to issue and sell to Burkhan, and Burkhan agreed to subscribe for and purchase 1,200,000 shares of the Company’s common stock, par value $0.0001 per share (“PIPE Shares”) at a purchase price of $10.00 per share for an aggregate purchase price of $12,000,000, in a private placement. On January 13, 2025, immediately following the Closing, the Company issued 1,200,000 shares of Common Stock, at a price of $10.00 per share for an aggregate investment by Burkhan of $12,000,000 in accordance with the terms of the Burkhan PIPE Subscription Agreement. The shares of Common Stock issued to Burkhan were offered in a private placement under the Securities Act of 1933, as amended (the “Securities Act”), pursuant to the Burkhan PIPE Subscription Agreement.</w:t>
      </w:r>
    </w:p>
    <w:p>
      <w:pPr>
        <w:spacing w:after="0" w:line="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terms of the Burkhan PIPE Subscription Agreement, the Company was obligated to file a registration statement to register for the resale of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Promissory Note and Pledge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US$8,753,744.21, bearing with respect to the remaining principal amount of the Sponsor Note as at the maturity date an interest rate of 7% with annual compounding, compounded on December 31 each year the Sponsor Note remains outstanding until such remaining principal amount is paid. Pursuant to the Sponsor Note, the Sponsor agreed to pay certain of the Acquiror Transaction Expenses (as defined in the Merger Agreement) set forth in the Sponsor Note. As consideration for entry into the Sponsor Note, BurTech issued 750,000 shares of BurTech Class A common stock (“Sponsor Note Shares”) to the Sponsor in accordance with the terms of the Sponsor Note (the “Sponsor Note Issuance” and together with the PIPE Investment, the “Private Placements”). The shares of BurTech Class A common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or May 14, 2025. The Sponsor granted a first priority security interest in, and pledged, 2,000,000 shares of BurTech Class A common stock and all proceeds thereof to the Holder to secure the satisfaction by the Sponsor of all its obligations to the Holder under the Sponsor Note. The outstanding principal and accrued interest under the Sponsor Note is due and payable upon the Maturity Date.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8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certain former Legacy Blaize stockholders entered into that certain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earlier of (x) July 13, 2025, (y) the date on which the last reported sale price of common stock equals or exceeds $12.00 per share (as adjusted for stock splits, stock dividends, reorganizations, recapitalizations and the like) for any 20 trading days within any 30-trading day period commencing after June 12, 2025 and (z)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Legacy Blaize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and Operating Agreements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Legacy Blaize is a party to a Long-Term Joint Development Agreement with DENSO Corporation, dated as of February 15, 2022, pursuant to which Legacy Blaize and DENSO Corporation, which holds more than 5% of Blaize’s outstanding capital stock within Blaize’s last fiscal year and is affiliated with a member of our Board, Tony Cannestra, have agreed to jointly develop AI solutions based on one or more Blaize Products and market and sell the AI solutions to customers in various automotive market segments until the end of December 2029. Legacy Blaize has not recognized any revenue to date associated with the Long-Term Joint Development Agreement as it has yet to be commercialized. Legacy Blaize expects commercialization of the Long-Term Joint Development Agreement to begin in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Transactions, Accounts Payable and Account Receivable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Pursuant to an Intercompany Service Agreement, dated February 25, 2020, by and between Legacy Blaize and Blaize New Computing Technologies India Private Limited, a subsidiary of Legacy Blaize (“Blaize India”), Blaize India has agreed to provide software development services to Legacy Blaize in exchange for a fee equal to Blaize India’s costs plus a markup of approximately 15%. The Intercompany Service Agreement remains in effect and the amounts expensed by Legacy Blaize to Blaize India under this agreement were approximately $13,702,335 for the year ended December 31, 2024.</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Legacy Blaize is a party to the Research and Development Services Agreement, dated as of June 15, 2019, pursuant to which Blaize U.K. Limited f/k/a ThinCI Limited, a subsidiary of Legacy Blaize (“Blaize UK”), has agreed to perform certain research and development services for Legacy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 expensed by Legacy Blaize to Blaize UK under this agreement was approximately $4,011,646 for the year ended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Trademark Agreements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was a party to the Blaize-DENSO Compiler Project Statement of Work, dated as of February 4, 2024, pursuant to which DENSO Corporation, an affiliate of Blaize which beneficially owns more than 5% of Blaize’s outstanding capital stock through itself and its subsidiary, DENSO, and is affiliated with a member of the Blaize board of directors, Tony Cannestra, agreed to jointly develop certain AI projects with Blaize. The Blaize-DENSO Compiler Project Statement of Work has been substantially completed and Legacy Blaize was paid approximately $330,319.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Legacy 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2024, the largest aggregate amount of principal outstanding under the Blaize India Loan was $3,123,690. The amount of principal and interest paid under the Blaize India Loan since the inception of loan to date amounts to $446,242 and $356,418, respectively. As of December 31, 2024, Blaize India had $2,677,448 of borrowings outstanding under the Blaize India Loan.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BurTech Class A common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BurTech Class A common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8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2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68"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BurTech Class A common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BurTech Class A common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BurTech Class A common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BurTech Class A common stock. As of March 25, 2025, the forbearance period under the Second Forbearance Agreement has expired and the Sponsor is under default under the Bess 2025 Note.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Effective January 13, 2025, the Board adopted a written related person transaction policy and procedures that conforms with the requirements for issuers having securities listed on Nasdaq. Under the policy, the audit committee serves as the approval authority for related person transactions. Any transaction that we intend to undertake with a related person will be submitted to either our General Counsel (or his or her designee), who serves as the compliance officer under the policy, the Audit Committee, or the full Board for review. If the compliance officer, the Audit Committee, or the Board becomes aware of a transaction with a related person that has not been previously approved or previously ratified under the policy that required such approval, the transaction will be submitted promptly to the approval authority for review.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Policies and Procedures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and ethics requiring us to avoid, wherever possible, all conflicts of interests, except under guidelines or resolutions approved by the board of directors (or the appropriate committee of the board of directors) or as disclosed in public filings with the SEC. Under the adopted code of conduct and ethics, conflict of interest situations include any financial transaction, arrangement or relationship (including any indebtedness or guarantee of indebtedness) involving us.</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addition, pursuant to the Audit Committee charter, our Audit Committee is responsible for reviewing and approving related party transactions to the extent that we entered into such transactions. An affirmative vote of a majority of the members of the Audit Committee present at a meeting at which a quorum is present will be required in order to approve a related party transaction. Without a meeting, the unanimous written consent of all of the members of the Audit Committee will be required to approve a related party transaction. We also require each of our directors and officers to complete a directors’ and officers’ questionnaire that elicits information about related party transactions. 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Audit Committee reviews on a periodic basis all payments that were made to the officers or directors, or to their affiliates.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Our independent public accounting firm is Marcum LLP (“Marcum”). Marcum has acted as BurTech’s independent registered public accounting firm since March 2, 2021 (inception). The following table sets forth the aggregate fees and expenses billed to us by Marcum:</w:t>
      </w:r>
    </w:p>
    <w:tbl>
      <w:tblPr>
        <w:tblLayout w:type="fixed"/>
        <w:tblInd w:w="0" w:type="dxa"/>
        <w:tblCellMar>
          <w:top w:w="0" w:type="dxa"/>
          <w:left w:w="0" w:type="dxa"/>
          <w:bottom w:w="0" w:type="dxa"/>
          <w:right w:w="0" w:type="dxa"/>
        </w:tblCellMar>
      </w:tblPr>
      <w:tr>
        <w:trPr>
          <w:trHeight w:val="156"/>
        </w:trPr>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 Compensation Plan Category</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60"/>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442,470</w:t>
            </w:r>
          </w:p>
        </w:tc>
        <w:tc>
          <w:tcPr>
            <w:tcW w:w="280" w:type="dxa"/>
            <w:vAlign w:val="bottom"/>
          </w:tcPr>
          <w:p>
            <w:pPr>
              <w:spacing w:after="0"/>
              <w:rPr>
                <w:sz w:val="18"/>
                <w:szCs w:val="18"/>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442,470</w:t>
            </w:r>
          </w:p>
        </w:tc>
        <w:tc>
          <w:tcPr>
            <w:tcW w:w="11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920" w:type="dxa"/>
            <w:vAlign w:val="bottom"/>
          </w:tcPr>
          <w:p>
            <w:pPr>
              <w:spacing w:after="0"/>
              <w:rPr>
                <w:sz w:val="24"/>
                <w:szCs w:val="24"/>
                <w:color w:val="auto"/>
              </w:rPr>
            </w:pPr>
          </w:p>
        </w:tc>
        <w:tc>
          <w:tcPr>
            <w:tcW w:w="2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9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-796290</wp:posOffset>
            </wp:positionV>
            <wp:extent cx="1714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5" w:lineRule="exact"/>
        <w:rPr>
          <w:sz w:val="20"/>
          <w:szCs w:val="20"/>
          <w:color w:val="auto"/>
        </w:rPr>
      </w:pPr>
    </w:p>
    <w:p>
      <w:pPr>
        <w:ind w:left="460" w:right="40" w:hanging="452"/>
        <w:spacing w:after="0" w:line="261" w:lineRule="auto"/>
        <w:tabs>
          <w:tab w:leader="none" w:pos="4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professional services rendered for the audit of our year-end financial statements and services that are normally provided by our independent registered public accounting firm in connection with regulatory filings, and other fees in connection with the Business Combination.</w:t>
      </w:r>
    </w:p>
    <w:p>
      <w:pPr>
        <w:ind w:left="460" w:right="60" w:hanging="452"/>
        <w:spacing w:after="0" w:line="261" w:lineRule="auto"/>
        <w:tabs>
          <w:tab w:leader="none" w:pos="4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ind w:left="460" w:hanging="452"/>
        <w:spacing w:after="0"/>
        <w:tabs>
          <w:tab w:leader="none" w:pos="4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consultation services for the Business Combination and professional services relating to tax compliance, tax planning, and tax advice.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Audit Committee established a policy that all audit and permissible non-audit services provided by the independent registered public accounting firm will be pre-approved by the Audit Committee, and all such services were pre-approved in accordance with this policy during the fiscal years ended December 31, 2024 and 2023. These services included audit services, audit-related services, tax services and other services. The Audit Committee considered whether the provision of each non-audit service were compatible with maintaining the independence of the auditors. Pre-approval was detailed as to the particular service or category of services and was generally subject to a specific budget. Our independent registered public accounting firm and management were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or incorporated herein by reference:</w:t>
      </w:r>
    </w:p>
    <w:p>
      <w:pPr>
        <w:spacing w:after="0" w:line="113"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of the Company are included in Item 8. of this Annual Report.</w:t>
      </w:r>
    </w:p>
    <w:p>
      <w:pPr>
        <w:spacing w:after="0" w:line="11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financial statement schedules for the Company have been included in Item 8. of this Annual Report, or are either inapplicable or not required.</w:t>
      </w:r>
    </w:p>
    <w:p>
      <w:pPr>
        <w:sectPr>
          <w:pgSz w:w="11900" w:h="16838" w:orient="portrait"/>
          <w:cols w:equalWidth="0" w:num="1">
            <w:col w:w="11240"/>
          </w:cols>
          <w:pgMar w:left="320" w:top="450" w:right="339" w:bottom="1440" w:gutter="0" w:footer="0" w:header="0"/>
        </w:sectPr>
      </w:pPr>
    </w:p>
    <w:p>
      <w:pPr>
        <w:spacing w:after="0" w:line="12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0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4"/>
        </w:trPr>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Agreement and Plan of Merger Agreement, dated as of December 22, 2023, by and among BurTech</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Acquisition Corp., BurTech Merger Sub Inc., Blaize, Inc. and Burkhan Capital LLC (for the limited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purposes set forth therein)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Amendment to Agreement and Plan of Merger Agreement, dated as of April 22, 2024, by and among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BurTech Acquisition Corp., BurTech Merger Sub Inc., Blaize, Inc. and Burkhan Capital LLC (for</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6"/>
              </w:rPr>
            </w:pPr>
            <w:hyperlink r:id="rId285">
              <w:r>
                <w:rPr>
                  <w:rFonts w:ascii="Times New Roman" w:cs="Times New Roman" w:eastAsia="Times New Roman" w:hAnsi="Times New Roman"/>
                  <w:sz w:val="18"/>
                  <w:szCs w:val="18"/>
                  <w:color w:val="0000FF"/>
                  <w:w w:val="96"/>
                </w:rPr>
                <w:t>the limited purposes set forth therein)</w:t>
              </w:r>
            </w:hyperlink>
          </w:p>
        </w:tc>
        <w:tc>
          <w:tcPr>
            <w:tcW w:w="4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Amendment No. 2 to Agreement and Plan of Merger, dated as of October 24, 2024, by and among</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BurTech Acquisition Corp., BurTech Merger Sub Inc., Blaize, Inc. and Burkhan Capital LLC (for</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6"/>
              </w:rPr>
            </w:pPr>
            <w:hyperlink r:id="rId286">
              <w:r>
                <w:rPr>
                  <w:rFonts w:ascii="Times New Roman" w:cs="Times New Roman" w:eastAsia="Times New Roman" w:hAnsi="Times New Roman"/>
                  <w:sz w:val="18"/>
                  <w:szCs w:val="18"/>
                  <w:color w:val="0000FF"/>
                  <w:w w:val="96"/>
                </w:rPr>
                <w:t>the limited purposes set forth therein)</w:t>
              </w:r>
            </w:hyperlink>
          </w:p>
        </w:tc>
        <w:tc>
          <w:tcPr>
            <w:tcW w:w="4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87">
              <w:r>
                <w:rPr>
                  <w:rFonts w:ascii="Times New Roman" w:cs="Times New Roman" w:eastAsia="Times New Roman" w:hAnsi="Times New Roman"/>
                  <w:sz w:val="18"/>
                  <w:szCs w:val="18"/>
                  <w:color w:val="0000FF"/>
                  <w:w w:val="99"/>
                </w:rPr>
                <w:t>Amendment No. 3 to Agreement and Plan of Merger, dated as of November 21, 2024, by and among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BurTech Acquisition Corp., BurTech Merger Sub Inc., Blaize, Inc. and Burkhan Capital LLC (for</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the limited purposes set forth therein)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Third Amended and Restated Certificate of Incorporation of Blaize Holdings, Inc.</w:t>
              </w:r>
            </w:hyperlink>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Amended and Restated Bylaws of Blaize Holdings, Inc.</w:t>
              </w:r>
            </w:hyperlink>
          </w:p>
        </w:tc>
        <w:tc>
          <w:tcPr>
            <w:tcW w:w="1860" w:type="dxa"/>
            <w:vAlign w:val="bottom"/>
            <w:tcBorders>
              <w:top w:val="single" w:sz="8" w:color="0000FF"/>
            </w:tcBorders>
            <w:gridSpan w:val="2"/>
          </w:tcPr>
          <w:p>
            <w:pPr>
              <w:spacing w:after="0"/>
              <w:rPr>
                <w:sz w:val="17"/>
                <w:szCs w:val="17"/>
                <w:color w:val="auto"/>
              </w:rPr>
            </w:pPr>
          </w:p>
        </w:tc>
        <w:tc>
          <w:tcPr>
            <w:tcW w:w="1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7"/>
              </w:rPr>
            </w:pPr>
            <w:hyperlink r:id="rId290">
              <w:r>
                <w:rPr>
                  <w:rFonts w:ascii="Times New Roman" w:cs="Times New Roman" w:eastAsia="Times New Roman" w:hAnsi="Times New Roman"/>
                  <w:sz w:val="18"/>
                  <w:szCs w:val="18"/>
                  <w:color w:val="0000FF"/>
                  <w:w w:val="97"/>
                </w:rPr>
                <w:t>Specimen Common Stock Certificate</w:t>
              </w:r>
            </w:hyperlink>
          </w:p>
        </w:tc>
        <w:tc>
          <w:tcPr>
            <w:tcW w:w="4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Specimen Warrant Certificate</w:t>
              </w:r>
            </w:hyperlink>
          </w:p>
        </w:tc>
        <w:tc>
          <w:tcPr>
            <w:tcW w:w="51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Warrant Agreement, dated as of December 10, 2021, by and between the Company and Continental</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300" w:type="dxa"/>
            <w:vAlign w:val="bottom"/>
            <w:gridSpan w:val="29"/>
            <w:vMerge w:val="restart"/>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Stock Transfer &amp; Trust Company, as warrant agent.</w:t>
              </w:r>
            </w:hyperlink>
          </w:p>
        </w:tc>
        <w:tc>
          <w:tcPr>
            <w:tcW w:w="0" w:type="dxa"/>
            <w:vAlign w:val="bottom"/>
          </w:tcPr>
          <w:p>
            <w:pPr>
              <w:spacing w:after="0"/>
              <w:rPr>
                <w:sz w:val="1"/>
                <w:szCs w:val="1"/>
                <w:color w:val="auto"/>
              </w:rPr>
            </w:pPr>
          </w:p>
        </w:tc>
      </w:tr>
      <w:tr>
        <w:trPr>
          <w:trHeight w:val="67"/>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30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Description of the Registrant’s Securities.</w:t>
            </w:r>
          </w:p>
        </w:tc>
        <w:tc>
          <w:tcPr>
            <w:tcW w:w="20" w:type="dxa"/>
            <w:vAlign w:val="bottom"/>
            <w:tcBorders>
              <w:top w:val="single" w:sz="8" w:color="0000FF"/>
              <w:bottom w:val="single" w:sz="8" w:color="0000EE"/>
            </w:tcBorders>
          </w:tcPr>
          <w:p>
            <w:pPr>
              <w:spacing w:after="0"/>
              <w:rPr>
                <w:sz w:val="17"/>
                <w:szCs w:val="17"/>
                <w:color w:val="auto"/>
              </w:rPr>
            </w:pPr>
          </w:p>
        </w:tc>
        <w:tc>
          <w:tcPr>
            <w:tcW w:w="680" w:type="dxa"/>
            <w:vAlign w:val="bottom"/>
            <w:tcBorders>
              <w:top w:val="single" w:sz="8" w:color="0000FF"/>
            </w:tcBorders>
            <w:gridSpan w:val="4"/>
          </w:tcPr>
          <w:p>
            <w:pPr>
              <w:spacing w:after="0"/>
              <w:rPr>
                <w:sz w:val="17"/>
                <w:szCs w:val="17"/>
                <w:color w:val="auto"/>
              </w:rPr>
            </w:pPr>
          </w:p>
        </w:tc>
        <w:tc>
          <w:tcPr>
            <w:tcW w:w="3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Amended and Restated Registration Rights Agreement, dated as of January 13, 2025, by and among</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the Company, certain stockholders of BurTech named therein and certain stockholders of Legacy</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93">
              <w:r>
                <w:rPr>
                  <w:rFonts w:ascii="Times New Roman" w:cs="Times New Roman" w:eastAsia="Times New Roman" w:hAnsi="Times New Roman"/>
                  <w:sz w:val="18"/>
                  <w:szCs w:val="18"/>
                  <w:color w:val="0000FF"/>
                  <w:w w:val="97"/>
                </w:rPr>
                <w:t>Blaize named therein.</w:t>
              </w:r>
            </w:hyperlink>
          </w:p>
        </w:tc>
        <w:tc>
          <w:tcPr>
            <w:tcW w:w="20" w:type="dxa"/>
            <w:vAlign w:val="bottom"/>
            <w:tcBorders>
              <w:bottom w:val="single" w:sz="8" w:color="0000EE"/>
            </w:tcBorders>
          </w:tcPr>
          <w:p>
            <w:pPr>
              <w:spacing w:after="0"/>
              <w:rPr>
                <w:sz w:val="17"/>
                <w:szCs w:val="17"/>
                <w:color w:val="auto"/>
              </w:rPr>
            </w:pPr>
          </w:p>
        </w:tc>
        <w:tc>
          <w:tcPr>
            <w:tcW w:w="57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Letter Agreement, dated December 10, 2021, by and among the Company, its officers and directors,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0" w:type="dxa"/>
            <w:vAlign w:val="bottom"/>
            <w:gridSpan w:val="16"/>
            <w:vMerge w:val="restart"/>
          </w:tcPr>
          <w:p>
            <w:pPr>
              <w:spacing w:after="0" w:line="196" w:lineRule="exact"/>
              <w:rPr>
                <w:rFonts w:ascii="Times New Roman" w:cs="Times New Roman" w:eastAsia="Times New Roman" w:hAnsi="Times New Roman"/>
                <w:sz w:val="18"/>
                <w:szCs w:val="18"/>
                <w:color w:val="0000FF"/>
                <w:w w:val="98"/>
              </w:rPr>
            </w:pPr>
            <w:hyperlink r:id="rId294">
              <w:r>
                <w:rPr>
                  <w:rFonts w:ascii="Times New Roman" w:cs="Times New Roman" w:eastAsia="Times New Roman" w:hAnsi="Times New Roman"/>
                  <w:sz w:val="18"/>
                  <w:szCs w:val="18"/>
                  <w:color w:val="0000FF"/>
                  <w:w w:val="98"/>
                </w:rPr>
                <w:t>the Sponsor and certain other stockholders party thereto</w:t>
              </w:r>
            </w:hyperlink>
          </w:p>
        </w:tc>
        <w:tc>
          <w:tcPr>
            <w:tcW w:w="3300" w:type="dxa"/>
            <w:vAlign w:val="bottom"/>
            <w:gridSpan w:val="1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0" w:type="dxa"/>
            <w:vAlign w:val="bottom"/>
            <w:tcBorders>
              <w:bottom w:val="single" w:sz="8" w:color="0000FF"/>
            </w:tcBorders>
            <w:gridSpan w:val="16"/>
            <w:vMerge w:val="continue"/>
          </w:tcPr>
          <w:p>
            <w:pPr>
              <w:spacing w:after="0"/>
              <w:rPr>
                <w:sz w:val="5"/>
                <w:szCs w:val="5"/>
                <w:color w:val="auto"/>
              </w:rPr>
            </w:pPr>
          </w:p>
        </w:tc>
        <w:tc>
          <w:tcPr>
            <w:tcW w:w="330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Indemnification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Blaize, Inc. Amended and Restated 2011 Stock Plan</w:t>
              </w:r>
            </w:hyperlink>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Blaize Holdings, Inc. 2025 Incentive Award Plan</w:t>
              </w:r>
            </w:hyperlink>
          </w:p>
        </w:tc>
        <w:tc>
          <w:tcPr>
            <w:tcW w:w="3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Blaize Holdings, Inc. 2025 Employee Stock Purchase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Form of Stock Option Grant Agreement (Installment Exercise) and Grant Notice under the Blaize,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gridSpan w:val="11"/>
            <w:vMerge w:val="restart"/>
          </w:tcPr>
          <w:p>
            <w:pPr>
              <w:spacing w:after="0" w:line="196" w:lineRule="exact"/>
              <w:rPr>
                <w:rFonts w:ascii="Times New Roman" w:cs="Times New Roman" w:eastAsia="Times New Roman" w:hAnsi="Times New Roman"/>
                <w:sz w:val="18"/>
                <w:szCs w:val="18"/>
                <w:color w:val="0000FF"/>
                <w:w w:val="98"/>
              </w:rPr>
            </w:pPr>
            <w:hyperlink r:id="rId299">
              <w:r>
                <w:rPr>
                  <w:rFonts w:ascii="Times New Roman" w:cs="Times New Roman" w:eastAsia="Times New Roman" w:hAnsi="Times New Roman"/>
                  <w:sz w:val="18"/>
                  <w:szCs w:val="18"/>
                  <w:color w:val="0000FF"/>
                  <w:w w:val="98"/>
                </w:rPr>
                <w:t>Inc. Amended and Restated 2011 Stock Plan</w:t>
              </w:r>
            </w:hyperlink>
          </w:p>
        </w:tc>
        <w:tc>
          <w:tcPr>
            <w:tcW w:w="20" w:type="dxa"/>
            <w:vAlign w:val="bottom"/>
            <w:vMerge w:val="restart"/>
          </w:tcPr>
          <w:p>
            <w:pPr>
              <w:spacing w:after="0"/>
              <w:rPr>
                <w:sz w:val="11"/>
                <w:szCs w:val="11"/>
                <w:color w:val="auto"/>
              </w:rPr>
            </w:pPr>
          </w:p>
        </w:tc>
        <w:tc>
          <w:tcPr>
            <w:tcW w:w="408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0" w:type="dxa"/>
            <w:vAlign w:val="bottom"/>
            <w:tcBorders>
              <w:bottom w:val="single" w:sz="8" w:color="0000FF"/>
            </w:tcBorders>
            <w:gridSpan w:val="11"/>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08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Restricted Stock Unit Grant Agreement and Grant Notice under the Blaize, Inc. Amended</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300" w:type="dxa"/>
            <w:vAlign w:val="bottom"/>
            <w:gridSpan w:val="29"/>
            <w:vMerge w:val="restart"/>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and Restated 2011 Stock Plan</w:t>
              </w:r>
            </w:hyperlink>
          </w:p>
        </w:tc>
        <w:tc>
          <w:tcPr>
            <w:tcW w:w="0" w:type="dxa"/>
            <w:vAlign w:val="bottom"/>
          </w:tcPr>
          <w:p>
            <w:pPr>
              <w:spacing w:after="0"/>
              <w:rPr>
                <w:sz w:val="1"/>
                <w:szCs w:val="1"/>
                <w:color w:val="auto"/>
              </w:rPr>
            </w:pPr>
          </w:p>
        </w:tc>
      </w:tr>
      <w:tr>
        <w:trPr>
          <w:trHeight w:val="67"/>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30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14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gridSpan w:val="2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Form of Non-Redemption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302">
              <w:r>
                <w:rPr>
                  <w:rFonts w:ascii="Times New Roman" w:cs="Times New Roman" w:eastAsia="Times New Roman" w:hAnsi="Times New Roman"/>
                  <w:sz w:val="18"/>
                  <w:szCs w:val="18"/>
                  <w:color w:val="0000FF"/>
                  <w:w w:val="98"/>
                </w:rPr>
                <w:t>Form of PIPE Subscription Agreement</w:t>
              </w:r>
            </w:hyperlink>
          </w:p>
        </w:tc>
        <w:tc>
          <w:tcPr>
            <w:tcW w:w="20" w:type="dxa"/>
            <w:vAlign w:val="bottom"/>
            <w:tcBorders>
              <w:bottom w:val="single" w:sz="8" w:color="0000EE"/>
            </w:tcBorders>
          </w:tcPr>
          <w:p>
            <w:pPr>
              <w:spacing w:after="0"/>
              <w:rPr>
                <w:sz w:val="17"/>
                <w:szCs w:val="17"/>
                <w:color w:val="auto"/>
              </w:rPr>
            </w:pPr>
          </w:p>
        </w:tc>
        <w:tc>
          <w:tcPr>
            <w:tcW w:w="45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Registration Rights Agreement, dated as of January 13, 2025, by and among the Company and</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300" w:type="dxa"/>
            <w:vAlign w:val="bottom"/>
            <w:gridSpan w:val="29"/>
            <w:vMerge w:val="restart"/>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certain stockholders of Legacy Blaize named therein.</w:t>
              </w:r>
            </w:hyperlink>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30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411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1323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274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411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274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74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-4931410</wp:posOffset>
            </wp:positionV>
            <wp:extent cx="7132320" cy="422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132320" cy="42291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03"/>
        </w:trPr>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93"/>
              </w:rPr>
              <w:t>10.12</w:t>
            </w:r>
          </w:p>
        </w:tc>
        <w:tc>
          <w:tcPr>
            <w:tcW w:w="7000" w:type="dxa"/>
            <w:vAlign w:val="bottom"/>
            <w:tcBorders>
              <w:bottom w:val="single" w:sz="8" w:color="0000FF"/>
            </w:tcBorders>
            <w:gridSpan w:val="8"/>
          </w:tcPr>
          <w:p>
            <w:pPr>
              <w:spacing w:after="0" w:line="202"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Stockholder Lock-Up Agreement, dated as of January 13, 2025, by and among the Company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7000" w:type="dxa"/>
            <w:vAlign w:val="bottom"/>
            <w:gridSpan w:val="8"/>
            <w:vMerge w:val="restart"/>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certain stockholders of Legacy Blaize named therein.</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700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93"/>
              </w:rPr>
              <w:t>10.13</w:t>
            </w:r>
          </w:p>
        </w:tc>
        <w:tc>
          <w:tcPr>
            <w:tcW w:w="6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Noteholder Lock-Up Agreement, dated as of January 13, 2025, by and among the Company and</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4000" w:type="dxa"/>
            <w:vAlign w:val="bottom"/>
            <w:gridSpan w:val="5"/>
            <w:vMerge w:val="restart"/>
          </w:tcPr>
          <w:p>
            <w:pPr>
              <w:spacing w:after="0" w:line="196" w:lineRule="exact"/>
              <w:rPr>
                <w:rFonts w:ascii="Times New Roman" w:cs="Times New Roman" w:eastAsia="Times New Roman" w:hAnsi="Times New Roman"/>
                <w:sz w:val="18"/>
                <w:szCs w:val="18"/>
                <w:color w:val="0000FF"/>
                <w:w w:val="98"/>
              </w:rPr>
            </w:pPr>
            <w:hyperlink r:id="rId316">
              <w:r>
                <w:rPr>
                  <w:rFonts w:ascii="Times New Roman" w:cs="Times New Roman" w:eastAsia="Times New Roman" w:hAnsi="Times New Roman"/>
                  <w:sz w:val="18"/>
                  <w:szCs w:val="18"/>
                  <w:color w:val="0000FF"/>
                  <w:w w:val="98"/>
                </w:rPr>
                <w:t>certain securityholders of Legacy Blaize named therein.</w:t>
              </w:r>
            </w:hyperlink>
          </w:p>
        </w:tc>
        <w:tc>
          <w:tcPr>
            <w:tcW w:w="3000" w:type="dxa"/>
            <w:vAlign w:val="bottom"/>
            <w:gridSpan w:val="3"/>
            <w:vMerge w:val="restart"/>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4000" w:type="dxa"/>
            <w:vAlign w:val="bottom"/>
            <w:tcBorders>
              <w:bottom w:val="single" w:sz="8" w:color="0000FF"/>
            </w:tcBorders>
            <w:gridSpan w:val="5"/>
            <w:vMerge w:val="continue"/>
          </w:tcPr>
          <w:p>
            <w:pPr>
              <w:spacing w:after="0"/>
              <w:rPr>
                <w:sz w:val="5"/>
                <w:szCs w:val="5"/>
                <w:color w:val="auto"/>
              </w:rPr>
            </w:pPr>
          </w:p>
        </w:tc>
        <w:tc>
          <w:tcPr>
            <w:tcW w:w="30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93"/>
              </w:rPr>
              <w:t>10.14</w:t>
            </w:r>
          </w:p>
        </w:tc>
        <w:tc>
          <w:tcPr>
            <w:tcW w:w="68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Secured Promissory Note and Pledge Agreement, dated as of January 13, 2025, by and among</w:t>
              </w:r>
            </w:hyperlink>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2280" w:type="dxa"/>
            <w:vAlign w:val="bottom"/>
            <w:vMerge w:val="restart"/>
          </w:tcPr>
          <w:p>
            <w:pPr>
              <w:spacing w:after="0" w:line="196" w:lineRule="exact"/>
              <w:rPr>
                <w:rFonts w:ascii="Times New Roman" w:cs="Times New Roman" w:eastAsia="Times New Roman" w:hAnsi="Times New Roman"/>
                <w:sz w:val="18"/>
                <w:szCs w:val="18"/>
                <w:color w:val="0000FF"/>
                <w:w w:val="98"/>
              </w:rPr>
            </w:pPr>
            <w:hyperlink r:id="rId317">
              <w:r>
                <w:rPr>
                  <w:rFonts w:ascii="Times New Roman" w:cs="Times New Roman" w:eastAsia="Times New Roman" w:hAnsi="Times New Roman"/>
                  <w:sz w:val="18"/>
                  <w:szCs w:val="18"/>
                  <w:color w:val="0000FF"/>
                  <w:w w:val="98"/>
                </w:rPr>
                <w:t>BurTech LP LLC and BurTech.</w:t>
              </w:r>
            </w:hyperlink>
          </w:p>
        </w:tc>
        <w:tc>
          <w:tcPr>
            <w:tcW w:w="20" w:type="dxa"/>
            <w:vAlign w:val="bottom"/>
            <w:vMerge w:val="restart"/>
          </w:tcPr>
          <w:p>
            <w:pPr>
              <w:spacing w:after="0"/>
              <w:rPr>
                <w:sz w:val="11"/>
                <w:szCs w:val="11"/>
                <w:color w:val="auto"/>
              </w:rPr>
            </w:pPr>
          </w:p>
        </w:tc>
        <w:tc>
          <w:tcPr>
            <w:tcW w:w="4700" w:type="dxa"/>
            <w:vAlign w:val="bottom"/>
            <w:gridSpan w:val="6"/>
            <w:vMerge w:val="restart"/>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228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70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93"/>
              </w:rPr>
              <w:t>10.15</w:t>
            </w:r>
          </w:p>
        </w:tc>
        <w:tc>
          <w:tcPr>
            <w:tcW w:w="70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Letter Agreement, dated as of January 13, 2025, by and among BurTech, Merger Sub, Blaize and</w:t>
              </w:r>
            </w:hyperlink>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7000" w:type="dxa"/>
            <w:vAlign w:val="bottom"/>
            <w:gridSpan w:val="8"/>
            <w:vMerge w:val="restart"/>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Burkhan BurTech LP LLC and Blaize.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700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274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74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09"/>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7/19/2024</w:t>
            </w:r>
          </w:p>
        </w:tc>
        <w:tc>
          <w:tcPr>
            <w:tcW w:w="0" w:type="dxa"/>
            <w:vAlign w:val="bottom"/>
          </w:tcPr>
          <w:p>
            <w:pPr>
              <w:spacing w:after="0"/>
              <w:rPr>
                <w:sz w:val="1"/>
                <w:szCs w:val="1"/>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7/19/2024</w:t>
            </w:r>
          </w:p>
        </w:tc>
        <w:tc>
          <w:tcPr>
            <w:tcW w:w="0" w:type="dxa"/>
            <w:vAlign w:val="bottom"/>
          </w:tcPr>
          <w:p>
            <w:pPr>
              <w:spacing w:after="0"/>
              <w:rPr>
                <w:sz w:val="1"/>
                <w:szCs w:val="1"/>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10/30/2024</w:t>
            </w:r>
          </w:p>
        </w:tc>
        <w:tc>
          <w:tcPr>
            <w:tcW w:w="0" w:type="dxa"/>
            <w:vAlign w:val="bottom"/>
          </w:tcPr>
          <w:p>
            <w:pPr>
              <w:spacing w:after="0"/>
              <w:rPr>
                <w:sz w:val="1"/>
                <w:szCs w:val="1"/>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11/26/2024</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1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1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11/19/2021</w:t>
            </w: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11/19/2021</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12/16/2021</w:t>
            </w:r>
          </w:p>
        </w:tc>
        <w:tc>
          <w:tcPr>
            <w:tcW w:w="0" w:type="dxa"/>
            <w:vAlign w:val="bottom"/>
          </w:tcPr>
          <w:p>
            <w:pPr>
              <w:spacing w:after="0"/>
              <w:rPr>
                <w:sz w:val="1"/>
                <w:szCs w:val="1"/>
                <w:color w:val="auto"/>
              </w:rPr>
            </w:pPr>
          </w:p>
        </w:tc>
      </w:tr>
      <w:tr>
        <w:trPr>
          <w:trHeight w:val="75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540"/>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12/16/2021</w:t>
            </w:r>
          </w:p>
        </w:tc>
        <w:tc>
          <w:tcPr>
            <w:tcW w:w="0" w:type="dxa"/>
            <w:vAlign w:val="bottom"/>
          </w:tcPr>
          <w:p>
            <w:pPr>
              <w:spacing w:after="0"/>
              <w:rPr>
                <w:sz w:val="1"/>
                <w:szCs w:val="1"/>
                <w:color w:val="auto"/>
              </w:rPr>
            </w:pPr>
          </w:p>
        </w:tc>
      </w:tr>
      <w:tr>
        <w:trPr>
          <w:trHeight w:val="30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1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1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30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12/31/2024</w:t>
            </w: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1/8/2025</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10.15</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2">
            <w:col w:w="8300" w:space="160"/>
            <w:col w:w="2780"/>
          </w:cols>
          <w:pgMar w:left="320" w:top="45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10.16</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10.17</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10.18</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10.19</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10.20</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10.21</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10.22</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19.1*</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21.1*</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24.1*</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32.1#*</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32.2#*</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97.1*</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101.SCH</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560"/>
        <w:spacing w:after="0" w:line="276" w:lineRule="auto"/>
        <w:rPr>
          <w:rFonts w:ascii="Times New Roman" w:cs="Times New Roman" w:eastAsia="Times New Roman" w:hAnsi="Times New Roman"/>
          <w:sz w:val="17"/>
          <w:szCs w:val="17"/>
          <w:u w:val="single" w:color="auto"/>
          <w:color w:val="0000FF"/>
        </w:rPr>
      </w:pPr>
      <w:hyperlink r:id="rId323">
        <w:r>
          <w:rPr>
            <w:rFonts w:ascii="Times New Roman" w:cs="Times New Roman" w:eastAsia="Times New Roman" w:hAnsi="Times New Roman"/>
            <w:sz w:val="17"/>
            <w:szCs w:val="17"/>
            <w:u w:val="single" w:color="auto"/>
            <w:color w:val="0000FF"/>
          </w:rPr>
          <w:t>Offer Letter, dated as of June 18, 2018, by and between ThinCI, Inc. and Dinakar Munagala</w:t>
        </w:r>
      </w:hyperlink>
      <w:r>
        <w:rPr>
          <w:rFonts w:ascii="Times New Roman" w:cs="Times New Roman" w:eastAsia="Times New Roman" w:hAnsi="Times New Roman"/>
          <w:sz w:val="17"/>
          <w:szCs w:val="17"/>
          <w:u w:val="single" w:color="auto"/>
          <w:color w:val="0000FF"/>
        </w:rPr>
        <w:t xml:space="preserve"> </w:t>
      </w:r>
      <w:hyperlink r:id="rId324">
        <w:r>
          <w:rPr>
            <w:rFonts w:ascii="Times New Roman" w:cs="Times New Roman" w:eastAsia="Times New Roman" w:hAnsi="Times New Roman"/>
            <w:sz w:val="17"/>
            <w:szCs w:val="17"/>
            <w:u w:val="single" w:color="auto"/>
            <w:color w:val="0000FF"/>
          </w:rPr>
          <w:t>Offer Letter, dated as of June 20, 2018, by and between ThinCI, Inc. and Val Cook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42068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4206875"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-135890</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940" w:firstLine="3"/>
        <w:spacing w:after="0" w:line="250" w:lineRule="auto"/>
        <w:rPr>
          <w:rFonts w:ascii="Times New Roman" w:cs="Times New Roman" w:eastAsia="Times New Roman" w:hAnsi="Times New Roman"/>
          <w:sz w:val="18"/>
          <w:szCs w:val="18"/>
          <w:u w:val="single" w:color="auto"/>
          <w:color w:val="0000FF"/>
        </w:rPr>
      </w:pPr>
      <w:hyperlink r:id="rId327">
        <w:r>
          <w:rPr>
            <w:rFonts w:ascii="Times New Roman" w:cs="Times New Roman" w:eastAsia="Times New Roman" w:hAnsi="Times New Roman"/>
            <w:sz w:val="18"/>
            <w:szCs w:val="18"/>
            <w:u w:val="single" w:color="auto"/>
            <w:color w:val="0000FF"/>
          </w:rPr>
          <w:t>Offer Letter, dated as of November 15, 2018, by and between ThinCI, Inc. and Dmitry</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Zakharchenko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39846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3984625" cy="889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-24765</wp:posOffset>
            </wp:positionV>
            <wp:extent cx="7132320" cy="2997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ind w:right="500" w:firstLine="3"/>
        <w:spacing w:after="0" w:line="250" w:lineRule="auto"/>
        <w:rPr>
          <w:rFonts w:ascii="Times New Roman" w:cs="Times New Roman" w:eastAsia="Times New Roman" w:hAnsi="Times New Roman"/>
          <w:sz w:val="18"/>
          <w:szCs w:val="18"/>
          <w:u w:val="single" w:color="auto"/>
          <w:color w:val="0000FF"/>
        </w:rPr>
      </w:pPr>
      <w:hyperlink r:id="rId330">
        <w:r>
          <w:rPr>
            <w:rFonts w:ascii="Times New Roman" w:cs="Times New Roman" w:eastAsia="Times New Roman" w:hAnsi="Times New Roman"/>
            <w:sz w:val="18"/>
            <w:szCs w:val="18"/>
            <w:u w:val="single" w:color="auto"/>
            <w:color w:val="0000FF"/>
          </w:rPr>
          <w:t>Amendment to Offer Letter, dated as of February 22, 2022, by and between ThinCI, Inc. and</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Dmitry Zakharchenko.</w:t>
        </w:r>
      </w:hyperlink>
    </w:p>
    <w:p>
      <w:pPr>
        <w:spacing w:after="0" w:line="1" w:lineRule="exact"/>
        <w:rPr>
          <w:sz w:val="20"/>
          <w:szCs w:val="20"/>
          <w:color w:val="auto"/>
        </w:rPr>
      </w:pPr>
    </w:p>
    <w:p>
      <w:pPr>
        <w:ind w:right="540" w:firstLine="3"/>
        <w:spacing w:after="0" w:line="250" w:lineRule="auto"/>
        <w:rPr>
          <w:rFonts w:ascii="Times New Roman" w:cs="Times New Roman" w:eastAsia="Times New Roman" w:hAnsi="Times New Roman"/>
          <w:sz w:val="18"/>
          <w:szCs w:val="18"/>
          <w:u w:val="single" w:color="auto"/>
          <w:color w:val="0000FF"/>
        </w:rPr>
      </w:pPr>
      <w:hyperlink r:id="rId331">
        <w:r>
          <w:rPr>
            <w:rFonts w:ascii="Times New Roman" w:cs="Times New Roman" w:eastAsia="Times New Roman" w:hAnsi="Times New Roman"/>
            <w:sz w:val="18"/>
            <w:szCs w:val="18"/>
            <w:u w:val="single" w:color="auto"/>
            <w:color w:val="0000FF"/>
          </w:rPr>
          <w:t>Offer Letter, dated as of July 4, 2018, by and between ThinCI, Inc. and Santiago Fernandez-</w:t>
        </w:r>
      </w:hyperlink>
      <w:hyperlink r:id="rId331">
        <w:r>
          <w:rPr>
            <w:rFonts w:ascii="Times New Roman" w:cs="Times New Roman" w:eastAsia="Times New Roman" w:hAnsi="Times New Roman"/>
            <w:sz w:val="18"/>
            <w:szCs w:val="18"/>
            <w:u w:val="single" w:color="auto"/>
            <w:color w:val="0000FF"/>
          </w:rPr>
          <w:t>Gomez.</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42195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4219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3581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35814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635</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Blaize Holdings, Inc. Non-Employee Director Compensation Program.</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Form of Stock Option Grant Agreement (Contingent Exercise) and Grant Notice under the Blaize,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45148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451485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Inc. Amended and Restated 2011 Stock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0688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206883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5715</wp:posOffset>
            </wp:positionV>
            <wp:extent cx="71323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Blaize Holdings, Inc. Insider Trading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5715</wp:posOffset>
            </wp:positionV>
            <wp:extent cx="71323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wp:posOffset>
            </wp:positionV>
            <wp:extent cx="13773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Power of Attorney (included on signatures page)</w:t>
      </w:r>
    </w:p>
    <w:p>
      <w:pPr>
        <w:spacing w:after="0" w:line="9" w:lineRule="exact"/>
        <w:rPr>
          <w:sz w:val="20"/>
          <w:szCs w:val="20"/>
          <w:color w:val="auto"/>
        </w:rPr>
      </w:pPr>
    </w:p>
    <w:p>
      <w:pPr>
        <w:ind w:firstLine="3"/>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-298450</wp:posOffset>
            </wp:positionV>
            <wp:extent cx="44513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44513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-161290</wp:posOffset>
            </wp:positionV>
            <wp:extent cx="45707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457073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-24130</wp:posOffset>
            </wp:positionV>
            <wp:extent cx="7132320" cy="436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firstLine="3"/>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 w:lineRule="exact"/>
        <w:rPr>
          <w:sz w:val="20"/>
          <w:szCs w:val="20"/>
          <w:color w:val="auto"/>
        </w:rPr>
      </w:pPr>
    </w:p>
    <w:p>
      <w:pPr>
        <w:ind w:right="540" w:firstLine="3"/>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4242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4242435"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-24765</wp:posOffset>
            </wp:positionV>
            <wp:extent cx="7132320" cy="3003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right="600" w:firstLine="3"/>
        <w:spacing w:after="0" w:line="250"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Blaize Holdings, Inc. Policy for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-19050</wp:posOffset>
            </wp:positionV>
            <wp:extent cx="7132320" cy="3003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right="180" w:firstLine="3"/>
        <w:spacing w:after="0" w:line="250"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 w:lineRule="exact"/>
        <w:rPr>
          <w:sz w:val="20"/>
          <w:szCs w:val="20"/>
          <w:color w:val="auto"/>
        </w:rPr>
      </w:pPr>
    </w:p>
    <w:p>
      <w:pPr>
        <w:ind w:right="1240"/>
        <w:spacing w:after="0" w:line="260" w:lineRule="auto"/>
        <w:rPr>
          <w:sz w:val="20"/>
          <w:szCs w:val="20"/>
          <w:color w:val="auto"/>
        </w:rPr>
      </w:pPr>
      <w:r>
        <w:rPr>
          <w:rFonts w:ascii="Times New Roman" w:cs="Times New Roman" w:eastAsia="Times New Roman" w:hAnsi="Times New Roman"/>
          <w:sz w:val="18"/>
          <w:szCs w:val="18"/>
          <w:color w:val="auto"/>
        </w:rPr>
        <w:t>Inline XBRL Taxonomy Extension Schema With Embedded Linkbase Documents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-146685</wp:posOffset>
            </wp:positionV>
            <wp:extent cx="71323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4027" w:lineRule="exact"/>
        <w:rPr>
          <w:sz w:val="20"/>
          <w:szCs w:val="20"/>
          <w:color w:val="auto"/>
        </w:rPr>
      </w:pPr>
    </w:p>
    <w:p>
      <w:pPr>
        <w:sectPr>
          <w:pgSz w:w="11900" w:h="16838" w:orient="portrait"/>
          <w:cols w:equalWidth="0" w:num="3">
            <w:col w:w="720" w:space="260"/>
            <w:col w:w="7180" w:space="440"/>
            <w:col w:w="2640"/>
          </w:cols>
          <w:pgMar w:left="320" w:top="450" w:right="339" w:bottom="1440" w:gutter="0" w:footer="0" w:header="0"/>
          <w:type w:val="continuous"/>
        </w:sectPr>
      </w:pP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42" w:lineRule="exact"/>
        <w:rPr>
          <w:sz w:val="20"/>
          <w:szCs w:val="20"/>
          <w:color w:val="auto"/>
        </w:rPr>
      </w:pPr>
    </w:p>
    <w:p>
      <w:pPr>
        <w:jc w:val="both"/>
        <w:ind w:left="380" w:hanging="372"/>
        <w:spacing w:after="0" w:line="236" w:lineRule="auto"/>
        <w:tabs>
          <w:tab w:leader="none" w:pos="33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2025</w:t>
            </w:r>
          </w:p>
        </w:tc>
        <w:tc>
          <w:tcPr>
            <w:tcW w:w="82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2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5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2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Duly Authorized Officer</w:t>
            </w:r>
          </w:p>
        </w:tc>
      </w:tr>
      <w:tr>
        <w:trPr>
          <w:trHeight w:val="559"/>
        </w:trPr>
        <w:tc>
          <w:tcPr>
            <w:tcW w:w="2980" w:type="dxa"/>
            <w:vAlign w:val="bottom"/>
          </w:tcPr>
          <w:p>
            <w:pPr>
              <w:spacing w:after="0"/>
              <w:rPr>
                <w:sz w:val="24"/>
                <w:szCs w:val="24"/>
                <w:color w:val="auto"/>
              </w:rPr>
            </w:pPr>
          </w:p>
        </w:tc>
        <w:tc>
          <w:tcPr>
            <w:tcW w:w="8240" w:type="dxa"/>
            <w:vAlign w:val="bottom"/>
            <w:gridSpan w:val="2"/>
          </w:tcPr>
          <w:p>
            <w:pPr>
              <w:ind w:left="1500"/>
              <w:spacing w:after="0"/>
              <w:rPr>
                <w:sz w:val="20"/>
                <w:szCs w:val="20"/>
                <w:color w:val="auto"/>
              </w:rPr>
            </w:pPr>
            <w:r>
              <w:rPr>
                <w:rFonts w:ascii="Times New Roman" w:cs="Times New Roman" w:eastAsia="Times New Roman" w:hAnsi="Times New Roman"/>
                <w:sz w:val="20"/>
                <w:szCs w:val="20"/>
                <w:b w:val="1"/>
                <w:bCs w:val="1"/>
                <w:color w:val="auto"/>
              </w:rPr>
              <w:t>POWER OF ATTORNEY</w:t>
            </w:r>
          </w:p>
        </w:tc>
      </w:tr>
    </w:tbl>
    <w:p>
      <w:pPr>
        <w:spacing w:after="0" w:line="30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Dinakar Munagala and Harminder Sehmi, and each of them, as his or her true and lawful attorney-in-fact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substitutes, may lawfully do or cause to be done by virtue hereof.</w:t>
      </w:r>
    </w:p>
    <w:p>
      <w:pPr>
        <w:spacing w:after="0" w:line="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ind w:left="20"/>
        <w:spacing w:after="0"/>
        <w:tabs>
          <w:tab w:leader="none" w:pos="2820" w:val="left"/>
          <w:tab w:leader="none" w:pos="9220" w:val="left"/>
        </w:tabs>
        <w:rPr>
          <w:sz w:val="20"/>
          <w:szCs w:val="20"/>
          <w:color w:val="auto"/>
        </w:rPr>
      </w:pPr>
      <w:r>
        <w:rPr>
          <w:rFonts w:ascii="Times New Roman" w:cs="Times New Roman" w:eastAsia="Times New Roman" w:hAnsi="Times New Roman"/>
          <w:sz w:val="14"/>
          <w:szCs w:val="14"/>
          <w:b w:val="1"/>
          <w:bCs w:val="1"/>
          <w:color w:val="auto"/>
        </w:rPr>
        <w:t>Signatures</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Dinakar Munagala</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April 14, 2025</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tc>
        <w:tc>
          <w:tcPr>
            <w:tcW w:w="2520" w:type="dxa"/>
            <w:vAlign w:val="bottom"/>
          </w:tcPr>
          <w:p>
            <w:pPr>
              <w:spacing w:after="0"/>
              <w:rPr>
                <w:sz w:val="19"/>
                <w:szCs w:val="19"/>
                <w:color w:val="auto"/>
              </w:rPr>
            </w:pPr>
          </w:p>
        </w:tc>
      </w:tr>
      <w:tr>
        <w:trPr>
          <w:trHeight w:val="6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Harminder Sehmi</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14, 2025</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Harminder Sehmi</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tc>
        <w:tc>
          <w:tcPr>
            <w:tcW w:w="2520" w:type="dxa"/>
            <w:vAlign w:val="bottom"/>
          </w:tcPr>
          <w:p>
            <w:pPr>
              <w:spacing w:after="0"/>
              <w:rPr>
                <w:sz w:val="19"/>
                <w:szCs w:val="19"/>
                <w:color w:val="auto"/>
              </w:rPr>
            </w:pPr>
          </w:p>
        </w:tc>
      </w:tr>
      <w:tr>
        <w:trPr>
          <w:trHeight w:val="6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Edward Frank</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14, 2025</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Frank</w:t>
            </w:r>
          </w:p>
        </w:tc>
        <w:tc>
          <w:tcPr>
            <w:tcW w:w="60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6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Lane Bess</w:t>
            </w:r>
          </w:p>
        </w:tc>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14, 2025</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Lane Bess</w:t>
            </w:r>
          </w:p>
        </w:tc>
        <w:tc>
          <w:tcPr>
            <w:tcW w:w="60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6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Juergen Hambrecht</w:t>
            </w:r>
          </w:p>
        </w:tc>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14, 2025</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Juergen Hambrecht</w:t>
            </w:r>
          </w:p>
        </w:tc>
        <w:tc>
          <w:tcPr>
            <w:tcW w:w="60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6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George de Urioste</w:t>
            </w:r>
          </w:p>
        </w:tc>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14, 2025</w:t>
            </w:r>
          </w:p>
        </w:tc>
      </w:tr>
      <w:tr>
        <w:trPr>
          <w:trHeight w:val="22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de Urioste</w:t>
            </w:r>
          </w:p>
        </w:tc>
        <w:tc>
          <w:tcPr>
            <w:tcW w:w="60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54"/>
        </w:trPr>
        <w:tc>
          <w:tcPr>
            <w:tcW w:w="2700" w:type="dxa"/>
            <w:vAlign w:val="bottom"/>
          </w:tcPr>
          <w:p>
            <w:pPr>
              <w:spacing w:after="0"/>
              <w:rPr>
                <w:sz w:val="24"/>
                <w:szCs w:val="24"/>
                <w:color w:val="auto"/>
              </w:rPr>
            </w:pPr>
          </w:p>
        </w:tc>
        <w:tc>
          <w:tcPr>
            <w:tcW w:w="602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91</w:t>
            </w:r>
          </w:p>
        </w:tc>
        <w:tc>
          <w:tcPr>
            <w:tcW w:w="2520" w:type="dxa"/>
            <w:vAlign w:val="bottom"/>
          </w:tcPr>
          <w:p>
            <w:pPr>
              <w:spacing w:after="0"/>
              <w:rPr>
                <w:sz w:val="24"/>
                <w:szCs w:val="24"/>
                <w:color w:val="auto"/>
              </w:rPr>
            </w:pPr>
          </w:p>
        </w:tc>
      </w:tr>
      <w:tr>
        <w:trPr>
          <w:trHeight w:val="506"/>
        </w:trPr>
        <w:tc>
          <w:tcPr>
            <w:tcW w:w="270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exhibit to “we,” “our,” and the “Company” refer to Blaize Holdings, Inc. (formerly known as BurTech Acquisition Corp. (“BurTech”)) and its consolidated subsidiaries.</w:t>
      </w:r>
    </w:p>
    <w:p>
      <w:pPr>
        <w:spacing w:after="0" w:line="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capital stock and warrants is not intended to be a complete summary of the rights and preferences of such securities and is qualified in its entirety by reference to our third amended and restated certificate of incorporation (our “certificate of incorporation”), our amended and restated bylaws (our “bylaws”) and that certain Warrant Agreement, dated December 10, 2021, between the Company and Continental Stock Transfer &amp; Trust Company, as warrant agent (the “Warrant Agreement”), each of which is attached as an exhibit to our Annual Report on Form 10-K for the year ended December 31, 2024, as well as the relevant provisions of the Delaware General Corporation Law (the “DGCL”). We urge you to read such documents in their entirety for a complete description of the rights and preferences of our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of directors, in its discretion, from time to time out of assets or funds of Blaize legally available therefor.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of directors is fixed solely and exclusively by our board of directors, but it initially consists of seven (7)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Under our bylaws and except as otherwise provided by our certificate of incorporation, at all meetings of stockholders called for the election of directors at which a quorum is present, a plurality of the votes properly cast is sufficient to elect such directors to the board of directors.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of directors,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Blaize then entitled to vote generally in the election of directors.</w:t>
      </w:r>
    </w:p>
    <w:p>
      <w:pPr>
        <w:spacing w:after="0" w:line="68"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of directors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of directors, (b) the Chief Executive Officer, (c) our board of directors or (d) the President. 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 and the writing or writings or electronic transmission or transmissions are filed with the minutes of proceedings of our board of directors or committee.</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of directors or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w:t>
      </w:r>
    </w:p>
    <w:p>
      <w:pPr>
        <w:spacing w:after="0" w:line="68" w:lineRule="exact"/>
        <w:rPr>
          <w:sz w:val="20"/>
          <w:szCs w:val="20"/>
          <w:color w:val="auto"/>
        </w:rPr>
      </w:pPr>
    </w:p>
    <w:p>
      <w:pPr>
        <w:ind w:left="460" w:right="180" w:hanging="452"/>
        <w:spacing w:after="0" w:line="28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1" w:lineRule="exact"/>
        <w:rPr>
          <w:rFonts w:ascii="Times New Roman" w:cs="Times New Roman" w:eastAsia="Times New Roman" w:hAnsi="Times New Roman"/>
          <w:sz w:val="18"/>
          <w:szCs w:val="18"/>
          <w:color w:val="auto"/>
        </w:rPr>
      </w:pPr>
    </w:p>
    <w:p>
      <w:pPr>
        <w:ind w:left="460" w:right="100" w:hanging="452"/>
        <w:spacing w:after="0" w:line="28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of directors, the election and removal of directors to our board of directors, the filling of vacancies, preferred stockholder election rights, and bylaw amendments;</w:t>
      </w:r>
    </w:p>
    <w:p>
      <w:pPr>
        <w:spacing w:after="0" w:line="1" w:lineRule="exact"/>
        <w:rPr>
          <w:rFonts w:ascii="Times New Roman" w:cs="Times New Roman" w:eastAsia="Times New Roman" w:hAnsi="Times New Roman"/>
          <w:sz w:val="18"/>
          <w:szCs w:val="18"/>
          <w:color w:val="auto"/>
        </w:rPr>
      </w:pPr>
    </w:p>
    <w:p>
      <w:pPr>
        <w:ind w:left="460" w:right="420" w:hanging="452"/>
        <w:spacing w:after="0" w:line="28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of directors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the capital stock of Blaize entitled to vote thereon, voting together as a single class.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 of directors.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and as contemplated by the Merger Agreement, certain former Legacy Blaize stockholders entered into that certain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earlier of (A) July 13, 2025, (B) the date on which the last reported sale price of common stock equals or exceeds $12.00 per share (as adjusted for stock splits, stock dividends, reorganizations, recapitalizations and the like) for any 20 trading days within any</w:t>
      </w:r>
    </w:p>
    <w:p>
      <w:pPr>
        <w:spacing w:after="0" w:line="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30-trading day period commencing after June 12, 2025 and (C)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certain former Legacy Blaize convertible noteholders entered into that certain Lock-Up Agreement, pursuant to which they each agreed, subject to certain customary exceptions, not to</w:t>
      </w:r>
    </w:p>
    <w:p>
      <w:pPr>
        <w:ind w:right="60" w:firstLine="8"/>
        <w:spacing w:after="0" w:line="251"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earlier of (A) July 13, 2025, (B) the date on which the last reported sale price of common stock equals or exceeds $12.00 per share (as adjusted for stock splits, stock dividends, reorganizations, recapitalizations and the like) for any 20 trading days within any 30-trading day period commencing after June 12, 2025 and (C)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8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Sponsor and certain legacy stockholders of BurTech are subject to certain restrictions on transfer with respect to shares of common stock owned prior to the Business Combination. Such restrictions began at Closing and end on the date that is the earliest of (A) July 13, 2025, (B) the date on which the last reported sale price of the common stock equals or exceeds $12.00 per share (as adjusted for stock splits, stock dividends, reorganizations, recapitalizations and the like) for any 20 trading days within any 30 trading day period commencing after June 12, 2025 and (C)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common stock at a price of $11.50 per share, subject to adjustment as discussed below, at any time commencing February 12, 2025. Pursuant to the warrant agreement, a Public Warrant holder may exercise its Public Warrants only for a whole number of shares of common stock. This means that only a whole Public Warrant may be exercised at any given time by a Public Warrant holder. No fractional Public Warrants were issued upon separation of the BurTech Units and only whole Public Warrants trade. The Public Warrants will expire on January 13, 20230 at 5:00 p.m., New York City time, or earlier upon redemption or liquidation.</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17"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63"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ind w:right="280"/>
        <w:spacing w:after="0" w:line="282" w:lineRule="auto"/>
        <w:rPr>
          <w:sz w:val="20"/>
          <w:szCs w:val="20"/>
          <w:color w:val="auto"/>
        </w:rPr>
      </w:pPr>
      <w:r>
        <w:rPr>
          <w:rFonts w:ascii="Times New Roman" w:cs="Times New Roman" w:eastAsia="Times New Roman" w:hAnsi="Times New Roman"/>
          <w:sz w:val="18"/>
          <w:szCs w:val="18"/>
          <w:color w:val="auto"/>
        </w:rPr>
        <w:t>such sale or transfer, that the holder of the Public Warrants would have received if such holder had exercised their Public Warrants immediately prior to such event.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Private Placement Warrants (including the common stock issuable upon exercise of the Private Placement Warrants) are not redeemable by us. Except as described below, the Private Placement Warrants have terms and provisions that are identical to those of the Public Warrants, including as to exercise price, exercisability and exercise period.</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holders of the Private Placement Warrant select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means the average reported closing price of the common stock for the 10 trading days ending on the third trading day prior to the date on which the notice of warrant exercise is sent to the warrant agent.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and Private Placement Warrants is Continental Stock Transfer &amp; Trust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and Public Warrants are listed on the Nasdaq Global Market under the symbols “BZAI” and “BZAI.W,”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Blaize Holdings, Inc.</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Insider Trading Compliance Policy</w:t>
      </w: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(Efectve as of January 13, 2025, and as amended March 3, 2025)</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Federal laws and regulatons prohibit trading in the securites of a company while in possession of material nonpublic informaton and in breach of a duty of trust or confdence. These laws and regulatons also prohibit anyone who is aware of material nonpublic informaton from providing this informaton to others who may trade. Blaize Holdings, Inc., a Delaware corporaton (together with its subsidiaries,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requires its personnel to comply at all tmes with federal laws and regulatons governing insider trading. Violatng such laws and regulatons can undermine investor trust, harm the reputaton and integrity of the Company, and result in dismissal from the Company or even serious criminal and civil charges against the individual and the Company. The Company reserves the right to take disciplinary or other measure(s) it determines in its sole discreton to be appropriate in any partcular situaton, including disclosure of wrongdoing to governmental authorites.</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Persons Covered and Administraton of Policy</w:t>
      </w:r>
    </w:p>
    <w:p>
      <w:pPr>
        <w:spacing w:after="0" w:line="228" w:lineRule="exact"/>
        <w:rPr>
          <w:sz w:val="20"/>
          <w:szCs w:val="20"/>
          <w:color w:val="auto"/>
        </w:rPr>
      </w:pPr>
    </w:p>
    <w:p>
      <w:pPr>
        <w:jc w:val="both"/>
        <w:ind w:firstLine="749"/>
        <w:spacing w:after="0" w:line="252" w:lineRule="auto"/>
        <w:rPr>
          <w:sz w:val="20"/>
          <w:szCs w:val="20"/>
          <w:color w:val="auto"/>
        </w:rPr>
      </w:pPr>
      <w:r>
        <w:rPr>
          <w:rFonts w:ascii="Calibri" w:cs="Calibri" w:eastAsia="Calibri" w:hAnsi="Calibri"/>
          <w:sz w:val="21"/>
          <w:szCs w:val="21"/>
          <w:color w:val="auto"/>
        </w:rPr>
        <w:t>This Insider Trading Compliance Policy (this “</w:t>
      </w:r>
      <w:r>
        <w:rPr>
          <w:rFonts w:ascii="Calibri" w:cs="Calibri" w:eastAsia="Calibri" w:hAnsi="Calibri"/>
          <w:sz w:val="21"/>
          <w:szCs w:val="21"/>
          <w:u w:val="single" w:color="auto"/>
          <w:color w:val="auto"/>
        </w:rPr>
        <w:t>Policy</w:t>
      </w:r>
      <w:r>
        <w:rPr>
          <w:rFonts w:ascii="Calibri" w:cs="Calibri" w:eastAsia="Calibri" w:hAnsi="Calibri"/>
          <w:sz w:val="21"/>
          <w:szCs w:val="21"/>
          <w:color w:val="auto"/>
        </w:rPr>
        <w:t>”) applies to all ofcers, directors and employees of the Company. For purposes of this Policy, “ofcers” refer to those individuals who meet the defniton of “ofcer” under Secton 16 of the Securites Exchange Act of 1934 (as amended, the “</w:t>
      </w:r>
      <w:r>
        <w:rPr>
          <w:rFonts w:ascii="Calibri" w:cs="Calibri" w:eastAsia="Calibri" w:hAnsi="Calibri"/>
          <w:sz w:val="21"/>
          <w:szCs w:val="21"/>
          <w:u w:val="single" w:color="auto"/>
          <w:color w:val="auto"/>
        </w:rPr>
        <w:t>Exchange Act</w:t>
      </w:r>
      <w:r>
        <w:rPr>
          <w:rFonts w:ascii="Calibri" w:cs="Calibri" w:eastAsia="Calibri" w:hAnsi="Calibri"/>
          <w:sz w:val="21"/>
          <w:szCs w:val="21"/>
          <w:color w:val="auto"/>
        </w:rPr>
        <w:t>”). Individuals subject to this Policy are responsible for ensuring that members of their household comply with this Policy. This Policy also applies to any enttes controlled by individuals subject to this Policy, including any corporatons, limited liability companies, partnerships or trusts, and transactons by these enttes should be treated for the purposes of this Policy as if they were for the individual’s own account. The Company may determine that this Policy applies to additonal persons with access to material nonpublic informaton, such as contractors or consultants. Ofcers, directors and employees, together with any other person designated as being subject to this Policy by the General Counsel or his or her designee (the “</w:t>
      </w:r>
      <w:r>
        <w:rPr>
          <w:rFonts w:ascii="Calibri" w:cs="Calibri" w:eastAsia="Calibri" w:hAnsi="Calibri"/>
          <w:sz w:val="21"/>
          <w:szCs w:val="21"/>
          <w:u w:val="single" w:color="auto"/>
          <w:color w:val="auto"/>
        </w:rPr>
        <w:t>Compliance Ofcer</w:t>
      </w:r>
      <w:r>
        <w:rPr>
          <w:rFonts w:ascii="Calibri" w:cs="Calibri" w:eastAsia="Calibri" w:hAnsi="Calibri"/>
          <w:sz w:val="21"/>
          <w:szCs w:val="21"/>
          <w:color w:val="auto"/>
        </w:rPr>
        <w:t>”), are referred to collectvely as “</w:t>
      </w:r>
      <w:r>
        <w:rPr>
          <w:rFonts w:ascii="Calibri" w:cs="Calibri" w:eastAsia="Calibri" w:hAnsi="Calibri"/>
          <w:sz w:val="21"/>
          <w:szCs w:val="21"/>
          <w:u w:val="single" w:color="auto"/>
          <w:color w:val="auto"/>
        </w:rPr>
        <w:t>Covered Persons</w:t>
      </w:r>
      <w:r>
        <w:rPr>
          <w:rFonts w:ascii="Calibri" w:cs="Calibri" w:eastAsia="Calibri" w:hAnsi="Calibri"/>
          <w:sz w:val="21"/>
          <w:szCs w:val="21"/>
          <w:color w:val="auto"/>
        </w:rPr>
        <w:t>.”</w:t>
      </w:r>
    </w:p>
    <w:p>
      <w:pPr>
        <w:spacing w:after="0" w:line="223" w:lineRule="exact"/>
        <w:rPr>
          <w:sz w:val="20"/>
          <w:szCs w:val="20"/>
          <w:color w:val="auto"/>
        </w:rPr>
      </w:pPr>
    </w:p>
    <w:p>
      <w:pPr>
        <w:jc w:val="both"/>
        <w:ind w:firstLine="373"/>
        <w:spacing w:after="0" w:line="235" w:lineRule="auto"/>
        <w:rPr>
          <w:sz w:val="20"/>
          <w:szCs w:val="20"/>
          <w:color w:val="auto"/>
        </w:rPr>
      </w:pPr>
      <w:r>
        <w:rPr>
          <w:rFonts w:ascii="Calibri" w:cs="Calibri" w:eastAsia="Calibri" w:hAnsi="Calibri"/>
          <w:sz w:val="22"/>
          <w:szCs w:val="22"/>
          <w:color w:val="auto"/>
        </w:rPr>
        <w:t>Questons regarding this Policy should be directed to the Compliance Ofcer, who is responsible for the administraton of this Policy.</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Policy Statement</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Unless otherwise permited by this Policy, no Covered Person shall:</w:t>
      </w:r>
    </w:p>
    <w:p>
      <w:pPr>
        <w:spacing w:after="0" w:line="228" w:lineRule="exact"/>
        <w:rPr>
          <w:sz w:val="20"/>
          <w:szCs w:val="20"/>
          <w:color w:val="auto"/>
        </w:rPr>
      </w:pPr>
    </w:p>
    <w:p>
      <w:pPr>
        <w:ind w:left="1020" w:right="500" w:hanging="503"/>
        <w:spacing w:after="0" w:line="235" w:lineRule="auto"/>
        <w:tabs>
          <w:tab w:leader="none" w:pos="1020" w:val="left"/>
        </w:tabs>
        <w:numPr>
          <w:ilvl w:val="0"/>
          <w:numId w:val="53"/>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purchase, sell, gif or otherwise transfer any security of the Company while in possession of material nonpublic informaton about the Company;</w:t>
      </w:r>
    </w:p>
    <w:p>
      <w:pPr>
        <w:spacing w:after="0" w:line="122" w:lineRule="exact"/>
        <w:rPr>
          <w:rFonts w:ascii="Times New Roman" w:cs="Times New Roman" w:eastAsia="Times New Roman" w:hAnsi="Times New Roman"/>
          <w:sz w:val="22"/>
          <w:szCs w:val="22"/>
          <w:color w:val="auto"/>
        </w:rPr>
      </w:pPr>
    </w:p>
    <w:p>
      <w:pPr>
        <w:jc w:val="both"/>
        <w:ind w:left="1020" w:right="40" w:hanging="503"/>
        <w:spacing w:after="0" w:line="237" w:lineRule="auto"/>
        <w:tabs>
          <w:tab w:leader="none" w:pos="1020" w:val="left"/>
        </w:tabs>
        <w:numPr>
          <w:ilvl w:val="0"/>
          <w:numId w:val="53"/>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purchase, sell, gif or otherwise transfer any security of any other company, including a customer, supplier, business partner, or an economically-linked company, such as a compettor or peer company, while in possession of material nonpublic informaton</w:t>
      </w:r>
    </w:p>
    <w:p>
      <w:pPr>
        <w:spacing w:after="0" w:line="14" w:lineRule="exact"/>
        <w:rPr>
          <w:rFonts w:ascii="Times New Roman" w:cs="Times New Roman" w:eastAsia="Times New Roman" w:hAnsi="Times New Roman"/>
          <w:sz w:val="22"/>
          <w:szCs w:val="22"/>
          <w:color w:val="auto"/>
        </w:rPr>
      </w:pPr>
    </w:p>
    <w:p>
      <w:pPr>
        <w:jc w:val="both"/>
        <w:ind w:left="1140" w:hanging="383"/>
        <w:spacing w:after="0" w:line="237" w:lineRule="auto"/>
        <w:tabs>
          <w:tab w:leader="none" w:pos="1310" w:val="left"/>
        </w:tabs>
        <w:numPr>
          <w:ilvl w:val="1"/>
          <w:numId w:val="5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that obtained in connecton with your employment by or service to the Company (to the extent there is a reasonable likelihood that such informaton would be considered important to an investor in making an investment decision in such other company);</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left="1020" w:right="740" w:hanging="503"/>
        <w:spacing w:after="0" w:line="235" w:lineRule="auto"/>
        <w:tabs>
          <w:tab w:leader="none" w:pos="1020" w:val="left"/>
        </w:tabs>
        <w:numPr>
          <w:ilvl w:val="0"/>
          <w:numId w:val="5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directly or indirectly communicate material nonpublic informaton to anyone outside the Company unless in accordance with Company policy regarding confdental informaton; or</w:t>
      </w:r>
    </w:p>
    <w:p>
      <w:pPr>
        <w:spacing w:after="0" w:line="122" w:lineRule="exact"/>
        <w:rPr>
          <w:rFonts w:ascii="Times New Roman" w:cs="Times New Roman" w:eastAsia="Times New Roman" w:hAnsi="Times New Roman"/>
          <w:sz w:val="22"/>
          <w:szCs w:val="22"/>
          <w:color w:val="auto"/>
        </w:rPr>
      </w:pPr>
    </w:p>
    <w:p>
      <w:pPr>
        <w:ind w:left="1020" w:right="40" w:hanging="503"/>
        <w:spacing w:after="0" w:line="235" w:lineRule="auto"/>
        <w:tabs>
          <w:tab w:leader="none" w:pos="1020" w:val="left"/>
        </w:tabs>
        <w:numPr>
          <w:ilvl w:val="0"/>
          <w:numId w:val="5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directly or indirectly communicate material nonpublic informaton to anyone within the Company except on a need-to-know basis.</w:t>
      </w:r>
    </w:p>
    <w:p>
      <w:pPr>
        <w:spacing w:after="0" w:line="4" w:lineRule="exact"/>
        <w:rPr>
          <w:sz w:val="20"/>
          <w:szCs w:val="20"/>
          <w:color w:val="auto"/>
        </w:rPr>
      </w:pPr>
    </w:p>
    <w:p>
      <w:pPr>
        <w:spacing w:after="0"/>
        <w:rPr>
          <w:sz w:val="20"/>
          <w:szCs w:val="20"/>
          <w:color w:val="auto"/>
        </w:rPr>
      </w:pPr>
      <w:r>
        <w:rPr>
          <w:rFonts w:ascii="Calibri" w:cs="Calibri" w:eastAsia="Calibri" w:hAnsi="Calibri"/>
          <w:sz w:val="22"/>
          <w:szCs w:val="22"/>
          <w:color w:val="auto"/>
        </w:rPr>
        <w:t>For this purpose:</w:t>
      </w:r>
    </w:p>
    <w:p>
      <w:pPr>
        <w:spacing w:after="0" w:line="22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i w:val="1"/>
          <w:iCs w:val="1"/>
          <w:color w:val="auto"/>
        </w:rPr>
        <w:t>“</w:t>
      </w:r>
      <w:r>
        <w:rPr>
          <w:rFonts w:ascii="Calibri" w:cs="Calibri" w:eastAsia="Calibri" w:hAnsi="Calibri"/>
          <w:sz w:val="22"/>
          <w:szCs w:val="22"/>
          <w:u w:val="single" w:color="auto"/>
          <w:color w:val="auto"/>
        </w:rPr>
        <w:t>Securites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includes stocks, bonds, notes, debentures, optons, warrants, equity and other convertble securites, as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well as derivatve instruments.</w:t>
      </w:r>
    </w:p>
    <w:p>
      <w:pPr>
        <w:spacing w:after="0" w:line="230"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i w:val="1"/>
          <w:iCs w:val="1"/>
          <w:color w:val="auto"/>
        </w:rPr>
        <w:t>“</w:t>
      </w:r>
      <w:r>
        <w:rPr>
          <w:rFonts w:ascii="Calibri" w:cs="Calibri" w:eastAsia="Calibri" w:hAnsi="Calibri"/>
          <w:sz w:val="22"/>
          <w:szCs w:val="22"/>
          <w:u w:val="single" w:color="auto"/>
          <w:color w:val="auto"/>
        </w:rPr>
        <w:t>Purchase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and</w:t>
      </w:r>
      <w:r>
        <w:rPr>
          <w:rFonts w:ascii="Calibri" w:cs="Calibri" w:eastAsia="Calibri" w:hAnsi="Calibri"/>
          <w:sz w:val="22"/>
          <w:szCs w:val="22"/>
          <w:i w:val="1"/>
          <w:iCs w:val="1"/>
          <w:color w:val="auto"/>
        </w:rPr>
        <w:t xml:space="preserve"> “</w:t>
      </w:r>
      <w:r>
        <w:rPr>
          <w:rFonts w:ascii="Calibri" w:cs="Calibri" w:eastAsia="Calibri" w:hAnsi="Calibri"/>
          <w:sz w:val="22"/>
          <w:szCs w:val="22"/>
          <w:u w:val="single" w:color="auto"/>
          <w:color w:val="auto"/>
        </w:rPr>
        <w:t>sale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are defned broadly under the federal securites law.</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Purchase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includes not only the actual</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purchase of a security, but also any contract to purchase or otherwise acquire a security. </w:t>
      </w:r>
      <w:r>
        <w:rPr>
          <w:rFonts w:ascii="Calibri" w:cs="Calibri" w:eastAsia="Calibri" w:hAnsi="Calibri"/>
          <w:sz w:val="22"/>
          <w:szCs w:val="22"/>
          <w:i w:val="1"/>
          <w:iCs w:val="1"/>
          <w:color w:val="auto"/>
        </w:rPr>
        <w:t>“</w:t>
      </w:r>
      <w:r>
        <w:rPr>
          <w:rFonts w:ascii="Calibri" w:cs="Calibri" w:eastAsia="Calibri" w:hAnsi="Calibri"/>
          <w:sz w:val="22"/>
          <w:szCs w:val="22"/>
          <w:color w:val="auto"/>
        </w:rPr>
        <w:t>Sale</w:t>
      </w:r>
      <w:r>
        <w:rPr>
          <w:rFonts w:ascii="Calibri" w:cs="Calibri" w:eastAsia="Calibri" w:hAnsi="Calibri"/>
          <w:sz w:val="22"/>
          <w:szCs w:val="22"/>
          <w:i w:val="1"/>
          <w:iCs w:val="1"/>
          <w:color w:val="auto"/>
        </w:rPr>
        <w:t>”</w:t>
      </w:r>
      <w:r>
        <w:rPr>
          <w:rFonts w:ascii="Calibri" w:cs="Calibri" w:eastAsia="Calibri" w:hAnsi="Calibri"/>
          <w:sz w:val="22"/>
          <w:szCs w:val="22"/>
          <w:color w:val="auto"/>
        </w:rPr>
        <w:t xml:space="preserve"> includes not only the actual sale of a security, but also any contract to sell or otherwise dispose of a security. These defnitons extend to a broad range of transactons, including conventonal cash-for-stock transactons, conversions, the exercise of stock optons or warrants, puts, calls, pledging and margin loans, or other derivatve securites.</w:t>
      </w:r>
    </w:p>
    <w:p>
      <w:pPr>
        <w:spacing w:after="0" w:line="229"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Informaton is considered “</w:t>
      </w:r>
      <w:r>
        <w:rPr>
          <w:rFonts w:ascii="Calibri" w:cs="Calibri" w:eastAsia="Calibri" w:hAnsi="Calibri"/>
          <w:sz w:val="22"/>
          <w:szCs w:val="22"/>
          <w:u w:val="single" w:color="auto"/>
          <w:color w:val="auto"/>
        </w:rPr>
        <w:t>material</w:t>
      </w:r>
      <w:r>
        <w:rPr>
          <w:rFonts w:ascii="Calibri" w:cs="Calibri" w:eastAsia="Calibri" w:hAnsi="Calibri"/>
          <w:sz w:val="22"/>
          <w:szCs w:val="22"/>
          <w:color w:val="auto"/>
        </w:rPr>
        <w:t>” if there is a substantal likelihood that a reasonable investor would consider it important in making a decision to buy, sell, or hold a security, or if the informaton is likely to have a signifcant efect on the market price of the security. Material informaton can be positve or negatve and can relate to virtually any aspect of a company’s business or to any type of security. Also, informaton that something is likely to happen in the future—or even just that it may happen—could be deemed material.</w:t>
      </w:r>
    </w:p>
    <w:p>
      <w:pPr>
        <w:spacing w:after="0" w:line="218"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Examples of material informaton may include (but are not limited to) informaton about:</w:t>
      </w:r>
    </w:p>
    <w:p>
      <w:pPr>
        <w:spacing w:after="0" w:line="215"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corporate earnings or earnings forecasts;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possible mergers, acquisitons, tender ofers, or dispositons;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major new products or product developments;</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important business developments, such as developments regarding strategic collaboratons;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management or control changes;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fnancing developments, including pending public sales or oferings of debt or equity securites;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defaults on borrowings;</w:t>
      </w:r>
    </w:p>
    <w:p>
      <w:pPr>
        <w:spacing w:after="0" w:line="10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bankruptcies;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cybersecurity or data security incidents; and</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litgaton or regulatory actons.</w:t>
      </w:r>
    </w:p>
    <w:p>
      <w:pPr>
        <w:spacing w:after="0" w:line="14"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Informaton is “</w:t>
      </w:r>
      <w:r>
        <w:rPr>
          <w:rFonts w:ascii="Calibri" w:cs="Calibri" w:eastAsia="Calibri" w:hAnsi="Calibri"/>
          <w:sz w:val="22"/>
          <w:szCs w:val="22"/>
          <w:u w:val="single" w:color="auto"/>
          <w:color w:val="auto"/>
        </w:rPr>
        <w:t>nonpublic</w:t>
      </w:r>
      <w:r>
        <w:rPr>
          <w:rFonts w:ascii="Calibri" w:cs="Calibri" w:eastAsia="Calibri" w:hAnsi="Calibri"/>
          <w:sz w:val="22"/>
          <w:szCs w:val="22"/>
          <w:color w:val="auto"/>
        </w:rPr>
        <w:t>” if it is not available to the general public. In order for informaton to be considered “</w:t>
      </w:r>
      <w:r>
        <w:rPr>
          <w:rFonts w:ascii="Calibri" w:cs="Calibri" w:eastAsia="Calibri" w:hAnsi="Calibri"/>
          <w:sz w:val="22"/>
          <w:szCs w:val="22"/>
          <w:u w:val="single" w:color="auto"/>
          <w:color w:val="auto"/>
        </w:rPr>
        <w:t>public</w:t>
      </w:r>
      <w:r>
        <w:rPr>
          <w:rFonts w:ascii="Calibri" w:cs="Calibri" w:eastAsia="Calibri" w:hAnsi="Calibri"/>
          <w:sz w:val="22"/>
          <w:szCs w:val="22"/>
          <w:color w:val="auto"/>
        </w:rPr>
        <w:t>,” it must be widely disseminated in a manner that makes it generally available to investors in a Regulaton FD-compliant method, such as through a press release, a fling with the U.S. Securites and Exchange Commission (the “</w:t>
      </w:r>
      <w:r>
        <w:rPr>
          <w:rFonts w:ascii="Calibri" w:cs="Calibri" w:eastAsia="Calibri" w:hAnsi="Calibri"/>
          <w:sz w:val="22"/>
          <w:szCs w:val="22"/>
          <w:u w:val="single" w:color="auto"/>
          <w:color w:val="auto"/>
        </w:rPr>
        <w:t>SEC</w:t>
      </w:r>
      <w:r>
        <w:rPr>
          <w:rFonts w:ascii="Calibri" w:cs="Calibri" w:eastAsia="Calibri" w:hAnsi="Calibri"/>
          <w:sz w:val="22"/>
          <w:szCs w:val="22"/>
          <w:color w:val="auto"/>
        </w:rPr>
        <w:t>”) or a Regulaton FD-compliant conference call. The Compliance Ofcer shall have sole discreton to decide whether informaton is public for purposes of this Policy.</w:t>
      </w: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00" w:name="page101"/>
    <w:bookmarkEnd w:id="100"/>
    <w:p>
      <w:pPr>
        <w:jc w:val="both"/>
        <w:ind w:firstLine="749"/>
        <w:spacing w:after="0" w:line="238" w:lineRule="auto"/>
        <w:rPr>
          <w:sz w:val="20"/>
          <w:szCs w:val="20"/>
          <w:color w:val="auto"/>
        </w:rPr>
      </w:pPr>
      <w:r>
        <w:rPr>
          <w:rFonts w:ascii="Calibri" w:cs="Calibri" w:eastAsia="Calibri" w:hAnsi="Calibri"/>
          <w:sz w:val="22"/>
          <w:szCs w:val="22"/>
          <w:color w:val="auto"/>
        </w:rPr>
        <w:t>The circulaton of rumors, even if accurate and reported in the media, does not consttute public disseminaton. In additon, even afer a public announcement, a reasonable period of tme may need to lapse in order for the market to react to the informaton. Generally, the passage of two full trading days following release of the informaton to the public, is a reasonable waitng period before such informaton is deemed to be public.</w:t>
      </w:r>
    </w:p>
    <w:p>
      <w:pPr>
        <w:spacing w:after="0" w:line="231" w:lineRule="exact"/>
        <w:rPr>
          <w:sz w:val="20"/>
          <w:szCs w:val="20"/>
          <w:color w:val="auto"/>
        </w:rPr>
      </w:pPr>
    </w:p>
    <w:p>
      <w:pPr>
        <w:jc w:val="both"/>
        <w:ind w:right="20" w:firstLine="749"/>
        <w:spacing w:after="0" w:line="235" w:lineRule="auto"/>
        <w:rPr>
          <w:sz w:val="20"/>
          <w:szCs w:val="20"/>
          <w:color w:val="auto"/>
        </w:rPr>
      </w:pPr>
      <w:r>
        <w:rPr>
          <w:rFonts w:ascii="Calibri" w:cs="Calibri" w:eastAsia="Calibri" w:hAnsi="Calibri"/>
          <w:sz w:val="22"/>
          <w:szCs w:val="22"/>
          <w:color w:val="auto"/>
        </w:rPr>
        <w:t>The laws and regulatons concerning insider trading are complex, and Covered Persons are encouraged to seek guidance from the Compliance Ofcer prior to considering a transacton in securites.</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Quarterly Blackout Periods</w:t>
      </w:r>
    </w:p>
    <w:p>
      <w:pPr>
        <w:spacing w:after="0" w:line="228" w:lineRule="exact"/>
        <w:rPr>
          <w:sz w:val="20"/>
          <w:szCs w:val="20"/>
          <w:color w:val="auto"/>
        </w:rPr>
      </w:pPr>
    </w:p>
    <w:p>
      <w:pPr>
        <w:jc w:val="both"/>
        <w:ind w:left="140" w:firstLine="624"/>
        <w:spacing w:after="0" w:line="237" w:lineRule="auto"/>
        <w:rPr>
          <w:sz w:val="20"/>
          <w:szCs w:val="20"/>
          <w:color w:val="auto"/>
        </w:rPr>
      </w:pPr>
      <w:r>
        <w:rPr>
          <w:rFonts w:ascii="Calibri" w:cs="Calibri" w:eastAsia="Calibri" w:hAnsi="Calibri"/>
          <w:sz w:val="22"/>
          <w:szCs w:val="22"/>
          <w:color w:val="auto"/>
        </w:rPr>
        <w:t xml:space="preserve">No director, ofcer or employee listed on </w:t>
      </w:r>
      <w:r>
        <w:rPr>
          <w:rFonts w:ascii="Calibri" w:cs="Calibri" w:eastAsia="Calibri" w:hAnsi="Calibri"/>
          <w:sz w:val="22"/>
          <w:szCs w:val="22"/>
          <w:u w:val="single" w:color="auto"/>
          <w:color w:val="auto"/>
        </w:rPr>
        <w:t>Schedule I</w:t>
      </w:r>
      <w:r>
        <w:rPr>
          <w:rFonts w:ascii="Calibri" w:cs="Calibri" w:eastAsia="Calibri" w:hAnsi="Calibri"/>
          <w:sz w:val="22"/>
          <w:szCs w:val="22"/>
          <w:color w:val="auto"/>
        </w:rPr>
        <w:t>, as amended from tme to tme (as well as any individual or entty covered by this Policy by virtue of their relatonship to such director, ofcer or employee), shall purchase, sell, gif or otherwise transfer any security of the Company during any blackout period, except as otherwise permited by this Policy.</w:t>
      </w:r>
    </w:p>
    <w:p>
      <w:pPr>
        <w:spacing w:after="0" w:line="220"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The quarterly blackout period:</w:t>
      </w:r>
    </w:p>
    <w:p>
      <w:pPr>
        <w:spacing w:after="0" w:line="21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22"/>
          <w:szCs w:val="22"/>
          <w:color w:val="auto"/>
        </w:rPr>
      </w:pPr>
      <w:r>
        <w:rPr>
          <w:rFonts w:ascii="Calibri" w:cs="Calibri" w:eastAsia="Calibri" w:hAnsi="Calibri"/>
          <w:sz w:val="22"/>
          <w:szCs w:val="22"/>
          <w:color w:val="auto"/>
        </w:rPr>
        <w:t>begins on the 15th day of the last month of each fscal quarter; and</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6"/>
        </w:numPr>
        <w:rPr>
          <w:rFonts w:ascii="Times New Roman" w:cs="Times New Roman" w:eastAsia="Times New Roman" w:hAnsi="Times New Roman"/>
          <w:sz w:val="22"/>
          <w:szCs w:val="22"/>
          <w:color w:val="auto"/>
        </w:rPr>
      </w:pPr>
      <w:r>
        <w:rPr>
          <w:rFonts w:ascii="Calibri" w:cs="Calibri" w:eastAsia="Calibri" w:hAnsi="Calibri"/>
          <w:sz w:val="22"/>
          <w:szCs w:val="22"/>
          <w:color w:val="auto"/>
        </w:rPr>
        <w:t>ends afer completon of the second trading day afer the earnings release for that quarter.</w:t>
      </w:r>
    </w:p>
    <w:p>
      <w:pPr>
        <w:spacing w:after="0" w:line="12"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 xml:space="preserve">A “trading day” is a day on which U.S. natonal stock exchanges are open for trading. If, for example, the Company were to release earnings on Monday </w:t>
      </w:r>
      <w:r>
        <w:rPr>
          <w:rFonts w:ascii="Calibri" w:cs="Calibri" w:eastAsia="Calibri" w:hAnsi="Calibri"/>
          <w:sz w:val="22"/>
          <w:szCs w:val="22"/>
          <w:i w:val="1"/>
          <w:iCs w:val="1"/>
          <w:color w:val="auto"/>
        </w:rPr>
        <w:t>prior</w:t>
      </w:r>
      <w:r>
        <w:rPr>
          <w:rFonts w:ascii="Calibri" w:cs="Calibri" w:eastAsia="Calibri" w:hAnsi="Calibri"/>
          <w:sz w:val="22"/>
          <w:szCs w:val="22"/>
          <w:color w:val="auto"/>
        </w:rPr>
        <w:t xml:space="preserve"> to 9:30 a.m. Eastern Time, then the blackout period would terminate </w:t>
      </w:r>
      <w:r>
        <w:rPr>
          <w:rFonts w:ascii="Calibri" w:cs="Calibri" w:eastAsia="Calibri" w:hAnsi="Calibri"/>
          <w:sz w:val="22"/>
          <w:szCs w:val="22"/>
          <w:i w:val="1"/>
          <w:iCs w:val="1"/>
          <w:color w:val="auto"/>
        </w:rPr>
        <w:t>afer</w:t>
      </w:r>
      <w:r>
        <w:rPr>
          <w:rFonts w:ascii="Calibri" w:cs="Calibri" w:eastAsia="Calibri" w:hAnsi="Calibri"/>
          <w:sz w:val="22"/>
          <w:szCs w:val="22"/>
          <w:color w:val="auto"/>
        </w:rPr>
        <w:t xml:space="preserve"> the close of trading on Tuesday. If the Company were to release earnings on Monday afer 9:30 a.m. Eastern Time, then the blackout period would terminate </w:t>
      </w:r>
      <w:r>
        <w:rPr>
          <w:rFonts w:ascii="Calibri" w:cs="Calibri" w:eastAsia="Calibri" w:hAnsi="Calibri"/>
          <w:sz w:val="22"/>
          <w:szCs w:val="22"/>
          <w:i w:val="1"/>
          <w:iCs w:val="1"/>
          <w:color w:val="auto"/>
        </w:rPr>
        <w:t>afer</w:t>
      </w:r>
      <w:r>
        <w:rPr>
          <w:rFonts w:ascii="Calibri" w:cs="Calibri" w:eastAsia="Calibri" w:hAnsi="Calibri"/>
          <w:sz w:val="22"/>
          <w:szCs w:val="22"/>
          <w:color w:val="auto"/>
        </w:rPr>
        <w:t xml:space="preserve"> the close of trading on Wednesday. Any queston as to whether informaton is publicly available shall be directed to the Compliance Ofcer.</w:t>
      </w:r>
    </w:p>
    <w:p>
      <w:pPr>
        <w:spacing w:after="0" w:line="222"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Additonal Blackout Periods</w:t>
      </w:r>
    </w:p>
    <w:p>
      <w:pPr>
        <w:spacing w:after="0" w:line="23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From tme to tme, the Compliance Ofcer may determine that an additonal blackout period is appropriate. Persons subject to an additonal blackout period must not purchase, sell, gif or otherwise transfer any security of the Company, except as otherwise permited by this Policy, and must not disclose that an additonal blackout period is in efect.</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Pre-Clearance of Transactons</w:t>
      </w:r>
    </w:p>
    <w:p>
      <w:pPr>
        <w:spacing w:after="0" w:line="228" w:lineRule="exact"/>
        <w:rPr>
          <w:sz w:val="20"/>
          <w:szCs w:val="20"/>
          <w:color w:val="auto"/>
        </w:rPr>
      </w:pPr>
    </w:p>
    <w:p>
      <w:pPr>
        <w:jc w:val="both"/>
        <w:ind w:right="20" w:firstLine="749"/>
        <w:spacing w:after="0" w:line="237" w:lineRule="auto"/>
        <w:rPr>
          <w:sz w:val="20"/>
          <w:szCs w:val="20"/>
          <w:color w:val="auto"/>
        </w:rPr>
      </w:pPr>
      <w:r>
        <w:rPr>
          <w:rFonts w:ascii="Calibri" w:cs="Calibri" w:eastAsia="Calibri" w:hAnsi="Calibri"/>
          <w:sz w:val="22"/>
          <w:szCs w:val="22"/>
          <w:color w:val="auto"/>
        </w:rPr>
        <w:t>All transactons in the Company’s securites by directors, ofcers, and employees listed on Schedule II (each, a “</w:t>
      </w:r>
      <w:r>
        <w:rPr>
          <w:rFonts w:ascii="Calibri" w:cs="Calibri" w:eastAsia="Calibri" w:hAnsi="Calibri"/>
          <w:sz w:val="22"/>
          <w:szCs w:val="22"/>
          <w:u w:val="single" w:color="auto"/>
          <w:color w:val="auto"/>
        </w:rPr>
        <w:t>Pre-Clearance Person</w:t>
      </w:r>
      <w:r>
        <w:rPr>
          <w:rFonts w:ascii="Calibri" w:cs="Calibri" w:eastAsia="Calibri" w:hAnsi="Calibri"/>
          <w:sz w:val="22"/>
          <w:szCs w:val="22"/>
          <w:color w:val="auto"/>
        </w:rPr>
        <w:t>”) must be precleared by the Compliance Ofcer or the Chief Financial Ofcer for transactons by the Compliance Ofcer.</w:t>
      </w:r>
    </w:p>
    <w:p>
      <w:pPr>
        <w:spacing w:after="0" w:line="230"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A request for pre-clearance must be in writng, should be made at least two business days in advance of the proposed transacton, and should include the identty of the Pre-Clearance Person, a descripton of the proposed transacton, the proposed date of the transacton, and the number of shares or other securites involved. In additon, the Pre-Clearance Person must execute a certfcaton that he or she is not aware of material nonpublic informaton about the Company. The Compliance Ofcer, or the Chief Financial Ofcer for transactons by the Compliance Ofcer, shall have sole discreton to decide whether to clear any contemplated transacton. Pre-clearance approval will remain valid for two business days for transactons without a proposed transacton date. Notwithstanding receipt of pre-clearance, if the Pre-Clearance Person becomes aware of material nonpublic informaton, or becomes subject to a blackout period before the transacton is efected, the transacton may not be completed.</w:t>
      </w: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1" w:name="page102"/>
    <w:bookmarkEnd w:id="101"/>
    <w:p>
      <w:pPr>
        <w:jc w:val="both"/>
        <w:ind w:firstLine="749"/>
        <w:spacing w:after="0" w:line="237" w:lineRule="auto"/>
        <w:rPr>
          <w:sz w:val="20"/>
          <w:szCs w:val="20"/>
          <w:color w:val="auto"/>
        </w:rPr>
      </w:pPr>
      <w:r>
        <w:rPr>
          <w:rFonts w:ascii="Calibri" w:cs="Calibri" w:eastAsia="Calibri" w:hAnsi="Calibri"/>
          <w:sz w:val="22"/>
          <w:szCs w:val="22"/>
          <w:color w:val="auto"/>
        </w:rPr>
        <w:t>Pre-clearance should not be understood to represent legal advice by the company that a proposed transacton complies with the law. None of the Company, the Compliance Ofcer, or the Company’s other employees will have any liability for any delay in reviewing, or refusal of, a request for pre-clearance.</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Exempt Transactons</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This Policy, except for provisions set forth in the Prohibited Transactons secton below, does not apply to:</w:t>
      </w:r>
    </w:p>
    <w:p>
      <w:pPr>
        <w:spacing w:after="0" w:line="217" w:lineRule="exact"/>
        <w:rPr>
          <w:sz w:val="20"/>
          <w:szCs w:val="20"/>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transactons directly with the Company;</w:t>
      </w:r>
    </w:p>
    <w:p>
      <w:pPr>
        <w:spacing w:after="0" w:line="120" w:lineRule="exact"/>
        <w:rPr>
          <w:rFonts w:ascii="Times New Roman" w:cs="Times New Roman" w:eastAsia="Times New Roman" w:hAnsi="Times New Roman"/>
          <w:sz w:val="22"/>
          <w:szCs w:val="22"/>
          <w:color w:val="auto"/>
        </w:rPr>
      </w:pPr>
    </w:p>
    <w:p>
      <w:pPr>
        <w:ind w:left="1140" w:right="120" w:hanging="383"/>
        <w:spacing w:after="0" w:line="235" w:lineRule="auto"/>
        <w:tabs>
          <w:tab w:leader="none" w:pos="1140" w:val="left"/>
        </w:tabs>
        <w:numPr>
          <w:ilvl w:val="0"/>
          <w:numId w:val="57"/>
        </w:numPr>
        <w:rPr>
          <w:rFonts w:ascii="Times New Roman" w:cs="Times New Roman" w:eastAsia="Times New Roman" w:hAnsi="Times New Roman"/>
          <w:sz w:val="22"/>
          <w:szCs w:val="22"/>
          <w:color w:val="auto"/>
        </w:rPr>
      </w:pPr>
      <w:r>
        <w:rPr>
          <w:rFonts w:ascii="Calibri" w:cs="Calibri" w:eastAsia="Calibri" w:hAnsi="Calibri"/>
          <w:sz w:val="22"/>
          <w:szCs w:val="22"/>
          <w:color w:val="auto"/>
        </w:rPr>
        <w:t>gif transactons for family or estate planning purposes, where securites are gifed to a person or entty subject to this Policy, except that gif transactons involving Company securites are subject to pre-clearance;</w:t>
      </w:r>
    </w:p>
    <w:p>
      <w:pPr>
        <w:spacing w:after="0" w:line="122" w:lineRule="exact"/>
        <w:rPr>
          <w:rFonts w:ascii="Times New Roman" w:cs="Times New Roman" w:eastAsia="Times New Roman" w:hAnsi="Times New Roman"/>
          <w:sz w:val="22"/>
          <w:szCs w:val="22"/>
          <w:color w:val="auto"/>
        </w:rPr>
      </w:pPr>
    </w:p>
    <w:p>
      <w:pPr>
        <w:jc w:val="both"/>
        <w:ind w:left="1140" w:right="140" w:hanging="383"/>
        <w:spacing w:after="0" w:line="237" w:lineRule="auto"/>
        <w:tabs>
          <w:tab w:leader="none" w:pos="1140" w:val="left"/>
        </w:tabs>
        <w:numPr>
          <w:ilvl w:val="0"/>
          <w:numId w:val="5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transactons relatng to equity incentve awards without any open-market sale of securites (e.g., cash exercises of stock optons or the “net setlement” of restricted stock units but not broker-assisted cashless exercises or open-market sales to cover taxes upon the vestng of restricted stock units);</w:t>
      </w:r>
    </w:p>
    <w:p>
      <w:pPr>
        <w:spacing w:after="0" w:line="122" w:lineRule="exact"/>
        <w:rPr>
          <w:rFonts w:ascii="Times New Roman" w:cs="Times New Roman" w:eastAsia="Times New Roman" w:hAnsi="Times New Roman"/>
          <w:sz w:val="22"/>
          <w:szCs w:val="22"/>
          <w:color w:val="auto"/>
        </w:rPr>
      </w:pPr>
    </w:p>
    <w:p>
      <w:pPr>
        <w:ind w:left="1140" w:right="120" w:hanging="383"/>
        <w:spacing w:after="0" w:line="254" w:lineRule="auto"/>
        <w:tabs>
          <w:tab w:leader="none" w:pos="1140" w:val="left"/>
        </w:tabs>
        <w:numPr>
          <w:ilvl w:val="0"/>
          <w:numId w:val="57"/>
        </w:numPr>
        <w:rPr>
          <w:rFonts w:ascii="Times New Roman" w:cs="Times New Roman" w:eastAsia="Times New Roman" w:hAnsi="Times New Roman"/>
          <w:sz w:val="21"/>
          <w:szCs w:val="21"/>
          <w:color w:val="auto"/>
        </w:rPr>
      </w:pPr>
      <w:r>
        <w:rPr>
          <w:rFonts w:ascii="Calibri" w:cs="Calibri" w:eastAsia="Calibri" w:hAnsi="Calibri"/>
          <w:sz w:val="21"/>
          <w:szCs w:val="21"/>
          <w:color w:val="auto"/>
        </w:rPr>
        <w:t>“sell-to-cover” transactons pursuant to a non-discretonary policy adopted by the Company that is intended to facilitate the payment of withholding taxes associated with vestng of equity awards (other than stock optons); or</w:t>
      </w:r>
    </w:p>
    <w:p>
      <w:pPr>
        <w:spacing w:after="0" w:line="94" w:lineRule="exact"/>
        <w:rPr>
          <w:rFonts w:ascii="Times New Roman" w:cs="Times New Roman" w:eastAsia="Times New Roman" w:hAnsi="Times New Roman"/>
          <w:sz w:val="21"/>
          <w:szCs w:val="21"/>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transactons under a pre-cleared Rule 10b5-1 plan.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Rule 10b5-1 Trading Plans</w:t>
      </w:r>
    </w:p>
    <w:p>
      <w:pPr>
        <w:spacing w:after="0" w:line="228" w:lineRule="exact"/>
        <w:rPr>
          <w:sz w:val="20"/>
          <w:szCs w:val="20"/>
          <w:color w:val="auto"/>
        </w:rPr>
      </w:pPr>
    </w:p>
    <w:p>
      <w:pPr>
        <w:ind w:firstLine="749"/>
        <w:spacing w:after="0" w:line="235" w:lineRule="auto"/>
        <w:rPr>
          <w:sz w:val="20"/>
          <w:szCs w:val="20"/>
          <w:color w:val="auto"/>
        </w:rPr>
      </w:pPr>
      <w:r>
        <w:rPr>
          <w:rFonts w:ascii="Calibri" w:cs="Calibri" w:eastAsia="Calibri" w:hAnsi="Calibri"/>
          <w:sz w:val="22"/>
          <w:szCs w:val="22"/>
          <w:color w:val="auto"/>
        </w:rPr>
        <w:t>The restrictons in this Policy, except for provisions set forth in the Prohibited Transactons secton below, do not apply to transactons under a trading plan (a “</w:t>
      </w:r>
      <w:r>
        <w:rPr>
          <w:rFonts w:ascii="Calibri" w:cs="Calibri" w:eastAsia="Calibri" w:hAnsi="Calibri"/>
          <w:sz w:val="22"/>
          <w:szCs w:val="22"/>
          <w:u w:val="single" w:color="auto"/>
          <w:color w:val="auto"/>
        </w:rPr>
        <w:t>Trading Plan</w:t>
      </w:r>
      <w:r>
        <w:rPr>
          <w:rFonts w:ascii="Calibri" w:cs="Calibri" w:eastAsia="Calibri" w:hAnsi="Calibri"/>
          <w:sz w:val="22"/>
          <w:szCs w:val="22"/>
          <w:color w:val="auto"/>
        </w:rPr>
        <w:t>”) that satsfes either:</w:t>
      </w:r>
    </w:p>
    <w:p>
      <w:pPr>
        <w:spacing w:after="0" w:line="220"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conditons of Rule 10b5-1; or</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elements of a non-Rule 10b5-1 trading arrangement as defned in Item 408(c) of Regulaton S-K; and</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Compliance Ofcer has pre-approved.</w:t>
      </w:r>
    </w:p>
    <w:p>
      <w:pPr>
        <w:spacing w:after="0" w:line="12"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The Compliance Ofcer may impose such other conditons on the implementaton and operaton of a Trading Plan as the Compliance Ofcer deems necessary or advisable.</w:t>
      </w:r>
    </w:p>
    <w:p>
      <w:pPr>
        <w:spacing w:after="0" w:line="23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An individual may only modify a Trading Plan outside of a blackout period and, in any event, when the individual does not possess material nonpublic informaton. Modifcatons to and early terminatons of a Trading Plan are subject to pre-approval by the Compliance Ofcer.</w:t>
      </w:r>
    </w:p>
    <w:p>
      <w:pPr>
        <w:spacing w:after="0" w:line="230" w:lineRule="exact"/>
        <w:rPr>
          <w:sz w:val="20"/>
          <w:szCs w:val="20"/>
          <w:color w:val="auto"/>
        </w:rPr>
      </w:pPr>
    </w:p>
    <w:p>
      <w:pPr>
        <w:jc w:val="both"/>
        <w:ind w:right="20" w:firstLine="749"/>
        <w:spacing w:after="0" w:line="237" w:lineRule="auto"/>
        <w:rPr>
          <w:sz w:val="20"/>
          <w:szCs w:val="20"/>
          <w:color w:val="auto"/>
        </w:rPr>
      </w:pPr>
      <w:r>
        <w:rPr>
          <w:rFonts w:ascii="Calibri" w:cs="Calibri" w:eastAsia="Calibri" w:hAnsi="Calibri"/>
          <w:sz w:val="22"/>
          <w:szCs w:val="22"/>
          <w:color w:val="auto"/>
        </w:rPr>
        <w:t>The Company also reserves the right from tme to tme to suspend, discontnue, or otherwise prohibit transactons under a Trading Plan if the Compliance Ofcer or the Board of Directors, in its discreton, determines that such suspension, discontnuaton, or other prohibiton is in the best interests of the Company.</w:t>
      </w:r>
    </w:p>
    <w:p>
      <w:pPr>
        <w:spacing w:after="0" w:line="230"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Compliance of a Trading Plan with the terms of Rule 10b5-1 and the executon of transactons pursuant to the Trading Plan are the sole responsibility of the person initatng the Trading Plan, and none of the Company, the Compliance Ofcer, or the Company’s other employees assumes any liability for any delay in reviewing and/or refusing to approve a Trading Plan submited for approval, nor the legality or consequences relatng to a person entering into, informing the Company of, or trading under, a Trading Plan.</w:t>
      </w: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2" w:name="page103"/>
    <w:bookmarkEnd w:id="102"/>
    <w:p>
      <w:pPr>
        <w:spacing w:after="0"/>
        <w:rPr>
          <w:sz w:val="20"/>
          <w:szCs w:val="20"/>
          <w:color w:val="auto"/>
        </w:rPr>
      </w:pPr>
      <w:r>
        <w:rPr>
          <w:rFonts w:ascii="Calibri" w:cs="Calibri" w:eastAsia="Calibri" w:hAnsi="Calibri"/>
          <w:sz w:val="22"/>
          <w:szCs w:val="22"/>
          <w:b w:val="1"/>
          <w:bCs w:val="1"/>
          <w:u w:val="single" w:color="auto"/>
          <w:color w:val="auto"/>
        </w:rPr>
        <w:t>Prohibited Transactons</w:t>
      </w:r>
    </w:p>
    <w:p>
      <w:pPr>
        <w:spacing w:after="0" w:line="228"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The Company has determined that there is a heightened legal risk and the appearance of improper or inappropriate conduct if persons subject to this Policy engage in certain types of transactons. Therefore, Covered Persons shall comply with the following policies with respect to certain transactons in the Company’s securites.</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Short Sales</w:t>
      </w:r>
    </w:p>
    <w:p>
      <w:pPr>
        <w:spacing w:after="0" w:line="228"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Short sales of the Company’s securites are prohibited by this Policy. Short sales are sales of shares that the insider does not own at the tme of sale, or sales of shares against which the insider does not deliver the shares within 20 days afer the sale. In additon, Secton 16(c) of the Exchange Act prohibits Secton 16 reportng persons (i.e., directors, ofcers, and the Company’s 10% stockholders) from making short sales of the Company’s equity securites.</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Optons</w:t>
      </w:r>
    </w:p>
    <w:p>
      <w:pPr>
        <w:spacing w:after="0" w:line="228" w:lineRule="exact"/>
        <w:rPr>
          <w:sz w:val="20"/>
          <w:szCs w:val="20"/>
          <w:color w:val="auto"/>
        </w:rPr>
      </w:pPr>
    </w:p>
    <w:p>
      <w:pPr>
        <w:jc w:val="both"/>
        <w:ind w:right="20" w:firstLine="749"/>
        <w:spacing w:after="0" w:line="235" w:lineRule="auto"/>
        <w:rPr>
          <w:sz w:val="20"/>
          <w:szCs w:val="20"/>
          <w:color w:val="auto"/>
        </w:rPr>
      </w:pPr>
      <w:r>
        <w:rPr>
          <w:rFonts w:ascii="Calibri" w:cs="Calibri" w:eastAsia="Calibri" w:hAnsi="Calibri"/>
          <w:sz w:val="22"/>
          <w:szCs w:val="22"/>
          <w:color w:val="auto"/>
        </w:rPr>
        <w:t>Transactons in puts, calls, or other derivatve securites involving the Company’s equity securites, on an exchange, on an over-the-counter market, or in any other organized market, are prohibited by this Policy.</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Hedging Transactons</w:t>
      </w:r>
    </w:p>
    <w:p>
      <w:pPr>
        <w:spacing w:after="0" w:line="23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Hedging transactons involving the Company’s securites, such as prepaid variable forward contracts, equity swaps, collars and exchange funds, or other transactons that hedge or ofset, or are designed to hedge or ofset, any decrease in the market value of the Company’s equity securites, are prohibited by this Policy.</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Margin Accounts and Pledging</w:t>
      </w:r>
    </w:p>
    <w:p>
      <w:pPr>
        <w:spacing w:after="0" w:line="230"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Individuals are prohibited from pledging Company securites as collateral for a loan, purchasing Company securites on margin (i.e., borrowing money to purchase the securites), or placing Company securites in a margin account. This prohibiton does not apply to cashless exercises of stock optons under the Company’s equity plans, nor to situatons approved in advance by the Compliance Ofcer.</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Partnership Distributons</w:t>
      </w:r>
    </w:p>
    <w:p>
      <w:pPr>
        <w:spacing w:after="0" w:line="228" w:lineRule="exact"/>
        <w:rPr>
          <w:sz w:val="20"/>
          <w:szCs w:val="20"/>
          <w:color w:val="auto"/>
        </w:rPr>
      </w:pPr>
    </w:p>
    <w:p>
      <w:pPr>
        <w:jc w:val="both"/>
        <w:ind w:firstLine="749"/>
        <w:spacing w:after="0" w:line="253" w:lineRule="auto"/>
        <w:rPr>
          <w:sz w:val="20"/>
          <w:szCs w:val="20"/>
          <w:color w:val="auto"/>
        </w:rPr>
      </w:pPr>
      <w:r>
        <w:rPr>
          <w:rFonts w:ascii="Calibri" w:cs="Calibri" w:eastAsia="Calibri" w:hAnsi="Calibri"/>
          <w:sz w:val="21"/>
          <w:szCs w:val="21"/>
          <w:color w:val="auto"/>
        </w:rPr>
        <w:t>Nothing in this Policy is intended to limit the ability of an investment fund, venture capital partnership or other similar entty with which a director is afliated to distribute Company securites to its partners, members, or other similar persons. It is the responsibility of each afected director and the afliated entty, in consultaton with their own counsel (as appropriate), to determine the tming of any distributons, based on all relevant facts and circumstances, and applicable securites laws.</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Post-Terminaton Transactons</w:t>
      </w:r>
    </w:p>
    <w:p>
      <w:pPr>
        <w:spacing w:after="0" w:line="23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If an individual is in possession of material nonpublic informaton when the individual’s service terminates, the restrictons set forth in “Policy Statement” above contnue to apply untl that informaton has become public or is no longer material.</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Policy Administraton</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The Compliance Ofcer has authority to interpret, amend and implement this Policy. This authority</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03" w:name="page104"/>
    <w:bookmarkEnd w:id="103"/>
    <w:p>
      <w:pPr>
        <w:jc w:val="both"/>
        <w:spacing w:after="0" w:line="237" w:lineRule="auto"/>
        <w:rPr>
          <w:sz w:val="20"/>
          <w:szCs w:val="20"/>
          <w:color w:val="auto"/>
        </w:rPr>
      </w:pPr>
      <w:r>
        <w:rPr>
          <w:rFonts w:ascii="Calibri" w:cs="Calibri" w:eastAsia="Calibri" w:hAnsi="Calibri"/>
          <w:sz w:val="22"/>
          <w:szCs w:val="22"/>
          <w:color w:val="auto"/>
        </w:rPr>
        <w:t>includes interpretng or waiving the terms of this Policy, to the extent consistent with its general purpose and applicable securites laws. The Chief Financial Ofcer will administer this Policy as it applies to any trading actvity by the Compliance Ofcer. The Board will approve any waiver of the terms of this Policy for directors or ofcers.</w:t>
      </w: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4" w:name="page105"/>
    <w:bookmarkEnd w:id="104"/>
    <w:p>
      <w:pPr>
        <w:spacing w:after="0"/>
        <w:rPr>
          <w:sz w:val="20"/>
          <w:szCs w:val="20"/>
          <w:color w:val="auto"/>
        </w:rPr>
      </w:pPr>
      <w:r>
        <w:rPr>
          <w:rFonts w:ascii="Calibri" w:cs="Calibri" w:eastAsia="Calibri" w:hAnsi="Calibri"/>
          <w:sz w:val="22"/>
          <w:szCs w:val="22"/>
          <w:b w:val="1"/>
          <w:bCs w:val="1"/>
          <w:u w:val="single" w:color="auto"/>
          <w:color w:val="auto"/>
        </w:rPr>
        <w:t>Certfcaton of Compliance</w:t>
      </w:r>
    </w:p>
    <w:p>
      <w:pPr>
        <w:spacing w:after="0" w:line="228" w:lineRule="exact"/>
        <w:rPr>
          <w:sz w:val="20"/>
          <w:szCs w:val="20"/>
          <w:color w:val="auto"/>
        </w:rPr>
      </w:pPr>
    </w:p>
    <w:p>
      <w:pPr>
        <w:ind w:left="760"/>
        <w:spacing w:after="0"/>
        <w:rPr>
          <w:sz w:val="20"/>
          <w:szCs w:val="20"/>
          <w:color w:val="auto"/>
        </w:rPr>
      </w:pPr>
      <w:r>
        <w:rPr>
          <w:rFonts w:ascii="Calibri" w:cs="Calibri" w:eastAsia="Calibri" w:hAnsi="Calibri"/>
          <w:sz w:val="21"/>
          <w:szCs w:val="21"/>
          <w:color w:val="auto"/>
        </w:rPr>
        <w:t>All Covered Persons may be asked periodically to certfy their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Calibri" w:cs="Calibri" w:eastAsia="Calibri" w:hAnsi="Calibri"/>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78" w:right="519" w:bottom="1440" w:gutter="0" w:footer="0" w:header="0"/>
        </w:sectPr>
      </w:pPr>
    </w:p>
    <w:bookmarkStart w:id="105" w:name="page106"/>
    <w:bookmarkEnd w:id="105"/>
    <w:p>
      <w:pPr>
        <w:spacing w:after="0"/>
        <w:rPr>
          <w:sz w:val="20"/>
          <w:szCs w:val="20"/>
          <w:color w:val="auto"/>
        </w:rPr>
      </w:pPr>
      <w:r>
        <w:rPr>
          <w:rFonts w:ascii="Calibri" w:cs="Calibri" w:eastAsia="Calibri" w:hAnsi="Calibri"/>
          <w:sz w:val="22"/>
          <w:szCs w:val="22"/>
          <w:u w:val="single" w:color="auto"/>
          <w:color w:val="auto"/>
        </w:rPr>
        <w:t>Schedule I</w:t>
      </w:r>
    </w:p>
    <w:p>
      <w:pPr>
        <w:spacing w:after="0" w:line="219" w:lineRule="exact"/>
        <w:rPr>
          <w:sz w:val="20"/>
          <w:szCs w:val="20"/>
          <w:color w:val="auto"/>
        </w:rPr>
      </w:pPr>
    </w:p>
    <w:p>
      <w:pPr>
        <w:jc w:val="center"/>
        <w:ind w:right="-319"/>
        <w:spacing w:after="0"/>
        <w:rPr>
          <w:sz w:val="20"/>
          <w:szCs w:val="20"/>
          <w:color w:val="auto"/>
        </w:rPr>
      </w:pPr>
      <w:r>
        <w:rPr>
          <w:rFonts w:ascii="Calibri" w:cs="Calibri" w:eastAsia="Calibri" w:hAnsi="Calibri"/>
          <w:sz w:val="22"/>
          <w:szCs w:val="22"/>
          <w:b w:val="1"/>
          <w:bCs w:val="1"/>
          <w:color w:val="auto"/>
        </w:rPr>
        <w:t>Individuals Subject to Quarterly Trading Blackouts</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All directors, executve ofcers and other ofcers or employees of the Company.</w:t>
      </w:r>
    </w:p>
    <w:p>
      <w:pPr>
        <w:spacing w:after="0" w:line="228" w:lineRule="exact"/>
        <w:rPr>
          <w:sz w:val="20"/>
          <w:szCs w:val="20"/>
          <w:color w:val="auto"/>
        </w:rPr>
      </w:pPr>
    </w:p>
    <w:p>
      <w:pPr>
        <w:ind w:firstLine="749"/>
        <w:spacing w:after="0" w:line="235" w:lineRule="auto"/>
        <w:rPr>
          <w:sz w:val="20"/>
          <w:szCs w:val="20"/>
          <w:color w:val="auto"/>
        </w:rPr>
      </w:pPr>
      <w:r>
        <w:rPr>
          <w:rFonts w:ascii="Calibri" w:cs="Calibri" w:eastAsia="Calibri" w:hAnsi="Calibri"/>
          <w:sz w:val="22"/>
          <w:szCs w:val="22"/>
          <w:color w:val="auto"/>
        </w:rPr>
        <w:t>All advisors, consultants or other partes the Compliance Ofcer may include from tme to tme (with such partes to be notfed by the Compliance Ofcer and named in a separate list maintained by the Compliance Ofcer).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Calibri" w:cs="Calibri" w:eastAsia="Calibri" w:hAnsi="Calibri"/>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30" w:right="659" w:bottom="1440" w:gutter="0" w:footer="0" w:header="0"/>
        </w:sectPr>
      </w:pPr>
    </w:p>
    <w:bookmarkStart w:id="106" w:name="page107"/>
    <w:bookmarkEnd w:id="106"/>
    <w:p>
      <w:pPr>
        <w:spacing w:after="0"/>
        <w:rPr>
          <w:sz w:val="20"/>
          <w:szCs w:val="20"/>
          <w:color w:val="auto"/>
        </w:rPr>
      </w:pPr>
      <w:r>
        <w:rPr>
          <w:rFonts w:ascii="Calibri" w:cs="Calibri" w:eastAsia="Calibri" w:hAnsi="Calibri"/>
          <w:sz w:val="22"/>
          <w:szCs w:val="22"/>
          <w:u w:val="single" w:color="auto"/>
          <w:color w:val="auto"/>
        </w:rPr>
        <w:t>Schedule II</w:t>
      </w:r>
    </w:p>
    <w:p>
      <w:pPr>
        <w:spacing w:after="0" w:line="217" w:lineRule="exact"/>
        <w:rPr>
          <w:sz w:val="20"/>
          <w:szCs w:val="20"/>
          <w:color w:val="auto"/>
        </w:rPr>
      </w:pPr>
    </w:p>
    <w:p>
      <w:pPr>
        <w:ind w:left="3440"/>
        <w:spacing w:after="0"/>
        <w:rPr>
          <w:sz w:val="20"/>
          <w:szCs w:val="20"/>
          <w:color w:val="auto"/>
        </w:rPr>
      </w:pPr>
      <w:r>
        <w:rPr>
          <w:rFonts w:ascii="Calibri" w:cs="Calibri" w:eastAsia="Calibri" w:hAnsi="Calibri"/>
          <w:sz w:val="22"/>
          <w:szCs w:val="22"/>
          <w:b w:val="1"/>
          <w:bCs w:val="1"/>
          <w:color w:val="auto"/>
        </w:rPr>
        <w:t>Individuals Subject to Preclearance Requirement</w:t>
      </w:r>
    </w:p>
    <w:p>
      <w:pPr>
        <w:spacing w:after="0" w:line="228" w:lineRule="exact"/>
        <w:rPr>
          <w:sz w:val="20"/>
          <w:szCs w:val="20"/>
          <w:color w:val="auto"/>
        </w:rPr>
      </w:pPr>
    </w:p>
    <w:p>
      <w:pPr>
        <w:ind w:left="760"/>
        <w:spacing w:after="0"/>
        <w:rPr>
          <w:sz w:val="20"/>
          <w:szCs w:val="20"/>
          <w:color w:val="auto"/>
        </w:rPr>
      </w:pPr>
      <w:r>
        <w:rPr>
          <w:rFonts w:ascii="Calibri" w:cs="Calibri" w:eastAsia="Calibri" w:hAnsi="Calibri"/>
          <w:sz w:val="21"/>
          <w:szCs w:val="21"/>
          <w:color w:val="auto"/>
        </w:rPr>
        <w:t>All directors, ofcers and members of senior management (Vice President level or higher) of the Company.</w:t>
      </w:r>
    </w:p>
    <w:p>
      <w:pPr>
        <w:spacing w:after="0" w:line="200" w:lineRule="exact"/>
        <w:rPr>
          <w:sz w:val="20"/>
          <w:szCs w:val="20"/>
          <w:color w:val="auto"/>
        </w:rPr>
      </w:pPr>
    </w:p>
    <w:p>
      <w:pPr>
        <w:spacing w:after="0" w:line="235" w:lineRule="exact"/>
        <w:rPr>
          <w:sz w:val="20"/>
          <w:szCs w:val="20"/>
          <w:color w:val="auto"/>
        </w:rPr>
      </w:pPr>
    </w:p>
    <w:p>
      <w:pPr>
        <w:ind w:left="5560"/>
        <w:spacing w:after="0"/>
        <w:rPr>
          <w:sz w:val="20"/>
          <w:szCs w:val="20"/>
          <w:color w:val="auto"/>
        </w:rPr>
      </w:pPr>
      <w:r>
        <w:rPr>
          <w:rFonts w:ascii="Calibri" w:cs="Calibri" w:eastAsia="Calibri" w:hAnsi="Calibri"/>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2"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LIST OF SIGNIFICANT SUBSIDIAIRES OF BLAIZE HOLDINGS, INC.</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Blaize Holdings, Inc. had the following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Blaize, Inc.</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Blaize New Computing Technologies India Private Limited</w:t>
            </w: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Blaize Technologies Philippines, Inc.</w:t>
            </w:r>
          </w:p>
        </w:tc>
        <w:tc>
          <w:tcPr>
            <w:tcW w:w="100" w:type="dxa"/>
            <w:vAlign w:val="bottom"/>
            <w:shd w:val="clear" w:color="auto" w:fill="CFF0FC"/>
          </w:tcPr>
          <w:p>
            <w:pPr>
              <w:spacing w:after="0"/>
              <w:rPr>
                <w:sz w:val="18"/>
                <w:szCs w:val="18"/>
                <w:color w:val="auto"/>
              </w:rPr>
            </w:pPr>
          </w:p>
        </w:tc>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Blaize U.K. LTD</w:t>
            </w: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U.K.</w:t>
            </w:r>
          </w:p>
        </w:tc>
      </w:tr>
      <w:tr>
        <w:trPr>
          <w:trHeight w:val="961"/>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Dinakar Munagala, certify that:</w:t>
      </w:r>
    </w:p>
    <w:p>
      <w:pPr>
        <w:spacing w:after="0" w:line="117"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Blaize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14, 2025</w:t>
            </w:r>
          </w:p>
        </w:tc>
        <w:tc>
          <w:tcPr>
            <w:tcW w:w="78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Harminder Sehmi, certify that:</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Blaize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14, 2025</w:t>
            </w:r>
          </w:p>
        </w:tc>
        <w:tc>
          <w:tcPr>
            <w:tcW w:w="78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3"/>
        </w:trPr>
        <w:tc>
          <w:tcPr>
            <w:tcW w:w="3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Dinakar Munagala, certify pursuant to 18 U.S.C. Section 1350, as adopted pursuant to Section 906 of the Sarbanes-Oxley Act of 2002, that:</w:t>
      </w:r>
    </w:p>
    <w:p>
      <w:pPr>
        <w:spacing w:after="0" w:line="117" w:lineRule="exact"/>
        <w:rPr>
          <w:sz w:val="20"/>
          <w:szCs w:val="20"/>
          <w:color w:val="auto"/>
        </w:rPr>
      </w:pPr>
    </w:p>
    <w:p>
      <w:pPr>
        <w:ind w:left="1020" w:right="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Blaize Holdings, Inc. on Form 10-K for the fiscal year ended December 31, 2024 (the “Annual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Blaize Holdings, Inc. for the periods presented therein.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14, 2025</w:t>
            </w:r>
          </w:p>
        </w:tc>
        <w:tc>
          <w:tcPr>
            <w:tcW w:w="78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 Harminder Sehmi, certify pursuant to 18 U.S.C. Section 1350, as adopted pursuant to Section 906 of the Sarbanes-Oxley Act of 2002, that:</w:t>
      </w:r>
    </w:p>
    <w:p>
      <w:pPr>
        <w:spacing w:after="0" w:line="117" w:lineRule="exact"/>
        <w:rPr>
          <w:sz w:val="20"/>
          <w:szCs w:val="20"/>
          <w:color w:val="auto"/>
        </w:rPr>
      </w:pPr>
    </w:p>
    <w:p>
      <w:pPr>
        <w:ind w:left="1020" w:right="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Blaize Holdings, Inc. on Form 10-K for the fiscal year ended December 31, 2024 (the “Annual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Blaize Holdings, Inc. for the periods presented therein.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14, 2025</w:t>
            </w:r>
          </w:p>
        </w:tc>
        <w:tc>
          <w:tcPr>
            <w:tcW w:w="78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BLAIZE HOLDINGS, INC. POLICY FOR RECOVERY OF ERRONEOUSLY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AWARDED COMPENSATION</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Blaize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January 13,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in the text of this policy are defined in Section 11.</w:t>
      </w:r>
    </w:p>
    <w:p>
      <w:pPr>
        <w:spacing w:after="0" w:line="166"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1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Policy shall apply to current and former Officers. Each Officer shall be required to sign an acknowledgement pursuant to which such Officer will agree to be bound by the terms of, and comply with, this Policy; however, any Officer’s failure to sign any such acknowledgement shall not negate the application of this Policy to the Officer.</w:t>
      </w:r>
    </w:p>
    <w:p>
      <w:pPr>
        <w:spacing w:after="0" w:line="174"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from the relevant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79"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spacing w:after="0" w:line="169"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Personal Liability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spacing w:after="0" w:line="174"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9"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4" w:name="page115"/>
    <w:bookmarkEnd w:id="114"/>
    <w:p>
      <w:pPr>
        <w:ind w:left="440" w:hanging="432"/>
        <w:spacing w:after="0"/>
        <w:tabs>
          <w:tab w:leader="none" w:pos="4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36"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spacing w:after="0" w:line="91"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For Incentive-Based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consistent with any documentation of the determination of such reasonable estimate provided by the Company to the applicable listing exchange or association.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that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2"/>
          <w:szCs w:val="22"/>
          <w:color w:val="auto"/>
        </w:rPr>
        <w:t>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43"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ind w:left="3220"/>
        <w:spacing w:after="0"/>
        <w:rPr>
          <w:sz w:val="20"/>
          <w:szCs w:val="20"/>
          <w:color w:val="auto"/>
        </w:rPr>
      </w:pPr>
      <w:r>
        <w:rPr>
          <w:rFonts w:ascii="Times New Roman" w:cs="Times New Roman" w:eastAsia="Times New Roman" w:hAnsi="Times New Roman"/>
          <w:sz w:val="22"/>
          <w:szCs w:val="22"/>
          <w:b w:val="1"/>
          <w:bCs w:val="1"/>
          <w:color w:val="auto"/>
        </w:rPr>
        <w:t>FORM OF ACKNOWLEDGMENT AGREEMENT</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PERTAINING TO THE BLAIZE HOLDINGS, INC. POLICY FOR RECOVERY OF ERRONEOUSLY AWARDED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consideration of, and as a condition to, the receipt of future cash and equity incentive compensation from Blaize Holdings, Inc. (the “Company”), _________________ (“Executive”) and the Company are entering into this Acknowledgment Agreement.</w:t>
      </w:r>
    </w:p>
    <w:p>
      <w:pPr>
        <w:spacing w:after="0" w:line="173" w:lineRule="exact"/>
        <w:rPr>
          <w:sz w:val="20"/>
          <w:szCs w:val="20"/>
          <w:color w:val="auto"/>
        </w:rPr>
      </w:pPr>
    </w:p>
    <w:p>
      <w:pPr>
        <w:jc w:val="both"/>
        <w:ind w:left="1020" w:hanging="503"/>
        <w:spacing w:after="0" w:line="249" w:lineRule="auto"/>
        <w:tabs>
          <w:tab w:leader="none" w:pos="1020" w:val="left"/>
        </w:tabs>
        <w:numPr>
          <w:ilvl w:val="0"/>
          <w:numId w:val="75"/>
        </w:numPr>
        <w:rPr>
          <w:rFonts w:ascii="Arial" w:cs="Arial" w:eastAsia="Arial" w:hAnsi="Arial"/>
          <w:sz w:val="21"/>
          <w:szCs w:val="21"/>
          <w:color w:val="auto"/>
        </w:rPr>
      </w:pPr>
      <w:r>
        <w:rPr>
          <w:rFonts w:ascii="Times New Roman" w:cs="Times New Roman" w:eastAsia="Times New Roman" w:hAnsi="Times New Roman"/>
          <w:sz w:val="21"/>
          <w:szCs w:val="21"/>
          <w:color w:val="auto"/>
        </w:rPr>
        <w:t>Executive agrees that compensation received by Executive may be subject to reduction, cancellation, forfeiture and/or recoupment to the extent necessary to comply with (a) the Policy for Recovery of Erroneously Awarded Compensation adopted by the Board of Directors of the Company (as amended from time to time, the “Policy”) , and</w:t>
      </w:r>
    </w:p>
    <w:p>
      <w:pPr>
        <w:jc w:val="both"/>
        <w:ind w:left="1020" w:firstLine="6"/>
        <w:spacing w:after="0" w:line="235" w:lineRule="auto"/>
        <w:tabs>
          <w:tab w:leader="none" w:pos="137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Recovery Arrangements (as defined in the Policy). Executive acknowledges that Executive has received and has had an opportunity to review the Policy and any Other Recovery Arrangements applicable to Executive.</w:t>
      </w:r>
    </w:p>
    <w:p>
      <w:pPr>
        <w:spacing w:after="0" w:line="69"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w:t>
      </w:r>
    </w:p>
    <w:p>
      <w:pPr>
        <w:spacing w:after="0" w:line="64" w:lineRule="exact"/>
        <w:rPr>
          <w:rFonts w:ascii="Arial" w:cs="Arial" w:eastAsia="Arial" w:hAnsi="Arial"/>
          <w:sz w:val="22"/>
          <w:szCs w:val="22"/>
          <w:color w:val="auto"/>
        </w:rPr>
      </w:pPr>
    </w:p>
    <w:p>
      <w:pPr>
        <w:jc w:val="both"/>
        <w:ind w:left="1020" w:hanging="503"/>
        <w:spacing w:after="0" w:line="244" w:lineRule="auto"/>
        <w:tabs>
          <w:tab w:leader="none" w:pos="102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w:t>
      </w:r>
    </w:p>
    <w:p>
      <w:pPr>
        <w:spacing w:after="0" w:line="64" w:lineRule="exact"/>
        <w:rPr>
          <w:rFonts w:ascii="Arial" w:cs="Arial" w:eastAsia="Arial" w:hAnsi="Arial"/>
          <w:sz w:val="22"/>
          <w:szCs w:val="22"/>
          <w:color w:val="auto"/>
        </w:rPr>
      </w:pPr>
    </w:p>
    <w:p>
      <w:pPr>
        <w:jc w:val="both"/>
        <w:ind w:left="1020" w:hanging="503"/>
        <w:spacing w:after="0" w:line="239" w:lineRule="auto"/>
        <w:tabs>
          <w:tab w:leader="none" w:pos="102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spacing w:after="0" w:line="71" w:lineRule="exact"/>
        <w:rPr>
          <w:rFonts w:ascii="Arial" w:cs="Arial" w:eastAsia="Arial" w:hAnsi="Arial"/>
          <w:sz w:val="22"/>
          <w:szCs w:val="22"/>
          <w:color w:val="auto"/>
        </w:rPr>
      </w:pPr>
    </w:p>
    <w:p>
      <w:pPr>
        <w:jc w:val="both"/>
        <w:ind w:left="1020" w:hanging="503"/>
        <w:spacing w:after="0" w:line="244" w:lineRule="auto"/>
        <w:tabs>
          <w:tab w:leader="none" w:pos="102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To the extent any recovery right under the Policy and any Other Recovery Arrangements applicable to Executive conflicts with any other contractual rights Executive may have with the Company or any affiliate, Executive understands that the terms of the Policy</w:t>
      </w:r>
    </w:p>
    <w:p>
      <w:pPr>
        <w:spacing w:after="0" w:line="64" w:lineRule="exact"/>
        <w:rPr>
          <w:rFonts w:ascii="Arial" w:cs="Arial" w:eastAsia="Arial" w:hAnsi="Arial"/>
          <w:sz w:val="22"/>
          <w:szCs w:val="22"/>
          <w:color w:val="auto"/>
        </w:rPr>
      </w:pPr>
    </w:p>
    <w:p>
      <w:pPr>
        <w:jc w:val="both"/>
        <w:ind w:left="1020" w:hanging="503"/>
        <w:spacing w:after="0" w:line="239" w:lineRule="auto"/>
        <w:tabs>
          <w:tab w:leader="none" w:pos="1020"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0" w:lineRule="exact"/>
        <w:rPr>
          <w:sz w:val="20"/>
          <w:szCs w:val="20"/>
          <w:color w:val="auto"/>
        </w:rPr>
      </w:pPr>
    </w:p>
    <w:p>
      <w:pPr>
        <w:spacing w:after="0" w:line="2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8460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o"/>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lowerRoman"/>
      <w:start w:val="2"/>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lowerLetter"/>
      <w:start w:val="26"/>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2"/>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20"/>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lvl w:ilvl="1">
      <w:lvlJc w:val="left"/>
      <w:lvlText w:val="o"/>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lvl w:ilvl="1">
      <w:lvlJc w:val="left"/>
      <w:lvlText w:val="(%2)"/>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lowerRoman"/>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lvl w:ilvl="1">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decimal"/>
      <w:start w:val="1"/>
    </w:lvl>
    <w:lvl w:ilvl="1">
      <w:lvlJc w:val="left"/>
      <w:lvlText w:val="%2."/>
      <w:numFmt w:val="lowerLetter"/>
      <w:start w:val="1"/>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2"/>
    </w:lvl>
  </w:abstractNum>
  <w:abstractNum w:abstractNumId="64">
    <w:nsid w:val="5F5E7FD0"/>
    <w:multiLevelType w:val="hybridMultilevel"/>
    <w:lvl w:ilvl="0">
      <w:lvlJc w:val="left"/>
      <w:lvlText w:val="%1."/>
      <w:numFmt w:val="decimal"/>
      <w:start w:val="3"/>
    </w:lvl>
  </w:abstractNum>
  <w:abstractNum w:abstractNumId="65">
    <w:nsid w:val="98A3148"/>
    <w:multiLevelType w:val="hybridMultilevel"/>
    <w:lvl w:ilvl="0">
      <w:lvlJc w:val="left"/>
      <w:lvlText w:val="%1."/>
      <w:numFmt w:val="decimal"/>
      <w:start w:val="4"/>
    </w:lvl>
  </w:abstractNum>
  <w:abstractNum w:abstractNumId="66">
    <w:nsid w:val="799D0247"/>
    <w:multiLevelType w:val="hybridMultilevel"/>
    <w:lvl w:ilvl="0">
      <w:lvlJc w:val="left"/>
      <w:lvlText w:val="%1."/>
      <w:numFmt w:val="decimal"/>
      <w:start w:val="5"/>
    </w:lvl>
  </w:abstractNum>
  <w:abstractNum w:abstractNumId="67">
    <w:nsid w:val="6B94764"/>
    <w:multiLevelType w:val="hybridMultilevel"/>
    <w:lvl w:ilvl="0">
      <w:lvlJc w:val="left"/>
      <w:lvlText w:val="%1."/>
      <w:numFmt w:val="decimal"/>
      <w:start w:val="6"/>
    </w:lvl>
  </w:abstractNum>
  <w:abstractNum w:abstractNumId="68">
    <w:nsid w:val="42C296BD"/>
    <w:multiLevelType w:val="hybridMultilevel"/>
    <w:lvl w:ilvl="0">
      <w:lvlJc w:val="left"/>
      <w:lvlText w:val="%1."/>
      <w:numFmt w:val="decimal"/>
      <w:start w:val="7"/>
    </w:lvl>
  </w:abstractNum>
  <w:abstractNum w:abstractNumId="69">
    <w:nsid w:val="168E121F"/>
    <w:multiLevelType w:val="hybridMultilevel"/>
    <w:lvl w:ilvl="0">
      <w:lvlJc w:val="left"/>
      <w:lvlText w:val="%1."/>
      <w:numFmt w:val="decimal"/>
      <w:start w:val="8"/>
    </w:lvl>
  </w:abstractNum>
  <w:abstractNum w:abstractNumId="70">
    <w:nsid w:val="1EBA5D23"/>
    <w:multiLevelType w:val="hybridMultilevel"/>
    <w:lvl w:ilvl="0">
      <w:lvlJc w:val="left"/>
      <w:lvlText w:val="%1."/>
      <w:numFmt w:val="decimal"/>
      <w:start w:val="9"/>
    </w:lvl>
  </w:abstractNum>
  <w:abstractNum w:abstractNumId="71">
    <w:nsid w:val="661E3F1E"/>
    <w:multiLevelType w:val="hybridMultilevel"/>
    <w:lvl w:ilvl="0">
      <w:lvlJc w:val="left"/>
      <w:lvlText w:val="%1."/>
      <w:numFmt w:val="decimal"/>
      <w:start w:val="10"/>
    </w:lvl>
  </w:abstractNum>
  <w:abstractNum w:abstractNumId="72">
    <w:nsid w:val="5DC79EA8"/>
    <w:multiLevelType w:val="hybridMultilevel"/>
    <w:lvl w:ilvl="0">
      <w:lvlJc w:val="left"/>
      <w:lvlText w:val="%1."/>
      <w:numFmt w:val="decimal"/>
      <w:start w:val="11"/>
    </w:lvl>
    <w:lvl w:ilvl="1">
      <w:lvlJc w:val="left"/>
      <w:lvlText w:val="\ldblquote"/>
      <w:numFmt w:val="bullet"/>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284" Type="http://schemas.openxmlformats.org/officeDocument/2006/relationships/hyperlink" Target="https://www.sec.gov/ix?doc=/Archives/edgar/data/1871638/000110465924080933/brkh-20240331xs4.htm#AnnexA1_147733" TargetMode="External"/><Relationship Id="rId285" Type="http://schemas.openxmlformats.org/officeDocument/2006/relationships/hyperlink" Target="https://www.sec.gov/ix?doc=/Archives/edgar/data/1871638/000110465924080933/brkh-20240331xs4.htm#AnnexA2_936998" TargetMode="External"/><Relationship Id="rId286" Type="http://schemas.openxmlformats.org/officeDocument/2006/relationships/hyperlink" Target="https://www.sec.gov/Archives/edgar/data/1871638/000110465924112666/tm2418197-13_s4a.htm#tANNEXA3" TargetMode="External"/><Relationship Id="rId287" Type="http://schemas.openxmlformats.org/officeDocument/2006/relationships/hyperlink" Target="https://www.sec.gov/Archives/edgar/data/1871638/000110465924122026/tm2418197-20_s4a.htm#tANNEXA4" TargetMode="External"/><Relationship Id="rId288" Type="http://schemas.openxmlformats.org/officeDocument/2006/relationships/hyperlink" Target="https://www.sec.gov/Archives/edgar/data/1871638/000119312525008517/d903961dex31.htm" TargetMode="External"/><Relationship Id="rId289" Type="http://schemas.openxmlformats.org/officeDocument/2006/relationships/hyperlink" Target="https://www.sec.gov/Archives/edgar/data/1871638/000119312525008517/d903961dex32.htm" TargetMode="External"/><Relationship Id="rId290" Type="http://schemas.openxmlformats.org/officeDocument/2006/relationships/hyperlink" Target="https://www.sec.gov/Archives/edgar/data/1871638/000110465921141949/tm2124406d5_ex4-2.htm" TargetMode="External"/><Relationship Id="rId291" Type="http://schemas.openxmlformats.org/officeDocument/2006/relationships/hyperlink" Target="https://www.sec.gov/Archives/edgar/data/1871638/000110465921141949/tm2124406d5_ex4-3.htm" TargetMode="External"/><Relationship Id="rId292" Type="http://schemas.openxmlformats.org/officeDocument/2006/relationships/hyperlink" Target="https://www.sec.gov/Archives/edgar/data/1871638/000110465921150569/tm2135631d1_ex4-1.htm" TargetMode="External"/><Relationship Id="rId293" Type="http://schemas.openxmlformats.org/officeDocument/2006/relationships/hyperlink" Target="https://www.sec.gov/Archives/edgar/data/1871638/000119312525008517/d903961dex101.htm" TargetMode="External"/><Relationship Id="rId294" Type="http://schemas.openxmlformats.org/officeDocument/2006/relationships/hyperlink" Target="https://www.sec.gov/Archives/edgar/data/1871638/000110465921150569/tm2135631d1_ex10-2.htm" TargetMode="External"/><Relationship Id="rId295" Type="http://schemas.openxmlformats.org/officeDocument/2006/relationships/hyperlink" Target="https://www.sec.gov/Archives/edgar/data/1871638/000119312525008517/d903961dex103.htm" TargetMode="External"/><Relationship Id="rId296" Type="http://schemas.openxmlformats.org/officeDocument/2006/relationships/hyperlink" Target="https://www.sec.gov/Archives/edgar/data/1871638/000119312525008517/d903961dex104.htm" TargetMode="External"/><Relationship Id="rId297" Type="http://schemas.openxmlformats.org/officeDocument/2006/relationships/hyperlink" Target="https://www.sec.gov/Archives/edgar/data/1871638/000119312525008517/d903961dex105.htm" TargetMode="External"/><Relationship Id="rId298" Type="http://schemas.openxmlformats.org/officeDocument/2006/relationships/hyperlink" Target="https://www.sec.gov/Archives/edgar/data/1871638/000119312525008517/d903961dex106.htm" TargetMode="External"/><Relationship Id="rId299" Type="http://schemas.openxmlformats.org/officeDocument/2006/relationships/hyperlink" Target="https://www.sec.gov/Archives/edgar/data/1871638/000119312525008517/d903961dex107.htm" TargetMode="External"/><Relationship Id="rId300" Type="http://schemas.openxmlformats.org/officeDocument/2006/relationships/hyperlink" Target="https://www.sec.gov/Archives/edgar/data/1871638/000119312525008517/d903961dex108.htm" TargetMode="External"/><Relationship Id="rId301" Type="http://schemas.openxmlformats.org/officeDocument/2006/relationships/hyperlink" Target="https://www.sec.gov/Archives/edgar/data/1871638/000110465924132802/tm2431152d1_ex10-1.htm" TargetMode="External"/><Relationship Id="rId302" Type="http://schemas.openxmlformats.org/officeDocument/2006/relationships/hyperlink" Target="https://www.sec.gov/Archives/edgar/data/1871638/000110465925001763/tm252173d1_ex10-1.htm" TargetMode="External"/><Relationship Id="rId303" Type="http://schemas.openxmlformats.org/officeDocument/2006/relationships/hyperlink" Target="https://www.sec.gov/Archives/edgar/data/1871638/000119312525008517/d903961dex1011.htm" TargetMode="External"/><Relationship Id="rId315" Type="http://schemas.openxmlformats.org/officeDocument/2006/relationships/hyperlink" Target="https://www.sec.gov/Archives/edgar/data/1871638/000119312525008517/d903961dex1012.htm" TargetMode="External"/><Relationship Id="rId316" Type="http://schemas.openxmlformats.org/officeDocument/2006/relationships/hyperlink" Target="https://www.sec.gov/Archives/edgar/data/1871638/000119312525008517/d903961dex1013.htm" TargetMode="External"/><Relationship Id="rId317" Type="http://schemas.openxmlformats.org/officeDocument/2006/relationships/hyperlink" Target="https://www.sec.gov/Archives/edgar/data/1871638/000119312525008517/d903961dex1014.htm" TargetMode="External"/><Relationship Id="rId318" Type="http://schemas.openxmlformats.org/officeDocument/2006/relationships/hyperlink" Target="https://www.sec.gov/Archives/edgar/data/1871638/000119312525008517/d903961dex1015.htm" TargetMode="External"/><Relationship Id="rId323" Type="http://schemas.openxmlformats.org/officeDocument/2006/relationships/hyperlink" Target="https://www.sec.gov/Archives/edgar/data/1871638/000119312525008517/d903961dex1016.htm" TargetMode="External"/><Relationship Id="rId324" Type="http://schemas.openxmlformats.org/officeDocument/2006/relationships/hyperlink" Target="https://www.sec.gov/Archives/edgar/data/1871638/000119312525008517/d903961dex1017.htm" TargetMode="External"/><Relationship Id="rId327" Type="http://schemas.openxmlformats.org/officeDocument/2006/relationships/hyperlink" Target="https://www.sec.gov/Archives/edgar/data/1871638/000119312525008517/d903961dex1018.htm" TargetMode="External"/><Relationship Id="rId330" Type="http://schemas.openxmlformats.org/officeDocument/2006/relationships/hyperlink" Target="https://www.sec.gov/Archives/edgar/data/1871638/000119312525008517/d903961dex1019.htm" TargetMode="External"/><Relationship Id="rId331" Type="http://schemas.openxmlformats.org/officeDocument/2006/relationships/hyperlink" Target="https://www.sec.gov/Archives/edgar/data/1871638/000119312525008517/d903961dex1020.htm" TargetMode="External"/><Relationship Id="rId335" Type="http://schemas.openxmlformats.org/officeDocument/2006/relationships/hyperlink" Target="https://www.sec.gov/Archives/edgar/data/1871638/000119312525008517/d903961dex1021.htm" TargetMode="External"/><Relationship Id="rId336" Type="http://schemas.openxmlformats.org/officeDocument/2006/relationships/hyperlink" Target="https://www.sec.gov/Archives/edgar/data/1871638/000119312525008517/d903961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2025-04-15T05:17:19Z</dcterms:created>
  <dcterms:modified xsi:type="dcterms:W3CDTF">2025-04-15T05:17:19Z</dcterms:modified>
</cp:coreProperties>
</file>