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86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20"/>
          </w:cols>
          <w:pgMar w:left="440" w:top="293" w:right="539" w:bottom="1440" w:gutter="0" w:footer="0" w:header="0"/>
        </w:sect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September 1, 2025, the Board of Directors of Blaize Holdings, Inc. (the “Company”) approved the grant to Harminder Sehmi, its Chief Financial Officer, of an option to purchase 200,000 shares of the Company’s common stock, par value $0.0001 per share, under the Company’s 2025 Incentive Award Plan, at an exercise price of $3.57 per share (the “Option”), as compensation for his ongoing significant contributions to the Company. The Option will vest as to one-eighth of the shares subject thereto on each of the first eight quarterly anniversaries of September 1, 2025, subject to Mr. Sehmi’s continuous service with the Company through the applicable vesting date.</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Option is qualified in its entirety by the full text of the Company’s form of stock option agreement, which is included as Exhibit 10.1 to this Current Report on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Blaize Holdings, Inc. Form of Stock Option Agreement.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September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STOCK OPTION GRANT NOTICE</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described in this Global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Blaize Holdings, Inc. 2025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Global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including any additional terms and conditions for Participant’s country set forth in the addendum attached thereto (the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and, together with the Global Stock Option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 Grant Notice or the Agreement have the meanings given to them in the Plan.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Expiration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11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[To be specified]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Option</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080" w:type="dxa"/>
            <w:vAlign w:val="bottom"/>
            <w:tcBorders>
              <w:bottom w:val="single" w:sz="8" w:color="auto"/>
            </w:tcBorders>
          </w:tcPr>
          <w:p>
            <w:pPr>
              <w:spacing w:after="0"/>
              <w:rPr>
                <w:sz w:val="24"/>
                <w:szCs w:val="24"/>
                <w:color w:val="auto"/>
              </w:rPr>
            </w:pPr>
          </w:p>
        </w:tc>
      </w:tr>
      <w:tr>
        <w:trPr>
          <w:trHeight w:val="33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331"/>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72"/>
        </w:trPr>
        <w:tc>
          <w:tcPr>
            <w:tcW w:w="68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3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[Stock Option Grant Notice]</w:t>
            </w:r>
          </w:p>
        </w:tc>
      </w:tr>
    </w:tbl>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STOCK OPTION AGREEMENT</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Capitalized terms not specifically defined in this Global Stock Option Agreement, including any additional terms and conditions for Participant’s country set forth in the addendum attached hereto (the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and, together with the Global Stock Option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meanings specified in the Grant Notice or, if not defined in the Grant Notice, in the Plan.</w:t>
      </w:r>
    </w:p>
    <w:p>
      <w:pPr>
        <w:spacing w:after="0" w:line="3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set forth in the Grant Notice, this Agreement and the Plan, which is incorporated herein by reference. In the event of any inconsistency between the Plan and this Agreement, the terms of the Plan will control, unless it is expressly specified in this Agreement or the Grant Notice that the specific provision of the Plan will not apply. For clarity, the foregoing sentence shall not limit the applicability of any additive language contained in this Agreement which provides supplemental or additional terms not inconsistent with the Plan. If the Addendum applies to Participant, in the event of a conflict between the terms of the Grant Notice, this Agreement or the Plan and the provisions in the Addendum, the terms and conditions in the Addendum shall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0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vested Share has accumulated.</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Except as otherwise set forth in the Grant Notice, the Plan or this Agreement, and unless the Administrator otherwise determines, the Option will immediately expire and be forfeited as to any portion of the Option that is not vested and exercisable as of Participant’s Termination of Service for any reason (after taking into consideration any accelerated vesting and exercisability which may occur in connection with such Termination of Service, if any). For the avoidance of doubt, employment or other service during only a portion of the vesting period, but where Termination of Service has occurred prior to a vesting date, shall not entitle Participant to vest in a pro-rata portion of the Option.</w:t>
      </w:r>
    </w:p>
    <w:p>
      <w:pPr>
        <w:spacing w:after="0" w:line="183"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Option, Participant’s Termination of Service will be deemed to occur as of the date Participant is no longer actively providing services to the Company or, if different, the Subsidiary which employs Participant or to which Participant otherwise renders services (the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or any other Subsidiary (regardless of the reason for such termination and whether or not later found to be invalid or in breach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laws in the jurisdiction where Participant is employed or otherwise rendering services or the terms of Participant’s employment or other service agreement, if any), and unless otherwise expressly determined by the Company, Participant’s right to vest in the Option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employment or other service will not include any contractual notice period or any period of “garden leave” or similar period mandated under employment laws in the jurisdiction where Participant is employed or otherwise rendering services or the terms of Participant’s employment or other service agreement, if any); the Administrator shall have the exclusive discretion to determine when Participant is no longer actively rendering services for purposes of the Option (including whether Participant may still be considered to be rendering services while on a leave of absence).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5" w:name="page6"/>
    <w:bookmarkEnd w:id="5"/>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Except as may be extended in accordance with Section 5.3 of the Plan, the Option may not be exercised to any extent by anyone after, and will expire on, the first of the following to occur:</w:t>
      </w:r>
    </w:p>
    <w:p>
      <w:pPr>
        <w:spacing w:after="0" w:line="162" w:lineRule="exact"/>
        <w:rPr>
          <w:sz w:val="20"/>
          <w:szCs w:val="20"/>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year from the date of Participant’s Termination of Service by reason of Participant’s death or Disability;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07" w:lineRule="exact"/>
        <w:rPr>
          <w:sz w:val="20"/>
          <w:szCs w:val="20"/>
          <w:color w:val="auto"/>
        </w:rPr>
      </w:pPr>
    </w:p>
    <w:p>
      <w:pPr>
        <w:jc w:val="both"/>
        <w:ind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Price.</w:t>
      </w:r>
    </w:p>
    <w:p>
      <w:pPr>
        <w:spacing w:after="0" w:line="225" w:lineRule="exact"/>
        <w:rPr>
          <w:sz w:val="20"/>
          <w:szCs w:val="20"/>
          <w:color w:val="auto"/>
        </w:rPr>
      </w:pPr>
    </w:p>
    <w:p>
      <w:pPr>
        <w:ind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3.3(b), payment of the exercise price may be by any of the following, or a combination thereof, as determined by the Administrator in its sole discretion:</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5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Shares, including Shares delivered by attestation then-owned by Participant, valued at their fair market value on the date of delivery;</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withholding Shares otherwise issuable upon exercise of the Option, valued at their fair market value on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date;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444" w:right="120" w:firstLine="948"/>
        <w:spacing w:after="0" w:line="266" w:lineRule="auto"/>
        <w:tabs>
          <w:tab w:leader="none" w:pos="17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Participant is not subject to Section 13(k) of the Exchange Act with respect to the Company or its Subsidiaries, with the consent of the Administrator, by delivery of a promissory note, in a form determined by or acceptable to the Administrator, or other property that the Administrator determines is good and valuable consideration; or</w:t>
      </w:r>
    </w:p>
    <w:p>
      <w:pPr>
        <w:spacing w:after="0" w:line="176" w:lineRule="exact"/>
        <w:rPr>
          <w:sz w:val="20"/>
          <w:szCs w:val="20"/>
          <w:color w:val="auto"/>
        </w:rPr>
      </w:pPr>
    </w:p>
    <w:p>
      <w:pPr>
        <w:ind w:left="1684" w:hanging="252"/>
        <w:spacing w:after="0"/>
        <w:tabs>
          <w:tab w:leader="none" w:pos="16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(i) - (iv) above.</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otherwise determines, payment of the exercise price shall either (as elected by Participant) be by (i)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provided, that payment of such proceeds is then made to the Company at such time as may be required by the Administrator; or (ii) delivery of cash, wire transfer of immediately available funds or check by Participant to the Company.</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Option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the ultimate liability for all income tax, social insurance, payroll tax, fringe benefits tax, payment on account or other tax-related items related to Participant’s participation in the Plan and legally applicable or deemed applicable to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or the subsequent sale of Shares acquired pursuant to the exercise of any Option;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may be required to withhold or account for Tax-Related Items in more than one jurisdiction.</w:t>
      </w:r>
    </w:p>
    <w:p>
      <w:pPr>
        <w:spacing w:after="0" w:line="194"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tax-withholding event, as applicable, Participant agrees to make adequate arrangements satisfactory to the Company and/or the Service Recipient to satisfy Tax-Related Items. In this regard, Participant hereby authorizes the Company and/or the Service Recipient, or their respective agents, at their discretion, to satisfy any applicable withholding obligations for Tax-Related Items (as applicable) by one or a combination of the following methods: (i) requiring Participant to make a payment in a form acceptable to the Company;</w:t>
      </w:r>
    </w:p>
    <w:p>
      <w:pPr>
        <w:spacing w:after="0" w:line="2" w:lineRule="exact"/>
        <w:rPr>
          <w:rFonts w:ascii="Times New Roman" w:cs="Times New Roman" w:eastAsia="Times New Roman" w:hAnsi="Times New Roman"/>
          <w:sz w:val="18"/>
          <w:szCs w:val="18"/>
          <w:color w:val="auto"/>
        </w:rPr>
      </w:pPr>
    </w:p>
    <w:p>
      <w:pPr>
        <w:ind w:left="4" w:right="200" w:hanging="4"/>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salary, wages or any other amounts payable to Participant; (iii) withholding from proceeds from the sale of Shares otherwise issuable upon exercise of the Option either through a voluntary sale or through a mandatory sale arranged by the Company (on Participant’s behalf pursuant to this authorization without further consent); (iv) withholding Shares otherwise issuable upon exercise of the Option; or (v) any other method of withholding determined by Administrator to be in compliance with Applicable Laws.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ind w:right="140" w:firstLine="987"/>
        <w:spacing w:after="0" w:line="255"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withhold or account for Tax-Related Items by considering statutory or other withholding rates, including the maximum rates applicable in Participant’s jurisdiction(s). 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obligations for Tax-Related Items in connection with the Option are satisfied by withholding Shares, for tax purposes, Participant will be deemed to have been issued the full number of Shares subject to the exercised Options, notwithstanding that a number of the Shares is held back solely for the purpose of satisfying the withholding obligations for the Tax-Related Items.</w:t>
      </w:r>
    </w:p>
    <w:p>
      <w:pPr>
        <w:spacing w:after="0" w:line="188" w:lineRule="exact"/>
        <w:rPr>
          <w:rFonts w:ascii="Times New Roman" w:cs="Times New Roman" w:eastAsia="Times New Roman" w:hAnsi="Times New Roman"/>
          <w:sz w:val="18"/>
          <w:szCs w:val="18"/>
          <w:color w:val="auto"/>
        </w:rPr>
      </w:pPr>
    </w:p>
    <w:p>
      <w:pPr>
        <w:ind w:right="520" w:firstLine="987"/>
        <w:spacing w:after="0" w:line="312" w:lineRule="auto"/>
        <w:tabs>
          <w:tab w:leader="none" w:pos="1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obligated to deliver any Shares to Participant unless and until Participant shall have paid or otherwise satisfied in full, the amount of any withholding obligation for Tax-Related Items resulting from the Option or the Shares subject to the Option.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receipt, vesting or exercise of the Option, the Shares subject to the Option or the sale of such Shares. Participant is hereby advised to consult with Participant’s own personal tax, legal and financial advisors regarding participation in the Plan and the Option before accepting the Option or otherwise taking any action related to the Option or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By accepting the Option, Participant acknowledges and agrees that:</w:t>
      </w:r>
    </w:p>
    <w:p>
      <w:pPr>
        <w:spacing w:after="0" w:line="225" w:lineRule="exact"/>
        <w:rPr>
          <w:sz w:val="20"/>
          <w:szCs w:val="20"/>
          <w:color w:val="auto"/>
        </w:rPr>
      </w:pPr>
    </w:p>
    <w:p>
      <w:pPr>
        <w:ind w:right="320" w:firstLine="987"/>
        <w:spacing w:after="0" w:line="28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wholly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of Option is granted solely by the Company and only the Company is a party to this Agreement; accordingly, any rights Participant may have under this Agreement may be raised only against the Company but not any Subsidiary (including, but not limited to, the Service Recipient);</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(including, but not limited to, the Service Recipient) has any obligation to make any payment of any kind to Participant under this Agreement;</w:t>
      </w:r>
    </w:p>
    <w:p>
      <w:pPr>
        <w:spacing w:after="0" w:line="161"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options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and the income from and value of the same, are not intended to replace any pension rights or compensation;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right="14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Option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after the Grant Date, the Option will have no value;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even below the exercise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06"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Participant’s Termination of Service (for any reason whatsoever and regardless of whether or not later found to be invalid or in breach of Applicable Laws in the jurisdiction where Participant is providing service or the terms of Participant’s employment or other service agreement, if any) and/or the application of any recoupment, recovery, or clawback policy otherwise required by Applicable Laws;</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in writing, the Option, the Shares subject to the Option, and the income from and value of the same, are not granted as consideration for, or in connection with, the service Participant may provide as a director of a Subsidiary;</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Agreement do not create any entitlement to have the Option, and/or any such other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Service Recipient nor any Subsidiary thereof shall be liable for any foreign exchange rate fluctuation between Participant’s local currency and the U.S. dollar that may affect the value of the Option or of any amounts due to Participant pursuant to the exercise of the Option or the subsequent sale of any Shares acquired upon exercise of the Option.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Option and the Shares issuable pursuant to the Option shall be subject to the Company’s Policy for Recovery of Erroneously Awarded Compensation, as well as any other clawback or recoupment policy in effect on the Grant Date or that may be adopted or maintained by the Company following the Grant Date. In order to satisfy any recoupment obligations, Participant expressly and explicitly authorizes the Company to issue instructions, on Participant’s behalf, to any brokerage firm or stock plan service provider engaged by the Company to hold Shares or other amounts acquired pursuant to the Option to reconvey, transfer or otherwise return such Shares and/or other amounts to the Company upon the Company’s enforcement of the clawback policy or any other applicable recoupment obligation.</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General Counsel at the Company’s principal office or the General Counsel’s then-current email address. Any notice to be given under the terms of this Agreement to Participant must be in writing and addressed to Participant (or, if Participant is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5589270</wp:posOffset>
            </wp:positionH>
            <wp:positionV relativeFrom="paragraph">
              <wp:posOffset>-201930</wp:posOffset>
            </wp:positionV>
            <wp:extent cx="21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deceased, to the Designated Beneficiary) at Participant’s last known mailing address or email address in the Company’s personnel files. By a notice given pursuant to this Section 5.5,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when delivered by an internationally recognized express shipping company or upon receipt of a facsimile transmission confirmation.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Conformity to Applicable Laws</w:t>
      </w:r>
      <w:r>
        <w:rPr>
          <w:rFonts w:ascii="Times New Roman" w:cs="Times New Roman" w:eastAsia="Times New Roman" w:hAnsi="Times New Roman"/>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 Applicable Laws. Notwithstanding any other provision of the Plan, the Grant Notice or this Agreement, unless there is an available exemption from any registration, qualification or other legal requirement applicable to the Shares, the Company shall not be required to deliver any Shares issuable upon exercise of the Option prior to the completion of any registration or qualification of the Shares under any U.S. or non-U.S. federal, state or local securities or exchange control law or under rulings or regulations of the U.S. Securities and Exchange Commission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Participant understands that the Company is under no obligation to register or qualify the Shares with the SEC or any other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Applicable Laws applicable to issuance of Shares.</w:t>
      </w:r>
    </w:p>
    <w:p>
      <w:pPr>
        <w:spacing w:after="0" w:line="182"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8"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of the Exchange Act)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addenda attached hereto) constitute the entire agreement of the parties and supersede in their entirety all prior undertakings and agreements of the Company and Participant with respect to the subject matter hereof; provided, however, that this Agreement shall not modify (and shall be subject to the terms and conditions of) any employment, consulting and/or severance agreement between the Company or a Subsidiary thereof and Participant in effect as of the date a determination is to be made under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Grant Notice or this Agreement or any action taken under the Grant Notice or this Agreement, in any case is held illegal or invalid for any reason, the illegality or invalidity will not affect the remaining parts of the Grant Notice and/or this Agreement (as applicable), and the Grant Notice and/or this Agreement (as applicable) will be construed and enforced as if the illegal or invalid provisions had been excluded, and the illegal or invalid action will be null and void.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of this Agreement.</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Not a Contract of Employment or Service</w:t>
      </w:r>
      <w:r>
        <w:rPr>
          <w:rFonts w:ascii="Times New Roman" w:cs="Times New Roman" w:eastAsia="Times New Roman" w:hAnsi="Times New Roman"/>
          <w:sz w:val="18"/>
          <w:szCs w:val="18"/>
          <w:color w:val="auto"/>
        </w:rPr>
        <w:t>. Nothing in the Plan, the Grant Notice or this Agreement (including the Addendum) confers upon Participant any right to continue in the employ or service of the Company or any of its Subsidiaries (including the Service Recipient) or interferes with or restricts in any way the rights of the Company, the Service Recipient and any other Subsidiaries, which rights are hereby expressly reserved, to discharge or terminate the services of Participant at any time for any reason whatsoever, with or without Cause, except to the extent expressly provided otherwise in a written agreement between the Company, the Service Recipient or any other Subsidiary (as applicable) and Participant.</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w:t>
      </w:r>
    </w:p>
    <w:p>
      <w:pPr>
        <w:spacing w:after="0" w:line="225" w:lineRule="exact"/>
        <w:rPr>
          <w:sz w:val="20"/>
          <w:szCs w:val="20"/>
          <w:color w:val="auto"/>
        </w:rPr>
      </w:pPr>
    </w:p>
    <w:p>
      <w:pPr>
        <w:ind w:right="80" w:firstLine="987"/>
        <w:spacing w:after="0" w:line="254"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91"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The Grant Notice and this Agreement will be governed by and interpreted in accordance with the laws of the State of Delaware, disregarding any state’s choice-of-law principles requiring the application of a jurisdiction’s laws other than the State of Delaware. For purposes of any action, lawsuit or other proceedings brought to enforce this Agreement, relating to it, or arising from it, the parties hereby submit to and consent to the sole and exclusive jurisdiction of the courts of San Francisco County, or the federal courts for the United States for the Northern District of California, and no other courts, where this grant is made and/or to be performed.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5.17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Notwithstanding any provisions in this Agreement, if Participant performs services for the Company outside of the United States, the Option shall be subject to any additional terms and conditions set forth in the Addendum to this Agreement for Participant’s country of residence.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Agreement.</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Participant is sufficiently proficient in English or has had an opportunity to consult with an advisor who is sufficiently proficient in the English language, and understands the content of the Grant Notice, the Agreement and other Plan materials. If Participant has received the Grant Notice or this Agreement or any other document related to the Plan and/or the Option translated into a language other than English and if the meaning of the translated version is different than the English version, the English version will control, unless otherwise explicitly required by Applicable Laws.</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Depending on Participant’s country or broker’s country, or the country in which the Shares are listed, Participant may be subject to insider trading restrictions and/or market abuse laws in applicable jurisdictions, which may affect Participant’s ability to accept, acquire, sell or attempt to sell, or otherwise dispose of the Shares,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Option) or rights linked to the value of Shares, during such times as Participant is considered to have “inside information” regarding the Company. Local insider trading laws and regulations may prohibit the cancellation or amendment of orders Participant placed before possessing inside information. Furthermore, Participant may be prohibited from (i) disclosing insider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Foreign Asset/Account Reporting, Exchange Control and Tax Reporting</w:t>
      </w:r>
      <w:r>
        <w:rPr>
          <w:rFonts w:ascii="Times New Roman" w:cs="Times New Roman" w:eastAsia="Times New Roman" w:hAnsi="Times New Roman"/>
          <w:sz w:val="18"/>
          <w:szCs w:val="18"/>
          <w:color w:val="auto"/>
        </w:rPr>
        <w:t>. Participant may be subject to foreign asset/account, exchange control and/or tax reporting requirements as a result of the acquisition, holding and/or transfer of Shares or cash (including dividends and the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his or her country through a designated bank or broker within a certain time after receipt. Participant acknowledges that Participant is responsible for ensuring compliance with any applicable foreign asset/account, exchange control and tax reporting requirements and should consult his or her personal legal advisor on this matter.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0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Service Recipient may collect, process and use certain personal 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awards granted under the Plan or any other entitlement to Shares awarded, canceled, exercised, vested, unvested or outstanding in Participant’s favor (“Data”), for the purposes of implementing, administering and managing the Plan. The legal basis, where required, for the processing of Data is Participant’s consent.</w:t>
      </w:r>
    </w:p>
    <w:p>
      <w:pPr>
        <w:spacing w:after="0" w:line="18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transfers Data to Shareworks by Morgan Stanley and its affiliated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 independent service provider based in the United States, which is assisting the Company with the implementation, administration and management of the Plan, and any successor thereto. The Company may select a different service provider or additional service providers and share Data with such other provider serving in a similar manner. Participant may be asked to agree on separate terms and data processing practices with the service provider, with such agreement being a condition to the ability to participate in the Plan.</w:t>
      </w:r>
    </w:p>
    <w:p>
      <w:pPr>
        <w:spacing w:after="0" w:line="179"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and its service providers are based in the United States. Participant’s country or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may have different data privacy laws and protections than the United States. The Company’s legal basis, where required, for the transfer of Data is Participant’s consent.</w:t>
      </w:r>
    </w:p>
    <w:p>
      <w:pPr>
        <w:spacing w:after="0" w:line="17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b w:val="1"/>
          <w:bCs w:val="1"/>
          <w:i w:val="1"/>
          <w:iCs w:val="1"/>
          <w:u w:val="single" w:color="auto"/>
          <w:color w:val="auto"/>
        </w:rPr>
        <w:t>Data Retention</w:t>
      </w:r>
      <w:r>
        <w:rPr>
          <w:rFonts w:ascii="Times New Roman" w:cs="Times New Roman" w:eastAsia="Times New Roman" w:hAnsi="Times New Roman"/>
          <w:sz w:val="17"/>
          <w:szCs w:val="17"/>
          <w:b w:val="1"/>
          <w:bCs w:val="1"/>
          <w:i w:val="1"/>
          <w:iCs w:val="1"/>
          <w:color w:val="auto"/>
        </w:rPr>
        <w:t>. The Company will hold and use the Data only as long as is necessary to implement, administer and manage Participant’s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participation in the Plan, or as required to comply with legal or regulatory obligations, including under tax, exchange control, security and labor laws. When the Company no longer needs Participant’s Data, the Company will remove it from its systems. The Company may keep Data longer to satisfy legal or regulatory obligations, and the Company’s legal basis would be compliance with the relevant laws or regulations.</w:t>
      </w:r>
    </w:p>
    <w:p>
      <w:pPr>
        <w:spacing w:after="0" w:line="16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b w:val="1"/>
          <w:bCs w:val="1"/>
          <w:i w:val="1"/>
          <w:iCs w:val="1"/>
          <w:u w:val="single" w:color="auto"/>
          <w:color w:val="auto"/>
        </w:rPr>
        <w:t>Voluntaries and Consequences of Consent Denial or Withdrawal</w:t>
      </w:r>
      <w:r>
        <w:rPr>
          <w:rFonts w:ascii="Times New Roman" w:cs="Times New Roman" w:eastAsia="Times New Roman" w:hAnsi="Times New Roman"/>
          <w:sz w:val="17"/>
          <w:szCs w:val="17"/>
          <w:b w:val="1"/>
          <w:bCs w:val="1"/>
          <w:i w:val="1"/>
          <w:iCs w:val="1"/>
          <w:color w:val="auto"/>
        </w:rPr>
        <w:t>. Participation in the Plan is voluntary and Participant is providing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consents herein on a purely voluntary basis. If Participant does not consent, or if Participant later seek to revoke Participant’s consent, Participant’s compensation from or service with the Service Recipient will not be affected; the only consequence of refusing or withdrawing Participant’s consent is that the Company would not be able to grant Options under the Plan or other equity awards to Participant or administer or maintain such awards.</w:t>
      </w:r>
    </w:p>
    <w:p>
      <w:pPr>
        <w:spacing w:after="0" w:line="16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Participant may have a number of rights under data privacy laws in Participant’s country. Depending on 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 is based, Participant’s rights may include the right to (a) request access to or copies of Data the Company processes, (b) rectification of incorrect Data, (c) deletion of Data, (d) restrictions on processing of Data, (e) restrictions on portability of Data, (f) lodge complaints with competent authorities in Participant’s country, and/or (g) receive a list with the names and addresses of any potential recipients of Participant’s Data. To receive clarification regarding Participant’s rights or to exercise such rights, Participant should contact stock-administration@blaize.com.</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STOCK OPTION AGREEMENT</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Addendum shall have the meanings assigned to them in the Global Stock Option Grant Notice, the Global Stock Option Agreement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and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Addendum includes additional terms and conditions that govern the Option granted to Participant under the Plan if Participant resides and/or works in any of the countries listed below. If Participant is a citizen or resident of a country other than the one in which Participant is currently working and/or residing, transfers to another country after the Grant Date or is considered a resident of another country for local law purposes, the Company shall, in its discretion, determine the extent to which the additional terms and conditions contained herein apply to Participant.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July 2025. Such laws are often complex and change frequently, and results may be different based on the particular facts and circumstances. As a result, the Company strongly recommends that Participant not rely on the information contained herein as the only source of information relating to the consequences of Participant’s participation in the Plan because the information may be out of date at the time Participant exercises the Option, acquires Shares or sells Shares acquired under the Plan.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apply to Participant’s specific situation.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Finally, Participant understands that if Participant is a citizen or resident of a country other than the one in which Participant currently resides and/or works, transfers to another country after the Grant Date, or is considered a resident of another country for local law purposes, the notifications contained herein may not apply to Participant in the same manner.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Addendum-1</w:t>
      </w:r>
    </w:p>
    <w:p>
      <w:pPr>
        <w:sectPr>
          <w:pgSz w:w="11900" w:h="16838" w:orient="portrait"/>
          <w:cols w:equalWidth="0" w:num="1">
            <w:col w:w="10980"/>
          </w:cols>
          <w:pgMar w:left="440" w:top="266" w:right="479" w:bottom="1440" w:gutter="0" w:footer="0" w:header="0"/>
        </w:sectPr>
      </w:pPr>
    </w:p>
    <w:bookmarkStart w:id="14" w:name="page15"/>
    <w:bookmarkEnd w:id="14"/>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19" w:lineRule="exact"/>
        <w:rPr>
          <w:sz w:val="20"/>
          <w:szCs w:val="20"/>
          <w:color w:val="auto"/>
        </w:rPr>
      </w:pPr>
    </w:p>
    <w:p>
      <w:pPr>
        <w:jc w:val="both"/>
        <w:ind w:left="4" w:right="180"/>
        <w:spacing w:after="0" w:line="267" w:lineRule="auto"/>
        <w:rPr>
          <w:sz w:val="20"/>
          <w:szCs w:val="20"/>
          <w:color w:val="auto"/>
        </w:rPr>
      </w:pPr>
      <w:r>
        <w:rPr>
          <w:rFonts w:ascii="Times New Roman" w:cs="Times New Roman" w:eastAsia="Times New Roman" w:hAnsi="Times New Roman"/>
          <w:sz w:val="18"/>
          <w:szCs w:val="18"/>
          <w:u w:val="single" w:color="auto"/>
          <w:color w:val="auto"/>
        </w:rPr>
        <w:t>Non-Qualified Securities</w:t>
      </w:r>
      <w:r>
        <w:rPr>
          <w:rFonts w:ascii="Times New Roman" w:cs="Times New Roman" w:eastAsia="Times New Roman" w:hAnsi="Times New Roman"/>
          <w:sz w:val="18"/>
          <w:szCs w:val="18"/>
          <w:color w:val="auto"/>
        </w:rPr>
        <w:t xml:space="preserve">. All or a portion of the Shares subject to the Option may be “non-qualified securities” within the meaning of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The Company shall provide Participant with additional information and/or appropriate notification regarding the characterization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for Canadian income tax purposes as may be required by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following provision supplements Section 3.3 of the Option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any other provision of this Agreement or of the Plan, Participant is prohibited from paying the Exercise Price per Share by</w:t>
      </w:r>
    </w:p>
    <w:p>
      <w:pPr>
        <w:spacing w:after="0" w:line="27" w:lineRule="exact"/>
        <w:rPr>
          <w:sz w:val="20"/>
          <w:szCs w:val="20"/>
          <w:color w:val="auto"/>
        </w:rPr>
      </w:pPr>
    </w:p>
    <w:p>
      <w:pPr>
        <w:ind w:left="4" w:right="340" w:hanging="4"/>
        <w:spacing w:after="0" w:line="260"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already-owned Shares or (ii) using a “net exercise” arrangement. The Company reserves the right to permit either of these methods of payment depending upon the development of Applicable Laws.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The following provision replaces the second paragraph of Section 2.2 of the Option Agreement:</w:t>
      </w:r>
    </w:p>
    <w:p>
      <w:pPr>
        <w:spacing w:after="0" w:line="225"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For purposes of the Option, Participant’s Termination of Service (for any reason whatsoever, whether or not later found to be invalid or in breach of any Applicable Laws in the jurisdiction where Participant is employed or otherwise rendering services or the terms of Participant’s employment or other service agreement, if any) will be deemed to occur as of the date that Participant is no longer actively providing services to the Company, the Service Recipient or any other Subsidiary and shall exclude and shall not be extended by any period during which notice, pay in lieu of notice or related payments or damages are provided or required to be provided under statute, contract, common/civil law or otherwise. For greater certainty, Participant will not earn or be entitled to any pro-rated vesting for that portion of time after such date, nor will Participant be entitled to any compensation for lost vesting or exercisability.</w:t>
      </w:r>
    </w:p>
    <w:p>
      <w:pPr>
        <w:spacing w:after="0" w:line="18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applicable employment standards legislation explicitly requires continued entitlement to vesting or exercisability during a statutory notice period, Participant acknowledges that Participant’s right to vest in the Option, if any, will terminate effective as of the last day of Participant’s minimum statutory notice period but Participant will not earn or be entitled to pro-rated vesting or exercisability if the vesting date falls after the end of the statutory notice period, nor will Participant be entitled to any compensation for lost vesting or exercisability.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is permitted to sell Shares acquired under the Plan through the designated broker appointed under the Plan, if any (or any other broker acceptable to the Company), provided the resale of Shares acquired under the Plan takes place outside of Canada through the facilities of a stock exchange on which the Shares are listed.</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foreign specified property, including Shares and rights to receive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Option), annually on a Form T1135 (Foreign Income Verification Statement) if the total cost of the foreign specified property exceeds a certain threshold (currently, CAD 100,000) at any time during the year. Thus, the Option must be reported - generally at a nil cost - if the CAD 100,000 cost threshold is exceeded because of other foreign property. When Shares are acquired, their cost generally is the adjusted cost base (“</w:t>
      </w:r>
      <w:r>
        <w:rPr>
          <w:rFonts w:ascii="Times New Roman" w:cs="Times New Roman" w:eastAsia="Times New Roman" w:hAnsi="Times New Roman"/>
          <w:sz w:val="18"/>
          <w:szCs w:val="18"/>
          <w:b w:val="1"/>
          <w:bCs w:val="1"/>
          <w:i w:val="1"/>
          <w:iCs w:val="1"/>
          <w:color w:val="auto"/>
        </w:rPr>
        <w:t>ACB</w:t>
      </w:r>
      <w:r>
        <w:rPr>
          <w:rFonts w:ascii="Times New Roman" w:cs="Times New Roman" w:eastAsia="Times New Roman" w:hAnsi="Times New Roman"/>
          <w:sz w:val="18"/>
          <w:szCs w:val="18"/>
          <w:color w:val="auto"/>
        </w:rPr>
        <w:t>”) of the Shares. The ACB would ordinarily equal the fair market value of the Shares at the time of acquisition, but if other Shares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Addendum-1</w:t>
      </w:r>
    </w:p>
    <w:p>
      <w:pPr>
        <w:sectPr>
          <w:pgSz w:w="11900" w:h="16838" w:orient="portrait"/>
          <w:cols w:equalWidth="0" w:num="1">
            <w:col w:w="10964"/>
          </w:cols>
          <w:pgMar w:left="436" w:top="266" w:right="499" w:bottom="1440" w:gutter="0" w:footer="0" w:header="0"/>
        </w:sectPr>
      </w:pPr>
    </w:p>
    <w:bookmarkStart w:id="15" w:name="page16"/>
    <w:bookmarkEnd w:id="15"/>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also owned, this ACB may have to be averaged with the ACB of the other Shares. The Form T1135 generally must be filed by April 30 of the following year. Participant understands and agrees that Participant should consult with a personal legal advisor to ensure compliance with applicable reporting obligations.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CHILE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Option constitutes a private offering in Chile effective as of the Grant Date. The offer of the Option is made subject to general ruling n° 336 of the Chilean Commission for the Financial Market (“</w:t>
      </w:r>
      <w:r>
        <w:rPr>
          <w:rFonts w:ascii="Times New Roman" w:cs="Times New Roman" w:eastAsia="Times New Roman" w:hAnsi="Times New Roman"/>
          <w:sz w:val="18"/>
          <w:szCs w:val="18"/>
          <w:b w:val="1"/>
          <w:bCs w:val="1"/>
          <w:i w:val="1"/>
          <w:iCs w:val="1"/>
          <w:color w:val="auto"/>
        </w:rPr>
        <w:t>CMF</w:t>
      </w:r>
      <w:r>
        <w:rPr>
          <w:rFonts w:ascii="Times New Roman" w:cs="Times New Roman" w:eastAsia="Times New Roman" w:hAnsi="Times New Roman"/>
          <w:sz w:val="18"/>
          <w:szCs w:val="18"/>
          <w:color w:val="auto"/>
        </w:rPr>
        <w:t>”). The offer refers to securities not registered at the securities registry or at the foreign securities registry of the CMF, and, therefore, such securities are not subject to oversight of the CMF. Given that the Option is not registered in Chile, the Company is not required to provide public information about the Option or the Shares in Chile. Unless the Option and/or the Shares are registered with the CMF, a public offering of such securities cannot be made in Chile.</w:t>
      </w:r>
    </w:p>
    <w:p>
      <w:pPr>
        <w:spacing w:after="0" w:line="2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Información bajo la Ley de Mercado de Valores</w:t>
      </w:r>
      <w:r>
        <w:rPr>
          <w:rFonts w:ascii="Times New Roman" w:cs="Times New Roman" w:eastAsia="Times New Roman" w:hAnsi="Times New Roman"/>
          <w:sz w:val="18"/>
          <w:szCs w:val="18"/>
          <w:i w:val="1"/>
          <w:iCs w:val="1"/>
          <w:color w:val="auto"/>
        </w:rPr>
        <w:t>. La oferta de la Opción constituye una oferta privada in Chile y se inicia en la fecha de concesión efectiva a partir de la Fecha de la Concesión. La oferta de la Opción se acoge a las disposiciones de la Norma de carácter General N° 336 de la Comisión para el Mercado Financiero de Chile (“</w:t>
      </w:r>
      <w:r>
        <w:rPr>
          <w:rFonts w:ascii="Times New Roman" w:cs="Times New Roman" w:eastAsia="Times New Roman" w:hAnsi="Times New Roman"/>
          <w:sz w:val="18"/>
          <w:szCs w:val="18"/>
          <w:b w:val="1"/>
          <w:bCs w:val="1"/>
          <w:i w:val="1"/>
          <w:iCs w:val="1"/>
          <w:color w:val="auto"/>
        </w:rPr>
        <w:t>CMF</w:t>
      </w:r>
      <w:r>
        <w:rPr>
          <w:rFonts w:ascii="Times New Roman" w:cs="Times New Roman" w:eastAsia="Times New Roman" w:hAnsi="Times New Roman"/>
          <w:sz w:val="18"/>
          <w:szCs w:val="18"/>
          <w:i w:val="1"/>
          <w:iCs w:val="1"/>
          <w:color w:val="auto"/>
        </w:rPr>
        <w:t>”). La oferta versa sobre valores no inscritos en el Registro de Valores o en el Registro de Valores Extranjeros que lleva la CMF, por lo que tales valores no están sujetos a la fiscalización de ésta. Por tratarse la Opción no registrado en Chile, no existe obligación por parte de la Compañía de entregar en Chile información pública respecto de esos valores. La Opción no podrán ser objeto de oferta pública en Chile mientras no sean mientras no sean inscritas en el Registro de Valores correspondiente.</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receive foreign currency abroad as a result of the acquisition of Shares and freely decide whether to repatriate such currency to Chile or keep it abroad. However, if Participant decides to repatriate proceeds from the sale of Shares and/or dividends and the amount of the proceeds to be repatriated exceeds USD 10,000, Participant acknowledges that Participant must effect such repatriation through the Formal Exchange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commercial bank or registered foreign exchange office).</w:t>
      </w:r>
    </w:p>
    <w:p>
      <w:pPr>
        <w:spacing w:after="0" w:line="17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The Chilean Internal Revenue Service (“</w:t>
      </w:r>
      <w:r>
        <w:rPr>
          <w:rFonts w:ascii="Times New Roman" w:cs="Times New Roman" w:eastAsia="Times New Roman" w:hAnsi="Times New Roman"/>
          <w:sz w:val="18"/>
          <w:szCs w:val="18"/>
          <w:b w:val="1"/>
          <w:bCs w:val="1"/>
          <w:i w:val="1"/>
          <w:iCs w:val="1"/>
          <w:color w:val="auto"/>
        </w:rPr>
        <w:t>CIRS</w:t>
      </w:r>
      <w:r>
        <w:rPr>
          <w:rFonts w:ascii="Times New Roman" w:cs="Times New Roman" w:eastAsia="Times New Roman" w:hAnsi="Times New Roman"/>
          <w:sz w:val="18"/>
          <w:szCs w:val="18"/>
          <w:color w:val="auto"/>
        </w:rPr>
        <w:t xml:space="preserve">”) requires all taxpayers to provide information annually regarding (i) the results of investments held abroad, and (ii) any taxes paid abroad which taxpayers will use as a credit against Chilean income tax. The sworn statements disclosing this information (or </w:t>
      </w:r>
      <w:r>
        <w:rPr>
          <w:rFonts w:ascii="Times New Roman" w:cs="Times New Roman" w:eastAsia="Times New Roman" w:hAnsi="Times New Roman"/>
          <w:sz w:val="18"/>
          <w:szCs w:val="18"/>
          <w:i w:val="1"/>
          <w:iCs w:val="1"/>
          <w:color w:val="auto"/>
        </w:rPr>
        <w:t>Formularios</w:t>
      </w:r>
      <w:r>
        <w:rPr>
          <w:rFonts w:ascii="Times New Roman" w:cs="Times New Roman" w:eastAsia="Times New Roman" w:hAnsi="Times New Roman"/>
          <w:sz w:val="18"/>
          <w:szCs w:val="18"/>
          <w:color w:val="auto"/>
        </w:rPr>
        <w:t>) must be reported on Form 1929 and submitted electronically through the CIRS website (www.sii.cl) before July 1 of each year, depending on the assets and/or taxes being reported. If Participant fails to meet the above requirements, Participant may be ineligible to receive certain foreign tax credits. Given these requirements are subject to change, Participant should consult with a personal tax advisor to determine Participant’s reporting obligations to the CIRS.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GREECE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Collection at Source</w:t>
      </w:r>
      <w:r>
        <w:rPr>
          <w:rFonts w:ascii="Times New Roman" w:cs="Times New Roman" w:eastAsia="Times New Roman" w:hAnsi="Times New Roman"/>
          <w:sz w:val="18"/>
          <w:szCs w:val="18"/>
          <w:color w:val="auto"/>
        </w:rPr>
        <w:t>. If Participant remits funds from India to pay the exercise price, Participant may be subject to Tax Collection At Source</w:t>
      </w:r>
    </w:p>
    <w:p>
      <w:pPr>
        <w:spacing w:after="0" w:line="27"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TCS</w:t>
      </w:r>
      <w:r>
        <w:rPr>
          <w:rFonts w:ascii="Times New Roman" w:cs="Times New Roman" w:eastAsia="Times New Roman" w:hAnsi="Times New Roman"/>
          <w:sz w:val="18"/>
          <w:szCs w:val="18"/>
          <w:color w:val="auto"/>
        </w:rPr>
        <w:t>”) if Participant’s annual remittances out of India exceed a certain amount (currently INR 1,000,000). Participant may be required to provide a declaration to the bank remitting the funds to determine if the TCS limit has been reached. If deemed necessary to comply with Applicable Laws, the Company may require Participant to pay for the Shares acquired at exercise, and any Tax-Related Items through a cashless sell-all method of exercise. The Company reserves the right to prescribe alternative methods of exercise of the Option depending on the development of local laws.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Indian residents are required to repatriate to India any cash amounts received in connection with their participation in the Plan within such time period as is prescribed under applicable Indian exchange control laws, as may be amended from time to time. Upon repatriation, Indian residents should obtain a foreign inward remittance certificate (“</w:t>
      </w:r>
      <w:r>
        <w:rPr>
          <w:rFonts w:ascii="Times New Roman" w:cs="Times New Roman" w:eastAsia="Times New Roman" w:hAnsi="Times New Roman"/>
          <w:sz w:val="18"/>
          <w:szCs w:val="18"/>
          <w:b w:val="1"/>
          <w:bCs w:val="1"/>
          <w:i w:val="1"/>
          <w:iCs w:val="1"/>
          <w:color w:val="auto"/>
        </w:rPr>
        <w:t>FIRC</w:t>
      </w:r>
      <w:r>
        <w:rPr>
          <w:rFonts w:ascii="Times New Roman" w:cs="Times New Roman" w:eastAsia="Times New Roman" w:hAnsi="Times New Roman"/>
          <w:sz w:val="18"/>
          <w:szCs w:val="18"/>
          <w:color w:val="auto"/>
        </w:rPr>
        <w:t>”) from the bank where they deposit the foreign currency and should maintain the FIRC as evidence of the repatriation of funds in the event the Reserve Bank of India or the Service Recipient requests proof of repatriation. Participant may also be required to provide information to the Company or the Service Recipient in India to facilitate their compliance with exchange control filing requirements in India. It is Participant’s responsibility to comply with applicable exchange control laws in India.</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Indian residents are required to declare the following items in their annual tax returns: (i) any foreign assets held by them (including Shares acquired under the Plan), and (ii) any foreign financial assets (including Shares held outside India). Indian residents are responsible for complying with any and all applicable exchange control and reporting laws in India and should consult with a personal tax advisors in this regard.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Agreement and related Plan documents may not be distributed in Saudi Arabia except to such persons as are permitted under the Offers of Securities and Continuing Obligations issued by the Capital Market Authority. The Capital Market Authority does not make any representation as to the accuracy or completeness of the Agreement, and expressly disclaims any liability whatsoever for any loss arising from, or incurred in reliance upon, any part of the Agreement. Prospective purchasers of the securities offered hereby should conduct their own due diligence on the accuracy of the information relating to the securities. If Participant does not understand the contents of the Agreement, Participant should consult an authorized financial adviser.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SOUTH KOREA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funds out of Korea to pay the exercise price, the remittance of funds must be confirmed by a foreign exchange bank in Korea. Participant should submit the following supporting documents evidencing the nature of the remittance to the bank together with the confirmation application: (i) the Agreement; (ii) the Plan; and (iii) Participant’s certificate of employment. This confirmation is an automatic procedure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bank does not need to approval the remittance and the process should not take more than a single day). This confirmation is not necessary if Participant pays the exercise price through any form of payment whereby some or all of the Shares acquired upon exercise of the Option are sold to pay the exercise price, because in this case there is no remittance of funds out of Korea.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if Participant sells Shares acquired under the Plan or receives cash dividends, Participant may be required to file a report with a Korean foreign exchange bank, if the proceeds are in excess of USD 5,000 (per transaction) and deposited into a non-Korean bank account. Participant acknowledges that Participant is solely responsible for complying with any applicable exchange control reporting obligations in Korea and understands that Participant should consult with a personal legal advisor to ensure compliance with any exchange control regulations applicable to any aspect of participation in the Plan.</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non-Korean bank accounts, brokerage accounts, etc.) to the Korean tax authority and file a report with respect to such accounts if the value of such accounts exceeds KRW 500 million (or an equivalent amount in foreign currency) on any month-end date during a calendar year. Korean residents should consult with a personal tax advisor to determine how to value their foreign accounts for purposes of this reporting requirement and whether they are required to file a report with respect to such accounts.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participation in the Plan is available only for employees or service providers of the Company or any Subsidiary. The offer of participation in the Plan is not a public offer of securities by a Taiwanese company.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acquire and remit foreign currency (including proceeds from the sale of Shares acquired under the Plan) into Taiwan up to USD 10,000,000 per year. However, if the transaction amount is TWD 500,000 or more in a single transaction, Participant must submit a Foreign Exchange Transaction Form and other supporting documentation to the satisfaction of the remitting bank.</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UNITED ARAB EMIRATES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Option is available only for select employees and service providers of the Company and its Subsidiaries and are in the nature of providing service provider incentives in the United Arab Emirates. The Agreement, the Plan and other incidental communication materials are intended for distribution only to eligible service providers for the purposes of an employee incentive scheme, and must not be delivered to, or relied on, by any other person.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Dubai Creative Clusters Authority, Emirates Securities and Commodities Authority and/or the Central Bank of the United Arab Emirates have no responsibility for reviewing or verifying any documents in connection with the Option. Further, neither the Ministry of Economy nor the Dubai Department of Economic Development have approved this Agreement nor taken steps to verify the information set out in it, and have no responsibility for it.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securities to which this Agreement relate may be illiquid and/or subject to restrictions on their resale. Individuals should conduct their own due diligence on the securities.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Residents of the United Arab Emirates who do not understand or have questions regarding this Agreement (including the Addendum) or the Plan should consult an authorized financial adviser.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The following paragraphs supplement Section 4.2 of the Option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to Section 4.2 of the Option Agreement, Participant hereby agrees that Participant is liable for all Tax-Related Items and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to pay all such Tax-Related Items, as and when requested by the Company or the Service Recipient or by HM Revenue &amp; Customs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HMRC</w:t>
      </w:r>
      <w:r>
        <w:rPr>
          <w:rFonts w:ascii="Times New Roman" w:cs="Times New Roman" w:eastAsia="Times New Roman" w:hAnsi="Times New Roman"/>
          <w:sz w:val="18"/>
          <w:szCs w:val="18"/>
          <w:color w:val="auto"/>
        </w:rPr>
        <w:t>”) (or any other tax authority or any other relevant authority). Participant also hereby agrees to indemnify and keep indemnified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Service Recipient against any Tax-Related Items that they are required to pay or withhold or have paid or will pay to HMRC (or any other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or any other relevant authority) on Participant’s behalf.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if Participant is a director or executive officer of the Company (within the meaning of Section 13(k) of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the terms of the immediately foregoing provision will not apply. In such case, if the amount of any income tax due is not collected from or paid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within ninety (90) days of the end of the UK tax year in which an event giving rise to the indemnification described above occurs,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any uncollected income taxes may constitute a benefit to Participant on which additional income tax and national insurance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NICs</w:t>
      </w:r>
      <w:r>
        <w:rPr>
          <w:rFonts w:ascii="Times New Roman" w:cs="Times New Roman" w:eastAsia="Times New Roman" w:hAnsi="Times New Roman"/>
          <w:sz w:val="17"/>
          <w:szCs w:val="17"/>
          <w:color w:val="auto"/>
        </w:rPr>
        <w:t>”) may be payable. Participant will be responsible for reporting and paying any income tax due on this additional benefit directly to HMRC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self-assessment regime and for paying the Company or the Service Recipient, as applicable, for the value of any employee NICs due on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benefit, which the Company or the Service Recipient may collect from Participant by any of the means referred to in Section 4.2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Agreement.</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Joint Election for Transfer of Liability for Employer National Insurance Contributions</w:t>
      </w:r>
      <w:r>
        <w:rPr>
          <w:rFonts w:ascii="Times New Roman" w:cs="Times New Roman" w:eastAsia="Times New Roman" w:hAnsi="Times New Roman"/>
          <w:sz w:val="18"/>
          <w:szCs w:val="18"/>
          <w:color w:val="auto"/>
        </w:rPr>
        <w:t>. As a condition of the grant of the Option under the Plan, Participant agrees to accept any liability for secondary Class 1 National Insurance contributions that may be payable by the Service Recipient, the Company or any Subsidiary or successor thereto (“</w:t>
      </w:r>
      <w:r>
        <w:rPr>
          <w:rFonts w:ascii="Times New Roman" w:cs="Times New Roman" w:eastAsia="Times New Roman" w:hAnsi="Times New Roman"/>
          <w:sz w:val="18"/>
          <w:szCs w:val="18"/>
          <w:b w:val="1"/>
          <w:bCs w:val="1"/>
          <w:i w:val="1"/>
          <w:iCs w:val="1"/>
          <w:color w:val="auto"/>
        </w:rPr>
        <w:t>Employer NICs</w:t>
      </w:r>
      <w:r>
        <w:rPr>
          <w:rFonts w:ascii="Times New Roman" w:cs="Times New Roman" w:eastAsia="Times New Roman" w:hAnsi="Times New Roman"/>
          <w:sz w:val="18"/>
          <w:szCs w:val="18"/>
          <w:color w:val="auto"/>
        </w:rPr>
        <w:t>”) in connection with the exercise of the Option or any other event giving rise to Tax-Related Items. Without prejudice to the foregoing, in accepting the terms of this Agreement, Participant agrees to the terms of a joint election with the Company / the Service Recipient, the form of such joint election having been approved formally by HMRC (“</w:t>
      </w:r>
      <w:r>
        <w:rPr>
          <w:rFonts w:ascii="Times New Roman" w:cs="Times New Roman" w:eastAsia="Times New Roman" w:hAnsi="Times New Roman"/>
          <w:sz w:val="18"/>
          <w:szCs w:val="18"/>
          <w:b w:val="1"/>
          <w:bCs w:val="1"/>
          <w:i w:val="1"/>
          <w:iCs w:val="1"/>
          <w:color w:val="auto"/>
        </w:rPr>
        <w:t>Joint Election</w:t>
      </w:r>
      <w:r>
        <w:rPr>
          <w:rFonts w:ascii="Times New Roman" w:cs="Times New Roman" w:eastAsia="Times New Roman" w:hAnsi="Times New Roman"/>
          <w:sz w:val="18"/>
          <w:szCs w:val="18"/>
          <w:color w:val="auto"/>
        </w:rPr>
        <w:t>”) and is attached below. In this respect, Participant agrees to accept the terms of or to execute such other joint elections, and any other required consent or election, as may be required between Participant and the Company, the Service Recipient, any successor to the Company, the Service Recipient, or any other Subsidiary with respect to the Employer NICs liability. Participant further agrees that the Company, the Service Recipient, or any Subsidiary may collect the Employer NICs from Participant by any of the means set forth in Section 4.2 of the Option Agreement or the Joint Election.</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Participant does not enter into a Joint Election prior to the exercise of the Option or any other event giving rise to Tax-Related Items, Participant will not be entitled to exercise the Option and no Shares will be issued to Participant under the Plan, without any liability to the Company, the Service Recipient, or any other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U.K. JOINT ELECTION</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(OPTION HOLDERS IN THE UNITED KINGDOM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Note on the Election to Transfer Employer NICs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condition of participation in the Plan and the exercise of the Options, you are required to enter into an Election to transfer to you any liability for employer’s National Insurance Contributions (“</w:t>
      </w:r>
      <w:r>
        <w:rPr>
          <w:rFonts w:ascii="Times New Roman" w:cs="Times New Roman" w:eastAsia="Times New Roman" w:hAnsi="Times New Roman"/>
          <w:sz w:val="18"/>
          <w:szCs w:val="18"/>
          <w:b w:val="1"/>
          <w:bCs w:val="1"/>
          <w:color w:val="auto"/>
        </w:rPr>
        <w:t>NICs</w:t>
      </w:r>
      <w:r>
        <w:rPr>
          <w:rFonts w:ascii="Times New Roman" w:cs="Times New Roman" w:eastAsia="Times New Roman" w:hAnsi="Times New Roman"/>
          <w:sz w:val="18"/>
          <w:szCs w:val="18"/>
          <w:color w:val="auto"/>
        </w:rPr>
        <w:t>”) that may arise in connection with your participation in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entering into the Election:</w:t>
      </w:r>
    </w:p>
    <w:p>
      <w:pPr>
        <w:spacing w:after="0" w:line="131" w:lineRule="exact"/>
        <w:rPr>
          <w:sz w:val="20"/>
          <w:szCs w:val="20"/>
          <w:color w:val="auto"/>
        </w:rPr>
      </w:pPr>
    </w:p>
    <w:p>
      <w:pPr>
        <w:ind w:left="960" w:right="52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any employer’s NICs liability that may arise in connection with your participation in the Plan with respect to Options granted under the Plan will be transferred to you;</w:t>
      </w:r>
    </w:p>
    <w:p>
      <w:pPr>
        <w:spacing w:after="0" w:line="67"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authorise your employer to recover an amount sufficient to cover this liability by such methods including, but not limited to, deductions from your salary or other payments due or the sale of sufficient Shares acquired pursuant to your Options;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even if you have clicked to accept the Options where indicated, the Company or your employer may still require you to sign a paper copy of this Election (or a substantially similar form) if the Company determines such is necessary to give effect to the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the Election carefully.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and keep a copy of the Election for your records.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20" w:name="page21"/>
    <w:bookmarkEnd w:id="2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U.K. JOINT ELECTION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Election To Transfer the Employer’s National Insurance Liability to the Employee</w:t>
      </w:r>
    </w:p>
    <w:p>
      <w:pPr>
        <w:spacing w:after="0" w:line="252"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Parties</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Election is between:</w:t>
      </w:r>
    </w:p>
    <w:p>
      <w:pPr>
        <w:spacing w:after="0" w:line="126" w:lineRule="exact"/>
        <w:rPr>
          <w:rFonts w:ascii="Times New Roman" w:cs="Times New Roman" w:eastAsia="Times New Roman" w:hAnsi="Times New Roman"/>
          <w:sz w:val="18"/>
          <w:szCs w:val="18"/>
          <w:b w:val="1"/>
          <w:bCs w:val="1"/>
          <w:color w:val="auto"/>
        </w:rPr>
      </w:pPr>
    </w:p>
    <w:p>
      <w:pPr>
        <w:jc w:val="both"/>
        <w:ind w:left="964" w:right="60" w:hanging="532"/>
        <w:spacing w:after="0" w:line="268"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who has gained authorized access to this Election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who is employed by one of the employing companies listed in the attached schedule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and who is eligible to receive and may have received stock options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pursuant to the terms and conditions of the Blaize Holdings, Inc. 2025 Incentive Award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964" w:hanging="532"/>
        <w:spacing w:after="0" w:line="28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Holdings, Inc. of 659 Golden Foothill Parkway, Suite 206, El Dorado Hills, CA 95762, United States of America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may grant Options under the Plan and is entering into this Election on behalf of the Employer.</w:t>
      </w:r>
    </w:p>
    <w:p>
      <w:pPr>
        <w:spacing w:after="0" w:line="3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of Election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This Election relates to all Options granted to Employee under the Plan up to the termination date of the Plan.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In this Election the following words and phrases have the following meanings: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ITEPA</w:t>
      </w:r>
      <w:r>
        <w:rPr>
          <w:rFonts w:ascii="Times New Roman" w:cs="Times New Roman" w:eastAsia="Times New Roman" w:hAnsi="Times New Roman"/>
          <w:sz w:val="18"/>
          <w:szCs w:val="18"/>
          <w:color w:val="auto"/>
        </w:rPr>
        <w:t>” means the Income Tax (Earnings and Pensions) Act 2003.</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Employment Income</w:t>
      </w:r>
      <w:r>
        <w:rPr>
          <w:rFonts w:ascii="Times New Roman" w:cs="Times New Roman" w:eastAsia="Times New Roman" w:hAnsi="Times New Roman"/>
          <w:sz w:val="18"/>
          <w:szCs w:val="18"/>
          <w:color w:val="auto"/>
        </w:rPr>
        <w:t>” from Options on which Employer’s National Insurance Contributions becomes due is defined as:</w:t>
      </w:r>
    </w:p>
    <w:p>
      <w:pPr>
        <w:spacing w:after="0" w:line="135" w:lineRule="exact"/>
        <w:rPr>
          <w:sz w:val="20"/>
          <w:szCs w:val="20"/>
          <w:color w:val="auto"/>
        </w:rPr>
      </w:pPr>
    </w:p>
    <w:p>
      <w:pPr>
        <w:ind w:left="1424" w:right="240" w:hanging="439"/>
        <w:spacing w:after="0" w:line="282" w:lineRule="auto"/>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counts as employment income of the earner under section 426 ITEPA (restricted securities: charge on certain post-acquisition events);</w:t>
      </w:r>
    </w:p>
    <w:p>
      <w:pPr>
        <w:spacing w:after="0" w:line="67" w:lineRule="exact"/>
        <w:rPr>
          <w:rFonts w:ascii="Times New Roman" w:cs="Times New Roman" w:eastAsia="Times New Roman" w:hAnsi="Times New Roman"/>
          <w:sz w:val="18"/>
          <w:szCs w:val="18"/>
          <w:color w:val="auto"/>
        </w:rPr>
      </w:pPr>
    </w:p>
    <w:p>
      <w:pPr>
        <w:ind w:left="1424" w:right="300" w:hanging="439"/>
        <w:spacing w:after="0" w:line="282" w:lineRule="auto"/>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counts as employment income of the earner under section 438 of ITEPA (convertible securities: charge on certain post-acquisition events); or</w:t>
      </w:r>
    </w:p>
    <w:p>
      <w:pPr>
        <w:spacing w:after="0" w:line="67" w:lineRule="exact"/>
        <w:rPr>
          <w:rFonts w:ascii="Times New Roman" w:cs="Times New Roman" w:eastAsia="Times New Roman" w:hAnsi="Times New Roman"/>
          <w:sz w:val="18"/>
          <w:szCs w:val="18"/>
          <w:color w:val="auto"/>
        </w:rPr>
      </w:pPr>
    </w:p>
    <w:p>
      <w:pPr>
        <w:ind w:left="1424" w:right="580" w:hanging="439"/>
        <w:spacing w:after="0" w:line="282" w:lineRule="auto"/>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that is treated as remuneration derived from the earner’s employment by virtue of section 4(4)(a) SSCBA, including without limitation:</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securities pursuant to the Option (within the meaning of section 477(3)(a) of ITEPA);</w:t>
      </w:r>
    </w:p>
    <w:p>
      <w:pPr>
        <w:spacing w:after="0" w:line="130" w:lineRule="exact"/>
        <w:rPr>
          <w:rFonts w:ascii="Times New Roman" w:cs="Times New Roman" w:eastAsia="Times New Roman" w:hAnsi="Times New Roman"/>
          <w:sz w:val="18"/>
          <w:szCs w:val="18"/>
          <w:color w:val="auto"/>
        </w:rPr>
      </w:pPr>
    </w:p>
    <w:p>
      <w:pPr>
        <w:ind w:left="1964" w:right="60" w:hanging="533"/>
        <w:spacing w:after="0" w:line="282" w:lineRule="auto"/>
        <w:tabs>
          <w:tab w:leader="none" w:pos="1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(if applicable) or release of the Option in return for consideration (within the meaning of section 477(3)(b) of ITEPA);</w:t>
      </w:r>
    </w:p>
    <w:p>
      <w:pPr>
        <w:spacing w:after="0" w:line="67" w:lineRule="exact"/>
        <w:rPr>
          <w:rFonts w:ascii="Times New Roman" w:cs="Times New Roman" w:eastAsia="Times New Roman" w:hAnsi="Times New Roman"/>
          <w:sz w:val="18"/>
          <w:szCs w:val="18"/>
          <w:color w:val="auto"/>
        </w:rPr>
      </w:pPr>
    </w:p>
    <w:p>
      <w:pPr>
        <w:ind w:left="1964" w:right="400" w:hanging="533"/>
        <w:spacing w:after="0" w:line="282" w:lineRule="auto"/>
        <w:tabs>
          <w:tab w:leader="none" w:pos="1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benefit in connection with the Option, other than a benefit within (i) or (ii) above (within the meaning of section 477(3)(c) of ITEPA).</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SSCBA</w:t>
      </w:r>
      <w:r>
        <w:rPr>
          <w:rFonts w:ascii="Times New Roman" w:cs="Times New Roman" w:eastAsia="Times New Roman" w:hAnsi="Times New Roman"/>
          <w:sz w:val="18"/>
          <w:szCs w:val="18"/>
          <w:color w:val="auto"/>
        </w:rPr>
        <w:t>” means the Social Security Contributions and Benefits Act 1992.</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Event</w:t>
      </w:r>
      <w:r>
        <w:rPr>
          <w:rFonts w:ascii="Times New Roman" w:cs="Times New Roman" w:eastAsia="Times New Roman" w:hAnsi="Times New Roman"/>
          <w:sz w:val="18"/>
          <w:szCs w:val="18"/>
          <w:color w:val="auto"/>
        </w:rPr>
        <w:t>” means any event giving rise to Relevant Employment Income.</w:t>
      </w:r>
    </w:p>
    <w:p>
      <w:pPr>
        <w:spacing w:after="0" w:line="131" w:lineRule="exact"/>
        <w:rPr>
          <w:sz w:val="20"/>
          <w:szCs w:val="20"/>
          <w:color w:val="auto"/>
        </w:rPr>
      </w:pPr>
    </w:p>
    <w:p>
      <w:pPr>
        <w:ind w:left="424" w:right="380" w:hanging="431"/>
        <w:spacing w:after="0" w:line="263" w:lineRule="auto"/>
        <w:tabs>
          <w:tab w:leader="none" w:pos="404" w:val="left"/>
        </w:tabs>
        <w:rPr>
          <w:sz w:val="20"/>
          <w:szCs w:val="20"/>
          <w:color w:val="auto"/>
        </w:rPr>
      </w:pPr>
      <w:r>
        <w:rPr>
          <w:rFonts w:ascii="Times New Roman" w:cs="Times New Roman" w:eastAsia="Times New Roman" w:hAnsi="Times New Roman"/>
          <w:sz w:val="18"/>
          <w:szCs w:val="18"/>
          <w:color w:val="auto"/>
        </w:rPr>
        <w:t>2.3</w:t>
        <w:tab/>
        <w:t>This Election relates to the Employer’s secondary Class 1 National Insurance Contributions (the “</w:t>
      </w:r>
      <w:r>
        <w:rPr>
          <w:rFonts w:ascii="Times New Roman" w:cs="Times New Roman" w:eastAsia="Times New Roman" w:hAnsi="Times New Roman"/>
          <w:sz w:val="18"/>
          <w:szCs w:val="18"/>
          <w:b w:val="1"/>
          <w:bCs w:val="1"/>
          <w:color w:val="auto"/>
        </w:rPr>
        <w:t>Employer’s Liability</w:t>
      </w:r>
      <w:r>
        <w:rPr>
          <w:rFonts w:ascii="Times New Roman" w:cs="Times New Roman" w:eastAsia="Times New Roman" w:hAnsi="Times New Roman"/>
          <w:sz w:val="18"/>
          <w:szCs w:val="18"/>
          <w:color w:val="auto"/>
        </w:rPr>
        <w:t>”) which may arise in respect of Relevant Employment Income in respect of the Options pursuant to section 4(4)(a) and/or paragraph 3B(1A) of Schedule 1 of the</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SSCBA.</w:t>
      </w:r>
    </w:p>
    <w:p>
      <w:pPr>
        <w:spacing w:after="0" w:line="112"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67"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67" w:lineRule="exact"/>
        <w:rPr>
          <w:sz w:val="20"/>
          <w:szCs w:val="20"/>
          <w:color w:val="auto"/>
        </w:rPr>
      </w:pPr>
    </w:p>
    <w:p>
      <w:pPr>
        <w:jc w:val="both"/>
        <w:ind w:left="424" w:right="2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2.6</w:t>
        <w:tab/>
        <w:t>Any reference to the Company and/or the Employer shall include that entity’s successors in title and assigns as permitted in accordance with the terms of the Plan and the Agreement. This Election will have effect in respect of the Option and any awards which replace the Option following their grant in circumstances where section 483 of ITEPA applies.</w:t>
      </w:r>
    </w:p>
    <w:p>
      <w:pPr>
        <w:spacing w:after="0" w:line="320"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Election</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or by signing this Election, or by accepting the Option, he or she will become personally liable for the Employer’s Liability covered by this Election. This Election is made in accordance with paragraph 3B(1) of Schedule 1 to SSCBA.</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the Employer’s Liability</w:t>
      </w:r>
    </w:p>
    <w:p>
      <w:pPr>
        <w:spacing w:after="0" w:line="135"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The Employee hereby authorizes the Company and/or the Employer to collect the Employer’s Liability in respect of any Relevant Employment Income from the Employee at any time after the Taxable Event:</w:t>
      </w:r>
    </w:p>
    <w:p>
      <w:pPr>
        <w:spacing w:after="0" w:line="67" w:lineRule="exact"/>
        <w:rPr>
          <w:sz w:val="20"/>
          <w:szCs w:val="20"/>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deduction from salary or any other payment payable to the Employee at any time on or after the date of the Taxable Event; and/or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from the Employee by payment in cash or cleared funds; and/or</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arranging, on behalf of the Employee, for the sale of some of the securities which the Employee is entitled to receive in respect of the Option; and/or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22" w:name="page23"/>
    <w:bookmarkEnd w:id="22"/>
    <w:p>
      <w:pPr>
        <w:ind w:left="964" w:right="120" w:hanging="532"/>
        <w:spacing w:after="0" w:line="282" w:lineRule="auto"/>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proceeds of the gain are to be paid through a third party, by that party withholding an amount from the payment or selling some of the securities which the Employee is entitled to receive in respect of the Option; and/or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 specified in the applicable Option Agreement.</w:t>
      </w:r>
    </w:p>
    <w:p>
      <w:pPr>
        <w:spacing w:after="0" w:line="131" w:lineRule="exact"/>
        <w:rPr>
          <w:sz w:val="20"/>
          <w:szCs w:val="20"/>
          <w:color w:val="auto"/>
        </w:rPr>
      </w:pPr>
    </w:p>
    <w:p>
      <w:pPr>
        <w:ind w:left="424" w:right="6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Company hereby reserves for itself and the Employer the right to withhold the transfer of any securities in respect of the Option to the Employee until full payment of the Employer’s Liability is received.</w:t>
      </w:r>
    </w:p>
    <w:p>
      <w:pPr>
        <w:spacing w:after="0" w:line="67"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4.3</w:t>
        <w:tab/>
        <w:t>The Company agrees to procure the remittance by the Employer of the Employer’s Liability to HM Revenue and Customs on behalf of the Employee within 14 days after the end of the UK tax month during which the Taxable Event occurs (or within 17 days after the end of the UK tax month during which the Taxable Event occurs, if payments are made electronically).</w:t>
      </w:r>
    </w:p>
    <w:p>
      <w:pPr>
        <w:spacing w:after="0" w:line="320"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Duration of Election</w:t>
      </w:r>
    </w:p>
    <w:p>
      <w:pPr>
        <w:spacing w:after="0" w:line="135"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Employee and the Company agree to be bound by the terms of this Election regardless of whether the Employee is transferred abroad or is not employed by the Employer on the date on which the Employer’s Liability becomes due.</w:t>
      </w:r>
    </w:p>
    <w:p>
      <w:pPr>
        <w:spacing w:after="0" w:line="1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tab/>
        <w:t>This Election will continue in effect until the earliest of the following:</w:t>
      </w:r>
    </w:p>
    <w:p>
      <w:pPr>
        <w:spacing w:after="0" w:line="131"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and the Company agree in writing that it should cease to have effect;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Company serves written notice on the Employee terminating its effect;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HM Revenue and Customs withdraws approval of this Election; or</w:t>
      </w:r>
    </w:p>
    <w:p>
      <w:pPr>
        <w:spacing w:after="0" w:line="130"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payment of the Employer’s Liability in respect of the entirety of the Option to which this Election relates or could relate, such that the Election ceases to have effect in accordance with its terms.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This Election will continue in full force regardless of whether the Employee ceases to be an employee of the Employer.</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 by the Employee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acknowledges that, by clicking on the [“ACCEPT”] box, the Employee agrees to be bound by the terms of this Election.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Acceptance by the Company</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Company acknowledges that, by signing this Election or arranging for the scanned signature of an authorised representative to appear on this Election, the Company agrees to be bound by the terms of this Election.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Harminder Sehmi</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40" w:top="266" w:right="579" w:bottom="1440" w:gutter="0" w:footer="0" w:header="0"/>
        </w:sectPr>
      </w:pPr>
    </w:p>
    <w:bookmarkStart w:id="24" w:name="page25"/>
    <w:bookmarkEnd w:id="24"/>
    <w:p>
      <w:pPr>
        <w:ind w:left="4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Employer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Employer(s) shall be covered by the Joint Election: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Blaize U.K. LTD</w:t>
            </w:r>
          </w:p>
        </w:tc>
        <w:tc>
          <w:tcPr>
            <w:tcW w:w="5200" w:type="dxa"/>
            <w:vAlign w:val="bottom"/>
          </w:tcPr>
          <w:p>
            <w:pPr>
              <w:spacing w:after="0"/>
              <w:rPr>
                <w:sz w:val="20"/>
                <w:szCs w:val="20"/>
                <w:color w:val="auto"/>
              </w:rPr>
            </w:pPr>
          </w:p>
        </w:tc>
      </w:tr>
      <w:tr>
        <w:trPr>
          <w:trHeight w:val="459"/>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6th Floor One London Wall, London, United Kingdom, EC2Y 5EB</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Corporation Tax Reference:</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4102716928</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11388261</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PAYE Reference Number:</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475/MB82536</w:t>
            </w:r>
          </w:p>
        </w:tc>
      </w:tr>
      <w:tr>
        <w:trPr>
          <w:trHeight w:val="365"/>
        </w:trPr>
        <w:tc>
          <w:tcPr>
            <w:tcW w:w="2840" w:type="dxa"/>
            <w:vAlign w:val="bottom"/>
          </w:tcPr>
          <w:p>
            <w:pPr>
              <w:spacing w:after="0"/>
              <w:rPr>
                <w:sz w:val="24"/>
                <w:szCs w:val="24"/>
                <w:color w:val="auto"/>
              </w:rPr>
            </w:pPr>
          </w:p>
        </w:tc>
        <w:tc>
          <w:tcPr>
            <w:tcW w:w="52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 w:lineRule="exact"/>
        <w:rPr>
          <w:sz w:val="20"/>
          <w:szCs w:val="20"/>
          <w:color w:val="auto"/>
        </w:rPr>
      </w:pP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lvl w:ilvl="1">
      <w:lvlJc w:val="left"/>
      <w:lvlText w:val="(%2)"/>
      <w:numFmt w:val="lowerRoman"/>
      <w:start w:val="1"/>
    </w:lvl>
  </w:abstractNum>
  <w:abstractNum w:abstractNumId="3">
    <w:nsid w:val="140E0F76"/>
    <w:multiLevelType w:val="hybridMultilevel"/>
    <w:lvl w:ilvl="0">
      <w:lvlJc w:val="left"/>
      <w:lvlText w:val="(%1)"/>
      <w:numFmt w:val="lowerRoman"/>
      <w:start w:val="4"/>
    </w:lvl>
  </w:abstractNum>
  <w:abstractNum w:abstractNumId="4">
    <w:nsid w:val="3352255A"/>
    <w:multiLevelType w:val="hybridMultilevel"/>
    <w:lvl w:ilvl="0">
      <w:lvlJc w:val="left"/>
      <w:lvlText w:val="%1"/>
      <w:numFmt w:val="lowerLetter"/>
      <w:start w:val="1"/>
    </w:lvl>
    <w:lvl w:ilvl="1">
      <w:lvlJc w:val="left"/>
      <w:lvlText w:val="(%2)"/>
      <w:numFmt w:val="lowerLetter"/>
      <w:start w:val="22"/>
    </w:lvl>
  </w:abstractNum>
  <w:abstractNum w:abstractNumId="5">
    <w:nsid w:val="109CF92E"/>
    <w:multiLevelType w:val="hybridMultilevel"/>
    <w:lvl w:ilvl="0">
      <w:lvlJc w:val="left"/>
      <w:lvlText w:val="(%1)"/>
      <w:numFmt w:val="lowerLetter"/>
      <w:start w:val="2"/>
    </w:lvl>
    <w:lvl w:ilvl="1">
      <w:lvlJc w:val="left"/>
      <w:lvlText w:val="%2"/>
      <w:numFmt w:val="lowerLetter"/>
      <w:start w:val="1"/>
    </w:lvl>
  </w:abstractNum>
  <w:abstractNum w:abstractNumId="6">
    <w:nsid w:val="DED7263"/>
    <w:multiLevelType w:val="hybridMultilevel"/>
    <w:lvl w:ilvl="0">
      <w:lvlJc w:val="left"/>
      <w:lvlText w:val="%1"/>
      <w:numFmt w:val="lowerLetter"/>
      <w:start w:val="1"/>
    </w:lvl>
    <w:lvl w:ilvl="1">
      <w:lvlJc w:val="left"/>
      <w:lvlText w:val="(%2)"/>
      <w:numFmt w:val="lowerLetter"/>
      <w:start w:val="1"/>
    </w:lvl>
  </w:abstractNum>
  <w:abstractNum w:abstractNumId="7">
    <w:nsid w:val="7FDCC233"/>
    <w:multiLevelType w:val="hybridMultilevel"/>
    <w:lvl w:ilvl="0">
      <w:lvlJc w:val="left"/>
      <w:lvlText w:val="(%1)"/>
      <w:numFmt w:val="lowerLetter"/>
      <w:start w:val="35"/>
    </w:lvl>
    <w:lvl w:ilvl="1">
      <w:lvlJc w:val="left"/>
      <w:lvlText w:val="%2"/>
      <w:numFmt w:val="lowerLetter"/>
      <w:start w:val="1"/>
    </w:lvl>
  </w:abstractNum>
  <w:abstractNum w:abstractNumId="8">
    <w:nsid w:val="1BEFD79F"/>
    <w:multiLevelType w:val="hybridMultilevel"/>
    <w:lvl w:ilvl="0">
      <w:lvlJc w:val="left"/>
      <w:lvlText w:val="(%1)"/>
      <w:numFmt w:val="lowerLetter"/>
      <w:start w:val="3"/>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8"/>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lvl w:ilvl="1">
      <w:lvlJc w:val="left"/>
      <w:lvlText w:val="(%2)"/>
      <w:numFmt w:val="upperLetter"/>
      <w:start w:val="1"/>
    </w:lvl>
  </w:abstractNum>
  <w:abstractNum w:abstractNumId="15">
    <w:nsid w:val="3F2DBA31"/>
    <w:multiLevelType w:val="hybridMultilevel"/>
    <w:lvl w:ilvl="0">
      <w:lvlJc w:val="left"/>
      <w:lvlText w:val="(%1)"/>
      <w:numFmt w:val="lowerRoman"/>
      <w:start w:val="1"/>
    </w:lvl>
    <w:lvl w:ilvl="1">
      <w:lvlJc w:val="left"/>
      <w:lvlText w:val="(%2)"/>
      <w:numFmt w:val="upperLetter"/>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4"/>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2025-09-30T09:12:57Z</dcterms:created>
  <dcterms:modified xsi:type="dcterms:W3CDTF">2025-09-30T09:12:57Z</dcterms:modified>
</cp:coreProperties>
</file>