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BURTECH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123013104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360" w:hanging="4"/>
        <w:spacing w:after="0" w:line="224" w:lineRule="exact"/>
        <w:tabs>
          <w:tab w:leader="none" w:pos="86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SCHEDULE 13G</w:t>
            </w:r>
          </w:p>
        </w:tc>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right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CUSIP No. 123013104</w:t>
            </w:r>
          </w:p>
        </w:tc>
        <w:tc>
          <w:tcPr>
            <w:tcW w:w="1540" w:type="dxa"/>
            <w:vAlign w:val="bottom"/>
          </w:tcPr>
          <w:p>
            <w:pPr>
              <w:spacing w:after="0"/>
              <w:rPr>
                <w:sz w:val="19"/>
                <w:szCs w:val="19"/>
                <w:color w:val="auto"/>
              </w:rPr>
            </w:pPr>
          </w:p>
        </w:tc>
        <w:tc>
          <w:tcPr>
            <w:tcW w:w="2940" w:type="dxa"/>
            <w:vAlign w:val="bottom"/>
            <w:vMerge w:val="continue"/>
          </w:tcPr>
          <w:p>
            <w:pPr>
              <w:spacing w:after="0"/>
              <w:rPr>
                <w:sz w:val="19"/>
                <w:szCs w:val="19"/>
                <w:color w:val="auto"/>
              </w:rPr>
            </w:pPr>
          </w:p>
        </w:tc>
        <w:tc>
          <w:tcPr>
            <w:tcW w:w="3020" w:type="dxa"/>
            <w:vAlign w:val="bottom"/>
            <w:tcBorders>
              <w:top w:val="single" w:sz="8" w:color="auto"/>
              <w:left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2560" w:type="dxa"/>
            <w:vAlign w:val="bottom"/>
            <w:tcBorders>
              <w:bottom w:val="single" w:sz="8" w:color="auto"/>
            </w:tcBorders>
            <w:gridSpan w:val="2"/>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vMerge w:val="restart"/>
          </w:tcPr>
          <w:p>
            <w:pPr>
              <w:jc w:val="center"/>
              <w:ind w:left="110"/>
              <w:spacing w:after="0"/>
              <w:rPr>
                <w:sz w:val="20"/>
                <w:szCs w:val="20"/>
                <w:color w:val="auto"/>
              </w:rPr>
            </w:pPr>
            <w:r>
              <w:rPr>
                <w:rFonts w:ascii="Arial" w:cs="Arial" w:eastAsia="Arial" w:hAnsi="Arial"/>
                <w:sz w:val="18"/>
                <w:szCs w:val="18"/>
                <w:color w:val="auto"/>
                <w:w w:val="79"/>
              </w:rPr>
              <w:t>1</w:t>
            </w:r>
          </w:p>
        </w:tc>
        <w:tc>
          <w:tcPr>
            <w:tcW w:w="220" w:type="dxa"/>
            <w:vAlign w:val="bottom"/>
            <w:tcBorders>
              <w:right w:val="single" w:sz="8" w:color="auto"/>
            </w:tcBorders>
          </w:tcPr>
          <w:p>
            <w:pPr>
              <w:spacing w:after="0"/>
              <w:rPr>
                <w:sz w:val="20"/>
                <w:szCs w:val="20"/>
                <w:color w:val="auto"/>
              </w:rPr>
            </w:pPr>
          </w:p>
        </w:tc>
        <w:tc>
          <w:tcPr>
            <w:tcW w:w="422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9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220" w:type="dxa"/>
            <w:vAlign w:val="bottom"/>
            <w:gridSpan w:val="5"/>
            <w:vMerge w:val="restart"/>
          </w:tcPr>
          <w:p>
            <w:pPr>
              <w:ind w:left="20"/>
              <w:spacing w:after="0"/>
              <w:rPr>
                <w:sz w:val="20"/>
                <w:szCs w:val="20"/>
                <w:color w:val="auto"/>
              </w:rPr>
            </w:pPr>
            <w:r>
              <w:rPr>
                <w:rFonts w:ascii="Arial" w:cs="Arial" w:eastAsia="Arial" w:hAnsi="Arial"/>
                <w:sz w:val="18"/>
                <w:szCs w:val="18"/>
                <w:color w:val="auto"/>
              </w:rPr>
              <w:t>Exos Asset Management LLC</w:t>
            </w:r>
          </w:p>
        </w:tc>
        <w:tc>
          <w:tcPr>
            <w:tcW w:w="29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4220" w:type="dxa"/>
            <w:vAlign w:val="bottom"/>
            <w:tcBorders>
              <w:bottom w:val="single" w:sz="8" w:color="auto"/>
            </w:tcBorders>
            <w:gridSpan w:val="5"/>
            <w:vMerge w:val="continue"/>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7160" w:type="dxa"/>
            <w:vAlign w:val="bottom"/>
            <w:gridSpan w:val="6"/>
          </w:tcPr>
          <w:p>
            <w:pPr>
              <w:ind w:left="2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30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6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2</w:t>
            </w:r>
          </w:p>
        </w:tc>
        <w:tc>
          <w:tcPr>
            <w:tcW w:w="12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vMerge w:val="restart"/>
          </w:tcPr>
          <w:p>
            <w:pPr>
              <w:jc w:val="center"/>
              <w:ind w:left="110"/>
              <w:spacing w:after="0"/>
              <w:rPr>
                <w:sz w:val="20"/>
                <w:szCs w:val="20"/>
                <w:color w:val="auto"/>
              </w:rPr>
            </w:pPr>
            <w:r>
              <w:rPr>
                <w:rFonts w:ascii="Arial" w:cs="Arial" w:eastAsia="Arial" w:hAnsi="Arial"/>
                <w:sz w:val="18"/>
                <w:szCs w:val="18"/>
                <w:color w:val="auto"/>
                <w:w w:val="79"/>
              </w:rPr>
              <w:t>3</w:t>
            </w:r>
          </w:p>
        </w:tc>
        <w:tc>
          <w:tcPr>
            <w:tcW w:w="220" w:type="dxa"/>
            <w:vAlign w:val="bottom"/>
            <w:tcBorders>
              <w:right w:val="single" w:sz="8" w:color="auto"/>
            </w:tcBorders>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w w:val="91"/>
              </w:rPr>
              <w:t>SEC USE ONLY</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0" w:type="dxa"/>
            <w:vAlign w:val="bottom"/>
            <w:tcBorders>
              <w:right w:val="single" w:sz="8" w:color="auto"/>
            </w:tcBorders>
            <w:shd w:val="clear" w:color="auto" w:fill="000000"/>
          </w:tcPr>
          <w:p>
            <w:pPr>
              <w:spacing w:after="0"/>
              <w:rPr>
                <w:sz w:val="8"/>
                <w:szCs w:val="8"/>
                <w:color w:val="auto"/>
              </w:rPr>
            </w:pPr>
          </w:p>
        </w:tc>
        <w:tc>
          <w:tcPr>
            <w:tcW w:w="44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auto"/>
              <w:right w:val="single" w:sz="8" w:color="auto"/>
            </w:tcBorders>
            <w:shd w:val="clear" w:color="auto" w:fill="000000"/>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2560" w:type="dxa"/>
            <w:vAlign w:val="bottom"/>
            <w:tcBorders>
              <w:bottom w:val="single" w:sz="8" w:color="auto"/>
            </w:tcBorders>
            <w:gridSpan w:val="2"/>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vMerge w:val="restart"/>
          </w:tcPr>
          <w:p>
            <w:pPr>
              <w:jc w:val="center"/>
              <w:ind w:left="110"/>
              <w:spacing w:after="0"/>
              <w:rPr>
                <w:sz w:val="20"/>
                <w:szCs w:val="20"/>
                <w:color w:val="auto"/>
              </w:rPr>
            </w:pPr>
            <w:r>
              <w:rPr>
                <w:rFonts w:ascii="Arial" w:cs="Arial" w:eastAsia="Arial" w:hAnsi="Arial"/>
                <w:sz w:val="18"/>
                <w:szCs w:val="18"/>
                <w:color w:val="auto"/>
                <w:w w:val="79"/>
              </w:rPr>
              <w:t>4</w:t>
            </w:r>
          </w:p>
        </w:tc>
        <w:tc>
          <w:tcPr>
            <w:tcW w:w="220" w:type="dxa"/>
            <w:vAlign w:val="bottom"/>
            <w:tcBorders>
              <w:right w:val="single" w:sz="8" w:color="auto"/>
            </w:tcBorders>
          </w:tcPr>
          <w:p>
            <w:pPr>
              <w:spacing w:after="0"/>
              <w:rPr>
                <w:sz w:val="20"/>
                <w:szCs w:val="20"/>
                <w:color w:val="auto"/>
              </w:rPr>
            </w:pPr>
          </w:p>
        </w:tc>
        <w:tc>
          <w:tcPr>
            <w:tcW w:w="422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9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color w:val="auto"/>
                <w:w w:val="99"/>
              </w:rPr>
              <w:t>Delaware, USA</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79"/>
              </w:rPr>
              <w:t>5</w:t>
            </w:r>
          </w:p>
        </w:tc>
        <w:tc>
          <w:tcPr>
            <w:tcW w:w="256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2940" w:type="dxa"/>
            <w:vAlign w:val="bottom"/>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w w:val="79"/>
              </w:rPr>
              <w:t>47</w:t>
            </w: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right w:val="single" w:sz="8" w:color="auto"/>
            </w:tcBorders>
            <w:vMerge w:val="continue"/>
          </w:tcPr>
          <w:p>
            <w:pPr>
              <w:spacing w:after="0"/>
              <w:rPr>
                <w:sz w:val="17"/>
                <w:szCs w:val="17"/>
                <w:color w:val="auto"/>
              </w:rPr>
            </w:pPr>
          </w:p>
        </w:tc>
        <w:tc>
          <w:tcPr>
            <w:tcW w:w="1020" w:type="dxa"/>
            <w:vAlign w:val="bottom"/>
            <w:vMerge w:val="restart"/>
          </w:tcPr>
          <w:p>
            <w:pPr>
              <w:spacing w:after="0"/>
              <w:rPr>
                <w:sz w:val="20"/>
                <w:szCs w:val="20"/>
                <w:color w:val="auto"/>
              </w:rPr>
            </w:pPr>
            <w:r>
              <w:rPr>
                <w:rFonts w:ascii="Arial" w:cs="Arial" w:eastAsia="Arial" w:hAnsi="Arial"/>
                <w:sz w:val="18"/>
                <w:szCs w:val="18"/>
                <w:color w:val="auto"/>
              </w:rPr>
              <w:t>0</w:t>
            </w:r>
          </w:p>
        </w:tc>
        <w:tc>
          <w:tcPr>
            <w:tcW w:w="1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6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1"/>
              </w:rPr>
              <w:t>SHARES</w:t>
            </w:r>
          </w:p>
        </w:tc>
        <w:tc>
          <w:tcPr>
            <w:tcW w:w="280" w:type="dxa"/>
            <w:vAlign w:val="bottom"/>
          </w:tcPr>
          <w:p>
            <w:pPr>
              <w:spacing w:after="0"/>
              <w:rPr>
                <w:sz w:val="18"/>
                <w:szCs w:val="18"/>
                <w:color w:val="auto"/>
              </w:rPr>
            </w:pPr>
          </w:p>
        </w:tc>
        <w:tc>
          <w:tcPr>
            <w:tcW w:w="4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79"/>
              </w:rPr>
              <w:t>6</w:t>
            </w:r>
          </w:p>
        </w:tc>
        <w:tc>
          <w:tcPr>
            <w:tcW w:w="256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2940" w:type="dxa"/>
            <w:vAlign w:val="bottom"/>
          </w:tcPr>
          <w:p>
            <w:pPr>
              <w:spacing w:after="0"/>
              <w:rPr>
                <w:sz w:val="18"/>
                <w:szCs w:val="18"/>
                <w:color w:val="auto"/>
              </w:rPr>
            </w:pPr>
          </w:p>
        </w:tc>
        <w:tc>
          <w:tcPr>
            <w:tcW w:w="302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280" w:type="dxa"/>
            <w:vAlign w:val="bottom"/>
          </w:tcPr>
          <w:p>
            <w:pPr>
              <w:spacing w:after="0"/>
              <w:rPr>
                <w:sz w:val="18"/>
                <w:szCs w:val="18"/>
                <w:color w:val="auto"/>
              </w:rPr>
            </w:pPr>
          </w:p>
        </w:tc>
        <w:tc>
          <w:tcPr>
            <w:tcW w:w="400" w:type="dxa"/>
            <w:vAlign w:val="bottom"/>
            <w:tcBorders>
              <w:right w:val="single" w:sz="8" w:color="auto"/>
            </w:tcBorders>
            <w:vMerge w:val="continue"/>
          </w:tcPr>
          <w:p>
            <w:pPr>
              <w:spacing w:after="0"/>
              <w:rPr>
                <w:sz w:val="18"/>
                <w:szCs w:val="18"/>
                <w:color w:val="auto"/>
              </w:rPr>
            </w:pPr>
          </w:p>
        </w:tc>
        <w:tc>
          <w:tcPr>
            <w:tcW w:w="1020" w:type="dxa"/>
            <w:vAlign w:val="bottom"/>
            <w:vMerge w:val="restart"/>
          </w:tcPr>
          <w:p>
            <w:pPr>
              <w:spacing w:after="0"/>
              <w:rPr>
                <w:sz w:val="20"/>
                <w:szCs w:val="20"/>
                <w:color w:val="auto"/>
              </w:rPr>
            </w:pPr>
            <w:r>
              <w:rPr>
                <w:rFonts w:ascii="Arial" w:cs="Arial" w:eastAsia="Arial" w:hAnsi="Arial"/>
                <w:sz w:val="18"/>
                <w:szCs w:val="18"/>
                <w:color w:val="auto"/>
              </w:rPr>
              <w:t>635,819*</w:t>
            </w:r>
          </w:p>
        </w:tc>
        <w:tc>
          <w:tcPr>
            <w:tcW w:w="1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2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6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tcBorders>
              <w:right w:val="single" w:sz="8" w:color="auto"/>
            </w:tcBorders>
            <w:shd w:val="clear" w:color="auto" w:fill="000000"/>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Borders>
              <w:right w:val="single" w:sz="8" w:color="auto"/>
            </w:tcBorders>
            <w:gridSpan w:val="2"/>
          </w:tcPr>
          <w:p>
            <w:pPr>
              <w:jc w:val="center"/>
              <w:ind w:right="390"/>
              <w:spacing w:after="0" w:line="189" w:lineRule="exact"/>
              <w:rPr>
                <w:sz w:val="20"/>
                <w:szCs w:val="20"/>
                <w:color w:val="auto"/>
              </w:rPr>
            </w:pPr>
            <w:r>
              <w:rPr>
                <w:rFonts w:ascii="Arial" w:cs="Arial" w:eastAsia="Arial" w:hAnsi="Arial"/>
                <w:sz w:val="18"/>
                <w:szCs w:val="18"/>
                <w:color w:val="auto"/>
                <w:w w:val="95"/>
              </w:rPr>
              <w:t>EACH</w:t>
            </w:r>
          </w:p>
        </w:tc>
        <w:tc>
          <w:tcPr>
            <w:tcW w:w="28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256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2940" w:type="dxa"/>
            <w:vAlign w:val="bottom"/>
          </w:tcPr>
          <w:p>
            <w:pPr>
              <w:spacing w:after="0"/>
              <w:rPr>
                <w:sz w:val="16"/>
                <w:szCs w:val="16"/>
                <w:color w:val="auto"/>
              </w:rPr>
            </w:pPr>
          </w:p>
        </w:tc>
        <w:tc>
          <w:tcPr>
            <w:tcW w:w="3020" w:type="dxa"/>
            <w:vAlign w:val="bottom"/>
            <w:tcBorders>
              <w:righ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4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w w:val="79"/>
              </w:rPr>
              <w:t>7</w:t>
            </w: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2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0</w:t>
            </w:r>
          </w:p>
        </w:tc>
        <w:tc>
          <w:tcPr>
            <w:tcW w:w="1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2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2560" w:type="dxa"/>
            <w:vAlign w:val="bottom"/>
            <w:tcBorders>
              <w:bottom w:val="single" w:sz="8" w:color="auto"/>
            </w:tcBorders>
            <w:gridSpan w:val="2"/>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Borders>
              <w:right w:val="single" w:sz="8" w:color="auto"/>
            </w:tcBorders>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79"/>
              </w:rPr>
              <w:t>8</w:t>
            </w:r>
          </w:p>
        </w:tc>
        <w:tc>
          <w:tcPr>
            <w:tcW w:w="2560" w:type="dxa"/>
            <w:vAlign w:val="bottom"/>
            <w:gridSpan w:val="2"/>
          </w:tcPr>
          <w:p>
            <w:pPr>
              <w:spacing w:after="0"/>
              <w:rPr>
                <w:sz w:val="20"/>
                <w:szCs w:val="20"/>
                <w:color w:val="auto"/>
              </w:rPr>
            </w:pPr>
            <w:r>
              <w:rPr>
                <w:rFonts w:ascii="Arial" w:cs="Arial" w:eastAsia="Arial" w:hAnsi="Arial"/>
                <w:sz w:val="18"/>
                <w:szCs w:val="18"/>
                <w:color w:val="auto"/>
                <w:w w:val="95"/>
              </w:rPr>
              <w:t>SHARED DISPOSITIVE POWER</w:t>
            </w:r>
          </w:p>
        </w:tc>
        <w:tc>
          <w:tcPr>
            <w:tcW w:w="2940" w:type="dxa"/>
            <w:vAlign w:val="bottom"/>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right w:val="single" w:sz="8" w:color="auto"/>
            </w:tcBorders>
            <w:vMerge w:val="continue"/>
          </w:tcPr>
          <w:p>
            <w:pPr>
              <w:spacing w:after="0"/>
              <w:rPr>
                <w:sz w:val="17"/>
                <w:szCs w:val="17"/>
                <w:color w:val="auto"/>
              </w:rPr>
            </w:pPr>
          </w:p>
        </w:tc>
        <w:tc>
          <w:tcPr>
            <w:tcW w:w="1020" w:type="dxa"/>
            <w:vAlign w:val="bottom"/>
            <w:vMerge w:val="restart"/>
          </w:tcPr>
          <w:p>
            <w:pPr>
              <w:spacing w:after="0"/>
              <w:rPr>
                <w:sz w:val="20"/>
                <w:szCs w:val="20"/>
                <w:color w:val="auto"/>
              </w:rPr>
            </w:pPr>
            <w:r>
              <w:rPr>
                <w:rFonts w:ascii="Arial" w:cs="Arial" w:eastAsia="Arial" w:hAnsi="Arial"/>
                <w:sz w:val="18"/>
                <w:szCs w:val="18"/>
                <w:color w:val="auto"/>
              </w:rPr>
              <w:t>635,819*</w:t>
            </w:r>
          </w:p>
        </w:tc>
        <w:tc>
          <w:tcPr>
            <w:tcW w:w="1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vMerge w:val="restart"/>
          </w:tcPr>
          <w:p>
            <w:pPr>
              <w:jc w:val="center"/>
              <w:ind w:left="110"/>
              <w:spacing w:after="0"/>
              <w:rPr>
                <w:sz w:val="20"/>
                <w:szCs w:val="20"/>
                <w:color w:val="auto"/>
              </w:rPr>
            </w:pPr>
            <w:r>
              <w:rPr>
                <w:rFonts w:ascii="Arial" w:cs="Arial" w:eastAsia="Arial" w:hAnsi="Arial"/>
                <w:sz w:val="18"/>
                <w:szCs w:val="18"/>
                <w:color w:val="auto"/>
                <w:w w:val="79"/>
              </w:rPr>
              <w:t>9</w:t>
            </w:r>
          </w:p>
        </w:tc>
        <w:tc>
          <w:tcPr>
            <w:tcW w:w="220" w:type="dxa"/>
            <w:vAlign w:val="bottom"/>
            <w:tcBorders>
              <w:right w:val="single" w:sz="8" w:color="auto"/>
            </w:tcBorders>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w w:val="80"/>
              </w:rPr>
              <w:t>AGGREGATE</w:t>
            </w:r>
          </w:p>
        </w:tc>
        <w:tc>
          <w:tcPr>
            <w:tcW w:w="6180" w:type="dxa"/>
            <w:vAlign w:val="bottom"/>
            <w:gridSpan w:val="5"/>
          </w:tcPr>
          <w:p>
            <w:pPr>
              <w:ind w:left="140"/>
              <w:spacing w:after="0"/>
              <w:rPr>
                <w:sz w:val="20"/>
                <w:szCs w:val="20"/>
                <w:color w:val="auto"/>
              </w:rPr>
            </w:pPr>
            <w:r>
              <w:rPr>
                <w:rFonts w:ascii="Arial" w:cs="Arial" w:eastAsia="Arial" w:hAnsi="Arial"/>
                <w:sz w:val="18"/>
                <w:szCs w:val="18"/>
                <w:color w:val="auto"/>
              </w:rPr>
              <w:t>AMOUNT BENEFICIALLY OWNED BY EACH REPORTING PERSON</w:t>
            </w:r>
          </w:p>
        </w:tc>
        <w:tc>
          <w:tcPr>
            <w:tcW w:w="30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635,819*</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shd w:val="clear" w:color="auto" w:fill="000000"/>
          </w:tcPr>
          <w:p>
            <w:pPr>
              <w:spacing w:after="0"/>
              <w:rPr>
                <w:sz w:val="23"/>
                <w:szCs w:val="23"/>
                <w:color w:val="auto"/>
              </w:rPr>
            </w:pPr>
          </w:p>
        </w:tc>
        <w:tc>
          <w:tcPr>
            <w:tcW w:w="440" w:type="dxa"/>
            <w:vAlign w:val="bottom"/>
            <w:vMerge w:val="restart"/>
          </w:tcPr>
          <w:p>
            <w:pPr>
              <w:jc w:val="center"/>
              <w:ind w:left="90"/>
              <w:spacing w:after="0"/>
              <w:rPr>
                <w:sz w:val="20"/>
                <w:szCs w:val="20"/>
                <w:color w:val="auto"/>
              </w:rPr>
            </w:pPr>
            <w:r>
              <w:rPr>
                <w:rFonts w:ascii="Arial" w:cs="Arial" w:eastAsia="Arial" w:hAnsi="Arial"/>
                <w:sz w:val="18"/>
                <w:szCs w:val="18"/>
                <w:color w:val="auto"/>
                <w:w w:val="89"/>
              </w:rPr>
              <w:t>10</w:t>
            </w:r>
          </w:p>
        </w:tc>
        <w:tc>
          <w:tcPr>
            <w:tcW w:w="220" w:type="dxa"/>
            <w:vAlign w:val="bottom"/>
            <w:tcBorders>
              <w:right w:val="single" w:sz="8" w:color="auto"/>
            </w:tcBorders>
          </w:tcPr>
          <w:p>
            <w:pPr>
              <w:spacing w:after="0"/>
              <w:rPr>
                <w:sz w:val="23"/>
                <w:szCs w:val="23"/>
                <w:color w:val="auto"/>
              </w:rPr>
            </w:pPr>
          </w:p>
        </w:tc>
        <w:tc>
          <w:tcPr>
            <w:tcW w:w="7160" w:type="dxa"/>
            <w:vAlign w:val="bottom"/>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w:t>
            </w:r>
          </w:p>
        </w:tc>
        <w:tc>
          <w:tcPr>
            <w:tcW w:w="3380" w:type="dxa"/>
            <w:vAlign w:val="bottom"/>
            <w:tcBorders>
              <w:right w:val="single" w:sz="8" w:color="auto"/>
            </w:tcBorders>
            <w:gridSpan w:val="2"/>
          </w:tcPr>
          <w:p>
            <w:pPr>
              <w:jc w:val="right"/>
              <w:ind w:right="1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shd w:val="clear" w:color="auto" w:fill="000000"/>
          </w:tcPr>
          <w:p>
            <w:pPr>
              <w:spacing w:after="0"/>
              <w:rPr>
                <w:sz w:val="4"/>
                <w:szCs w:val="4"/>
                <w:color w:val="auto"/>
              </w:rPr>
            </w:pPr>
          </w:p>
        </w:tc>
        <w:tc>
          <w:tcPr>
            <w:tcW w:w="440" w:type="dxa"/>
            <w:vAlign w:val="bottom"/>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9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auto"/>
              <w:right w:val="single" w:sz="8" w:color="auto"/>
            </w:tcBorders>
            <w:shd w:val="clear" w:color="auto" w:fill="000000"/>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7160" w:type="dxa"/>
            <w:vAlign w:val="bottom"/>
            <w:tcBorders>
              <w:bottom w:val="single" w:sz="8" w:color="auto"/>
            </w:tcBorders>
            <w:gridSpan w:val="6"/>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vMerge w:val="restart"/>
          </w:tcPr>
          <w:p>
            <w:pPr>
              <w:jc w:val="center"/>
              <w:ind w:left="110"/>
              <w:spacing w:after="0"/>
              <w:rPr>
                <w:sz w:val="20"/>
                <w:szCs w:val="20"/>
                <w:color w:val="auto"/>
              </w:rPr>
            </w:pPr>
            <w:r>
              <w:rPr>
                <w:rFonts w:ascii="Arial" w:cs="Arial" w:eastAsia="Arial" w:hAnsi="Arial"/>
                <w:sz w:val="18"/>
                <w:szCs w:val="18"/>
                <w:color w:val="auto"/>
                <w:w w:val="79"/>
              </w:rPr>
              <w:t>11</w:t>
            </w:r>
          </w:p>
        </w:tc>
        <w:tc>
          <w:tcPr>
            <w:tcW w:w="220" w:type="dxa"/>
            <w:vAlign w:val="bottom"/>
            <w:tcBorders>
              <w:right w:val="single" w:sz="8" w:color="auto"/>
            </w:tcBorders>
          </w:tcPr>
          <w:p>
            <w:pPr>
              <w:spacing w:after="0"/>
              <w:rPr>
                <w:sz w:val="20"/>
                <w:szCs w:val="20"/>
                <w:color w:val="auto"/>
              </w:rPr>
            </w:pPr>
          </w:p>
        </w:tc>
        <w:tc>
          <w:tcPr>
            <w:tcW w:w="7160" w:type="dxa"/>
            <w:vAlign w:val="bottom"/>
            <w:gridSpan w:val="6"/>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30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vMerge w:val="restart"/>
          </w:tcPr>
          <w:p>
            <w:pPr>
              <w:jc w:val="center"/>
              <w:ind w:left="90"/>
              <w:spacing w:after="0"/>
              <w:rPr>
                <w:sz w:val="20"/>
                <w:szCs w:val="20"/>
                <w:color w:val="auto"/>
              </w:rPr>
            </w:pPr>
            <w:r>
              <w:rPr>
                <w:rFonts w:ascii="Arial" w:cs="Arial" w:eastAsia="Arial" w:hAnsi="Arial"/>
                <w:sz w:val="18"/>
                <w:szCs w:val="18"/>
                <w:color w:val="auto"/>
                <w:w w:val="89"/>
              </w:rPr>
              <w:t>12</w:t>
            </w:r>
          </w:p>
        </w:tc>
        <w:tc>
          <w:tcPr>
            <w:tcW w:w="220" w:type="dxa"/>
            <w:vAlign w:val="bottom"/>
            <w:tcBorders>
              <w:right w:val="single" w:sz="8" w:color="auto"/>
            </w:tcBorders>
          </w:tcPr>
          <w:p>
            <w:pPr>
              <w:spacing w:after="0"/>
              <w:rPr>
                <w:sz w:val="20"/>
                <w:szCs w:val="20"/>
                <w:color w:val="auto"/>
              </w:rPr>
            </w:pPr>
          </w:p>
        </w:tc>
        <w:tc>
          <w:tcPr>
            <w:tcW w:w="422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w:t>
            </w:r>
          </w:p>
        </w:tc>
        <w:tc>
          <w:tcPr>
            <w:tcW w:w="29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color w:val="auto"/>
              </w:rPr>
              <w:t>IA</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Item 4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SCHEDULE 13G</w:t>
            </w:r>
          </w:p>
        </w:tc>
        <w:tc>
          <w:tcPr>
            <w:tcW w:w="3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right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CUSIP No. 123013104</w:t>
            </w:r>
          </w:p>
        </w:tc>
        <w:tc>
          <w:tcPr>
            <w:tcW w:w="1540" w:type="dxa"/>
            <w:vAlign w:val="bottom"/>
          </w:tcPr>
          <w:p>
            <w:pPr>
              <w:spacing w:after="0"/>
              <w:rPr>
                <w:sz w:val="19"/>
                <w:szCs w:val="19"/>
                <w:color w:val="auto"/>
              </w:rPr>
            </w:pPr>
          </w:p>
        </w:tc>
        <w:tc>
          <w:tcPr>
            <w:tcW w:w="2940" w:type="dxa"/>
            <w:vAlign w:val="bottom"/>
            <w:vMerge w:val="continue"/>
          </w:tcPr>
          <w:p>
            <w:pPr>
              <w:spacing w:after="0"/>
              <w:rPr>
                <w:sz w:val="19"/>
                <w:szCs w:val="19"/>
                <w:color w:val="auto"/>
              </w:rPr>
            </w:pPr>
          </w:p>
        </w:tc>
        <w:tc>
          <w:tcPr>
            <w:tcW w:w="338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2560" w:type="dxa"/>
            <w:vAlign w:val="bottom"/>
            <w:tcBorders>
              <w:bottom w:val="single" w:sz="8" w:color="auto"/>
            </w:tcBorders>
            <w:gridSpan w:val="2"/>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vMerge w:val="restart"/>
          </w:tcPr>
          <w:p>
            <w:pPr>
              <w:jc w:val="center"/>
              <w:ind w:left="110"/>
              <w:spacing w:after="0"/>
              <w:rPr>
                <w:sz w:val="20"/>
                <w:szCs w:val="20"/>
                <w:color w:val="auto"/>
              </w:rPr>
            </w:pPr>
            <w:r>
              <w:rPr>
                <w:rFonts w:ascii="Arial" w:cs="Arial" w:eastAsia="Arial" w:hAnsi="Arial"/>
                <w:sz w:val="18"/>
                <w:szCs w:val="18"/>
                <w:color w:val="auto"/>
                <w:w w:val="79"/>
              </w:rPr>
              <w:t>1</w:t>
            </w:r>
          </w:p>
        </w:tc>
        <w:tc>
          <w:tcPr>
            <w:tcW w:w="220" w:type="dxa"/>
            <w:vAlign w:val="bottom"/>
            <w:tcBorders>
              <w:right w:val="single" w:sz="8" w:color="auto"/>
            </w:tcBorders>
          </w:tcPr>
          <w:p>
            <w:pPr>
              <w:spacing w:after="0"/>
              <w:rPr>
                <w:sz w:val="20"/>
                <w:szCs w:val="20"/>
                <w:color w:val="auto"/>
              </w:rPr>
            </w:pPr>
          </w:p>
        </w:tc>
        <w:tc>
          <w:tcPr>
            <w:tcW w:w="422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940" w:type="dxa"/>
            <w:vAlign w:val="bottom"/>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220" w:type="dxa"/>
            <w:vAlign w:val="bottom"/>
            <w:gridSpan w:val="5"/>
            <w:vMerge w:val="restart"/>
          </w:tcPr>
          <w:p>
            <w:pPr>
              <w:ind w:left="20"/>
              <w:spacing w:after="0"/>
              <w:rPr>
                <w:sz w:val="20"/>
                <w:szCs w:val="20"/>
                <w:color w:val="auto"/>
              </w:rPr>
            </w:pPr>
            <w:r>
              <w:rPr>
                <w:rFonts w:ascii="Arial" w:cs="Arial" w:eastAsia="Arial" w:hAnsi="Arial"/>
                <w:sz w:val="18"/>
                <w:szCs w:val="18"/>
                <w:color w:val="auto"/>
              </w:rPr>
              <w:t>Exos Collateralized SPAC Holdings Fund LP</w:t>
            </w:r>
          </w:p>
        </w:tc>
        <w:tc>
          <w:tcPr>
            <w:tcW w:w="2940" w:type="dxa"/>
            <w:vAlign w:val="bottom"/>
          </w:tcPr>
          <w:p>
            <w:pPr>
              <w:spacing w:after="0"/>
              <w:rPr>
                <w:sz w:val="17"/>
                <w:szCs w:val="17"/>
                <w:color w:val="auto"/>
              </w:rPr>
            </w:pPr>
          </w:p>
        </w:tc>
        <w:tc>
          <w:tcPr>
            <w:tcW w:w="3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4220" w:type="dxa"/>
            <w:vAlign w:val="bottom"/>
            <w:tcBorders>
              <w:bottom w:val="single" w:sz="8" w:color="auto"/>
            </w:tcBorders>
            <w:gridSpan w:val="5"/>
            <w:vMerge w:val="continue"/>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7160" w:type="dxa"/>
            <w:vAlign w:val="bottom"/>
            <w:gridSpan w:val="6"/>
          </w:tcPr>
          <w:p>
            <w:pPr>
              <w:ind w:left="2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3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6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2</w:t>
            </w:r>
          </w:p>
        </w:tc>
        <w:tc>
          <w:tcPr>
            <w:tcW w:w="12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vMerge w:val="restart"/>
          </w:tcPr>
          <w:p>
            <w:pPr>
              <w:jc w:val="center"/>
              <w:ind w:left="110"/>
              <w:spacing w:after="0"/>
              <w:rPr>
                <w:sz w:val="20"/>
                <w:szCs w:val="20"/>
                <w:color w:val="auto"/>
              </w:rPr>
            </w:pPr>
            <w:r>
              <w:rPr>
                <w:rFonts w:ascii="Arial" w:cs="Arial" w:eastAsia="Arial" w:hAnsi="Arial"/>
                <w:sz w:val="18"/>
                <w:szCs w:val="18"/>
                <w:color w:val="auto"/>
                <w:w w:val="79"/>
              </w:rPr>
              <w:t>3</w:t>
            </w:r>
          </w:p>
        </w:tc>
        <w:tc>
          <w:tcPr>
            <w:tcW w:w="220" w:type="dxa"/>
            <w:vAlign w:val="bottom"/>
            <w:tcBorders>
              <w:right w:val="single" w:sz="8" w:color="auto"/>
            </w:tcBorders>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w w:val="91"/>
              </w:rPr>
              <w:t>SEC USE ONLY</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0" w:type="dxa"/>
            <w:vAlign w:val="bottom"/>
            <w:tcBorders>
              <w:right w:val="single" w:sz="8" w:color="auto"/>
            </w:tcBorders>
            <w:shd w:val="clear" w:color="auto" w:fill="000000"/>
          </w:tcPr>
          <w:p>
            <w:pPr>
              <w:spacing w:after="0"/>
              <w:rPr>
                <w:sz w:val="8"/>
                <w:szCs w:val="8"/>
                <w:color w:val="auto"/>
              </w:rPr>
            </w:pPr>
          </w:p>
        </w:tc>
        <w:tc>
          <w:tcPr>
            <w:tcW w:w="44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auto"/>
              <w:right w:val="single" w:sz="8" w:color="auto"/>
            </w:tcBorders>
            <w:shd w:val="clear" w:color="auto" w:fill="000000"/>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2560" w:type="dxa"/>
            <w:vAlign w:val="bottom"/>
            <w:tcBorders>
              <w:bottom w:val="single" w:sz="8" w:color="auto"/>
            </w:tcBorders>
            <w:gridSpan w:val="2"/>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3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vMerge w:val="restart"/>
          </w:tcPr>
          <w:p>
            <w:pPr>
              <w:jc w:val="center"/>
              <w:ind w:left="110"/>
              <w:spacing w:after="0"/>
              <w:rPr>
                <w:sz w:val="20"/>
                <w:szCs w:val="20"/>
                <w:color w:val="auto"/>
              </w:rPr>
            </w:pPr>
            <w:r>
              <w:rPr>
                <w:rFonts w:ascii="Arial" w:cs="Arial" w:eastAsia="Arial" w:hAnsi="Arial"/>
                <w:sz w:val="18"/>
                <w:szCs w:val="18"/>
                <w:color w:val="auto"/>
                <w:w w:val="79"/>
              </w:rPr>
              <w:t>4</w:t>
            </w:r>
          </w:p>
        </w:tc>
        <w:tc>
          <w:tcPr>
            <w:tcW w:w="220" w:type="dxa"/>
            <w:vAlign w:val="bottom"/>
            <w:tcBorders>
              <w:right w:val="single" w:sz="8" w:color="auto"/>
            </w:tcBorders>
          </w:tcPr>
          <w:p>
            <w:pPr>
              <w:spacing w:after="0"/>
              <w:rPr>
                <w:sz w:val="20"/>
                <w:szCs w:val="20"/>
                <w:color w:val="auto"/>
              </w:rPr>
            </w:pPr>
          </w:p>
        </w:tc>
        <w:tc>
          <w:tcPr>
            <w:tcW w:w="422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940" w:type="dxa"/>
            <w:vAlign w:val="bottom"/>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color w:val="auto"/>
                <w:w w:val="99"/>
              </w:rPr>
              <w:t>Delaware, USA</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79"/>
              </w:rPr>
              <w:t>5</w:t>
            </w:r>
          </w:p>
        </w:tc>
        <w:tc>
          <w:tcPr>
            <w:tcW w:w="256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2940" w:type="dxa"/>
            <w:vAlign w:val="bottom"/>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right w:val="single" w:sz="8" w:color="auto"/>
            </w:tcBorders>
            <w:vMerge w:val="continue"/>
          </w:tcPr>
          <w:p>
            <w:pPr>
              <w:spacing w:after="0"/>
              <w:rPr>
                <w:sz w:val="17"/>
                <w:szCs w:val="17"/>
                <w:color w:val="auto"/>
              </w:rPr>
            </w:pPr>
          </w:p>
        </w:tc>
        <w:tc>
          <w:tcPr>
            <w:tcW w:w="1020" w:type="dxa"/>
            <w:vAlign w:val="bottom"/>
            <w:vMerge w:val="restart"/>
          </w:tcPr>
          <w:p>
            <w:pPr>
              <w:spacing w:after="0"/>
              <w:rPr>
                <w:sz w:val="20"/>
                <w:szCs w:val="20"/>
                <w:color w:val="auto"/>
              </w:rPr>
            </w:pPr>
            <w:r>
              <w:rPr>
                <w:rFonts w:ascii="Arial" w:cs="Arial" w:eastAsia="Arial" w:hAnsi="Arial"/>
                <w:sz w:val="18"/>
                <w:szCs w:val="18"/>
                <w:color w:val="auto"/>
              </w:rPr>
              <w:t>0</w:t>
            </w:r>
          </w:p>
        </w:tc>
        <w:tc>
          <w:tcPr>
            <w:tcW w:w="1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6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1"/>
              </w:rPr>
              <w:t>SHARES</w:t>
            </w:r>
          </w:p>
        </w:tc>
        <w:tc>
          <w:tcPr>
            <w:tcW w:w="280" w:type="dxa"/>
            <w:vAlign w:val="bottom"/>
          </w:tcPr>
          <w:p>
            <w:pPr>
              <w:spacing w:after="0"/>
              <w:rPr>
                <w:sz w:val="18"/>
                <w:szCs w:val="18"/>
                <w:color w:val="auto"/>
              </w:rPr>
            </w:pPr>
          </w:p>
        </w:tc>
        <w:tc>
          <w:tcPr>
            <w:tcW w:w="4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79"/>
              </w:rPr>
              <w:t>6</w:t>
            </w:r>
          </w:p>
        </w:tc>
        <w:tc>
          <w:tcPr>
            <w:tcW w:w="256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2940" w:type="dxa"/>
            <w:vAlign w:val="bottom"/>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280" w:type="dxa"/>
            <w:vAlign w:val="bottom"/>
          </w:tcPr>
          <w:p>
            <w:pPr>
              <w:spacing w:after="0"/>
              <w:rPr>
                <w:sz w:val="18"/>
                <w:szCs w:val="18"/>
                <w:color w:val="auto"/>
              </w:rPr>
            </w:pPr>
          </w:p>
        </w:tc>
        <w:tc>
          <w:tcPr>
            <w:tcW w:w="400" w:type="dxa"/>
            <w:vAlign w:val="bottom"/>
            <w:tcBorders>
              <w:right w:val="single" w:sz="8" w:color="auto"/>
            </w:tcBorders>
            <w:vMerge w:val="continue"/>
          </w:tcPr>
          <w:p>
            <w:pPr>
              <w:spacing w:after="0"/>
              <w:rPr>
                <w:sz w:val="18"/>
                <w:szCs w:val="18"/>
                <w:color w:val="auto"/>
              </w:rPr>
            </w:pPr>
          </w:p>
        </w:tc>
        <w:tc>
          <w:tcPr>
            <w:tcW w:w="1020" w:type="dxa"/>
            <w:vAlign w:val="bottom"/>
            <w:vMerge w:val="restart"/>
          </w:tcPr>
          <w:p>
            <w:pPr>
              <w:spacing w:after="0"/>
              <w:rPr>
                <w:sz w:val="20"/>
                <w:szCs w:val="20"/>
                <w:color w:val="auto"/>
              </w:rPr>
            </w:pPr>
            <w:r>
              <w:rPr>
                <w:rFonts w:ascii="Arial" w:cs="Arial" w:eastAsia="Arial" w:hAnsi="Arial"/>
                <w:sz w:val="18"/>
                <w:szCs w:val="18"/>
                <w:color w:val="auto"/>
              </w:rPr>
              <w:t>385,059*</w:t>
            </w:r>
          </w:p>
        </w:tc>
        <w:tc>
          <w:tcPr>
            <w:tcW w:w="1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6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tcBorders>
              <w:right w:val="single" w:sz="8" w:color="auto"/>
            </w:tcBorders>
            <w:shd w:val="clear" w:color="auto" w:fill="000000"/>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Borders>
              <w:right w:val="single" w:sz="8" w:color="auto"/>
            </w:tcBorders>
            <w:gridSpan w:val="2"/>
          </w:tcPr>
          <w:p>
            <w:pPr>
              <w:jc w:val="center"/>
              <w:ind w:right="390"/>
              <w:spacing w:after="0" w:line="189" w:lineRule="exact"/>
              <w:rPr>
                <w:sz w:val="20"/>
                <w:szCs w:val="20"/>
                <w:color w:val="auto"/>
              </w:rPr>
            </w:pPr>
            <w:r>
              <w:rPr>
                <w:rFonts w:ascii="Arial" w:cs="Arial" w:eastAsia="Arial" w:hAnsi="Arial"/>
                <w:sz w:val="18"/>
                <w:szCs w:val="18"/>
                <w:color w:val="auto"/>
                <w:w w:val="95"/>
              </w:rPr>
              <w:t>EACH</w:t>
            </w:r>
          </w:p>
        </w:tc>
        <w:tc>
          <w:tcPr>
            <w:tcW w:w="28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256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2940" w:type="dxa"/>
            <w:vAlign w:val="bottom"/>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4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w w:val="79"/>
              </w:rPr>
              <w:t>7</w:t>
            </w: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0</w:t>
            </w:r>
          </w:p>
        </w:tc>
        <w:tc>
          <w:tcPr>
            <w:tcW w:w="1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2560" w:type="dxa"/>
            <w:vAlign w:val="bottom"/>
            <w:tcBorders>
              <w:bottom w:val="single" w:sz="8" w:color="auto"/>
            </w:tcBorders>
            <w:gridSpan w:val="2"/>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Borders>
              <w:right w:val="single" w:sz="8" w:color="auto"/>
            </w:tcBorders>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79"/>
              </w:rPr>
              <w:t>8</w:t>
            </w:r>
          </w:p>
        </w:tc>
        <w:tc>
          <w:tcPr>
            <w:tcW w:w="2560" w:type="dxa"/>
            <w:vAlign w:val="bottom"/>
            <w:gridSpan w:val="2"/>
          </w:tcPr>
          <w:p>
            <w:pPr>
              <w:spacing w:after="0"/>
              <w:rPr>
                <w:sz w:val="20"/>
                <w:szCs w:val="20"/>
                <w:color w:val="auto"/>
              </w:rPr>
            </w:pPr>
            <w:r>
              <w:rPr>
                <w:rFonts w:ascii="Arial" w:cs="Arial" w:eastAsia="Arial" w:hAnsi="Arial"/>
                <w:sz w:val="18"/>
                <w:szCs w:val="18"/>
                <w:color w:val="auto"/>
                <w:w w:val="95"/>
              </w:rPr>
              <w:t>SHARED DISPOSITIVE POWER</w:t>
            </w:r>
          </w:p>
        </w:tc>
        <w:tc>
          <w:tcPr>
            <w:tcW w:w="2940" w:type="dxa"/>
            <w:vAlign w:val="bottom"/>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right w:val="single" w:sz="8" w:color="auto"/>
            </w:tcBorders>
            <w:vMerge w:val="continue"/>
          </w:tcPr>
          <w:p>
            <w:pPr>
              <w:spacing w:after="0"/>
              <w:rPr>
                <w:sz w:val="17"/>
                <w:szCs w:val="17"/>
                <w:color w:val="auto"/>
              </w:rPr>
            </w:pPr>
          </w:p>
        </w:tc>
        <w:tc>
          <w:tcPr>
            <w:tcW w:w="1020" w:type="dxa"/>
            <w:vAlign w:val="bottom"/>
            <w:vMerge w:val="restart"/>
          </w:tcPr>
          <w:p>
            <w:pPr>
              <w:spacing w:after="0"/>
              <w:rPr>
                <w:sz w:val="20"/>
                <w:szCs w:val="20"/>
                <w:color w:val="auto"/>
              </w:rPr>
            </w:pPr>
            <w:r>
              <w:rPr>
                <w:rFonts w:ascii="Arial" w:cs="Arial" w:eastAsia="Arial" w:hAnsi="Arial"/>
                <w:sz w:val="18"/>
                <w:szCs w:val="18"/>
                <w:color w:val="auto"/>
              </w:rPr>
              <w:t>385,059*</w:t>
            </w:r>
          </w:p>
        </w:tc>
        <w:tc>
          <w:tcPr>
            <w:tcW w:w="1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vMerge w:val="restart"/>
          </w:tcPr>
          <w:p>
            <w:pPr>
              <w:jc w:val="center"/>
              <w:ind w:left="110"/>
              <w:spacing w:after="0"/>
              <w:rPr>
                <w:sz w:val="20"/>
                <w:szCs w:val="20"/>
                <w:color w:val="auto"/>
              </w:rPr>
            </w:pPr>
            <w:r>
              <w:rPr>
                <w:rFonts w:ascii="Arial" w:cs="Arial" w:eastAsia="Arial" w:hAnsi="Arial"/>
                <w:sz w:val="18"/>
                <w:szCs w:val="18"/>
                <w:color w:val="auto"/>
                <w:w w:val="79"/>
              </w:rPr>
              <w:t>9</w:t>
            </w:r>
          </w:p>
        </w:tc>
        <w:tc>
          <w:tcPr>
            <w:tcW w:w="220" w:type="dxa"/>
            <w:vAlign w:val="bottom"/>
            <w:tcBorders>
              <w:right w:val="single" w:sz="8" w:color="auto"/>
            </w:tcBorders>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w w:val="80"/>
              </w:rPr>
              <w:t>AGGREGATE</w:t>
            </w:r>
          </w:p>
        </w:tc>
        <w:tc>
          <w:tcPr>
            <w:tcW w:w="6180" w:type="dxa"/>
            <w:vAlign w:val="bottom"/>
            <w:gridSpan w:val="5"/>
          </w:tcPr>
          <w:p>
            <w:pPr>
              <w:ind w:left="140"/>
              <w:spacing w:after="0"/>
              <w:rPr>
                <w:sz w:val="20"/>
                <w:szCs w:val="20"/>
                <w:color w:val="auto"/>
              </w:rPr>
            </w:pPr>
            <w:r>
              <w:rPr>
                <w:rFonts w:ascii="Arial" w:cs="Arial" w:eastAsia="Arial" w:hAnsi="Arial"/>
                <w:sz w:val="18"/>
                <w:szCs w:val="18"/>
                <w:color w:val="auto"/>
              </w:rPr>
              <w:t>AMOUNT BENEFICIALLY OWNED BY EACH REPORTING PERSON</w:t>
            </w:r>
          </w:p>
        </w:tc>
        <w:tc>
          <w:tcPr>
            <w:tcW w:w="3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385,059*</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shd w:val="clear" w:color="auto" w:fill="000000"/>
          </w:tcPr>
          <w:p>
            <w:pPr>
              <w:spacing w:after="0"/>
              <w:rPr>
                <w:sz w:val="23"/>
                <w:szCs w:val="23"/>
                <w:color w:val="auto"/>
              </w:rPr>
            </w:pPr>
          </w:p>
        </w:tc>
        <w:tc>
          <w:tcPr>
            <w:tcW w:w="440" w:type="dxa"/>
            <w:vAlign w:val="bottom"/>
            <w:vMerge w:val="restart"/>
          </w:tcPr>
          <w:p>
            <w:pPr>
              <w:jc w:val="center"/>
              <w:ind w:left="90"/>
              <w:spacing w:after="0"/>
              <w:rPr>
                <w:sz w:val="20"/>
                <w:szCs w:val="20"/>
                <w:color w:val="auto"/>
              </w:rPr>
            </w:pPr>
            <w:r>
              <w:rPr>
                <w:rFonts w:ascii="Arial" w:cs="Arial" w:eastAsia="Arial" w:hAnsi="Arial"/>
                <w:sz w:val="18"/>
                <w:szCs w:val="18"/>
                <w:color w:val="auto"/>
                <w:w w:val="89"/>
              </w:rPr>
              <w:t>10</w:t>
            </w:r>
          </w:p>
        </w:tc>
        <w:tc>
          <w:tcPr>
            <w:tcW w:w="220" w:type="dxa"/>
            <w:vAlign w:val="bottom"/>
            <w:tcBorders>
              <w:right w:val="single" w:sz="8" w:color="auto"/>
            </w:tcBorders>
          </w:tcPr>
          <w:p>
            <w:pPr>
              <w:spacing w:after="0"/>
              <w:rPr>
                <w:sz w:val="23"/>
                <w:szCs w:val="23"/>
                <w:color w:val="auto"/>
              </w:rPr>
            </w:pPr>
          </w:p>
        </w:tc>
        <w:tc>
          <w:tcPr>
            <w:tcW w:w="7160" w:type="dxa"/>
            <w:vAlign w:val="bottom"/>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w:t>
            </w:r>
          </w:p>
        </w:tc>
        <w:tc>
          <w:tcPr>
            <w:tcW w:w="3380" w:type="dxa"/>
            <w:vAlign w:val="bottom"/>
            <w:tcBorders>
              <w:right w:val="single" w:sz="8" w:color="auto"/>
            </w:tcBorders>
          </w:tcPr>
          <w:p>
            <w:pPr>
              <w:ind w:left="2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shd w:val="clear" w:color="auto" w:fill="000000"/>
          </w:tcPr>
          <w:p>
            <w:pPr>
              <w:spacing w:after="0"/>
              <w:rPr>
                <w:sz w:val="4"/>
                <w:szCs w:val="4"/>
                <w:color w:val="auto"/>
              </w:rPr>
            </w:pPr>
          </w:p>
        </w:tc>
        <w:tc>
          <w:tcPr>
            <w:tcW w:w="440" w:type="dxa"/>
            <w:vAlign w:val="bottom"/>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940" w:type="dxa"/>
            <w:vAlign w:val="bottom"/>
          </w:tcPr>
          <w:p>
            <w:pPr>
              <w:spacing w:after="0"/>
              <w:rPr>
                <w:sz w:val="4"/>
                <w:szCs w:val="4"/>
                <w:color w:val="auto"/>
              </w:rPr>
            </w:pPr>
          </w:p>
        </w:tc>
        <w:tc>
          <w:tcPr>
            <w:tcW w:w="3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auto"/>
              <w:right w:val="single" w:sz="8" w:color="auto"/>
            </w:tcBorders>
            <w:shd w:val="clear" w:color="auto" w:fill="000000"/>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7160" w:type="dxa"/>
            <w:vAlign w:val="bottom"/>
            <w:tcBorders>
              <w:bottom w:val="single" w:sz="8" w:color="auto"/>
            </w:tcBorders>
            <w:gridSpan w:val="6"/>
          </w:tcPr>
          <w:p>
            <w:pPr>
              <w:spacing w:after="0"/>
              <w:rPr>
                <w:sz w:val="10"/>
                <w:szCs w:val="10"/>
                <w:color w:val="auto"/>
              </w:rPr>
            </w:pPr>
          </w:p>
        </w:tc>
        <w:tc>
          <w:tcPr>
            <w:tcW w:w="3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vMerge w:val="restart"/>
          </w:tcPr>
          <w:p>
            <w:pPr>
              <w:jc w:val="center"/>
              <w:ind w:left="110"/>
              <w:spacing w:after="0"/>
              <w:rPr>
                <w:sz w:val="20"/>
                <w:szCs w:val="20"/>
                <w:color w:val="auto"/>
              </w:rPr>
            </w:pPr>
            <w:r>
              <w:rPr>
                <w:rFonts w:ascii="Arial" w:cs="Arial" w:eastAsia="Arial" w:hAnsi="Arial"/>
                <w:sz w:val="18"/>
                <w:szCs w:val="18"/>
                <w:color w:val="auto"/>
                <w:w w:val="79"/>
              </w:rPr>
              <w:t>11</w:t>
            </w:r>
          </w:p>
        </w:tc>
        <w:tc>
          <w:tcPr>
            <w:tcW w:w="220" w:type="dxa"/>
            <w:vAlign w:val="bottom"/>
            <w:tcBorders>
              <w:right w:val="single" w:sz="8" w:color="auto"/>
            </w:tcBorders>
          </w:tcPr>
          <w:p>
            <w:pPr>
              <w:spacing w:after="0"/>
              <w:rPr>
                <w:sz w:val="20"/>
                <w:szCs w:val="20"/>
                <w:color w:val="auto"/>
              </w:rPr>
            </w:pPr>
          </w:p>
        </w:tc>
        <w:tc>
          <w:tcPr>
            <w:tcW w:w="7160" w:type="dxa"/>
            <w:vAlign w:val="bottom"/>
            <w:gridSpan w:val="6"/>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3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440" w:type="dxa"/>
            <w:vAlign w:val="bottom"/>
            <w:vMerge w:val="restart"/>
          </w:tcPr>
          <w:p>
            <w:pPr>
              <w:jc w:val="center"/>
              <w:ind w:left="90"/>
              <w:spacing w:after="0"/>
              <w:rPr>
                <w:sz w:val="20"/>
                <w:szCs w:val="20"/>
                <w:color w:val="auto"/>
              </w:rPr>
            </w:pPr>
            <w:r>
              <w:rPr>
                <w:rFonts w:ascii="Arial" w:cs="Arial" w:eastAsia="Arial" w:hAnsi="Arial"/>
                <w:sz w:val="18"/>
                <w:szCs w:val="18"/>
                <w:color w:val="auto"/>
                <w:w w:val="89"/>
              </w:rPr>
              <w:t>12</w:t>
            </w:r>
          </w:p>
        </w:tc>
        <w:tc>
          <w:tcPr>
            <w:tcW w:w="220" w:type="dxa"/>
            <w:vAlign w:val="bottom"/>
            <w:tcBorders>
              <w:right w:val="single" w:sz="8" w:color="auto"/>
            </w:tcBorders>
          </w:tcPr>
          <w:p>
            <w:pPr>
              <w:spacing w:after="0"/>
              <w:rPr>
                <w:sz w:val="20"/>
                <w:szCs w:val="20"/>
                <w:color w:val="auto"/>
              </w:rPr>
            </w:pPr>
          </w:p>
        </w:tc>
        <w:tc>
          <w:tcPr>
            <w:tcW w:w="422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w:t>
            </w:r>
          </w:p>
        </w:tc>
        <w:tc>
          <w:tcPr>
            <w:tcW w:w="2940" w:type="dxa"/>
            <w:vAlign w:val="bottom"/>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color w:val="auto"/>
              </w:rPr>
              <w:t>PN</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Item 4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
        </w:trPr>
        <w:tc>
          <w:tcPr>
            <w:tcW w:w="40" w:type="dxa"/>
            <w:vAlign w:val="bottom"/>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920" w:type="dxa"/>
            <w:vAlign w:val="bottom"/>
            <w:vMerge w:val="restart"/>
          </w:tcPr>
          <w:p>
            <w:pPr>
              <w:ind w:left="1560"/>
              <w:spacing w:after="0"/>
              <w:rPr>
                <w:sz w:val="20"/>
                <w:szCs w:val="20"/>
                <w:color w:val="auto"/>
              </w:rPr>
            </w:pPr>
            <w:r>
              <w:rPr>
                <w:rFonts w:ascii="Arial" w:cs="Arial" w:eastAsia="Arial" w:hAnsi="Arial"/>
                <w:sz w:val="18"/>
                <w:szCs w:val="18"/>
                <w:b w:val="1"/>
                <w:bCs w:val="1"/>
                <w:color w:val="auto"/>
                <w:w w:val="97"/>
              </w:rPr>
              <w:t>SCHEDULE 13G</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34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8"/>
                <w:szCs w:val="18"/>
                <w:b w:val="1"/>
                <w:bCs w:val="1"/>
                <w:color w:val="auto"/>
              </w:rPr>
              <w:t>CUSIP No. 123013104</w:t>
            </w:r>
          </w:p>
        </w:tc>
        <w:tc>
          <w:tcPr>
            <w:tcW w:w="2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Item 1. (a) Name of Issuer</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-442595</wp:posOffset>
            </wp:positionV>
            <wp:extent cx="2138680" cy="167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8680" cy="16700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BurTech Acquisition Corp., a Delaware corporation (the “Issuer”)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1300 Pennsylvania Avenue, NW, Suite 700, Washington DC, 20004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(a, b, c) Names of Person Filing, Address of Principal Business Office, Citizenship:</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This initial report on Schedule 13G is being filed by (i) Exos Asset Management LLC, a Delaware limited liability company (“Exos”); and (ii) Exos Collateralized SPAC Holdings Fund LP, a Delaware limited partnership (“Collateralized SPAC Fund”). The address of Exos and the Collateralized SPAC Fund is: 1370 Broadway, Suite 1450, New York, NY 10018.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A Common Stock, par value $0.0001 per share (“Class A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 CUSIP No.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123013104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If this statement is filed pursuant to Rule 13d-1(b),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reported in the cover pages to this report, the ownership information with respect to Exos is as follows:</w:t>
      </w:r>
    </w:p>
    <w:p>
      <w:pPr>
        <w:spacing w:after="0" w:line="225" w:lineRule="exact"/>
        <w:rPr>
          <w:sz w:val="20"/>
          <w:szCs w:val="20"/>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Beneficially Owned: 635,819*</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 of Class: 9.6%*</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840" w:hanging="212"/>
        <w:spacing w:after="0"/>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00" w:hanging="272"/>
        <w:spacing w:after="0"/>
        <w:tabs>
          <w:tab w:leader="none" w:pos="1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vote or to direct the vote: 635,819*</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635,819*</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As reported in the cover pages to this report, the ownership information with respect to the Collateralized SPAC Fund is as follows:</w:t>
      </w:r>
    </w:p>
    <w:p>
      <w:pPr>
        <w:spacing w:after="0" w:line="237" w:lineRule="exact"/>
        <w:rPr>
          <w:sz w:val="20"/>
          <w:szCs w:val="20"/>
          <w:color w:val="auto"/>
        </w:rPr>
      </w:pPr>
    </w:p>
    <w:p>
      <w:pPr>
        <w:ind w:left="1220" w:hanging="240"/>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385,059*</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5.9%*</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840" w:hanging="212"/>
        <w:spacing w:after="0"/>
        <w:tabs>
          <w:tab w:leader="none" w:pos="1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00" w:hanging="272"/>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385,059*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385,059*</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*Exos is the investment manager to the Collateralized SPAC Fund. As of March 10, 2023, Exos, as the investment manager to the Collateralized SPAC Fund and investment manager to a number of other private funds, may be deemed to beneficially own an aggregate of 635,819 Class A Common Stock of the Issuer.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ownership percentages reported in this Schedule 13G have been calculated based on the 6,630,703 shares of Class A Common Stock outstanding, as set forth in the Issuer’s Form 8-K filed March 16, 2023, which reflects the Issuer’s Class A Common Stock outstanding after 22,119,297 Class A Common Stock were tendered for redemption on March 10,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w:t>
      </w:r>
    </w:p>
    <w:p>
      <w:pPr>
        <w:spacing w:after="0" w:line="229"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22"/>
        </w:trPr>
        <w:tc>
          <w:tcPr>
            <w:tcW w:w="3360" w:type="dxa"/>
            <w:vAlign w:val="bottom"/>
            <w:tcBorders>
              <w:bottom w:val="single" w:sz="8" w:color="auto"/>
            </w:tcBorders>
          </w:tcPr>
          <w:p>
            <w:pPr>
              <w:spacing w:after="0" w:line="20" w:lineRule="exact"/>
              <w:rPr>
                <w:sz w:val="1"/>
                <w:szCs w:val="1"/>
                <w:color w:val="auto"/>
              </w:rPr>
            </w:pPr>
          </w:p>
        </w:tc>
        <w:tc>
          <w:tcPr>
            <w:tcW w:w="2920" w:type="dxa"/>
            <w:vAlign w:val="bottom"/>
            <w:vMerge w:val="restart"/>
          </w:tcPr>
          <w:p>
            <w:pPr>
              <w:ind w:left="1560"/>
              <w:spacing w:after="0"/>
              <w:rPr>
                <w:sz w:val="20"/>
                <w:szCs w:val="20"/>
                <w:color w:val="auto"/>
              </w:rPr>
            </w:pPr>
            <w:r>
              <w:rPr>
                <w:rFonts w:ascii="Arial" w:cs="Arial" w:eastAsia="Arial" w:hAnsi="Arial"/>
                <w:sz w:val="18"/>
                <w:szCs w:val="18"/>
                <w:b w:val="1"/>
                <w:bCs w:val="1"/>
                <w:color w:val="auto"/>
                <w:w w:val="97"/>
              </w:rPr>
              <w:t>SCHEDULE 13G</w:t>
            </w:r>
          </w:p>
        </w:tc>
        <w:tc>
          <w:tcPr>
            <w:tcW w:w="0" w:type="dxa"/>
            <w:vAlign w:val="bottom"/>
          </w:tcPr>
          <w:p>
            <w:pPr>
              <w:spacing w:after="0"/>
              <w:rPr>
                <w:sz w:val="1"/>
                <w:szCs w:val="1"/>
                <w:color w:val="auto"/>
              </w:rPr>
            </w:pPr>
          </w:p>
        </w:tc>
      </w:tr>
      <w:tr>
        <w:trPr>
          <w:trHeight w:val="223"/>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123013104</w:t>
            </w:r>
          </w:p>
        </w:tc>
        <w:tc>
          <w:tcPr>
            <w:tcW w:w="2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-166370</wp:posOffset>
            </wp:positionV>
            <wp:extent cx="2138680" cy="167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8680" cy="16700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Exos Asset Management LLC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Neil Radey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Neil Radey</w:t>
      </w:r>
    </w:p>
    <w:p>
      <w:pPr>
        <w:spacing w:after="0" w:line="3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Exos Collateralized SPAC Holdings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Exos Collateralized SPAC Holdings Fund GP LLC (General Partner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Collateralized SPAC Fund)</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Neil Radey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Neil Radey</w:t>
      </w:r>
    </w:p>
    <w:p>
      <w:pPr>
        <w:spacing w:after="0" w:line="3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Exos Asset Management LLC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Neil Radey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Neil Radey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Exos Collateralized SPAC Holdings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Exos Collateralized SPAC Holdings Fund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Neil Radey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Neil Radey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lvl w:ilvl="1">
      <w:lvlJc w:val="left"/>
      <w:lvlText w:val="(%2)"/>
      <w:numFmt w:val="lowerRoman"/>
      <w:start w:val="1"/>
    </w:lvl>
  </w:abstractNum>
  <w:abstractNum w:abstractNumId="2">
    <w:nsid w:val="2AE8944A"/>
    <w:multiLevelType w:val="hybridMultilevel"/>
    <w:lvl w:ilvl="0">
      <w:lvlJc w:val="left"/>
      <w:lvlText w:val="(%1)"/>
      <w:numFmt w:val="lowerLetter"/>
      <w:start w:val="1"/>
    </w:lvl>
    <w:lvl w:ilvl="1">
      <w:lvlJc w:val="left"/>
      <w:lvlText w:val="(%2)"/>
      <w:numFmt w:val="lowerRoman"/>
      <w:start w:val="1"/>
    </w:lvl>
  </w:abstractNum>
  <w:abstractNum w:abstractNumId="3">
    <w:nsid w:val="625558E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2023-05-18T16:15:16Z</dcterms:created>
  <dcterms:modified xsi:type="dcterms:W3CDTF">2023-05-18T16:15:16Z</dcterms:modified>
</cp:coreProperties>
</file>